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66995" w14:textId="3DAFB5B8" w:rsidR="00070886" w:rsidRPr="0040300C" w:rsidRDefault="00070886" w:rsidP="00055D83">
      <w:pPr>
        <w:spacing w:before="0" w:line="240" w:lineRule="auto"/>
        <w:jc w:val="center"/>
        <w:rPr>
          <w:rFonts w:cs="Times New Roman"/>
          <w:b/>
          <w:bCs/>
          <w:color w:val="000000" w:themeColor="text1"/>
          <w:sz w:val="36"/>
          <w:szCs w:val="36"/>
          <w:highlight w:val="yellow"/>
        </w:rPr>
      </w:pPr>
      <w:r w:rsidRPr="0040300C">
        <w:rPr>
          <w:rFonts w:cs="Times New Roman"/>
          <w:b/>
          <w:bCs/>
          <w:color w:val="000000" w:themeColor="text1"/>
          <w:sz w:val="36"/>
          <w:szCs w:val="36"/>
          <w:highlight w:val="yellow"/>
        </w:rPr>
        <w:t xml:space="preserve">Impact of working capital management practices on Financial Health of minimarts in </w:t>
      </w:r>
      <w:proofErr w:type="gramStart"/>
      <w:r w:rsidRPr="0040300C">
        <w:rPr>
          <w:rFonts w:cs="Times New Roman"/>
          <w:b/>
          <w:bCs/>
          <w:color w:val="000000" w:themeColor="text1"/>
          <w:sz w:val="36"/>
          <w:szCs w:val="36"/>
          <w:highlight w:val="yellow"/>
        </w:rPr>
        <w:t>Nairobi</w:t>
      </w:r>
      <w:r w:rsidR="00BC4A5D" w:rsidRPr="0040300C">
        <w:rPr>
          <w:rFonts w:cs="Times New Roman"/>
          <w:b/>
          <w:bCs/>
          <w:color w:val="000000" w:themeColor="text1"/>
          <w:sz w:val="36"/>
          <w:szCs w:val="36"/>
          <w:highlight w:val="yellow"/>
        </w:rPr>
        <w:t xml:space="preserve"> </w:t>
      </w:r>
      <w:r w:rsidRPr="0040300C">
        <w:rPr>
          <w:rFonts w:cs="Times New Roman"/>
          <w:b/>
          <w:bCs/>
          <w:color w:val="000000" w:themeColor="text1"/>
          <w:sz w:val="36"/>
          <w:szCs w:val="36"/>
          <w:highlight w:val="yellow"/>
        </w:rPr>
        <w:t>county</w:t>
      </w:r>
      <w:proofErr w:type="gramEnd"/>
      <w:r w:rsidRPr="0040300C">
        <w:rPr>
          <w:rFonts w:cs="Times New Roman"/>
          <w:b/>
          <w:bCs/>
          <w:color w:val="000000" w:themeColor="text1"/>
          <w:sz w:val="36"/>
          <w:szCs w:val="36"/>
          <w:highlight w:val="yellow"/>
        </w:rPr>
        <w:t>, Kenya</w:t>
      </w:r>
    </w:p>
    <w:p w14:paraId="173C619B" w14:textId="77777777" w:rsidR="004378EE" w:rsidRPr="0040300C" w:rsidRDefault="004378EE" w:rsidP="00055D83">
      <w:pPr>
        <w:spacing w:before="0" w:line="240" w:lineRule="auto"/>
        <w:jc w:val="center"/>
        <w:rPr>
          <w:rFonts w:cs="Times New Roman"/>
          <w:b/>
          <w:bCs/>
          <w:color w:val="000000" w:themeColor="text1"/>
          <w:sz w:val="36"/>
          <w:szCs w:val="36"/>
          <w:highlight w:val="yellow"/>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26A1F76F" w14:textId="77777777" w:rsidR="00DD21C0" w:rsidRPr="007A56B8" w:rsidRDefault="00DD21C0" w:rsidP="00055D83">
      <w:pPr>
        <w:spacing w:before="0" w:line="240" w:lineRule="auto"/>
        <w:jc w:val="center"/>
        <w:rPr>
          <w:rFonts w:cs="Times New Roman"/>
          <w:color w:val="000000" w:themeColor="text1"/>
          <w:szCs w:val="24"/>
        </w:rPr>
      </w:pPr>
    </w:p>
    <w:p w14:paraId="43D2AA90" w14:textId="77777777" w:rsidR="007C3182" w:rsidRPr="007A56B8" w:rsidRDefault="007C3182"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0" w:name="_Toc488404692"/>
      <w:bookmarkStart w:id="1" w:name="_Toc102409737"/>
      <w:r w:rsidRPr="007A56B8">
        <w:rPr>
          <w:b/>
          <w:sz w:val="28"/>
        </w:rPr>
        <w:t>ABSTRACT</w:t>
      </w:r>
      <w:bookmarkEnd w:id="0"/>
      <w:bookmarkEnd w:id="1"/>
    </w:p>
    <w:p w14:paraId="6379FF7F" w14:textId="5495FBB5" w:rsidR="004378EE" w:rsidRPr="004378EE" w:rsidRDefault="00BC4A5D" w:rsidP="00BC4A5D">
      <w:pPr>
        <w:spacing w:line="240" w:lineRule="auto"/>
        <w:rPr>
          <w:rFonts w:cs="Times New Roman"/>
          <w:color w:val="000000" w:themeColor="text1"/>
          <w:szCs w:val="24"/>
        </w:rPr>
      </w:pPr>
      <w:r w:rsidRPr="0040300C">
        <w:rPr>
          <w:rFonts w:cs="Times New Roman"/>
          <w:color w:val="000000" w:themeColor="text1"/>
          <w:szCs w:val="24"/>
          <w:highlight w:val="yellow"/>
        </w:rPr>
        <w:t>Financial health reflects a firm’s ability to efficiently manage its financial resources, maintain liquidity, meet obligations, and generate profits while minimizing risk</w:t>
      </w:r>
      <w:r w:rsidRPr="0040300C">
        <w:rPr>
          <w:rFonts w:cs="Times New Roman"/>
          <w:color w:val="000000" w:themeColor="text1"/>
          <w:szCs w:val="24"/>
          <w:highlight w:val="yellow"/>
        </w:rPr>
        <w:t xml:space="preserve">. </w:t>
      </w:r>
      <w:r w:rsidR="004378EE" w:rsidRPr="004378EE">
        <w:rPr>
          <w:rFonts w:cs="Times New Roman"/>
          <w:color w:val="000000" w:themeColor="text1"/>
          <w:szCs w:val="24"/>
        </w:rPr>
        <w:t>This study examined the effect of working capital management practices on the financial health of minimarts in Nairobi County, Kenya, using sales growth as the primary indicator. Minimarts play a critical role in urban retailing; however, inefficiencies in managing working capital often undermine their financial stability. The study focused on three key practices: inventory management, cash management, and accounts payable management. Grounded in the cash conversion cycle theory, the research employed a stratified random sampling technique to select 375 minimarts from a population of 2,500. Data were collected using structured questionnaires with 5-point Likert scale items and data collection matrices to capture sales growth metrics.</w:t>
      </w:r>
      <w:r w:rsidR="004378EE">
        <w:rPr>
          <w:rFonts w:cs="Times New Roman"/>
          <w:color w:val="000000" w:themeColor="text1"/>
          <w:szCs w:val="24"/>
        </w:rPr>
        <w:t xml:space="preserve"> </w:t>
      </w:r>
      <w:r w:rsidR="004378EE" w:rsidRPr="004378EE">
        <w:rPr>
          <w:rFonts w:cs="Times New Roman"/>
          <w:color w:val="000000" w:themeColor="text1"/>
          <w:szCs w:val="24"/>
        </w:rPr>
        <w:t>Diagnostic tests confirmed the suitability of the data, showing no issues of normality, multicollinearity, or heteroscedasticity. Both descriptive and multiple regression analyses were applied to test the hypotheses. The findings revealed a positive and statistically significant relationship between all three working capital management practices and financial health, leading to the rejection of the null hypotheses. Inventory management exhibited the strongest effect (β = 0.685), followed by cash management (β = 0.207) and accounts payable management (β = 0.118). The model explained 37% of the variation in financial health.</w:t>
      </w:r>
      <w:r w:rsidR="004378EE">
        <w:rPr>
          <w:rFonts w:cs="Times New Roman"/>
          <w:color w:val="000000" w:themeColor="text1"/>
          <w:szCs w:val="24"/>
        </w:rPr>
        <w:t xml:space="preserve"> </w:t>
      </w:r>
      <w:r w:rsidR="004378EE" w:rsidRPr="004378EE">
        <w:rPr>
          <w:rFonts w:cs="Times New Roman"/>
          <w:color w:val="000000" w:themeColor="text1"/>
          <w:szCs w:val="24"/>
        </w:rPr>
        <w:t>The study highlights the critical importance of efficient inventory control, particularly for fast-moving consumer goods. It recommends that minimarts maintain optimal stock levels and closely monitor cash flows to enhance sales growth. Overall, the findings contribute to both academic literature and practical decision-making, emphasizing that effective working capital management is essential for improving financial performance in the retail sector.</w:t>
      </w:r>
    </w:p>
    <w:p w14:paraId="0B64A38F" w14:textId="461E21DE" w:rsidR="004378EE" w:rsidRDefault="004378EE" w:rsidP="004378EE">
      <w:pPr>
        <w:spacing w:line="240" w:lineRule="auto"/>
        <w:rPr>
          <w:rFonts w:cs="Times New Roman"/>
          <w:color w:val="000000" w:themeColor="text1"/>
          <w:szCs w:val="24"/>
        </w:rPr>
      </w:pPr>
      <w:r w:rsidRPr="004378EE">
        <w:rPr>
          <w:rFonts w:cs="Times New Roman"/>
          <w:b/>
          <w:color w:val="000000" w:themeColor="text1"/>
          <w:szCs w:val="24"/>
        </w:rPr>
        <w:t>Keywords:</w:t>
      </w:r>
      <w:r w:rsidRPr="004378EE">
        <w:rPr>
          <w:rFonts w:cs="Times New Roman"/>
          <w:color w:val="000000" w:themeColor="text1"/>
          <w:szCs w:val="24"/>
        </w:rPr>
        <w:t xml:space="preserve"> </w:t>
      </w:r>
      <w:r w:rsidRPr="004378EE">
        <w:rPr>
          <w:rFonts w:cs="Times New Roman"/>
          <w:i/>
          <w:color w:val="000000" w:themeColor="text1"/>
          <w:szCs w:val="24"/>
        </w:rPr>
        <w:t xml:space="preserve">Working Capital Management, Inventory Management, Cash Management, Accounts Payable, </w:t>
      </w:r>
      <w:r>
        <w:rPr>
          <w:rFonts w:cs="Times New Roman"/>
          <w:i/>
          <w:color w:val="000000" w:themeColor="text1"/>
          <w:szCs w:val="24"/>
        </w:rPr>
        <w:t>Financial Health, Sales Growth</w:t>
      </w:r>
    </w:p>
    <w:p w14:paraId="3C2E1B6D" w14:textId="77777777" w:rsidR="00500683" w:rsidRPr="007A56B8" w:rsidRDefault="00500683" w:rsidP="00500683">
      <w:pPr>
        <w:spacing w:line="240" w:lineRule="auto"/>
        <w:rPr>
          <w:rFonts w:cs="Times New Roman"/>
          <w:color w:val="000000" w:themeColor="text1"/>
          <w:szCs w:val="24"/>
        </w:rPr>
      </w:pPr>
    </w:p>
    <w:p w14:paraId="2FDD86F1" w14:textId="77777777" w:rsidR="002147E2" w:rsidRDefault="002147E2">
      <w:pPr>
        <w:spacing w:before="0" w:after="160" w:line="259" w:lineRule="auto"/>
        <w:jc w:val="left"/>
        <w:rPr>
          <w:rFonts w:eastAsia="Times New Roman" w:cs="Times New Roman"/>
          <w:b/>
          <w:bCs/>
          <w:color w:val="000000" w:themeColor="text1"/>
          <w:sz w:val="28"/>
          <w:szCs w:val="28"/>
        </w:rPr>
      </w:pPr>
      <w:r>
        <w:rPr>
          <w:rFonts w:eastAsia="Times New Roman" w:cs="Times New Roman"/>
          <w:b/>
          <w:bCs/>
          <w:color w:val="000000" w:themeColor="text1"/>
          <w:sz w:val="28"/>
          <w:szCs w:val="28"/>
        </w:rPr>
        <w:br w:type="page"/>
      </w:r>
    </w:p>
    <w:p w14:paraId="7AB32081" w14:textId="14E4FD7E" w:rsidR="004378EE" w:rsidRPr="00E72399" w:rsidRDefault="00055D83" w:rsidP="00E72399">
      <w:pPr>
        <w:shd w:val="clear" w:color="auto" w:fill="FFFFFF"/>
        <w:spacing w:line="240" w:lineRule="auto"/>
        <w:rPr>
          <w:rFonts w:eastAsia="Times New Roman" w:cs="Times New Roman"/>
          <w:b/>
          <w:bCs/>
          <w:color w:val="000000" w:themeColor="text1"/>
          <w:sz w:val="28"/>
          <w:szCs w:val="28"/>
        </w:rPr>
      </w:pPr>
      <w:r w:rsidRPr="00E72399">
        <w:rPr>
          <w:rFonts w:eastAsia="Times New Roman" w:cs="Times New Roman"/>
          <w:b/>
          <w:bCs/>
          <w:color w:val="000000" w:themeColor="text1"/>
          <w:sz w:val="28"/>
          <w:szCs w:val="28"/>
        </w:rPr>
        <w:lastRenderedPageBreak/>
        <w:t>1.0 INTRODUCTION</w:t>
      </w:r>
    </w:p>
    <w:p w14:paraId="34ED3EBD" w14:textId="0D774042"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 xml:space="preserve">Financial health is a fundamental determinant of an organization’s long-term sustainability and success. It reflects a firm’s ability to efficiently manage its financial resources, maintain liquidity, meet obligations, and generate profits while minimizing risk. Scholars such as </w:t>
      </w:r>
      <w:proofErr w:type="spellStart"/>
      <w:r w:rsidRPr="00E72399">
        <w:rPr>
          <w:rFonts w:cs="Times New Roman"/>
          <w:color w:val="000000" w:themeColor="text1"/>
          <w:szCs w:val="24"/>
        </w:rPr>
        <w:t>Ndega</w:t>
      </w:r>
      <w:proofErr w:type="spellEnd"/>
      <w:r w:rsidRPr="00E72399">
        <w:rPr>
          <w:rFonts w:cs="Times New Roman"/>
          <w:color w:val="000000" w:themeColor="text1"/>
          <w:szCs w:val="24"/>
        </w:rPr>
        <w:t xml:space="preserve"> et al. (2021) and Weida et al. (2020) emphasize that financial health encompasses key dimensions including profitability, solvency, liquidity, and operational efficiency. These components collectively indicate whether a firm can sustain operations and remain competitive in dynamic market environments. A financially healthy organization is therefore better positioned to withstand uncertainties, access external financing, a</w:t>
      </w:r>
      <w:r w:rsidR="00E72399">
        <w:rPr>
          <w:rFonts w:cs="Times New Roman"/>
          <w:color w:val="000000" w:themeColor="text1"/>
          <w:szCs w:val="24"/>
        </w:rPr>
        <w:t>nd pursue growth opportunities.</w:t>
      </w:r>
    </w:p>
    <w:p w14:paraId="0A55A4F2" w14:textId="18DB2D89" w:rsidR="004378EE" w:rsidRPr="00E72399" w:rsidRDefault="00302A9D" w:rsidP="00E72399">
      <w:pPr>
        <w:shd w:val="clear" w:color="auto" w:fill="FFFFFF"/>
        <w:spacing w:line="240" w:lineRule="auto"/>
        <w:rPr>
          <w:rFonts w:cs="Times New Roman"/>
          <w:color w:val="000000" w:themeColor="text1"/>
          <w:szCs w:val="24"/>
        </w:rPr>
      </w:pPr>
      <w:r w:rsidRPr="0040300C">
        <w:rPr>
          <w:rFonts w:cs="Times New Roman"/>
          <w:color w:val="000000" w:themeColor="text1"/>
          <w:szCs w:val="24"/>
          <w:highlight w:val="yellow"/>
        </w:rPr>
        <w:t>working capital is regarded as life giving force for any economic unit and its management is considered among the most important functions of corporate management. Every firm, profit oriented or not, irrespective of size and nature of business requires necessary amount of working capital</w:t>
      </w:r>
      <w:r w:rsidRPr="0040300C">
        <w:rPr>
          <w:rFonts w:cs="Times New Roman"/>
          <w:color w:val="000000" w:themeColor="text1"/>
          <w:szCs w:val="24"/>
          <w:highlight w:val="yellow"/>
        </w:rPr>
        <w:t xml:space="preserve"> (</w:t>
      </w:r>
      <w:proofErr w:type="spellStart"/>
      <w:r w:rsidRPr="0040300C">
        <w:rPr>
          <w:rFonts w:cs="Times New Roman"/>
          <w:szCs w:val="24"/>
          <w:highlight w:val="yellow"/>
        </w:rPr>
        <w:t>Lanquaye</w:t>
      </w:r>
      <w:proofErr w:type="spellEnd"/>
      <w:r w:rsidRPr="0040300C">
        <w:rPr>
          <w:rFonts w:cs="Times New Roman"/>
          <w:szCs w:val="24"/>
          <w:highlight w:val="yellow"/>
        </w:rPr>
        <w:t xml:space="preserve"> Lamptey</w:t>
      </w:r>
      <w:r w:rsidRPr="0040300C">
        <w:rPr>
          <w:rFonts w:cs="Times New Roman"/>
          <w:szCs w:val="24"/>
          <w:highlight w:val="yellow"/>
        </w:rPr>
        <w:t xml:space="preserve"> et al., 2017)</w:t>
      </w:r>
      <w:r w:rsidRPr="0040300C">
        <w:rPr>
          <w:rFonts w:cs="Times New Roman"/>
          <w:color w:val="000000" w:themeColor="text1"/>
          <w:szCs w:val="24"/>
          <w:highlight w:val="yellow"/>
        </w:rPr>
        <w:t>.</w:t>
      </w:r>
      <w:r w:rsidRPr="0040300C">
        <w:rPr>
          <w:rFonts w:cs="Times New Roman"/>
          <w:color w:val="000000" w:themeColor="text1"/>
          <w:szCs w:val="24"/>
          <w:highlight w:val="yellow"/>
        </w:rPr>
        <w:t xml:space="preserve"> </w:t>
      </w:r>
      <w:r w:rsidR="004378EE" w:rsidRPr="00E72399">
        <w:rPr>
          <w:rFonts w:cs="Times New Roman"/>
          <w:color w:val="000000" w:themeColor="text1"/>
          <w:szCs w:val="24"/>
        </w:rPr>
        <w:t>One of the most critical drivers of financial health is working capital management (WCM).</w:t>
      </w:r>
      <w:r w:rsidR="00535E95">
        <w:rPr>
          <w:rFonts w:cs="Times New Roman"/>
          <w:color w:val="000000" w:themeColor="text1"/>
          <w:szCs w:val="24"/>
        </w:rPr>
        <w:t xml:space="preserve"> </w:t>
      </w:r>
      <w:r w:rsidR="004378EE" w:rsidRPr="00E72399">
        <w:rPr>
          <w:rFonts w:cs="Times New Roman"/>
          <w:color w:val="000000" w:themeColor="text1"/>
          <w:szCs w:val="24"/>
        </w:rPr>
        <w:t>WCM refers to the management of short-term assets and liabilities, including cash, receivables, inventory, and payables</w:t>
      </w:r>
      <w:r w:rsidR="00535E95">
        <w:rPr>
          <w:rFonts w:cs="Times New Roman"/>
          <w:color w:val="000000" w:themeColor="text1"/>
          <w:szCs w:val="24"/>
        </w:rPr>
        <w:t xml:space="preserve"> </w:t>
      </w:r>
      <w:r w:rsidR="00535E95" w:rsidRPr="0040300C">
        <w:rPr>
          <w:rFonts w:cs="Times New Roman"/>
          <w:color w:val="000000" w:themeColor="text1"/>
          <w:szCs w:val="24"/>
          <w:highlight w:val="yellow"/>
        </w:rPr>
        <w:t>(</w:t>
      </w:r>
      <w:r w:rsidR="00535E95" w:rsidRPr="0040300C">
        <w:rPr>
          <w:rFonts w:cs="Times New Roman"/>
          <w:szCs w:val="24"/>
          <w:highlight w:val="yellow"/>
        </w:rPr>
        <w:t>Ninga &amp; Naho, 2024</w:t>
      </w:r>
      <w:r w:rsidR="00535E95" w:rsidRPr="0040300C">
        <w:rPr>
          <w:rFonts w:cs="Times New Roman"/>
          <w:szCs w:val="24"/>
          <w:highlight w:val="yellow"/>
        </w:rPr>
        <w:t>)</w:t>
      </w:r>
      <w:r w:rsidR="004378EE" w:rsidRPr="0040300C">
        <w:rPr>
          <w:rFonts w:cs="Times New Roman"/>
          <w:color w:val="000000" w:themeColor="text1"/>
          <w:szCs w:val="24"/>
          <w:highlight w:val="yellow"/>
        </w:rPr>
        <w:t xml:space="preserve">. </w:t>
      </w:r>
      <w:r w:rsidR="004378EE" w:rsidRPr="00E72399">
        <w:rPr>
          <w:rFonts w:cs="Times New Roman"/>
          <w:color w:val="000000" w:themeColor="text1"/>
          <w:szCs w:val="24"/>
        </w:rPr>
        <w:t>According to Joel and Sharm (2022), effective WCM directly influences a firm’s liquidity and profitability, thereby shaping its overall financial well-being. It ensures that businesses maintain sufficient cash flow to meet short-term obligations, support daily operations, and exploit investment opportunities. Poor management of working capital, on the other hand, can lead to liquidity shortages, operational inefficiencies, and finan</w:t>
      </w:r>
      <w:r w:rsidR="00E72399">
        <w:rPr>
          <w:rFonts w:cs="Times New Roman"/>
          <w:color w:val="000000" w:themeColor="text1"/>
          <w:szCs w:val="24"/>
        </w:rPr>
        <w:t>cial distress.</w:t>
      </w:r>
    </w:p>
    <w:p w14:paraId="752BDE20" w14:textId="1894C8A1"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Globally, WCM has become increasingly important, particularly in the retail sector, where firms operate in highly competitive and rapidly evolving environments. The global retail industry continues to experience significant transformation driven by technological advancements, changing consumer preferences, and intensified competition (Deloitte, 2024). In such contexts, efficient management of working capital components—especially inventory, cash, and payables—is essential for maintaining operational stability and achieving financial growth. Karim et al. (2017) and Ouma et al. (2021) highlight that effective WCM requires careful attention to these components, as they directly influence a firm’s liquidity positi</w:t>
      </w:r>
      <w:r w:rsidR="00E72399">
        <w:rPr>
          <w:rFonts w:cs="Times New Roman"/>
          <w:color w:val="000000" w:themeColor="text1"/>
          <w:szCs w:val="24"/>
        </w:rPr>
        <w:t>on and operational performance.</w:t>
      </w:r>
    </w:p>
    <w:p w14:paraId="17031BE0" w14:textId="2793544B"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 xml:space="preserve">Inventory management, for instance, plays a pivotal role in determining both operational efficiency and financial outcomes. </w:t>
      </w:r>
      <w:r w:rsidR="00302A9D" w:rsidRPr="0040300C">
        <w:rPr>
          <w:rFonts w:cs="Times New Roman"/>
          <w:color w:val="000000" w:themeColor="text1"/>
          <w:szCs w:val="24"/>
          <w:highlight w:val="yellow"/>
        </w:rPr>
        <w:t xml:space="preserve">Inventory is the most important asset held by many </w:t>
      </w:r>
      <w:proofErr w:type="spellStart"/>
      <w:r w:rsidR="00302A9D" w:rsidRPr="0040300C">
        <w:rPr>
          <w:rFonts w:cs="Times New Roman"/>
          <w:color w:val="000000" w:themeColor="text1"/>
          <w:szCs w:val="24"/>
          <w:highlight w:val="yellow"/>
        </w:rPr>
        <w:t>organisations</w:t>
      </w:r>
      <w:proofErr w:type="spellEnd"/>
      <w:r w:rsidR="00302A9D" w:rsidRPr="0040300C">
        <w:rPr>
          <w:rFonts w:cs="Times New Roman"/>
          <w:color w:val="000000" w:themeColor="text1"/>
          <w:szCs w:val="24"/>
          <w:highlight w:val="yellow"/>
        </w:rPr>
        <w:t>, representing as much as half of the company’s expenses, or even half of the total capital investment</w:t>
      </w:r>
      <w:r w:rsidR="00302A9D" w:rsidRPr="0040300C">
        <w:rPr>
          <w:rFonts w:cs="Times New Roman"/>
          <w:color w:val="000000" w:themeColor="text1"/>
          <w:szCs w:val="24"/>
          <w:highlight w:val="yellow"/>
        </w:rPr>
        <w:t xml:space="preserve"> (</w:t>
      </w:r>
      <w:r w:rsidR="00302A9D" w:rsidRPr="0040300C">
        <w:rPr>
          <w:rFonts w:cs="Times New Roman"/>
          <w:szCs w:val="24"/>
          <w:highlight w:val="yellow"/>
        </w:rPr>
        <w:t>Munyaka &amp; Yadavalli, 2022</w:t>
      </w:r>
      <w:r w:rsidR="00302A9D" w:rsidRPr="0040300C">
        <w:rPr>
          <w:rFonts w:cs="Times New Roman"/>
          <w:szCs w:val="24"/>
          <w:highlight w:val="yellow"/>
        </w:rPr>
        <w:t>)</w:t>
      </w:r>
      <w:r w:rsidR="00302A9D" w:rsidRPr="0040300C">
        <w:rPr>
          <w:rFonts w:cs="Times New Roman"/>
          <w:color w:val="000000" w:themeColor="text1"/>
          <w:szCs w:val="24"/>
          <w:highlight w:val="yellow"/>
        </w:rPr>
        <w:t>.</w:t>
      </w:r>
      <w:r w:rsidR="00302A9D" w:rsidRPr="0040300C">
        <w:rPr>
          <w:rFonts w:cs="Times New Roman"/>
          <w:color w:val="000000" w:themeColor="text1"/>
          <w:szCs w:val="24"/>
          <w:highlight w:val="yellow"/>
        </w:rPr>
        <w:t xml:space="preserve"> </w:t>
      </w:r>
      <w:r w:rsidR="00302A9D" w:rsidRPr="0040300C">
        <w:rPr>
          <w:rFonts w:cs="Times New Roman"/>
          <w:color w:val="000000" w:themeColor="text1"/>
          <w:szCs w:val="24"/>
          <w:highlight w:val="yellow"/>
        </w:rPr>
        <w:t>Effective inventory management strategies are crucial for mitigating risks and optimizing the supply chain. These strategies not only help with reducing costs but also enhance the overall efficiency and resilience of the supply chain</w:t>
      </w:r>
      <w:r w:rsidR="00302A9D" w:rsidRPr="0040300C">
        <w:rPr>
          <w:rFonts w:cs="Times New Roman"/>
          <w:color w:val="000000" w:themeColor="text1"/>
          <w:szCs w:val="24"/>
          <w:highlight w:val="yellow"/>
        </w:rPr>
        <w:t xml:space="preserve"> (</w:t>
      </w:r>
      <w:r w:rsidR="00302A9D" w:rsidRPr="0040300C">
        <w:rPr>
          <w:rFonts w:cs="Times New Roman"/>
          <w:szCs w:val="24"/>
          <w:highlight w:val="yellow"/>
        </w:rPr>
        <w:t>Silva</w:t>
      </w:r>
      <w:r w:rsidR="00302A9D" w:rsidRPr="0040300C">
        <w:rPr>
          <w:rFonts w:cs="Times New Roman"/>
          <w:szCs w:val="24"/>
          <w:highlight w:val="yellow"/>
        </w:rPr>
        <w:t xml:space="preserve"> et al., 2025)</w:t>
      </w:r>
      <w:r w:rsidR="00302A9D" w:rsidRPr="0040300C">
        <w:rPr>
          <w:rFonts w:cs="Times New Roman"/>
          <w:color w:val="000000" w:themeColor="text1"/>
          <w:szCs w:val="24"/>
          <w:highlight w:val="yellow"/>
        </w:rPr>
        <w:t>.</w:t>
      </w:r>
      <w:r w:rsidR="00302A9D" w:rsidRPr="0040300C">
        <w:rPr>
          <w:rFonts w:cs="Times New Roman"/>
          <w:color w:val="000000" w:themeColor="text1"/>
          <w:szCs w:val="24"/>
          <w:highlight w:val="yellow"/>
        </w:rPr>
        <w:t xml:space="preserve"> </w:t>
      </w:r>
      <w:proofErr w:type="gramStart"/>
      <w:r w:rsidRPr="00E72399">
        <w:rPr>
          <w:rFonts w:cs="Times New Roman"/>
          <w:color w:val="000000" w:themeColor="text1"/>
          <w:szCs w:val="24"/>
        </w:rPr>
        <w:t>Excessive</w:t>
      </w:r>
      <w:proofErr w:type="gramEnd"/>
      <w:r w:rsidRPr="00E72399">
        <w:rPr>
          <w:rFonts w:cs="Times New Roman"/>
          <w:color w:val="000000" w:themeColor="text1"/>
          <w:szCs w:val="24"/>
        </w:rPr>
        <w:t xml:space="preserve"> inventory increases holding and operational costs, thereby reducing profitability, while insufficient inventory leads to stock-outs and lost sales. Studies in Nigeria (</w:t>
      </w:r>
      <w:proofErr w:type="spellStart"/>
      <w:r w:rsidRPr="00E72399">
        <w:rPr>
          <w:rFonts w:cs="Times New Roman"/>
          <w:color w:val="000000" w:themeColor="text1"/>
          <w:szCs w:val="24"/>
        </w:rPr>
        <w:t>Ogbo</w:t>
      </w:r>
      <w:proofErr w:type="spellEnd"/>
      <w:r w:rsidRPr="00E72399">
        <w:rPr>
          <w:rFonts w:cs="Times New Roman"/>
          <w:color w:val="000000" w:themeColor="text1"/>
          <w:szCs w:val="24"/>
        </w:rPr>
        <w:t xml:space="preserve"> et al., 2019) indicate that maintaining optimal inventory levels enhances cash flow and improves business performance. Similarly, businesses often hold inventory to secure bulk purchase discounts, stabilize prices, and reduce ordering costs, although this may increase storage expenses. Thus, achieving a balance in inventory management is crucial f</w:t>
      </w:r>
      <w:r w:rsidR="00E72399">
        <w:rPr>
          <w:rFonts w:cs="Times New Roman"/>
          <w:color w:val="000000" w:themeColor="text1"/>
          <w:szCs w:val="24"/>
        </w:rPr>
        <w:t>or sustaining financial health.</w:t>
      </w:r>
    </w:p>
    <w:p w14:paraId="5AE37ED2" w14:textId="4F65F3F3"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Cash management is equally important, as it ensures that firms can meet immediate financial obligations and maintain liquidity</w:t>
      </w:r>
      <w:r w:rsidR="000342B3">
        <w:rPr>
          <w:rFonts w:cs="Times New Roman"/>
          <w:color w:val="000000" w:themeColor="text1"/>
          <w:szCs w:val="24"/>
        </w:rPr>
        <w:t xml:space="preserve"> </w:t>
      </w:r>
      <w:r w:rsidR="000342B3" w:rsidRPr="0040300C">
        <w:rPr>
          <w:rFonts w:cs="Times New Roman"/>
          <w:color w:val="000000" w:themeColor="text1"/>
          <w:szCs w:val="24"/>
          <w:highlight w:val="yellow"/>
        </w:rPr>
        <w:t>(</w:t>
      </w:r>
      <w:r w:rsidR="000342B3" w:rsidRPr="0040300C">
        <w:rPr>
          <w:rFonts w:cs="Times New Roman"/>
          <w:szCs w:val="24"/>
          <w:highlight w:val="yellow"/>
        </w:rPr>
        <w:t>Salas-Molina</w:t>
      </w:r>
      <w:r w:rsidR="000342B3" w:rsidRPr="0040300C">
        <w:rPr>
          <w:rFonts w:cs="Times New Roman"/>
          <w:szCs w:val="24"/>
          <w:highlight w:val="yellow"/>
        </w:rPr>
        <w:t xml:space="preserve"> et al., 2025)</w:t>
      </w:r>
      <w:r w:rsidRPr="0040300C">
        <w:rPr>
          <w:rFonts w:cs="Times New Roman"/>
          <w:color w:val="000000" w:themeColor="text1"/>
          <w:szCs w:val="24"/>
          <w:highlight w:val="yellow"/>
        </w:rPr>
        <w:t xml:space="preserve">. </w:t>
      </w:r>
      <w:r w:rsidRPr="00E72399">
        <w:rPr>
          <w:rFonts w:cs="Times New Roman"/>
          <w:color w:val="000000" w:themeColor="text1"/>
          <w:szCs w:val="24"/>
        </w:rPr>
        <w:t>Efficient cash management involves balancing inflows and outflows, maintaining optimal cash reserves, and making informed short-term investment decisions. For small retail businesses with limited access to formal credit facilities, such as minimarts, effective cash management is particularly critical. Accounts payable management also contributes to working capital efficiency by enabling firms to optimize supplier relationships and payment schedules. While delaying payments can serve as a flexible financing strategy, it may also result in lost discounts or strained supplier relation</w:t>
      </w:r>
      <w:r w:rsidR="00E72399">
        <w:rPr>
          <w:rFonts w:cs="Times New Roman"/>
          <w:color w:val="000000" w:themeColor="text1"/>
          <w:szCs w:val="24"/>
        </w:rPr>
        <w:t>ships if not managed carefully.</w:t>
      </w:r>
    </w:p>
    <w:p w14:paraId="659606A2" w14:textId="1D5B2316"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 xml:space="preserve">In the African context, particularly in Nigeria and Asia, studies have demonstrated that WCM practices significantly influence business competitiveness and financial performance. As firms expand and demand becomes more volatile, managing working capital becomes increasingly complex (Weida et al., 2020). This complexity is further </w:t>
      </w:r>
      <w:r w:rsidRPr="00E72399">
        <w:rPr>
          <w:rFonts w:cs="Times New Roman"/>
          <w:color w:val="000000" w:themeColor="text1"/>
          <w:szCs w:val="24"/>
        </w:rPr>
        <w:lastRenderedPageBreak/>
        <w:t>compounded by supply chain uncertainties, making it difficult to align inventory levels with market demand. Nonetheless, effective WCM practices remain essential for ensuring business cont</w:t>
      </w:r>
      <w:r w:rsidR="00E72399">
        <w:rPr>
          <w:rFonts w:cs="Times New Roman"/>
          <w:color w:val="000000" w:themeColor="text1"/>
          <w:szCs w:val="24"/>
        </w:rPr>
        <w:t>inuity and financial stability.</w:t>
      </w:r>
    </w:p>
    <w:p w14:paraId="7F0BEF60" w14:textId="455146FB"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In Kenya, the retail sector is a key contributor to economic growth, accounting for approximately 8% of the country’s GDP (Kenya National Bureau of Statistics [KNBS], 2022). Nairobi City County, as the economic hub, exemplifies the dynamism and competitiveness of the retail industry. Within this sector, minimarts play a vital role by providing convenient access to essential goods for local communities. They are strategically located in residential areas, fuel stations, and informal settlements, making them easily accessible to consumers seeking quick and convenie</w:t>
      </w:r>
      <w:r w:rsidR="00E72399">
        <w:rPr>
          <w:rFonts w:cs="Times New Roman"/>
          <w:color w:val="000000" w:themeColor="text1"/>
          <w:szCs w:val="24"/>
        </w:rPr>
        <w:t>nt shopping options.</w:t>
      </w:r>
    </w:p>
    <w:p w14:paraId="6580AF45" w14:textId="3BE0ACBD"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Despite their importance, minimarts in Nairobi face numerous challenges that hinder their financial performance. These include limited access to financial services, low financial literacy, intense competition from larger retail chains, and inefficiencies in working capital management (Mungai et al., 2020). Data from KNBS (2023) reveals fluctuating sales growth among minimarts, with average growth rates declining from 5.2% in 2021 to 3.8% in 2022, before slightly improving to 4.5% in 2023. Additionally, a report by the Retail Trade Association of Kenya (RETRAK, 2023) indicates that 62% of minimarts struggle to maintain consistent sales growth, while 40% experience negative growth. These trends highlight the financial vulnerability of the</w:t>
      </w:r>
      <w:r w:rsidR="00E72399">
        <w:rPr>
          <w:rFonts w:cs="Times New Roman"/>
          <w:color w:val="000000" w:themeColor="text1"/>
          <w:szCs w:val="24"/>
        </w:rPr>
        <w:t>se businesses.</w:t>
      </w:r>
    </w:p>
    <w:p w14:paraId="2A2EB37A" w14:textId="3FE1F47C"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 xml:space="preserve">The COVID-19 pandemic further exacerbated these challenges, with approximately 73% of small retailers in Nairobi experiencing significant declines in sales (Wangari et al., 2021). However, minimarts demonstrated resilience by adopting adaptive strategies that enabled recovery in the latter half of 2021. Consumer behavior has also shifted towards convenience shopping, with 65% of Nairobi residents preferring to purchase daily necessities from nearby minimarts (Nielsen Kenya, 2023). This trend presents growth opportunities, provided that minimarts can effectively manage their working capital to </w:t>
      </w:r>
      <w:r w:rsidR="00E72399">
        <w:rPr>
          <w:rFonts w:cs="Times New Roman"/>
          <w:color w:val="000000" w:themeColor="text1"/>
          <w:szCs w:val="24"/>
        </w:rPr>
        <w:t>meet changing consumer demands.</w:t>
      </w:r>
    </w:p>
    <w:p w14:paraId="39400714" w14:textId="47B355B8"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Financial health in this study is primarily assessed through sales growth, which serves as a key indicator of business performance and sustainability. Sales growth reflects a firm’s ability to expand its market share, increase revenues, and remain competitive. It is influenced by various financial factors, including liquidity, cost management, and operational efficiency. Financial health can also be evaluated using financial ratios such as liquidity, profitability, and solvency ratios, which provide insights into a firm’s financial stability and risk</w:t>
      </w:r>
      <w:r w:rsidR="00E72399">
        <w:rPr>
          <w:rFonts w:cs="Times New Roman"/>
          <w:color w:val="000000" w:themeColor="text1"/>
          <w:szCs w:val="24"/>
        </w:rPr>
        <w:t xml:space="preserve"> exposure (Banne et al., 2019).</w:t>
      </w:r>
    </w:p>
    <w:p w14:paraId="38E12F5B" w14:textId="6F37EEEE" w:rsidR="004378EE"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Working capital management practices are therefore central to enhancing the financial health of minimarts. This study focuses on three core components: inventory management, cash management, and accounts payable management. Inventory management ensures the availability of products while minimizing costs associated with overstocking and stock-outs. Cash management maintains liquidity and supports daily operations, while accounts payable management optimizes supplier relationships and payment terms. Together, these practices influence the efficiency and profit</w:t>
      </w:r>
      <w:r w:rsidR="00E72399">
        <w:rPr>
          <w:rFonts w:cs="Times New Roman"/>
          <w:color w:val="000000" w:themeColor="text1"/>
          <w:szCs w:val="24"/>
        </w:rPr>
        <w:t>ability of minimart operations.</w:t>
      </w:r>
    </w:p>
    <w:p w14:paraId="67027D8D" w14:textId="11CB23A4" w:rsidR="00863107" w:rsidRPr="00E72399" w:rsidRDefault="004378EE" w:rsidP="00E72399">
      <w:pPr>
        <w:shd w:val="clear" w:color="auto" w:fill="FFFFFF"/>
        <w:spacing w:line="240" w:lineRule="auto"/>
        <w:rPr>
          <w:rFonts w:cs="Times New Roman"/>
          <w:color w:val="000000" w:themeColor="text1"/>
          <w:szCs w:val="24"/>
        </w:rPr>
      </w:pPr>
      <w:r w:rsidRPr="00E72399">
        <w:rPr>
          <w:rFonts w:cs="Times New Roman"/>
          <w:color w:val="000000" w:themeColor="text1"/>
          <w:szCs w:val="24"/>
        </w:rPr>
        <w:t xml:space="preserve">Minimarts in Nairobi are typically small, family-owned businesses that operate in highly competitive environments. Despite the rise of supermarkets and modern retail formats, they continue to play a significant role in the retail ecosystem by serving local communities and providing employment opportunities. Their adaptability, including the adoption of mobile money services, demonstrates their resilience in the face of changing market conditions. However, persistent challenges such as rising costs, fluctuating demand, and limited financial resources necessitate improved </w:t>
      </w:r>
      <w:r w:rsidR="00E72399">
        <w:rPr>
          <w:rFonts w:cs="Times New Roman"/>
          <w:color w:val="000000" w:themeColor="text1"/>
          <w:szCs w:val="24"/>
        </w:rPr>
        <w:t xml:space="preserve">financial management practices. </w:t>
      </w:r>
      <w:r w:rsidRPr="00E72399">
        <w:rPr>
          <w:rFonts w:cs="Times New Roman"/>
          <w:color w:val="000000" w:themeColor="text1"/>
          <w:szCs w:val="24"/>
        </w:rPr>
        <w:t>In conclusion, the financial health of minimarts in Nairobi County is closely linked to their ability to effectively manage working capital. Given their economic significance and the challenges they face, understanding the relationship between WCM practices and financial health is essential. This study seeks to provide insights into how inventory, cash, and accounts payable management influence sales growth and overall financial performance. By doing so, it aims to contribute to improved financial management practices among minimarts, thereby enhancing their sustainability and competitiveness in a rapidly evolving retail environment.</w:t>
      </w:r>
    </w:p>
    <w:p w14:paraId="48C38FDC" w14:textId="4C473802" w:rsidR="00055D83" w:rsidRPr="00E72399" w:rsidRDefault="00055D83" w:rsidP="00E72399">
      <w:pPr>
        <w:shd w:val="clear" w:color="auto" w:fill="FFFFFF"/>
        <w:spacing w:line="240" w:lineRule="auto"/>
        <w:rPr>
          <w:rFonts w:eastAsia="Times New Roman" w:cs="Times New Roman"/>
          <w:b/>
          <w:bCs/>
          <w:color w:val="000000" w:themeColor="text1"/>
          <w:sz w:val="28"/>
          <w:szCs w:val="28"/>
        </w:rPr>
      </w:pPr>
      <w:r w:rsidRPr="00E72399">
        <w:rPr>
          <w:rFonts w:eastAsia="Times New Roman" w:cs="Times New Roman"/>
          <w:b/>
          <w:bCs/>
          <w:color w:val="000000" w:themeColor="text1"/>
          <w:sz w:val="28"/>
          <w:szCs w:val="28"/>
        </w:rPr>
        <w:lastRenderedPageBreak/>
        <w:t>1.1 Research Problem</w:t>
      </w:r>
    </w:p>
    <w:p w14:paraId="6403E99E" w14:textId="79CA2919" w:rsidR="00453A95" w:rsidRPr="00E72399" w:rsidRDefault="00453A95" w:rsidP="00E72399">
      <w:pPr>
        <w:spacing w:after="240" w:line="240" w:lineRule="auto"/>
        <w:rPr>
          <w:rFonts w:cs="Times New Roman"/>
          <w:color w:val="000000" w:themeColor="text1"/>
          <w:szCs w:val="24"/>
        </w:rPr>
      </w:pPr>
      <w:r w:rsidRPr="00E72399">
        <w:rPr>
          <w:rFonts w:cs="Times New Roman"/>
          <w:color w:val="000000" w:themeColor="text1"/>
          <w:szCs w:val="24"/>
        </w:rPr>
        <w:t>Retail businesses, particularly minimarts, play a vital role in local economies but face increasing challenges in sustaining profitability and growth. Recent data indicate a worrying trend, with 40% of minimarts in Nairobi County reporting slowed sales growth and overall retail growth declining from 6.5% in 2020 to 4.2% in 2022. Despite their importance in economic expansion and job creation, many minimarts struggle with liquidity constraints due to ineffective working capital management (WC</w:t>
      </w:r>
      <w:r w:rsidR="00E72399">
        <w:rPr>
          <w:rFonts w:cs="Times New Roman"/>
          <w:color w:val="000000" w:themeColor="text1"/>
          <w:szCs w:val="24"/>
        </w:rPr>
        <w:t>M), threatening their survival.</w:t>
      </w:r>
    </w:p>
    <w:p w14:paraId="285BA537" w14:textId="4B92D0C7" w:rsidR="00453A95" w:rsidRPr="00E72399" w:rsidRDefault="00453A95" w:rsidP="00E72399">
      <w:pPr>
        <w:spacing w:after="240" w:line="240" w:lineRule="auto"/>
        <w:rPr>
          <w:rFonts w:cs="Times New Roman"/>
          <w:color w:val="000000" w:themeColor="text1"/>
          <w:szCs w:val="24"/>
        </w:rPr>
      </w:pPr>
      <w:r w:rsidRPr="00E72399">
        <w:rPr>
          <w:rFonts w:cs="Times New Roman"/>
          <w:color w:val="000000" w:themeColor="text1"/>
          <w:szCs w:val="24"/>
        </w:rPr>
        <w:t xml:space="preserve">Stakeholders highlight widespread financial distress within the sector. A majority of proprietors report difficulty meeting sales targets, while suppliers face delayed payments, reflecting strained cash flows. Financial institutions have also observed rising non-performing loans, signaling increased default risks linked to declining revenues. Existing studies have identified factors such as poor inventory management but often focus on broader sectors or isolated WCM components, leaving significant </w:t>
      </w:r>
      <w:r w:rsidR="00E72399">
        <w:rPr>
          <w:rFonts w:cs="Times New Roman"/>
          <w:color w:val="000000" w:themeColor="text1"/>
          <w:szCs w:val="24"/>
        </w:rPr>
        <w:t>conceptual and contextual gaps.</w:t>
      </w:r>
    </w:p>
    <w:p w14:paraId="27FDC211" w14:textId="3A96729D" w:rsidR="00BD15A0" w:rsidRPr="00E72399" w:rsidRDefault="00453A95" w:rsidP="00E72399">
      <w:pPr>
        <w:spacing w:after="240" w:line="240" w:lineRule="auto"/>
        <w:rPr>
          <w:rFonts w:cs="Times New Roman"/>
          <w:b/>
          <w:szCs w:val="24"/>
        </w:rPr>
      </w:pPr>
      <w:r w:rsidRPr="00E72399">
        <w:rPr>
          <w:rFonts w:cs="Times New Roman"/>
          <w:color w:val="000000" w:themeColor="text1"/>
          <w:szCs w:val="24"/>
        </w:rPr>
        <w:t>Notably, there is limited comprehensive research examining how integrated WCM practices—such as cash, inventory, and accounts payable management—collectively influence minimart performance. This gap underscores the need for a holistic analysis. Addressing it can provide actionable insights to improve financial management, inform policy interventions, and enhance the sustainability and growth of minimarts in Nairobi County.</w:t>
      </w:r>
      <w:r w:rsidR="00BD15A0" w:rsidRPr="00E72399">
        <w:rPr>
          <w:rFonts w:cs="Times New Roman"/>
          <w:b/>
          <w:szCs w:val="24"/>
        </w:rPr>
        <w:t xml:space="preserve"> </w:t>
      </w:r>
    </w:p>
    <w:p w14:paraId="7860FC20" w14:textId="564AFDA6" w:rsidR="00055D83" w:rsidRPr="00E72399" w:rsidRDefault="00055D83" w:rsidP="00E72399">
      <w:pPr>
        <w:spacing w:line="240" w:lineRule="auto"/>
        <w:rPr>
          <w:rFonts w:cs="Times New Roman"/>
          <w:b/>
          <w:bCs/>
          <w:color w:val="000000" w:themeColor="text1"/>
          <w:sz w:val="28"/>
          <w:szCs w:val="28"/>
        </w:rPr>
      </w:pPr>
      <w:r w:rsidRPr="00E72399">
        <w:rPr>
          <w:rFonts w:cs="Times New Roman"/>
          <w:b/>
          <w:bCs/>
          <w:color w:val="000000" w:themeColor="text1"/>
          <w:sz w:val="28"/>
          <w:szCs w:val="28"/>
        </w:rPr>
        <w:t>1.2 Research Objective</w:t>
      </w:r>
    </w:p>
    <w:p w14:paraId="3A006523" w14:textId="5EA02D88" w:rsidR="0054398C" w:rsidRPr="00E72399" w:rsidRDefault="00055D83" w:rsidP="00E72399">
      <w:pPr>
        <w:spacing w:line="240" w:lineRule="auto"/>
        <w:rPr>
          <w:rFonts w:cs="Times New Roman"/>
          <w:color w:val="000000" w:themeColor="text1"/>
          <w:szCs w:val="24"/>
        </w:rPr>
      </w:pPr>
      <w:r w:rsidRPr="00E72399">
        <w:rPr>
          <w:rFonts w:cs="Times New Roman"/>
          <w:color w:val="000000" w:themeColor="text1"/>
          <w:szCs w:val="24"/>
        </w:rPr>
        <w:t>This study was guided by the following general objective to:</w:t>
      </w:r>
      <w:r w:rsidR="00784B96" w:rsidRPr="00E72399">
        <w:rPr>
          <w:rFonts w:cs="Times New Roman"/>
          <w:color w:val="000000" w:themeColor="text1"/>
          <w:szCs w:val="24"/>
        </w:rPr>
        <w:t xml:space="preserve"> </w:t>
      </w:r>
      <w:r w:rsidR="007D0F3B" w:rsidRPr="00E72399">
        <w:rPr>
          <w:rFonts w:cs="Times New Roman"/>
          <w:color w:val="000000" w:themeColor="text1"/>
          <w:szCs w:val="24"/>
        </w:rPr>
        <w:t>investigate the effect of working capital management practices on financial health of minimarts in Nairobi County, Kenya</w:t>
      </w:r>
      <w:r w:rsidR="00D54CAA" w:rsidRPr="00E72399">
        <w:rPr>
          <w:rFonts w:cs="Times New Roman"/>
          <w:color w:val="000000" w:themeColor="text1"/>
          <w:szCs w:val="24"/>
        </w:rPr>
        <w:t>.</w:t>
      </w:r>
    </w:p>
    <w:p w14:paraId="6B071E8F" w14:textId="77777777" w:rsidR="00E448DE" w:rsidRPr="00E72399" w:rsidRDefault="0054398C" w:rsidP="00E72399">
      <w:pPr>
        <w:spacing w:line="240" w:lineRule="auto"/>
        <w:rPr>
          <w:rFonts w:cs="Times New Roman"/>
          <w:color w:val="000000" w:themeColor="text1"/>
          <w:szCs w:val="24"/>
        </w:rPr>
      </w:pPr>
      <w:r w:rsidRPr="00E72399">
        <w:rPr>
          <w:rFonts w:cs="Times New Roman"/>
          <w:color w:val="000000" w:themeColor="text1"/>
          <w:szCs w:val="24"/>
        </w:rPr>
        <w:t>Specific Objectives were to;</w:t>
      </w:r>
      <w:r w:rsidR="00784B96" w:rsidRPr="00E72399">
        <w:rPr>
          <w:rFonts w:cs="Times New Roman"/>
          <w:color w:val="000000" w:themeColor="text1"/>
          <w:szCs w:val="24"/>
        </w:rPr>
        <w:t xml:space="preserve"> </w:t>
      </w:r>
    </w:p>
    <w:p w14:paraId="4F35E482" w14:textId="17E46A51" w:rsidR="007D0F3B" w:rsidRPr="00E72399" w:rsidRDefault="007D0F3B" w:rsidP="00E72399">
      <w:pPr>
        <w:pStyle w:val="ListParagraph"/>
        <w:numPr>
          <w:ilvl w:val="0"/>
          <w:numId w:val="24"/>
        </w:numPr>
        <w:shd w:val="clear" w:color="auto" w:fill="FFFFFF"/>
        <w:spacing w:before="0" w:line="276" w:lineRule="auto"/>
        <w:rPr>
          <w:rFonts w:ascii="Times New Roman" w:hAnsi="Times New Roman"/>
          <w:sz w:val="24"/>
          <w:szCs w:val="24"/>
        </w:rPr>
      </w:pPr>
      <w:r w:rsidRPr="00E72399">
        <w:rPr>
          <w:rFonts w:ascii="Times New Roman" w:hAnsi="Times New Roman"/>
          <w:sz w:val="24"/>
          <w:szCs w:val="24"/>
        </w:rPr>
        <w:t>To examine the effect of inventory management practices on financial health of minimarts in Nairobi County, Kenya.</w:t>
      </w:r>
    </w:p>
    <w:p w14:paraId="618C367A" w14:textId="01D39F9A" w:rsidR="007D0F3B" w:rsidRPr="00E72399" w:rsidRDefault="007D0F3B" w:rsidP="00E72399">
      <w:pPr>
        <w:pStyle w:val="ListParagraph"/>
        <w:numPr>
          <w:ilvl w:val="0"/>
          <w:numId w:val="24"/>
        </w:numPr>
        <w:shd w:val="clear" w:color="auto" w:fill="FFFFFF"/>
        <w:spacing w:before="0" w:line="276" w:lineRule="auto"/>
        <w:rPr>
          <w:rFonts w:ascii="Times New Roman" w:hAnsi="Times New Roman"/>
          <w:sz w:val="24"/>
          <w:szCs w:val="24"/>
        </w:rPr>
      </w:pPr>
      <w:r w:rsidRPr="00E72399">
        <w:rPr>
          <w:rFonts w:ascii="Times New Roman" w:hAnsi="Times New Roman"/>
          <w:sz w:val="24"/>
          <w:szCs w:val="24"/>
        </w:rPr>
        <w:t>To assess the effect of cash management practices on financial health of minimarts in Nairobi County, Kenya.</w:t>
      </w:r>
    </w:p>
    <w:p w14:paraId="03DEEE1C" w14:textId="423EBAF9" w:rsidR="002A562C" w:rsidRPr="00E72399" w:rsidRDefault="007D0F3B" w:rsidP="00E72399">
      <w:pPr>
        <w:pStyle w:val="ListParagraph"/>
        <w:numPr>
          <w:ilvl w:val="0"/>
          <w:numId w:val="24"/>
        </w:numPr>
        <w:shd w:val="clear" w:color="auto" w:fill="FFFFFF"/>
        <w:spacing w:before="0" w:line="276" w:lineRule="auto"/>
        <w:rPr>
          <w:rFonts w:ascii="Times New Roman" w:hAnsi="Times New Roman"/>
          <w:sz w:val="24"/>
          <w:szCs w:val="24"/>
        </w:rPr>
      </w:pPr>
      <w:r w:rsidRPr="00E72399">
        <w:rPr>
          <w:rFonts w:ascii="Times New Roman" w:hAnsi="Times New Roman"/>
          <w:sz w:val="24"/>
          <w:szCs w:val="24"/>
        </w:rPr>
        <w:t>To evaluate the effect of accounts payable management practices on financial health of minimarts in Nairobi County, Kenya.</w:t>
      </w:r>
    </w:p>
    <w:p w14:paraId="735DE55F" w14:textId="77777777" w:rsidR="00B62CA4" w:rsidRPr="00E72399" w:rsidRDefault="00B62CA4" w:rsidP="00E72399">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p>
    <w:p w14:paraId="60555E06" w14:textId="5170E715" w:rsidR="00055D83" w:rsidRPr="00E72399" w:rsidRDefault="00055D83" w:rsidP="00E72399">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E72399">
        <w:rPr>
          <w:rFonts w:ascii="Times New Roman" w:hAnsi="Times New Roman"/>
          <w:b/>
          <w:color w:val="000000" w:themeColor="text1"/>
          <w:sz w:val="28"/>
          <w:szCs w:val="28"/>
          <w:lang w:val="en-GB"/>
        </w:rPr>
        <w:t xml:space="preserve">2.0 LITERATURE REVIEW  </w:t>
      </w:r>
    </w:p>
    <w:p w14:paraId="4C3C6749" w14:textId="7BC37AB6" w:rsidR="00B62CA4" w:rsidRPr="00E72399" w:rsidRDefault="008B0097" w:rsidP="00E72399">
      <w:pPr>
        <w:spacing w:before="0" w:after="160" w:line="259" w:lineRule="auto"/>
        <w:rPr>
          <w:rFonts w:cs="Times New Roman"/>
          <w:b/>
          <w:bCs/>
          <w:i/>
          <w:color w:val="000000" w:themeColor="text1"/>
          <w:kern w:val="2"/>
          <w:szCs w:val="24"/>
          <w:lang w:val="en-GB"/>
        </w:rPr>
      </w:pPr>
      <w:r w:rsidRPr="00E72399">
        <w:rPr>
          <w:rFonts w:cs="Times New Roman"/>
          <w:b/>
          <w:bCs/>
          <w:i/>
          <w:color w:val="000000" w:themeColor="text1"/>
          <w:kern w:val="2"/>
          <w:szCs w:val="24"/>
          <w:lang w:val="en-GB"/>
        </w:rPr>
        <w:t>Theoretical Literature</w:t>
      </w:r>
    </w:p>
    <w:p w14:paraId="4A96F509" w14:textId="0C0EF9F6" w:rsidR="00B62CA4" w:rsidRPr="00E72399" w:rsidRDefault="00B62CA4" w:rsidP="00E72399">
      <w:pPr>
        <w:spacing w:before="0" w:after="160" w:line="259" w:lineRule="auto"/>
        <w:rPr>
          <w:rFonts w:cs="Times New Roman"/>
          <w:bCs/>
          <w:color w:val="000000" w:themeColor="text1"/>
          <w:kern w:val="2"/>
          <w:szCs w:val="24"/>
          <w:lang w:val="en-GB"/>
        </w:rPr>
      </w:pPr>
      <w:r w:rsidRPr="00E72399">
        <w:rPr>
          <w:rFonts w:cs="Times New Roman"/>
          <w:bCs/>
          <w:color w:val="000000" w:themeColor="text1"/>
          <w:kern w:val="2"/>
          <w:szCs w:val="24"/>
          <w:lang w:val="en-GB"/>
        </w:rPr>
        <w:t>This section reviews the key theories underpinning the study by explaining the conceptualization and interrelationships of working capital management constructs. The discussion is anchored on the Cash Conversion Cycle Theory, Operating Cycle Theory, and Trade Credit Theory.</w:t>
      </w:r>
    </w:p>
    <w:p w14:paraId="5C57C3A2" w14:textId="3256A901" w:rsidR="00B62CA4" w:rsidRPr="00E72399" w:rsidRDefault="00B62CA4" w:rsidP="00E72399">
      <w:pPr>
        <w:spacing w:before="0" w:after="160" w:line="259" w:lineRule="auto"/>
        <w:rPr>
          <w:rFonts w:cs="Times New Roman"/>
          <w:bCs/>
          <w:color w:val="000000" w:themeColor="text1"/>
          <w:kern w:val="2"/>
          <w:szCs w:val="24"/>
          <w:lang w:val="en-GB"/>
        </w:rPr>
      </w:pPr>
      <w:r w:rsidRPr="00E72399">
        <w:rPr>
          <w:rFonts w:cs="Times New Roman"/>
          <w:bCs/>
          <w:color w:val="000000" w:themeColor="text1"/>
          <w:kern w:val="2"/>
          <w:szCs w:val="24"/>
          <w:lang w:val="en-GB"/>
        </w:rPr>
        <w:t xml:space="preserve">The Cash Conversion Cycle (CCC) Theory, developed by Richards and Laughlin (1980), explains the time lag between cash outflows for purchases and cash inflows from sales. It highlights how efficiently a firm manages its working capital components—inventory, receivables, payables, and cash. In the context of minimarts, the CCC captures the duration taken to sell inventory, collect payments from customers, and settle supplier obligations. A shorter CCC indicates improved liquidity and profitability, as firms recover cash faster. The theory also emphasizes the role of inventory turnover in enhancing cash flow and financial sustainability. However, critics argue that firms do not always follow the theoretical financing hierarchy, limiting its universal applicability. Despite this, CCC remains relevant as it provides a comprehensive framework for evaluating working capital efficiency, especially in financially constrained environments </w:t>
      </w:r>
      <w:r w:rsidR="00E72399">
        <w:rPr>
          <w:rFonts w:cs="Times New Roman"/>
          <w:bCs/>
          <w:color w:val="000000" w:themeColor="text1"/>
          <w:kern w:val="2"/>
          <w:szCs w:val="24"/>
          <w:lang w:val="en-GB"/>
        </w:rPr>
        <w:t>like Nairobi’s minimart sector.</w:t>
      </w:r>
    </w:p>
    <w:p w14:paraId="42BED8EC" w14:textId="5DF8BD93" w:rsidR="00B62CA4" w:rsidRPr="00E72399" w:rsidRDefault="00B62CA4" w:rsidP="00E72399">
      <w:pPr>
        <w:spacing w:before="0" w:after="160" w:line="259" w:lineRule="auto"/>
        <w:rPr>
          <w:rFonts w:cs="Times New Roman"/>
          <w:bCs/>
          <w:color w:val="000000" w:themeColor="text1"/>
          <w:kern w:val="2"/>
          <w:szCs w:val="24"/>
          <w:lang w:val="en-GB"/>
        </w:rPr>
      </w:pPr>
      <w:r w:rsidRPr="00E72399">
        <w:rPr>
          <w:rFonts w:cs="Times New Roman"/>
          <w:bCs/>
          <w:color w:val="000000" w:themeColor="text1"/>
          <w:kern w:val="2"/>
          <w:szCs w:val="24"/>
          <w:lang w:val="en-GB"/>
        </w:rPr>
        <w:lastRenderedPageBreak/>
        <w:t>The Operating Cycle Theory extends the CCC by providing a broader perspective on the flow of resources through business operations. It focuses on inventory turnover, receivables collection, and payables management as key determinants of operational efficiency. The theory posits that faster conversion of inventory into sales improves firm performance. This is particularly significant for minimarts dealing with perishable goods and limited storage capacity, where slow inventory turnover can lead to losses. The theory supports the idea that improving each component of the operating cycle enhances overall business performance, making it highly applicable in competitive</w:t>
      </w:r>
      <w:r w:rsidR="00E72399">
        <w:rPr>
          <w:rFonts w:cs="Times New Roman"/>
          <w:bCs/>
          <w:color w:val="000000" w:themeColor="text1"/>
          <w:kern w:val="2"/>
          <w:szCs w:val="24"/>
          <w:lang w:val="en-GB"/>
        </w:rPr>
        <w:t xml:space="preserve"> and resource-limited settings.</w:t>
      </w:r>
    </w:p>
    <w:p w14:paraId="6C213BBC" w14:textId="0FF7D62F" w:rsidR="00B449E1" w:rsidRPr="00E72399" w:rsidRDefault="00B62CA4" w:rsidP="00E72399">
      <w:pPr>
        <w:spacing w:before="0" w:after="160" w:line="259" w:lineRule="auto"/>
        <w:rPr>
          <w:rFonts w:cs="Times New Roman"/>
          <w:bCs/>
          <w:color w:val="000000" w:themeColor="text1"/>
          <w:szCs w:val="24"/>
        </w:rPr>
      </w:pPr>
      <w:r w:rsidRPr="00E72399">
        <w:rPr>
          <w:rFonts w:cs="Times New Roman"/>
          <w:bCs/>
          <w:color w:val="000000" w:themeColor="text1"/>
          <w:kern w:val="2"/>
          <w:szCs w:val="24"/>
          <w:lang w:val="en-GB"/>
        </w:rPr>
        <w:t>The Trade Credit Theory, advanced by Emery (1984), focuses on the role of supplier credit in business financing. It suggests that firms may rely on trade credit even when alternative financing options exist. For minimarts with limited access to formal credit, trade credit serves as a crucial short-term financing mechanism. It enables businesses to manage cash flow effectively by delaying payments while maintaining operations. Overall, the theory highlights the importance of accounts payable management in sustaining liquidity and operational continuity.</w:t>
      </w:r>
    </w:p>
    <w:p w14:paraId="35FE4791" w14:textId="691EE341" w:rsidR="00B62CA4" w:rsidRPr="00E72399" w:rsidRDefault="00E0554F" w:rsidP="00E72399">
      <w:pPr>
        <w:spacing w:before="0" w:after="160" w:line="259" w:lineRule="auto"/>
        <w:rPr>
          <w:rFonts w:cs="Times New Roman"/>
          <w:b/>
          <w:bCs/>
          <w:color w:val="000000" w:themeColor="text1"/>
          <w:sz w:val="28"/>
          <w:szCs w:val="28"/>
        </w:rPr>
      </w:pPr>
      <w:r w:rsidRPr="00E72399">
        <w:rPr>
          <w:rFonts w:cs="Times New Roman"/>
          <w:b/>
          <w:bCs/>
          <w:color w:val="000000" w:themeColor="text1"/>
          <w:sz w:val="28"/>
          <w:szCs w:val="28"/>
        </w:rPr>
        <w:t xml:space="preserve">2.1 </w:t>
      </w:r>
      <w:r w:rsidR="00CB6E82" w:rsidRPr="00E72399">
        <w:rPr>
          <w:rFonts w:cs="Times New Roman"/>
          <w:b/>
          <w:bCs/>
          <w:color w:val="000000" w:themeColor="text1"/>
          <w:sz w:val="28"/>
          <w:szCs w:val="28"/>
        </w:rPr>
        <w:t>Empirical Review</w:t>
      </w:r>
    </w:p>
    <w:p w14:paraId="45B50924" w14:textId="494CF4FE"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This section reviews empirical literature related to the study objectives, drawing on global, regional, and local evidence on working capital management practices and financial health. It also highlights key research gaps that justify the current study.</w:t>
      </w:r>
    </w:p>
    <w:p w14:paraId="403ADB21" w14:textId="1CD33648"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Empirical studies consistently demonstrate that effective inventory management plays a critical role in enhancing financial health. Mwangi et al. (2019), in a survey of 291 manufacturing SMEs in Kenya, established a positive relationship between inventory management practices and financial performance. Techniques such as Just-In-Time (JIT) and Economic Order Quantity (EOQ) were found to significantly improve profitability and liquidity. However, the study’s focus on manufacturing SMEs limits its applicability to retail minimarts.</w:t>
      </w:r>
    </w:p>
    <w:p w14:paraId="5B204EE5" w14:textId="55A25B5C"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Similarly, Njiru and Asumani (2022) examined supermarkets in Nairobi County and found that computerized inventory systems and regular stock-taking were strongly associated with improved profitability and stock turnover. Despite its relevance to retail, the study largely focused on larger supermarkets, which differ operationally from minimarts.</w:t>
      </w:r>
    </w:p>
    <w:p w14:paraId="2B618EA4" w14:textId="4A0DAC56"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 xml:space="preserve">From a global perspective, Pais and Gama (2019) analyzed 6,063 SMEs in Portugal and concluded that efficient inventory management, particularly reducing inventory conversion periods, enhances profitability. However, contextual differences limit direct application to Nairobi. </w:t>
      </w:r>
      <w:proofErr w:type="spellStart"/>
      <w:r w:rsidRPr="00E72399">
        <w:rPr>
          <w:rFonts w:cs="Times New Roman"/>
          <w:color w:val="000000" w:themeColor="text1"/>
          <w:szCs w:val="24"/>
        </w:rPr>
        <w:t>Mathuva</w:t>
      </w:r>
      <w:proofErr w:type="spellEnd"/>
      <w:r w:rsidRPr="00E72399">
        <w:rPr>
          <w:rFonts w:cs="Times New Roman"/>
          <w:color w:val="000000" w:themeColor="text1"/>
          <w:szCs w:val="24"/>
        </w:rPr>
        <w:t xml:space="preserve"> (2015), studying NSE-listed firms, also found that maintaining optimal stock levels prevents disruptions and improves profitability, though the focus on large firms reduces relevance to small retailers. Overall, these studies affirm the importance of inventory control in financial performance. However, there is limited research specifically addressing the unique inventory management challenges faced by minimarts in Nairobi County.</w:t>
      </w:r>
    </w:p>
    <w:p w14:paraId="0BD6829E" w14:textId="42A435DF"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The literature also highlights the significance of cash management practices in determining financial health. Lucas et al. (2022), studying poultry hatcheries in Kolkata, found that poor cash handling and lack of record-keeping hindered business performance, with no significant link observed between cash management and turnover. This suggests contextual and methodological limitations.</w:t>
      </w:r>
    </w:p>
    <w:p w14:paraId="060289EE" w14:textId="488C3521"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 xml:space="preserve">In contrast, Muthini and </w:t>
      </w:r>
      <w:proofErr w:type="spellStart"/>
      <w:r w:rsidRPr="00E72399">
        <w:rPr>
          <w:rFonts w:cs="Times New Roman"/>
          <w:color w:val="000000" w:themeColor="text1"/>
          <w:szCs w:val="24"/>
        </w:rPr>
        <w:t>Mandewa</w:t>
      </w:r>
      <w:proofErr w:type="spellEnd"/>
      <w:r w:rsidRPr="00E72399">
        <w:rPr>
          <w:rFonts w:cs="Times New Roman"/>
          <w:color w:val="000000" w:themeColor="text1"/>
          <w:szCs w:val="24"/>
        </w:rPr>
        <w:t xml:space="preserve"> (2019), in a study of retail SMEs in Machakos, found that effective cash management practices such as cash budgeting and monitoring significantly improved profitability and liquidity. Similarly, </w:t>
      </w:r>
      <w:proofErr w:type="spellStart"/>
      <w:r w:rsidRPr="00E72399">
        <w:rPr>
          <w:rFonts w:cs="Times New Roman"/>
          <w:color w:val="000000" w:themeColor="text1"/>
          <w:szCs w:val="24"/>
        </w:rPr>
        <w:t>Ndega</w:t>
      </w:r>
      <w:proofErr w:type="spellEnd"/>
      <w:r w:rsidRPr="00E72399">
        <w:rPr>
          <w:rFonts w:cs="Times New Roman"/>
          <w:color w:val="000000" w:themeColor="text1"/>
          <w:szCs w:val="24"/>
        </w:rPr>
        <w:t xml:space="preserve"> et al. (2021), in Nairobi, established that cash planning, surplus investment, and control practices positively influenced financial health indicators, including profitability and working capital ratios. However, both studies focused broadly on SMEs, potentially overlooking the specific dynamics of minimarts.</w:t>
      </w:r>
    </w:p>
    <w:p w14:paraId="76433369" w14:textId="67BEC88F"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lastRenderedPageBreak/>
        <w:t xml:space="preserve">Regionally, </w:t>
      </w:r>
      <w:proofErr w:type="spellStart"/>
      <w:r w:rsidRPr="00E72399">
        <w:rPr>
          <w:rFonts w:cs="Times New Roman"/>
          <w:color w:val="000000" w:themeColor="text1"/>
          <w:szCs w:val="24"/>
        </w:rPr>
        <w:t>Akinyomi</w:t>
      </w:r>
      <w:proofErr w:type="spellEnd"/>
      <w:r w:rsidRPr="00E72399">
        <w:rPr>
          <w:rFonts w:cs="Times New Roman"/>
          <w:color w:val="000000" w:themeColor="text1"/>
          <w:szCs w:val="24"/>
        </w:rPr>
        <w:t xml:space="preserve"> (2018) found that efficient cash management, particularly through optimizing cash conversion cycles, improved profitability in Nigerian manufacturing firms. Shikuku and Ondieki (2020) also reported that SMEs in Eldoret using sound cash management practices exhibited stronger liquidity and financial stability. Despite these insights, variations in context, sector, and scale limit their direct applicability to Nairobi minimarts.</w:t>
      </w:r>
    </w:p>
    <w:p w14:paraId="64F3830E" w14:textId="05A38BD7"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Collectively, these studies emphasize that effective cash management enhances liquidity, profitability, and stability. Nonetheless, there remains a notable gap in research focusing on the specific cash management challenges and financial outcomes of minimarts in Nairobi County.</w:t>
      </w:r>
    </w:p>
    <w:p w14:paraId="74DF7C4D" w14:textId="2839D58C"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Empirical evidence on accounts payable management indicates its influence on financial health, though studies focusing on small retail businesses are limited. Bira and Habiba (2018) found a negative relationship between accounts payable periods and profitability among listed manufacturing and construction firms in Kenya, suggesting that excessive delays in supplier payments may harm financial performance. However, the focus on large firms limits relevance to minimarts.</w:t>
      </w:r>
    </w:p>
    <w:p w14:paraId="5E19471C" w14:textId="1BCF4D44" w:rsidR="00B62CA4"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 xml:space="preserve">Uche et al. (2020), studying SMEs in Nigeria, concluded that efficient accounts payable management improves liquidity and working capital, thereby enhancing financial health. Similarly, </w:t>
      </w:r>
      <w:proofErr w:type="spellStart"/>
      <w:r w:rsidRPr="00E72399">
        <w:rPr>
          <w:rFonts w:cs="Times New Roman"/>
          <w:color w:val="000000" w:themeColor="text1"/>
          <w:szCs w:val="24"/>
        </w:rPr>
        <w:t>Mathuva</w:t>
      </w:r>
      <w:proofErr w:type="spellEnd"/>
      <w:r w:rsidRPr="00E72399">
        <w:rPr>
          <w:rFonts w:cs="Times New Roman"/>
          <w:color w:val="000000" w:themeColor="text1"/>
          <w:szCs w:val="24"/>
        </w:rPr>
        <w:t xml:space="preserve"> (2015) suggested that strategic delay of payments could increase profitability, though again within the context of large firms.</w:t>
      </w:r>
    </w:p>
    <w:p w14:paraId="1211445F" w14:textId="10D0A7BC" w:rsidR="00CB6E82" w:rsidRPr="00E72399" w:rsidRDefault="00B62CA4" w:rsidP="00E72399">
      <w:pPr>
        <w:spacing w:before="0" w:after="160" w:line="259" w:lineRule="auto"/>
        <w:rPr>
          <w:rFonts w:cs="Times New Roman"/>
          <w:color w:val="000000" w:themeColor="text1"/>
          <w:szCs w:val="24"/>
        </w:rPr>
      </w:pPr>
      <w:r w:rsidRPr="00E72399">
        <w:rPr>
          <w:rFonts w:cs="Times New Roman"/>
          <w:color w:val="000000" w:themeColor="text1"/>
          <w:szCs w:val="24"/>
        </w:rPr>
        <w:t>Despite these findings, most studies rely on profitability as a proxy for financial health and rarely examine broader indicators such as liquidity, solvency, and stability. Furthermore, there is a clear lack of research specifically addressing accounts payable practices among minimarts in Nairobi, while existing literature underscores the importance of inventory, cash, and accounts payable management in enhancing financial health, significant contextual and conceptual gaps persist. These include limited focus on small retail enterprises, particularly minimarts, and insufficient examination of comprehensive financial health indicators. This justifies the need for the current study to provide context-specific insights into minimarts in Nairobi County.</w:t>
      </w:r>
    </w:p>
    <w:p w14:paraId="35BCEF5F" w14:textId="1EFB8069" w:rsidR="00055D83" w:rsidRPr="00E72399" w:rsidRDefault="00055D83" w:rsidP="00E72399">
      <w:pPr>
        <w:spacing w:line="240" w:lineRule="auto"/>
        <w:rPr>
          <w:rFonts w:cs="Times New Roman"/>
          <w:b/>
          <w:bCs/>
          <w:color w:val="000000" w:themeColor="text1"/>
          <w:sz w:val="28"/>
          <w:szCs w:val="28"/>
        </w:rPr>
      </w:pPr>
      <w:r w:rsidRPr="00E72399">
        <w:rPr>
          <w:rFonts w:cs="Times New Roman"/>
          <w:b/>
          <w:bCs/>
          <w:color w:val="000000" w:themeColor="text1"/>
          <w:sz w:val="28"/>
          <w:szCs w:val="28"/>
        </w:rPr>
        <w:t>3.0 RESEARCH METHODOLOGY</w:t>
      </w:r>
    </w:p>
    <w:p w14:paraId="5BBFB87F" w14:textId="1DC3879E" w:rsidR="00074FB4" w:rsidRPr="00E72399" w:rsidRDefault="00074FB4" w:rsidP="00E72399">
      <w:pPr>
        <w:spacing w:after="160" w:line="259" w:lineRule="auto"/>
        <w:rPr>
          <w:rFonts w:cs="Times New Roman"/>
          <w:color w:val="000000" w:themeColor="text1"/>
          <w:szCs w:val="24"/>
        </w:rPr>
      </w:pPr>
      <w:r w:rsidRPr="00E72399">
        <w:rPr>
          <w:rFonts w:cs="Times New Roman"/>
          <w:color w:val="000000" w:themeColor="text1"/>
          <w:szCs w:val="24"/>
        </w:rPr>
        <w:t>The study adopted a descriptive research design supported by a quantitative methodology to systematically examine the relationship between working capital management (WCM) practices and the financial health of minimarts in Nairobi County. A descriptive design was considered appropriate because it enables an in-depth assessment of the current state of phenomena, while the quantitative approach facilitates the collection and analysis of numerical data for objective hypothesis testing. This combination allowed the researcher to identify patterns, similarities, and differences in WCM practices—specifically inventory, cash, and accounts payable management—and to establish their influence on financial health indicators. Consequently, the design provided a solid empirical basis for recommending strategies t</w:t>
      </w:r>
      <w:r w:rsidR="00E72399">
        <w:rPr>
          <w:rFonts w:cs="Times New Roman"/>
          <w:color w:val="000000" w:themeColor="text1"/>
          <w:szCs w:val="24"/>
        </w:rPr>
        <w:t>o enhance minimart performance.</w:t>
      </w:r>
    </w:p>
    <w:p w14:paraId="0D502036" w14:textId="2D63318F" w:rsidR="00074FB4" w:rsidRPr="00E72399" w:rsidRDefault="00074FB4" w:rsidP="00E72399">
      <w:pPr>
        <w:spacing w:after="160" w:line="259" w:lineRule="auto"/>
        <w:rPr>
          <w:rFonts w:cs="Times New Roman"/>
          <w:color w:val="000000" w:themeColor="text1"/>
          <w:szCs w:val="24"/>
        </w:rPr>
      </w:pPr>
      <w:r w:rsidRPr="00E72399">
        <w:rPr>
          <w:rFonts w:cs="Times New Roman"/>
          <w:color w:val="000000" w:themeColor="text1"/>
          <w:szCs w:val="24"/>
        </w:rPr>
        <w:t xml:space="preserve">The target population comprised 2,500 licensed minimarts operating within Nairobi County, based on 2024 records from the county government. These minimarts were defined as physical retail outlets operating under a self-service model and offering everyday consumer goods. Nairobi County was selected due to its role as Kenya’s economic hub, characterized by a highly competitive and diverse retail environment. The minimarts are distributed across several sub-counties, including </w:t>
      </w:r>
      <w:proofErr w:type="spellStart"/>
      <w:r w:rsidRPr="00E72399">
        <w:rPr>
          <w:rFonts w:cs="Times New Roman"/>
          <w:color w:val="000000" w:themeColor="text1"/>
          <w:szCs w:val="24"/>
        </w:rPr>
        <w:t>Westlands</w:t>
      </w:r>
      <w:proofErr w:type="spellEnd"/>
      <w:r w:rsidRPr="00E72399">
        <w:rPr>
          <w:rFonts w:cs="Times New Roman"/>
          <w:color w:val="000000" w:themeColor="text1"/>
          <w:szCs w:val="24"/>
        </w:rPr>
        <w:t xml:space="preserve">, </w:t>
      </w:r>
      <w:proofErr w:type="spellStart"/>
      <w:r w:rsidRPr="00E72399">
        <w:rPr>
          <w:rFonts w:cs="Times New Roman"/>
          <w:color w:val="000000" w:themeColor="text1"/>
          <w:szCs w:val="24"/>
        </w:rPr>
        <w:t>Dagoretti</w:t>
      </w:r>
      <w:proofErr w:type="spellEnd"/>
      <w:r w:rsidRPr="00E72399">
        <w:rPr>
          <w:rFonts w:cs="Times New Roman"/>
          <w:color w:val="000000" w:themeColor="text1"/>
          <w:szCs w:val="24"/>
        </w:rPr>
        <w:t xml:space="preserve">, Kasarani, Langata, </w:t>
      </w:r>
      <w:proofErr w:type="spellStart"/>
      <w:r w:rsidRPr="00E72399">
        <w:rPr>
          <w:rFonts w:cs="Times New Roman"/>
          <w:color w:val="000000" w:themeColor="text1"/>
          <w:szCs w:val="24"/>
        </w:rPr>
        <w:t>Kamukunji</w:t>
      </w:r>
      <w:proofErr w:type="spellEnd"/>
      <w:r w:rsidRPr="00E72399">
        <w:rPr>
          <w:rFonts w:cs="Times New Roman"/>
          <w:color w:val="000000" w:themeColor="text1"/>
          <w:szCs w:val="24"/>
        </w:rPr>
        <w:t xml:space="preserve">, Embakasi, Njiru, </w:t>
      </w:r>
      <w:proofErr w:type="spellStart"/>
      <w:r w:rsidRPr="00E72399">
        <w:rPr>
          <w:rFonts w:cs="Times New Roman"/>
          <w:color w:val="000000" w:themeColor="text1"/>
          <w:szCs w:val="24"/>
        </w:rPr>
        <w:t>Makadara</w:t>
      </w:r>
      <w:proofErr w:type="spellEnd"/>
      <w:r w:rsidRPr="00E72399">
        <w:rPr>
          <w:rFonts w:cs="Times New Roman"/>
          <w:color w:val="000000" w:themeColor="text1"/>
          <w:szCs w:val="24"/>
        </w:rPr>
        <w:t xml:space="preserve">, </w:t>
      </w:r>
      <w:proofErr w:type="spellStart"/>
      <w:r w:rsidRPr="00E72399">
        <w:rPr>
          <w:rFonts w:cs="Times New Roman"/>
          <w:color w:val="000000" w:themeColor="text1"/>
          <w:szCs w:val="24"/>
        </w:rPr>
        <w:t>Starehe</w:t>
      </w:r>
      <w:proofErr w:type="spellEnd"/>
      <w:r w:rsidRPr="00E72399">
        <w:rPr>
          <w:rFonts w:cs="Times New Roman"/>
          <w:color w:val="000000" w:themeColor="text1"/>
          <w:szCs w:val="24"/>
        </w:rPr>
        <w:t xml:space="preserve">, and </w:t>
      </w:r>
      <w:proofErr w:type="spellStart"/>
      <w:r w:rsidRPr="00E72399">
        <w:rPr>
          <w:rFonts w:cs="Times New Roman"/>
          <w:color w:val="000000" w:themeColor="text1"/>
          <w:szCs w:val="24"/>
        </w:rPr>
        <w:t>Mathare</w:t>
      </w:r>
      <w:proofErr w:type="spellEnd"/>
      <w:r w:rsidRPr="00E72399">
        <w:rPr>
          <w:rFonts w:cs="Times New Roman"/>
          <w:color w:val="000000" w:themeColor="text1"/>
          <w:szCs w:val="24"/>
        </w:rPr>
        <w:t xml:space="preserve">, providing a comprehensive representation of urban </w:t>
      </w:r>
      <w:r w:rsidR="00E72399">
        <w:rPr>
          <w:rFonts w:cs="Times New Roman"/>
          <w:color w:val="000000" w:themeColor="text1"/>
          <w:szCs w:val="24"/>
        </w:rPr>
        <w:t>and peri-urban retail dynamics.</w:t>
      </w:r>
    </w:p>
    <w:p w14:paraId="04B0993B" w14:textId="670BAEA0" w:rsidR="00074FB4" w:rsidRPr="00E72399" w:rsidRDefault="00074FB4" w:rsidP="00E72399">
      <w:pPr>
        <w:spacing w:after="160" w:line="259" w:lineRule="auto"/>
        <w:rPr>
          <w:rFonts w:cs="Times New Roman"/>
          <w:color w:val="000000" w:themeColor="text1"/>
          <w:szCs w:val="24"/>
        </w:rPr>
      </w:pPr>
      <w:r w:rsidRPr="00E72399">
        <w:rPr>
          <w:rFonts w:cs="Times New Roman"/>
          <w:color w:val="000000" w:themeColor="text1"/>
          <w:szCs w:val="24"/>
        </w:rPr>
        <w:t xml:space="preserve">To ensure adequate representation, the study employed stratified random sampling, where minimarts were grouped according to administrative areas. A sample size of 375 minimarts, representing 15% of the population as recommended by Mugenda and Mugenda (2019), was selected. Each minimart constituted a unit of analysis, with </w:t>
      </w:r>
      <w:r w:rsidRPr="00E72399">
        <w:rPr>
          <w:rFonts w:cs="Times New Roman"/>
          <w:color w:val="000000" w:themeColor="text1"/>
          <w:szCs w:val="24"/>
        </w:rPr>
        <w:lastRenderedPageBreak/>
        <w:t xml:space="preserve">one respondent—preferably the owner, manager, or a knowledgeable senior staff member—participating in the study. This sampling approach enhanced representativeness and minimized selection </w:t>
      </w:r>
      <w:r w:rsidR="00E72399">
        <w:rPr>
          <w:rFonts w:cs="Times New Roman"/>
          <w:color w:val="000000" w:themeColor="text1"/>
          <w:szCs w:val="24"/>
        </w:rPr>
        <w:t>bias.</w:t>
      </w:r>
    </w:p>
    <w:p w14:paraId="58953C6A" w14:textId="13C47D4D" w:rsidR="00074FB4" w:rsidRPr="00E72399" w:rsidRDefault="00074FB4" w:rsidP="00E72399">
      <w:pPr>
        <w:spacing w:after="160" w:line="259" w:lineRule="auto"/>
        <w:rPr>
          <w:rFonts w:cs="Times New Roman"/>
          <w:color w:val="000000" w:themeColor="text1"/>
          <w:szCs w:val="24"/>
        </w:rPr>
      </w:pPr>
      <w:r w:rsidRPr="00E72399">
        <w:rPr>
          <w:rFonts w:cs="Times New Roman"/>
          <w:color w:val="000000" w:themeColor="text1"/>
          <w:szCs w:val="24"/>
        </w:rPr>
        <w:t>Data collection utilized both primary and secondary sources within a mixed-method framework. Primary data were gathered using structured questionnaires featuring closed-ended items on a five-point Likert scale, focusing on key WCM practices. The questionnaire was divided into sections aligned with the study’s specific objectives and was pretested to ensure clarity, reliability, and validity. Secondary data were collected using a data collection matrix, which extracted financial information such as sales growth, inventory levels, and accounts payable from minimarts’ financial records over a five-year period. The integration of these tools provided a comprehensive understanding of both managerial pr</w:t>
      </w:r>
      <w:r w:rsidR="00E72399">
        <w:rPr>
          <w:rFonts w:cs="Times New Roman"/>
          <w:color w:val="000000" w:themeColor="text1"/>
          <w:szCs w:val="24"/>
        </w:rPr>
        <w:t>actices and financial outcomes.</w:t>
      </w:r>
    </w:p>
    <w:p w14:paraId="37D36588" w14:textId="03BD13DB" w:rsidR="00074FB4" w:rsidRPr="00E72399" w:rsidRDefault="00074FB4" w:rsidP="00E72399">
      <w:pPr>
        <w:spacing w:after="160" w:line="259" w:lineRule="auto"/>
        <w:rPr>
          <w:rFonts w:cs="Times New Roman"/>
          <w:color w:val="000000" w:themeColor="text1"/>
          <w:szCs w:val="24"/>
        </w:rPr>
      </w:pPr>
      <w:r w:rsidRPr="00E72399">
        <w:rPr>
          <w:rFonts w:cs="Times New Roman"/>
          <w:color w:val="000000" w:themeColor="text1"/>
          <w:szCs w:val="24"/>
        </w:rPr>
        <w:t>The data collection procedure followed ethical and systematic protocols. After obtaining approval and a research permit from relevant authorities, the researcher contacted selected respondents to schedule appointments. Questionnaires were administered in person, and financial data were collected on-site in collaboration with respondents to ensure accuracy and confidentiality. Follow-ups were conducted to maximize response rates, and the entire process spanned approximately four weeks. All data were anonymized and securely stored to pr</w:t>
      </w:r>
      <w:r w:rsidR="00E72399">
        <w:rPr>
          <w:rFonts w:cs="Times New Roman"/>
          <w:color w:val="000000" w:themeColor="text1"/>
          <w:szCs w:val="24"/>
        </w:rPr>
        <w:t>otect participants’ identities.</w:t>
      </w:r>
    </w:p>
    <w:p w14:paraId="225FADA3" w14:textId="00386912" w:rsidR="00074FB4" w:rsidRPr="00E72399" w:rsidRDefault="00074FB4" w:rsidP="00E72399">
      <w:pPr>
        <w:spacing w:after="160" w:line="259" w:lineRule="auto"/>
        <w:rPr>
          <w:rFonts w:cs="Times New Roman"/>
          <w:color w:val="000000" w:themeColor="text1"/>
          <w:szCs w:val="24"/>
        </w:rPr>
      </w:pPr>
      <w:r w:rsidRPr="00E72399">
        <w:rPr>
          <w:rFonts w:cs="Times New Roman"/>
          <w:color w:val="000000" w:themeColor="text1"/>
          <w:szCs w:val="24"/>
        </w:rPr>
        <w:t xml:space="preserve">A pilot study involving 12 minimarts in </w:t>
      </w:r>
      <w:proofErr w:type="spellStart"/>
      <w:r w:rsidRPr="00E72399">
        <w:rPr>
          <w:rFonts w:cs="Times New Roman"/>
          <w:color w:val="000000" w:themeColor="text1"/>
          <w:szCs w:val="24"/>
        </w:rPr>
        <w:t>Dagoretti</w:t>
      </w:r>
      <w:proofErr w:type="spellEnd"/>
      <w:r w:rsidRPr="00E72399">
        <w:rPr>
          <w:rFonts w:cs="Times New Roman"/>
          <w:color w:val="000000" w:themeColor="text1"/>
          <w:szCs w:val="24"/>
        </w:rPr>
        <w:t xml:space="preserve"> was conducted to test the research instruments. Reliability was assessed using Cronbach’s alpha, with a threshold of 0.7 indicating acceptable internal consistency. Validity was ensured through content and construct validation, including expert review and careful alignment of questions with study objectives. Adjustments were made based on pilot findi</w:t>
      </w:r>
      <w:r w:rsidR="00E72399">
        <w:rPr>
          <w:rFonts w:cs="Times New Roman"/>
          <w:color w:val="000000" w:themeColor="text1"/>
          <w:szCs w:val="24"/>
        </w:rPr>
        <w:t>ngs to improve the instruments.</w:t>
      </w:r>
    </w:p>
    <w:p w14:paraId="2DC00706" w14:textId="433620B5" w:rsidR="00074FB4" w:rsidRPr="00E72399" w:rsidRDefault="00074FB4" w:rsidP="00E72399">
      <w:pPr>
        <w:spacing w:after="160" w:line="259" w:lineRule="auto"/>
        <w:rPr>
          <w:rFonts w:cs="Times New Roman"/>
          <w:color w:val="000000" w:themeColor="text1"/>
          <w:szCs w:val="24"/>
        </w:rPr>
      </w:pPr>
      <w:r w:rsidRPr="00E72399">
        <w:rPr>
          <w:rFonts w:cs="Times New Roman"/>
          <w:color w:val="000000" w:themeColor="text1"/>
          <w:szCs w:val="24"/>
        </w:rPr>
        <w:t>Prior to data analysis, diagnostic tests were conducted to verify the assumptions of multiple regression analysis. Normality of data was assessed using Shapiro-Wilk and Kolmogorov-Smirnov tests, while linearity was examined using the Ramsey RESET test. Homoscedasticity was evaluated through the Breusch-Pagan test, and multicollinearity was assessed using Variance Inflation Factor (VIF) and tolerance values. These tests ensured the robustness and relia</w:t>
      </w:r>
      <w:r w:rsidR="00E72399">
        <w:rPr>
          <w:rFonts w:cs="Times New Roman"/>
          <w:color w:val="000000" w:themeColor="text1"/>
          <w:szCs w:val="24"/>
        </w:rPr>
        <w:t>bility of the regression model.</w:t>
      </w:r>
    </w:p>
    <w:p w14:paraId="63C1CD62" w14:textId="44355096" w:rsidR="00074FB4" w:rsidRPr="00E72399" w:rsidRDefault="00074FB4" w:rsidP="00E72399">
      <w:pPr>
        <w:spacing w:after="160" w:line="259" w:lineRule="auto"/>
        <w:rPr>
          <w:rFonts w:cs="Times New Roman"/>
          <w:color w:val="000000" w:themeColor="text1"/>
          <w:szCs w:val="24"/>
        </w:rPr>
      </w:pPr>
      <w:r w:rsidRPr="00E72399">
        <w:rPr>
          <w:rFonts w:cs="Times New Roman"/>
          <w:color w:val="000000" w:themeColor="text1"/>
          <w:szCs w:val="24"/>
        </w:rPr>
        <w:t>Data analysis was performed using SPSS version 26. Descriptive statistics, including means, standard deviations, frequencies, and percentages, were used to summarize the data and identify trends. Inferential analysis, particularly multiple regression, was employed to test the relationship between WCM practices and financial health. The regression model specified financial health as the dependent variable, measured through a composite of financial ratios, while inventory, cash, and accounts payable management served as independent variables. The model enabled the assessment of the individual and combined effects of these prac</w:t>
      </w:r>
      <w:r w:rsidR="00E72399">
        <w:rPr>
          <w:rFonts w:cs="Times New Roman"/>
          <w:color w:val="000000" w:themeColor="text1"/>
          <w:szCs w:val="24"/>
        </w:rPr>
        <w:t>tices on financial performance.</w:t>
      </w:r>
    </w:p>
    <w:p w14:paraId="7C961926" w14:textId="6EF61552" w:rsidR="00B55CEF" w:rsidRPr="00E72399" w:rsidRDefault="00074FB4" w:rsidP="00E72399">
      <w:pPr>
        <w:spacing w:after="160" w:line="259" w:lineRule="auto"/>
        <w:rPr>
          <w:rFonts w:cs="Times New Roman"/>
          <w:color w:val="000000" w:themeColor="text1"/>
          <w:szCs w:val="24"/>
        </w:rPr>
      </w:pPr>
      <w:r w:rsidRPr="00E72399">
        <w:rPr>
          <w:rFonts w:cs="Times New Roman"/>
          <w:color w:val="000000" w:themeColor="text1"/>
          <w:szCs w:val="24"/>
        </w:rPr>
        <w:t>Finally, the study adhered to strict ethical standards throughout the research process. Informed consent was obtained from all participants, who were assured of confidentiality and anonymity. Participation was voluntary, and respondents were free to withdraw at any time. The research process was designed to minimize disruption to business operations, and participants were offered access to study findings for potential practical benefits. These measures ensured compliance with established ethical guidelines and safeguarded the rights and welfare of all participants.</w:t>
      </w:r>
    </w:p>
    <w:p w14:paraId="14C2E9C9" w14:textId="77975FA4" w:rsidR="00055D83" w:rsidRPr="00E72399" w:rsidRDefault="002B2D3C" w:rsidP="00E72399">
      <w:pPr>
        <w:spacing w:before="0"/>
        <w:rPr>
          <w:rFonts w:cs="Times New Roman"/>
          <w:b/>
          <w:bCs/>
          <w:color w:val="000000" w:themeColor="text1"/>
          <w:sz w:val="28"/>
          <w:szCs w:val="24"/>
        </w:rPr>
      </w:pPr>
      <w:r w:rsidRPr="00E72399">
        <w:rPr>
          <w:rFonts w:cs="Times New Roman"/>
          <w:b/>
          <w:bCs/>
          <w:color w:val="000000" w:themeColor="text1"/>
          <w:sz w:val="28"/>
          <w:szCs w:val="24"/>
        </w:rPr>
        <w:t xml:space="preserve">4.0 </w:t>
      </w:r>
      <w:r w:rsidR="00055D83" w:rsidRPr="00E72399">
        <w:rPr>
          <w:rFonts w:cs="Times New Roman"/>
          <w:b/>
          <w:bCs/>
          <w:color w:val="000000" w:themeColor="text1"/>
          <w:sz w:val="28"/>
          <w:szCs w:val="24"/>
        </w:rPr>
        <w:t>RESULTS AND DISCUSSION</w:t>
      </w:r>
    </w:p>
    <w:p w14:paraId="103AA50F" w14:textId="5F5EE6EC" w:rsidR="00337EA5" w:rsidRPr="00E72399" w:rsidRDefault="00337EA5" w:rsidP="00E72399">
      <w:pPr>
        <w:spacing w:before="0" w:after="100" w:afterAutospacing="1" w:line="240" w:lineRule="auto"/>
        <w:rPr>
          <w:rFonts w:eastAsia="Times New Roman" w:cs="Times New Roman"/>
          <w:b/>
          <w:color w:val="auto"/>
          <w:szCs w:val="24"/>
          <w14:ligatures w14:val="none"/>
        </w:rPr>
      </w:pPr>
      <w:r w:rsidRPr="00E72399">
        <w:rPr>
          <w:rFonts w:eastAsia="Times New Roman" w:cs="Times New Roman"/>
          <w:b/>
          <w:color w:val="auto"/>
          <w:szCs w:val="24"/>
          <w14:ligatures w14:val="none"/>
        </w:rPr>
        <w:t>Response rate</w:t>
      </w:r>
    </w:p>
    <w:p w14:paraId="2D2C06B5" w14:textId="627A7DD8" w:rsidR="000951D7" w:rsidRPr="000951D7" w:rsidRDefault="000951D7" w:rsidP="00E72399">
      <w:pPr>
        <w:spacing w:before="100" w:beforeAutospacing="1" w:after="100" w:afterAutospacing="1" w:line="240" w:lineRule="auto"/>
        <w:rPr>
          <w:rFonts w:eastAsia="Times New Roman" w:cs="Times New Roman"/>
          <w:color w:val="auto"/>
          <w:szCs w:val="24"/>
          <w14:ligatures w14:val="none"/>
        </w:rPr>
      </w:pPr>
      <w:r w:rsidRPr="000951D7">
        <w:rPr>
          <w:rFonts w:eastAsia="Times New Roman" w:cs="Times New Roman"/>
          <w:color w:val="auto"/>
          <w:szCs w:val="24"/>
          <w14:ligatures w14:val="none"/>
        </w:rPr>
        <w:lastRenderedPageBreak/>
        <w:t>The study administered 375 questionnaires to mini-mart managers across nine divisions in Nairobi County to examine working capital management practices and financial health. A high response rate of 89.8% (337) was achieved, indicating strong participation and data reliability. Only 10 (2.7%) were incomplete and 28 (7.5%) unreturned. This robust response enhances the credibility, representativeness, and generalizability of findings within Kenya’s mini-mart sector.</w:t>
      </w:r>
    </w:p>
    <w:p w14:paraId="0D0A25A6" w14:textId="5FAE7517" w:rsidR="000951D7" w:rsidRPr="000951D7" w:rsidRDefault="000951D7" w:rsidP="00E72399">
      <w:pPr>
        <w:spacing w:before="100" w:beforeAutospacing="1" w:after="100" w:afterAutospacing="1" w:line="240" w:lineRule="auto"/>
        <w:rPr>
          <w:rFonts w:eastAsia="Times New Roman" w:cs="Times New Roman"/>
          <w:color w:val="auto"/>
          <w:szCs w:val="24"/>
          <w14:ligatures w14:val="none"/>
        </w:rPr>
      </w:pPr>
      <w:r w:rsidRPr="00E72399">
        <w:rPr>
          <w:rFonts w:eastAsia="Times New Roman" w:cs="Times New Roman"/>
          <w:b/>
          <w:bCs/>
          <w:color w:val="auto"/>
          <w:szCs w:val="24"/>
          <w14:ligatures w14:val="none"/>
        </w:rPr>
        <w:t>Table 1: Questionnaire Response Rate Results</w:t>
      </w:r>
    </w:p>
    <w:tbl>
      <w:tblPr>
        <w:tblStyle w:val="TableGrid1"/>
        <w:tblW w:w="0" w:type="auto"/>
        <w:tblLook w:val="04A0" w:firstRow="1" w:lastRow="0" w:firstColumn="1" w:lastColumn="0" w:noHBand="0" w:noVBand="1"/>
      </w:tblPr>
      <w:tblGrid>
        <w:gridCol w:w="4495"/>
        <w:gridCol w:w="1310"/>
        <w:gridCol w:w="1349"/>
      </w:tblGrid>
      <w:tr w:rsidR="000951D7" w:rsidRPr="000951D7" w14:paraId="2E36EA33" w14:textId="77777777" w:rsidTr="000951D7">
        <w:tc>
          <w:tcPr>
            <w:tcW w:w="0" w:type="auto"/>
            <w:hideMark/>
          </w:tcPr>
          <w:p w14:paraId="59530740" w14:textId="77777777" w:rsidR="000951D7" w:rsidRPr="000951D7" w:rsidRDefault="000951D7" w:rsidP="00E72399">
            <w:pPr>
              <w:spacing w:before="0" w:line="240" w:lineRule="auto"/>
              <w:rPr>
                <w:rFonts w:eastAsia="Times New Roman" w:cs="Times New Roman"/>
                <w:b/>
                <w:bCs/>
                <w:color w:val="auto"/>
                <w:szCs w:val="24"/>
              </w:rPr>
            </w:pPr>
            <w:r w:rsidRPr="000951D7">
              <w:rPr>
                <w:rFonts w:eastAsia="Times New Roman" w:cs="Times New Roman"/>
                <w:b/>
                <w:bCs/>
                <w:color w:val="auto"/>
                <w:szCs w:val="24"/>
              </w:rPr>
              <w:t>Response Rate</w:t>
            </w:r>
          </w:p>
        </w:tc>
        <w:tc>
          <w:tcPr>
            <w:tcW w:w="0" w:type="auto"/>
            <w:hideMark/>
          </w:tcPr>
          <w:p w14:paraId="614A1A0F" w14:textId="77777777" w:rsidR="000951D7" w:rsidRPr="000951D7" w:rsidRDefault="000951D7" w:rsidP="00E72399">
            <w:pPr>
              <w:spacing w:before="0" w:line="240" w:lineRule="auto"/>
              <w:rPr>
                <w:rFonts w:eastAsia="Times New Roman" w:cs="Times New Roman"/>
                <w:b/>
                <w:bCs/>
                <w:color w:val="auto"/>
                <w:szCs w:val="24"/>
              </w:rPr>
            </w:pPr>
            <w:r w:rsidRPr="000951D7">
              <w:rPr>
                <w:rFonts w:eastAsia="Times New Roman" w:cs="Times New Roman"/>
                <w:b/>
                <w:bCs/>
                <w:color w:val="auto"/>
                <w:szCs w:val="24"/>
              </w:rPr>
              <w:t>Frequency</w:t>
            </w:r>
          </w:p>
        </w:tc>
        <w:tc>
          <w:tcPr>
            <w:tcW w:w="0" w:type="auto"/>
            <w:hideMark/>
          </w:tcPr>
          <w:p w14:paraId="72D69C4B" w14:textId="77777777" w:rsidR="000951D7" w:rsidRPr="000951D7" w:rsidRDefault="000951D7" w:rsidP="00E72399">
            <w:pPr>
              <w:spacing w:before="0" w:line="240" w:lineRule="auto"/>
              <w:rPr>
                <w:rFonts w:eastAsia="Times New Roman" w:cs="Times New Roman"/>
                <w:b/>
                <w:bCs/>
                <w:color w:val="auto"/>
                <w:szCs w:val="24"/>
              </w:rPr>
            </w:pPr>
            <w:r w:rsidRPr="000951D7">
              <w:rPr>
                <w:rFonts w:eastAsia="Times New Roman" w:cs="Times New Roman"/>
                <w:b/>
                <w:bCs/>
                <w:color w:val="auto"/>
                <w:szCs w:val="24"/>
              </w:rPr>
              <w:t>Percentage</w:t>
            </w:r>
          </w:p>
        </w:tc>
      </w:tr>
      <w:tr w:rsidR="000951D7" w:rsidRPr="000951D7" w14:paraId="688AE47A" w14:textId="77777777" w:rsidTr="000951D7">
        <w:tc>
          <w:tcPr>
            <w:tcW w:w="0" w:type="auto"/>
            <w:hideMark/>
          </w:tcPr>
          <w:p w14:paraId="0BC3713C"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Questionnaires administered</w:t>
            </w:r>
          </w:p>
        </w:tc>
        <w:tc>
          <w:tcPr>
            <w:tcW w:w="0" w:type="auto"/>
            <w:hideMark/>
          </w:tcPr>
          <w:p w14:paraId="63DBC1F1"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375</w:t>
            </w:r>
          </w:p>
        </w:tc>
        <w:tc>
          <w:tcPr>
            <w:tcW w:w="0" w:type="auto"/>
            <w:hideMark/>
          </w:tcPr>
          <w:p w14:paraId="00AC2EC5"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100.0%</w:t>
            </w:r>
          </w:p>
        </w:tc>
      </w:tr>
      <w:tr w:rsidR="000951D7" w:rsidRPr="000951D7" w14:paraId="104D8DED" w14:textId="77777777" w:rsidTr="000951D7">
        <w:tc>
          <w:tcPr>
            <w:tcW w:w="0" w:type="auto"/>
            <w:hideMark/>
          </w:tcPr>
          <w:p w14:paraId="336BFCE8"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Questionnaires returned and fully completed</w:t>
            </w:r>
          </w:p>
        </w:tc>
        <w:tc>
          <w:tcPr>
            <w:tcW w:w="0" w:type="auto"/>
            <w:hideMark/>
          </w:tcPr>
          <w:p w14:paraId="50D21464"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337</w:t>
            </w:r>
          </w:p>
        </w:tc>
        <w:tc>
          <w:tcPr>
            <w:tcW w:w="0" w:type="auto"/>
            <w:hideMark/>
          </w:tcPr>
          <w:p w14:paraId="26651E71"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89.8%</w:t>
            </w:r>
          </w:p>
        </w:tc>
      </w:tr>
      <w:tr w:rsidR="000951D7" w:rsidRPr="000951D7" w14:paraId="7B2BA87A" w14:textId="77777777" w:rsidTr="000951D7">
        <w:tc>
          <w:tcPr>
            <w:tcW w:w="0" w:type="auto"/>
            <w:hideMark/>
          </w:tcPr>
          <w:p w14:paraId="0A4A6B68"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Questionnaires returned but incomplete</w:t>
            </w:r>
          </w:p>
        </w:tc>
        <w:tc>
          <w:tcPr>
            <w:tcW w:w="0" w:type="auto"/>
            <w:hideMark/>
          </w:tcPr>
          <w:p w14:paraId="640731FF"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10</w:t>
            </w:r>
          </w:p>
        </w:tc>
        <w:tc>
          <w:tcPr>
            <w:tcW w:w="0" w:type="auto"/>
            <w:hideMark/>
          </w:tcPr>
          <w:p w14:paraId="0315ECD7"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2.7%</w:t>
            </w:r>
          </w:p>
        </w:tc>
      </w:tr>
      <w:tr w:rsidR="000951D7" w:rsidRPr="000951D7" w14:paraId="70C69118" w14:textId="77777777" w:rsidTr="000951D7">
        <w:tc>
          <w:tcPr>
            <w:tcW w:w="0" w:type="auto"/>
            <w:hideMark/>
          </w:tcPr>
          <w:p w14:paraId="54EB4F40"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Questionnaires not returned</w:t>
            </w:r>
          </w:p>
        </w:tc>
        <w:tc>
          <w:tcPr>
            <w:tcW w:w="0" w:type="auto"/>
            <w:hideMark/>
          </w:tcPr>
          <w:p w14:paraId="624C2FA0"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28</w:t>
            </w:r>
          </w:p>
        </w:tc>
        <w:tc>
          <w:tcPr>
            <w:tcW w:w="0" w:type="auto"/>
            <w:hideMark/>
          </w:tcPr>
          <w:p w14:paraId="1FCC041D" w14:textId="77777777" w:rsidR="000951D7" w:rsidRPr="000951D7" w:rsidRDefault="000951D7" w:rsidP="00E72399">
            <w:pPr>
              <w:spacing w:before="0" w:line="240" w:lineRule="auto"/>
              <w:rPr>
                <w:rFonts w:eastAsia="Times New Roman" w:cs="Times New Roman"/>
                <w:color w:val="auto"/>
                <w:szCs w:val="24"/>
              </w:rPr>
            </w:pPr>
            <w:r w:rsidRPr="000951D7">
              <w:rPr>
                <w:rFonts w:eastAsia="Times New Roman" w:cs="Times New Roman"/>
                <w:color w:val="auto"/>
                <w:szCs w:val="24"/>
              </w:rPr>
              <w:t>7.5%</w:t>
            </w:r>
          </w:p>
        </w:tc>
      </w:tr>
    </w:tbl>
    <w:p w14:paraId="5E3F0585" w14:textId="6BBA5794" w:rsidR="00337EA5" w:rsidRPr="00337EA5" w:rsidRDefault="00337EA5" w:rsidP="00E72399">
      <w:pPr>
        <w:spacing w:before="0" w:line="240" w:lineRule="auto"/>
        <w:rPr>
          <w:rFonts w:eastAsia="Times New Roman" w:cs="Times New Roman"/>
          <w:color w:val="auto"/>
          <w:szCs w:val="24"/>
          <w14:ligatures w14:val="none"/>
        </w:rPr>
      </w:pPr>
    </w:p>
    <w:p w14:paraId="419ADC71" w14:textId="7376A4D0" w:rsidR="00337EA5" w:rsidRPr="00E72399" w:rsidRDefault="00337EA5" w:rsidP="00E72399">
      <w:pPr>
        <w:spacing w:before="100" w:beforeAutospacing="1" w:after="100" w:afterAutospacing="1" w:line="240" w:lineRule="auto"/>
        <w:rPr>
          <w:rFonts w:eastAsia="Times New Roman" w:cs="Times New Roman"/>
          <w:color w:val="auto"/>
          <w:szCs w:val="24"/>
          <w14:ligatures w14:val="none"/>
        </w:rPr>
      </w:pPr>
      <w:r w:rsidRPr="00E72399">
        <w:rPr>
          <w:rFonts w:eastAsia="Times New Roman" w:cs="Times New Roman"/>
          <w:b/>
          <w:bCs/>
          <w:color w:val="auto"/>
          <w:szCs w:val="24"/>
          <w14:ligatures w14:val="none"/>
        </w:rPr>
        <w:t>Reliability Test Results</w:t>
      </w:r>
    </w:p>
    <w:p w14:paraId="32C3A8D1" w14:textId="2FA0A9B2" w:rsidR="00337EA5" w:rsidRPr="00337EA5" w:rsidRDefault="00337EA5" w:rsidP="00E72399">
      <w:pPr>
        <w:spacing w:before="100" w:beforeAutospacing="1" w:after="100" w:afterAutospacing="1" w:line="240" w:lineRule="auto"/>
        <w:rPr>
          <w:rFonts w:eastAsia="Times New Roman" w:cs="Times New Roman"/>
          <w:color w:val="auto"/>
          <w:szCs w:val="24"/>
          <w14:ligatures w14:val="none"/>
        </w:rPr>
      </w:pPr>
      <w:r w:rsidRPr="00337EA5">
        <w:rPr>
          <w:rFonts w:eastAsia="Times New Roman" w:cs="Times New Roman"/>
          <w:color w:val="auto"/>
          <w:szCs w:val="24"/>
          <w14:ligatures w14:val="none"/>
        </w:rPr>
        <w:t>The study assessed the reliability of instruments measuring inventory, cash, and account payables management practices using Cronbach's Alpha. All variables exceeded the acceptable threshold of 0.7, indicating strong internal consistency. Inventory management was rated as ‘Good,’ while cash and account payables management achieved ‘Excellent’ reliability. These results confirm that the measurement scales were dependable, consistent, and suitable for capturing respondents’ evaluations, providing a robust foundation for subsequent analysis.</w:t>
      </w:r>
    </w:p>
    <w:p w14:paraId="17302A2D" w14:textId="3DB74681" w:rsidR="00337EA5" w:rsidRPr="00337EA5" w:rsidRDefault="00337EA5" w:rsidP="00E72399">
      <w:pPr>
        <w:spacing w:before="100" w:beforeAutospacing="1" w:after="100" w:afterAutospacing="1" w:line="240" w:lineRule="auto"/>
        <w:rPr>
          <w:rFonts w:eastAsia="Times New Roman" w:cs="Times New Roman"/>
          <w:color w:val="auto"/>
          <w:szCs w:val="24"/>
          <w14:ligatures w14:val="none"/>
        </w:rPr>
      </w:pPr>
      <w:r w:rsidRPr="00E72399">
        <w:rPr>
          <w:rFonts w:eastAsia="Times New Roman" w:cs="Times New Roman"/>
          <w:b/>
          <w:bCs/>
          <w:color w:val="auto"/>
          <w:szCs w:val="24"/>
          <w14:ligatures w14:val="none"/>
        </w:rPr>
        <w:t>Table 2: Instrument Reliability Test Results</w:t>
      </w:r>
    </w:p>
    <w:tbl>
      <w:tblPr>
        <w:tblStyle w:val="TableGrid1"/>
        <w:tblW w:w="0" w:type="auto"/>
        <w:tblLook w:val="04A0" w:firstRow="1" w:lastRow="0" w:firstColumn="1" w:lastColumn="0" w:noHBand="0" w:noVBand="1"/>
      </w:tblPr>
      <w:tblGrid>
        <w:gridCol w:w="3348"/>
        <w:gridCol w:w="576"/>
        <w:gridCol w:w="1463"/>
        <w:gridCol w:w="2090"/>
        <w:gridCol w:w="1903"/>
      </w:tblGrid>
      <w:tr w:rsidR="00337EA5" w:rsidRPr="00337EA5" w14:paraId="240B429E" w14:textId="77777777" w:rsidTr="00337EA5">
        <w:tc>
          <w:tcPr>
            <w:tcW w:w="0" w:type="auto"/>
            <w:hideMark/>
          </w:tcPr>
          <w:p w14:paraId="2DCEC86E" w14:textId="77777777" w:rsidR="00337EA5" w:rsidRPr="00337EA5" w:rsidRDefault="00337EA5" w:rsidP="00E72399">
            <w:pPr>
              <w:spacing w:before="0" w:line="240" w:lineRule="auto"/>
              <w:rPr>
                <w:rFonts w:eastAsia="Times New Roman" w:cs="Times New Roman"/>
                <w:b/>
                <w:bCs/>
                <w:color w:val="auto"/>
                <w:szCs w:val="24"/>
              </w:rPr>
            </w:pPr>
            <w:r w:rsidRPr="00337EA5">
              <w:rPr>
                <w:rFonts w:eastAsia="Times New Roman" w:cs="Times New Roman"/>
                <w:b/>
                <w:bCs/>
                <w:color w:val="auto"/>
                <w:szCs w:val="24"/>
              </w:rPr>
              <w:t>Variable</w:t>
            </w:r>
          </w:p>
        </w:tc>
        <w:tc>
          <w:tcPr>
            <w:tcW w:w="0" w:type="auto"/>
            <w:hideMark/>
          </w:tcPr>
          <w:p w14:paraId="70EBF3C2" w14:textId="77777777" w:rsidR="00337EA5" w:rsidRPr="00337EA5" w:rsidRDefault="00337EA5" w:rsidP="00E72399">
            <w:pPr>
              <w:spacing w:before="0" w:line="240" w:lineRule="auto"/>
              <w:rPr>
                <w:rFonts w:eastAsia="Times New Roman" w:cs="Times New Roman"/>
                <w:b/>
                <w:bCs/>
                <w:color w:val="auto"/>
                <w:szCs w:val="24"/>
              </w:rPr>
            </w:pPr>
            <w:r w:rsidRPr="00337EA5">
              <w:rPr>
                <w:rFonts w:eastAsia="Times New Roman" w:cs="Times New Roman"/>
                <w:b/>
                <w:bCs/>
                <w:color w:val="auto"/>
                <w:szCs w:val="24"/>
              </w:rPr>
              <w:t>N</w:t>
            </w:r>
          </w:p>
        </w:tc>
        <w:tc>
          <w:tcPr>
            <w:tcW w:w="0" w:type="auto"/>
            <w:hideMark/>
          </w:tcPr>
          <w:p w14:paraId="26F3447A" w14:textId="77777777" w:rsidR="00337EA5" w:rsidRPr="00337EA5" w:rsidRDefault="00337EA5" w:rsidP="00E72399">
            <w:pPr>
              <w:spacing w:before="0" w:line="240" w:lineRule="auto"/>
              <w:rPr>
                <w:rFonts w:eastAsia="Times New Roman" w:cs="Times New Roman"/>
                <w:b/>
                <w:bCs/>
                <w:color w:val="auto"/>
                <w:szCs w:val="24"/>
              </w:rPr>
            </w:pPr>
            <w:r w:rsidRPr="00337EA5">
              <w:rPr>
                <w:rFonts w:eastAsia="Times New Roman" w:cs="Times New Roman"/>
                <w:b/>
                <w:bCs/>
                <w:color w:val="auto"/>
                <w:szCs w:val="24"/>
              </w:rPr>
              <w:t>No. of Items</w:t>
            </w:r>
          </w:p>
        </w:tc>
        <w:tc>
          <w:tcPr>
            <w:tcW w:w="0" w:type="auto"/>
            <w:hideMark/>
          </w:tcPr>
          <w:p w14:paraId="5D96BE7B" w14:textId="77777777" w:rsidR="00337EA5" w:rsidRPr="00337EA5" w:rsidRDefault="00337EA5" w:rsidP="00E72399">
            <w:pPr>
              <w:spacing w:before="0" w:line="240" w:lineRule="auto"/>
              <w:rPr>
                <w:rFonts w:eastAsia="Times New Roman" w:cs="Times New Roman"/>
                <w:b/>
                <w:bCs/>
                <w:color w:val="auto"/>
                <w:szCs w:val="24"/>
              </w:rPr>
            </w:pPr>
            <w:r w:rsidRPr="00337EA5">
              <w:rPr>
                <w:rFonts w:eastAsia="Times New Roman" w:cs="Times New Roman"/>
                <w:b/>
                <w:bCs/>
                <w:color w:val="auto"/>
                <w:szCs w:val="24"/>
              </w:rPr>
              <w:t>Cronbach's Alpha</w:t>
            </w:r>
          </w:p>
        </w:tc>
        <w:tc>
          <w:tcPr>
            <w:tcW w:w="0" w:type="auto"/>
            <w:hideMark/>
          </w:tcPr>
          <w:p w14:paraId="7B165D6E" w14:textId="77777777" w:rsidR="00337EA5" w:rsidRPr="00337EA5" w:rsidRDefault="00337EA5" w:rsidP="00E72399">
            <w:pPr>
              <w:spacing w:before="0" w:line="240" w:lineRule="auto"/>
              <w:rPr>
                <w:rFonts w:eastAsia="Times New Roman" w:cs="Times New Roman"/>
                <w:b/>
                <w:bCs/>
                <w:color w:val="auto"/>
                <w:szCs w:val="24"/>
              </w:rPr>
            </w:pPr>
            <w:r w:rsidRPr="00337EA5">
              <w:rPr>
                <w:rFonts w:eastAsia="Times New Roman" w:cs="Times New Roman"/>
                <w:b/>
                <w:bCs/>
                <w:color w:val="auto"/>
                <w:szCs w:val="24"/>
              </w:rPr>
              <w:t>Reliability Level</w:t>
            </w:r>
          </w:p>
        </w:tc>
      </w:tr>
      <w:tr w:rsidR="00337EA5" w:rsidRPr="00337EA5" w14:paraId="2F95A701" w14:textId="77777777" w:rsidTr="00337EA5">
        <w:tc>
          <w:tcPr>
            <w:tcW w:w="0" w:type="auto"/>
            <w:hideMark/>
          </w:tcPr>
          <w:p w14:paraId="5F077266"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Inventory management practices</w:t>
            </w:r>
          </w:p>
        </w:tc>
        <w:tc>
          <w:tcPr>
            <w:tcW w:w="0" w:type="auto"/>
            <w:hideMark/>
          </w:tcPr>
          <w:p w14:paraId="3BBCAC70"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337</w:t>
            </w:r>
          </w:p>
        </w:tc>
        <w:tc>
          <w:tcPr>
            <w:tcW w:w="0" w:type="auto"/>
            <w:hideMark/>
          </w:tcPr>
          <w:p w14:paraId="5030286B"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5</w:t>
            </w:r>
          </w:p>
        </w:tc>
        <w:tc>
          <w:tcPr>
            <w:tcW w:w="0" w:type="auto"/>
            <w:hideMark/>
          </w:tcPr>
          <w:p w14:paraId="628B61A4"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0.869</w:t>
            </w:r>
          </w:p>
        </w:tc>
        <w:tc>
          <w:tcPr>
            <w:tcW w:w="0" w:type="auto"/>
            <w:hideMark/>
          </w:tcPr>
          <w:p w14:paraId="182DC971"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Good</w:t>
            </w:r>
          </w:p>
        </w:tc>
      </w:tr>
      <w:tr w:rsidR="00337EA5" w:rsidRPr="00337EA5" w14:paraId="291FE1BC" w14:textId="77777777" w:rsidTr="00337EA5">
        <w:tc>
          <w:tcPr>
            <w:tcW w:w="0" w:type="auto"/>
            <w:hideMark/>
          </w:tcPr>
          <w:p w14:paraId="1B34989F"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Cash management practices</w:t>
            </w:r>
          </w:p>
        </w:tc>
        <w:tc>
          <w:tcPr>
            <w:tcW w:w="0" w:type="auto"/>
            <w:hideMark/>
          </w:tcPr>
          <w:p w14:paraId="4BCFDBA3"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337</w:t>
            </w:r>
          </w:p>
        </w:tc>
        <w:tc>
          <w:tcPr>
            <w:tcW w:w="0" w:type="auto"/>
            <w:hideMark/>
          </w:tcPr>
          <w:p w14:paraId="0029C7D2"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5</w:t>
            </w:r>
          </w:p>
        </w:tc>
        <w:tc>
          <w:tcPr>
            <w:tcW w:w="0" w:type="auto"/>
            <w:hideMark/>
          </w:tcPr>
          <w:p w14:paraId="5DE38154"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0.915</w:t>
            </w:r>
          </w:p>
        </w:tc>
        <w:tc>
          <w:tcPr>
            <w:tcW w:w="0" w:type="auto"/>
            <w:hideMark/>
          </w:tcPr>
          <w:p w14:paraId="7BE55CA3"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Excellent</w:t>
            </w:r>
          </w:p>
        </w:tc>
      </w:tr>
      <w:tr w:rsidR="00337EA5" w:rsidRPr="00337EA5" w14:paraId="37F90AA7" w14:textId="77777777" w:rsidTr="00337EA5">
        <w:tc>
          <w:tcPr>
            <w:tcW w:w="0" w:type="auto"/>
            <w:hideMark/>
          </w:tcPr>
          <w:p w14:paraId="4723C156"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Account payables management</w:t>
            </w:r>
          </w:p>
        </w:tc>
        <w:tc>
          <w:tcPr>
            <w:tcW w:w="0" w:type="auto"/>
            <w:hideMark/>
          </w:tcPr>
          <w:p w14:paraId="41BCEA7E"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337</w:t>
            </w:r>
          </w:p>
        </w:tc>
        <w:tc>
          <w:tcPr>
            <w:tcW w:w="0" w:type="auto"/>
            <w:hideMark/>
          </w:tcPr>
          <w:p w14:paraId="077CACFB"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5</w:t>
            </w:r>
          </w:p>
        </w:tc>
        <w:tc>
          <w:tcPr>
            <w:tcW w:w="0" w:type="auto"/>
            <w:hideMark/>
          </w:tcPr>
          <w:p w14:paraId="5504DE6B"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0.922</w:t>
            </w:r>
          </w:p>
        </w:tc>
        <w:tc>
          <w:tcPr>
            <w:tcW w:w="0" w:type="auto"/>
            <w:hideMark/>
          </w:tcPr>
          <w:p w14:paraId="36D5826B" w14:textId="77777777" w:rsidR="00337EA5" w:rsidRPr="00337EA5" w:rsidRDefault="00337EA5" w:rsidP="00E72399">
            <w:pPr>
              <w:spacing w:before="0" w:line="240" w:lineRule="auto"/>
              <w:rPr>
                <w:rFonts w:eastAsia="Times New Roman" w:cs="Times New Roman"/>
                <w:color w:val="auto"/>
                <w:szCs w:val="24"/>
              </w:rPr>
            </w:pPr>
            <w:r w:rsidRPr="00337EA5">
              <w:rPr>
                <w:rFonts w:eastAsia="Times New Roman" w:cs="Times New Roman"/>
                <w:color w:val="auto"/>
                <w:szCs w:val="24"/>
              </w:rPr>
              <w:t>Excellent</w:t>
            </w:r>
          </w:p>
        </w:tc>
      </w:tr>
      <w:tr w:rsidR="00337EA5" w:rsidRPr="00337EA5" w14:paraId="1E7FD0CC" w14:textId="77777777" w:rsidTr="00337EA5">
        <w:tc>
          <w:tcPr>
            <w:tcW w:w="0" w:type="auto"/>
            <w:hideMark/>
          </w:tcPr>
          <w:p w14:paraId="681A82F4" w14:textId="77777777" w:rsidR="00337EA5" w:rsidRPr="00337EA5" w:rsidRDefault="00337EA5" w:rsidP="00E72399">
            <w:pPr>
              <w:spacing w:before="0" w:line="240" w:lineRule="auto"/>
              <w:rPr>
                <w:rFonts w:eastAsia="Times New Roman" w:cs="Times New Roman"/>
                <w:color w:val="auto"/>
                <w:szCs w:val="24"/>
              </w:rPr>
            </w:pPr>
            <w:r w:rsidRPr="00E72399">
              <w:rPr>
                <w:rFonts w:eastAsia="Times New Roman" w:cs="Times New Roman"/>
                <w:i/>
                <w:iCs/>
                <w:color w:val="auto"/>
                <w:szCs w:val="24"/>
              </w:rPr>
              <w:t>Source: Research Data (2025)</w:t>
            </w:r>
          </w:p>
        </w:tc>
        <w:tc>
          <w:tcPr>
            <w:tcW w:w="0" w:type="auto"/>
            <w:hideMark/>
          </w:tcPr>
          <w:p w14:paraId="5C1EC61F" w14:textId="77777777" w:rsidR="00337EA5" w:rsidRPr="00337EA5" w:rsidRDefault="00337EA5" w:rsidP="00E72399">
            <w:pPr>
              <w:spacing w:before="0" w:line="240" w:lineRule="auto"/>
              <w:rPr>
                <w:rFonts w:eastAsia="Times New Roman" w:cs="Times New Roman"/>
                <w:color w:val="auto"/>
                <w:szCs w:val="24"/>
              </w:rPr>
            </w:pPr>
          </w:p>
        </w:tc>
        <w:tc>
          <w:tcPr>
            <w:tcW w:w="0" w:type="auto"/>
            <w:hideMark/>
          </w:tcPr>
          <w:p w14:paraId="23A37A4A" w14:textId="77777777" w:rsidR="00337EA5" w:rsidRPr="00337EA5" w:rsidRDefault="00337EA5" w:rsidP="00E72399">
            <w:pPr>
              <w:spacing w:before="0" w:line="240" w:lineRule="auto"/>
              <w:rPr>
                <w:rFonts w:eastAsia="Times New Roman" w:cs="Times New Roman"/>
                <w:color w:val="auto"/>
                <w:sz w:val="20"/>
              </w:rPr>
            </w:pPr>
          </w:p>
        </w:tc>
        <w:tc>
          <w:tcPr>
            <w:tcW w:w="0" w:type="auto"/>
            <w:hideMark/>
          </w:tcPr>
          <w:p w14:paraId="5197395B" w14:textId="77777777" w:rsidR="00337EA5" w:rsidRPr="00337EA5" w:rsidRDefault="00337EA5" w:rsidP="00E72399">
            <w:pPr>
              <w:spacing w:before="0" w:line="240" w:lineRule="auto"/>
              <w:rPr>
                <w:rFonts w:eastAsia="Times New Roman" w:cs="Times New Roman"/>
                <w:color w:val="auto"/>
                <w:sz w:val="20"/>
              </w:rPr>
            </w:pPr>
          </w:p>
        </w:tc>
        <w:tc>
          <w:tcPr>
            <w:tcW w:w="0" w:type="auto"/>
            <w:hideMark/>
          </w:tcPr>
          <w:p w14:paraId="3180350C" w14:textId="77777777" w:rsidR="00337EA5" w:rsidRPr="00337EA5" w:rsidRDefault="00337EA5" w:rsidP="00E72399">
            <w:pPr>
              <w:spacing w:before="0" w:line="240" w:lineRule="auto"/>
              <w:rPr>
                <w:rFonts w:eastAsia="Times New Roman" w:cs="Times New Roman"/>
                <w:color w:val="auto"/>
                <w:sz w:val="20"/>
              </w:rPr>
            </w:pPr>
          </w:p>
        </w:tc>
      </w:tr>
    </w:tbl>
    <w:p w14:paraId="2960F9EB" w14:textId="6AA4B2AF" w:rsidR="00337EA5" w:rsidRPr="00E72399" w:rsidRDefault="00337EA5" w:rsidP="00E72399">
      <w:pPr>
        <w:rPr>
          <w:rFonts w:cs="Times New Roman"/>
          <w:b/>
        </w:rPr>
      </w:pPr>
      <w:r w:rsidRPr="00E72399">
        <w:rPr>
          <w:rFonts w:cs="Times New Roman"/>
          <w:b/>
        </w:rPr>
        <w:t>Diagnostic Tests</w:t>
      </w:r>
    </w:p>
    <w:p w14:paraId="086085B0" w14:textId="77777777" w:rsidR="00337EA5" w:rsidRPr="00E72399" w:rsidRDefault="00337EA5" w:rsidP="00E72399">
      <w:pPr>
        <w:pStyle w:val="NormalWeb"/>
        <w:jc w:val="both"/>
      </w:pPr>
      <w:r w:rsidRPr="00E72399">
        <w:t>To ensure the validity and reliability of regression analysis applied to cross-sectional data, a series of diagnostic tests were conducted. These tests evaluated whether the data adhered to key statistical assumptions: normality, linearity, multicollinearity, and homoscedasticity. Such assumptions are critical for generating unbiased, efficient, and consistent estimates in regression modeling, providing a robust foundation for the study’s inferential analyses on inventory, cash, and account payables management practices and their effect on financial health in the Mini-mart sector of Nairobi County.</w:t>
      </w:r>
    </w:p>
    <w:p w14:paraId="79F57831" w14:textId="6DC30246" w:rsidR="00337EA5" w:rsidRPr="00E72399" w:rsidRDefault="00337EA5" w:rsidP="00E72399">
      <w:pPr>
        <w:rPr>
          <w:rFonts w:cs="Times New Roman"/>
          <w:b/>
          <w:i/>
        </w:rPr>
      </w:pPr>
      <w:r w:rsidRPr="00E72399">
        <w:rPr>
          <w:rFonts w:cs="Times New Roman"/>
          <w:b/>
          <w:i/>
        </w:rPr>
        <w:t>Normality Test Results</w:t>
      </w:r>
    </w:p>
    <w:p w14:paraId="5910E609" w14:textId="77777777" w:rsidR="00337EA5" w:rsidRPr="00E72399" w:rsidRDefault="00337EA5" w:rsidP="00E72399">
      <w:pPr>
        <w:pStyle w:val="NormalWeb"/>
        <w:jc w:val="both"/>
      </w:pPr>
      <w:r w:rsidRPr="00E72399">
        <w:t>The normality of variables—inventory management practices (IMP), cash management practices (CMP), account payables management (APM), and financial health (FH)—was assessed using the Shapiro-Wilk test. Normality testing is essential because it determines whether the data significantly deviate from a normal distribution, influencing the appropriateness of parametric methods for regression and correlation analyses.</w:t>
      </w:r>
    </w:p>
    <w:p w14:paraId="7855D962" w14:textId="106EBA5D" w:rsidR="00337EA5" w:rsidRPr="00E72399" w:rsidRDefault="00337EA5" w:rsidP="00E72399">
      <w:pPr>
        <w:pStyle w:val="NormalWeb"/>
        <w:jc w:val="both"/>
      </w:pPr>
      <w:r w:rsidRPr="00E72399">
        <w:rPr>
          <w:rStyle w:val="Strong"/>
        </w:rPr>
        <w:lastRenderedPageBreak/>
        <w:t>Table 3: Shapiro-Wilk Normality Test Results</w:t>
      </w:r>
    </w:p>
    <w:tbl>
      <w:tblPr>
        <w:tblStyle w:val="TableGrid1"/>
        <w:tblW w:w="0" w:type="auto"/>
        <w:tblLook w:val="04A0" w:firstRow="1" w:lastRow="0" w:firstColumn="1" w:lastColumn="0" w:noHBand="0" w:noVBand="1"/>
      </w:tblPr>
      <w:tblGrid>
        <w:gridCol w:w="1110"/>
        <w:gridCol w:w="630"/>
        <w:gridCol w:w="756"/>
        <w:gridCol w:w="756"/>
        <w:gridCol w:w="836"/>
        <w:gridCol w:w="990"/>
      </w:tblGrid>
      <w:tr w:rsidR="00337EA5" w:rsidRPr="00E72399" w14:paraId="4A34099A" w14:textId="77777777" w:rsidTr="00337EA5">
        <w:tc>
          <w:tcPr>
            <w:tcW w:w="0" w:type="auto"/>
            <w:hideMark/>
          </w:tcPr>
          <w:p w14:paraId="108176F2" w14:textId="77777777" w:rsidR="00337EA5" w:rsidRPr="00E72399" w:rsidRDefault="00337EA5" w:rsidP="00E72399">
            <w:pPr>
              <w:rPr>
                <w:rFonts w:cs="Times New Roman"/>
                <w:b/>
                <w:bCs/>
              </w:rPr>
            </w:pPr>
            <w:r w:rsidRPr="00E72399">
              <w:rPr>
                <w:rFonts w:cs="Times New Roman"/>
                <w:b/>
                <w:bCs/>
              </w:rPr>
              <w:t>Variable</w:t>
            </w:r>
          </w:p>
        </w:tc>
        <w:tc>
          <w:tcPr>
            <w:tcW w:w="0" w:type="auto"/>
            <w:hideMark/>
          </w:tcPr>
          <w:p w14:paraId="51BCDC95" w14:textId="77777777" w:rsidR="00337EA5" w:rsidRPr="00E72399" w:rsidRDefault="00337EA5" w:rsidP="00E72399">
            <w:pPr>
              <w:rPr>
                <w:rFonts w:cs="Times New Roman"/>
                <w:b/>
                <w:bCs/>
              </w:rPr>
            </w:pPr>
            <w:proofErr w:type="spellStart"/>
            <w:r w:rsidRPr="00E72399">
              <w:rPr>
                <w:rFonts w:cs="Times New Roman"/>
                <w:b/>
                <w:bCs/>
              </w:rPr>
              <w:t>Obs</w:t>
            </w:r>
            <w:proofErr w:type="spellEnd"/>
          </w:p>
        </w:tc>
        <w:tc>
          <w:tcPr>
            <w:tcW w:w="0" w:type="auto"/>
            <w:hideMark/>
          </w:tcPr>
          <w:p w14:paraId="55672295" w14:textId="77777777" w:rsidR="00337EA5" w:rsidRPr="00E72399" w:rsidRDefault="00337EA5" w:rsidP="00E72399">
            <w:pPr>
              <w:rPr>
                <w:rFonts w:cs="Times New Roman"/>
                <w:b/>
                <w:bCs/>
              </w:rPr>
            </w:pPr>
            <w:r w:rsidRPr="00E72399">
              <w:rPr>
                <w:rFonts w:cs="Times New Roman"/>
                <w:b/>
                <w:bCs/>
              </w:rPr>
              <w:t>W</w:t>
            </w:r>
          </w:p>
        </w:tc>
        <w:tc>
          <w:tcPr>
            <w:tcW w:w="0" w:type="auto"/>
            <w:hideMark/>
          </w:tcPr>
          <w:p w14:paraId="70A6A1E4" w14:textId="77777777" w:rsidR="00337EA5" w:rsidRPr="00E72399" w:rsidRDefault="00337EA5" w:rsidP="00E72399">
            <w:pPr>
              <w:rPr>
                <w:rFonts w:cs="Times New Roman"/>
                <w:b/>
                <w:bCs/>
              </w:rPr>
            </w:pPr>
            <w:r w:rsidRPr="00E72399">
              <w:rPr>
                <w:rFonts w:cs="Times New Roman"/>
                <w:b/>
                <w:bCs/>
              </w:rPr>
              <w:t>V</w:t>
            </w:r>
          </w:p>
        </w:tc>
        <w:tc>
          <w:tcPr>
            <w:tcW w:w="0" w:type="auto"/>
            <w:hideMark/>
          </w:tcPr>
          <w:p w14:paraId="439D9A05" w14:textId="77777777" w:rsidR="00337EA5" w:rsidRPr="00E72399" w:rsidRDefault="00337EA5" w:rsidP="00E72399">
            <w:pPr>
              <w:rPr>
                <w:rFonts w:cs="Times New Roman"/>
                <w:b/>
                <w:bCs/>
              </w:rPr>
            </w:pPr>
            <w:r w:rsidRPr="00E72399">
              <w:rPr>
                <w:rFonts w:cs="Times New Roman"/>
                <w:b/>
                <w:bCs/>
              </w:rPr>
              <w:t>z</w:t>
            </w:r>
          </w:p>
        </w:tc>
        <w:tc>
          <w:tcPr>
            <w:tcW w:w="0" w:type="auto"/>
            <w:hideMark/>
          </w:tcPr>
          <w:p w14:paraId="102A84C4" w14:textId="77777777" w:rsidR="00337EA5" w:rsidRPr="00E72399" w:rsidRDefault="00337EA5" w:rsidP="00E72399">
            <w:pPr>
              <w:rPr>
                <w:rFonts w:cs="Times New Roman"/>
                <w:b/>
                <w:bCs/>
              </w:rPr>
            </w:pPr>
            <w:r w:rsidRPr="00E72399">
              <w:rPr>
                <w:rFonts w:cs="Times New Roman"/>
                <w:b/>
                <w:bCs/>
              </w:rPr>
              <w:t>P-value</w:t>
            </w:r>
          </w:p>
        </w:tc>
      </w:tr>
      <w:tr w:rsidR="00337EA5" w:rsidRPr="00E72399" w14:paraId="22A7C3AF" w14:textId="77777777" w:rsidTr="00337EA5">
        <w:tc>
          <w:tcPr>
            <w:tcW w:w="0" w:type="auto"/>
            <w:hideMark/>
          </w:tcPr>
          <w:p w14:paraId="49612DD7" w14:textId="77777777" w:rsidR="00337EA5" w:rsidRPr="00E72399" w:rsidRDefault="00337EA5" w:rsidP="00E72399">
            <w:pPr>
              <w:rPr>
                <w:rFonts w:cs="Times New Roman"/>
              </w:rPr>
            </w:pPr>
            <w:r w:rsidRPr="00E72399">
              <w:rPr>
                <w:rFonts w:cs="Times New Roman"/>
              </w:rPr>
              <w:t>IMP</w:t>
            </w:r>
          </w:p>
        </w:tc>
        <w:tc>
          <w:tcPr>
            <w:tcW w:w="0" w:type="auto"/>
            <w:hideMark/>
          </w:tcPr>
          <w:p w14:paraId="3028633A" w14:textId="77777777" w:rsidR="00337EA5" w:rsidRPr="00E72399" w:rsidRDefault="00337EA5" w:rsidP="00E72399">
            <w:pPr>
              <w:rPr>
                <w:rFonts w:cs="Times New Roman"/>
              </w:rPr>
            </w:pPr>
            <w:r w:rsidRPr="00E72399">
              <w:rPr>
                <w:rFonts w:cs="Times New Roman"/>
              </w:rPr>
              <w:t>337</w:t>
            </w:r>
          </w:p>
        </w:tc>
        <w:tc>
          <w:tcPr>
            <w:tcW w:w="0" w:type="auto"/>
            <w:hideMark/>
          </w:tcPr>
          <w:p w14:paraId="187384E9" w14:textId="77777777" w:rsidR="00337EA5" w:rsidRPr="00E72399" w:rsidRDefault="00337EA5" w:rsidP="00E72399">
            <w:pPr>
              <w:rPr>
                <w:rFonts w:cs="Times New Roman"/>
              </w:rPr>
            </w:pPr>
            <w:r w:rsidRPr="00E72399">
              <w:rPr>
                <w:rFonts w:cs="Times New Roman"/>
              </w:rPr>
              <w:t>0.950</w:t>
            </w:r>
          </w:p>
        </w:tc>
        <w:tc>
          <w:tcPr>
            <w:tcW w:w="0" w:type="auto"/>
            <w:hideMark/>
          </w:tcPr>
          <w:p w14:paraId="22BE9425" w14:textId="77777777" w:rsidR="00337EA5" w:rsidRPr="00E72399" w:rsidRDefault="00337EA5" w:rsidP="00E72399">
            <w:pPr>
              <w:rPr>
                <w:rFonts w:cs="Times New Roman"/>
              </w:rPr>
            </w:pPr>
            <w:r w:rsidRPr="00E72399">
              <w:rPr>
                <w:rFonts w:cs="Times New Roman"/>
              </w:rPr>
              <w:t>1.769</w:t>
            </w:r>
          </w:p>
        </w:tc>
        <w:tc>
          <w:tcPr>
            <w:tcW w:w="0" w:type="auto"/>
            <w:hideMark/>
          </w:tcPr>
          <w:p w14:paraId="04461D72" w14:textId="77777777" w:rsidR="00337EA5" w:rsidRPr="00E72399" w:rsidRDefault="00337EA5" w:rsidP="00E72399">
            <w:pPr>
              <w:rPr>
                <w:rFonts w:cs="Times New Roman"/>
              </w:rPr>
            </w:pPr>
            <w:r w:rsidRPr="00E72399">
              <w:rPr>
                <w:rFonts w:cs="Times New Roman"/>
              </w:rPr>
              <w:t>1.191</w:t>
            </w:r>
          </w:p>
        </w:tc>
        <w:tc>
          <w:tcPr>
            <w:tcW w:w="0" w:type="auto"/>
            <w:hideMark/>
          </w:tcPr>
          <w:p w14:paraId="10E45544" w14:textId="77777777" w:rsidR="00337EA5" w:rsidRPr="00E72399" w:rsidRDefault="00337EA5" w:rsidP="00E72399">
            <w:pPr>
              <w:rPr>
                <w:rFonts w:cs="Times New Roman"/>
              </w:rPr>
            </w:pPr>
            <w:r w:rsidRPr="00E72399">
              <w:rPr>
                <w:rFonts w:cs="Times New Roman"/>
              </w:rPr>
              <w:t>0.117</w:t>
            </w:r>
          </w:p>
        </w:tc>
      </w:tr>
      <w:tr w:rsidR="00337EA5" w:rsidRPr="00E72399" w14:paraId="110DB5CE" w14:textId="77777777" w:rsidTr="00337EA5">
        <w:tc>
          <w:tcPr>
            <w:tcW w:w="0" w:type="auto"/>
            <w:hideMark/>
          </w:tcPr>
          <w:p w14:paraId="190AC9F9" w14:textId="77777777" w:rsidR="00337EA5" w:rsidRPr="00E72399" w:rsidRDefault="00337EA5" w:rsidP="00E72399">
            <w:pPr>
              <w:rPr>
                <w:rFonts w:cs="Times New Roman"/>
              </w:rPr>
            </w:pPr>
            <w:r w:rsidRPr="00E72399">
              <w:rPr>
                <w:rFonts w:cs="Times New Roman"/>
              </w:rPr>
              <w:t>CMP</w:t>
            </w:r>
          </w:p>
        </w:tc>
        <w:tc>
          <w:tcPr>
            <w:tcW w:w="0" w:type="auto"/>
            <w:hideMark/>
          </w:tcPr>
          <w:p w14:paraId="4DF30E2D" w14:textId="77777777" w:rsidR="00337EA5" w:rsidRPr="00E72399" w:rsidRDefault="00337EA5" w:rsidP="00E72399">
            <w:pPr>
              <w:rPr>
                <w:rFonts w:cs="Times New Roman"/>
              </w:rPr>
            </w:pPr>
            <w:r w:rsidRPr="00E72399">
              <w:rPr>
                <w:rFonts w:cs="Times New Roman"/>
              </w:rPr>
              <w:t>337</w:t>
            </w:r>
          </w:p>
        </w:tc>
        <w:tc>
          <w:tcPr>
            <w:tcW w:w="0" w:type="auto"/>
            <w:hideMark/>
          </w:tcPr>
          <w:p w14:paraId="0073C173" w14:textId="77777777" w:rsidR="00337EA5" w:rsidRPr="00E72399" w:rsidRDefault="00337EA5" w:rsidP="00E72399">
            <w:pPr>
              <w:rPr>
                <w:rFonts w:cs="Times New Roman"/>
              </w:rPr>
            </w:pPr>
            <w:r w:rsidRPr="00E72399">
              <w:rPr>
                <w:rFonts w:cs="Times New Roman"/>
              </w:rPr>
              <w:t>0.977</w:t>
            </w:r>
          </w:p>
        </w:tc>
        <w:tc>
          <w:tcPr>
            <w:tcW w:w="0" w:type="auto"/>
            <w:hideMark/>
          </w:tcPr>
          <w:p w14:paraId="73D0F7DF" w14:textId="77777777" w:rsidR="00337EA5" w:rsidRPr="00E72399" w:rsidRDefault="00337EA5" w:rsidP="00E72399">
            <w:pPr>
              <w:rPr>
                <w:rFonts w:cs="Times New Roman"/>
              </w:rPr>
            </w:pPr>
            <w:r w:rsidRPr="00E72399">
              <w:rPr>
                <w:rFonts w:cs="Times New Roman"/>
              </w:rPr>
              <w:t>0.838</w:t>
            </w:r>
          </w:p>
        </w:tc>
        <w:tc>
          <w:tcPr>
            <w:tcW w:w="0" w:type="auto"/>
            <w:hideMark/>
          </w:tcPr>
          <w:p w14:paraId="32C20E77" w14:textId="77777777" w:rsidR="00337EA5" w:rsidRPr="00E72399" w:rsidRDefault="00337EA5" w:rsidP="00E72399">
            <w:pPr>
              <w:rPr>
                <w:rFonts w:cs="Times New Roman"/>
              </w:rPr>
            </w:pPr>
            <w:r w:rsidRPr="00E72399">
              <w:rPr>
                <w:rFonts w:cs="Times New Roman"/>
              </w:rPr>
              <w:t>-0.368</w:t>
            </w:r>
          </w:p>
        </w:tc>
        <w:tc>
          <w:tcPr>
            <w:tcW w:w="0" w:type="auto"/>
            <w:hideMark/>
          </w:tcPr>
          <w:p w14:paraId="59B1B230" w14:textId="77777777" w:rsidR="00337EA5" w:rsidRPr="00E72399" w:rsidRDefault="00337EA5" w:rsidP="00E72399">
            <w:pPr>
              <w:rPr>
                <w:rFonts w:cs="Times New Roman"/>
              </w:rPr>
            </w:pPr>
            <w:r w:rsidRPr="00E72399">
              <w:rPr>
                <w:rFonts w:cs="Times New Roman"/>
              </w:rPr>
              <w:t>0.644</w:t>
            </w:r>
          </w:p>
        </w:tc>
      </w:tr>
      <w:tr w:rsidR="00337EA5" w:rsidRPr="00E72399" w14:paraId="0E3AFFF9" w14:textId="77777777" w:rsidTr="00337EA5">
        <w:tc>
          <w:tcPr>
            <w:tcW w:w="0" w:type="auto"/>
            <w:hideMark/>
          </w:tcPr>
          <w:p w14:paraId="5604558F" w14:textId="77777777" w:rsidR="00337EA5" w:rsidRPr="00E72399" w:rsidRDefault="00337EA5" w:rsidP="00E72399">
            <w:pPr>
              <w:rPr>
                <w:rFonts w:cs="Times New Roman"/>
              </w:rPr>
            </w:pPr>
            <w:r w:rsidRPr="00E72399">
              <w:rPr>
                <w:rFonts w:cs="Times New Roman"/>
              </w:rPr>
              <w:t>APM</w:t>
            </w:r>
          </w:p>
        </w:tc>
        <w:tc>
          <w:tcPr>
            <w:tcW w:w="0" w:type="auto"/>
            <w:hideMark/>
          </w:tcPr>
          <w:p w14:paraId="7F5331DA" w14:textId="77777777" w:rsidR="00337EA5" w:rsidRPr="00E72399" w:rsidRDefault="00337EA5" w:rsidP="00E72399">
            <w:pPr>
              <w:rPr>
                <w:rFonts w:cs="Times New Roman"/>
              </w:rPr>
            </w:pPr>
            <w:r w:rsidRPr="00E72399">
              <w:rPr>
                <w:rFonts w:cs="Times New Roman"/>
              </w:rPr>
              <w:t>337</w:t>
            </w:r>
          </w:p>
        </w:tc>
        <w:tc>
          <w:tcPr>
            <w:tcW w:w="0" w:type="auto"/>
            <w:hideMark/>
          </w:tcPr>
          <w:p w14:paraId="35AC6F68" w14:textId="77777777" w:rsidR="00337EA5" w:rsidRPr="00E72399" w:rsidRDefault="00337EA5" w:rsidP="00E72399">
            <w:pPr>
              <w:rPr>
                <w:rFonts w:cs="Times New Roman"/>
              </w:rPr>
            </w:pPr>
            <w:r w:rsidRPr="00E72399">
              <w:rPr>
                <w:rFonts w:cs="Times New Roman"/>
              </w:rPr>
              <w:t>0.989</w:t>
            </w:r>
          </w:p>
        </w:tc>
        <w:tc>
          <w:tcPr>
            <w:tcW w:w="0" w:type="auto"/>
            <w:hideMark/>
          </w:tcPr>
          <w:p w14:paraId="333AC252" w14:textId="77777777" w:rsidR="00337EA5" w:rsidRPr="00E72399" w:rsidRDefault="00337EA5" w:rsidP="00E72399">
            <w:pPr>
              <w:rPr>
                <w:rFonts w:cs="Times New Roman"/>
              </w:rPr>
            </w:pPr>
            <w:r w:rsidRPr="00E72399">
              <w:rPr>
                <w:rFonts w:cs="Times New Roman"/>
              </w:rPr>
              <w:t>0.401</w:t>
            </w:r>
          </w:p>
        </w:tc>
        <w:tc>
          <w:tcPr>
            <w:tcW w:w="0" w:type="auto"/>
            <w:hideMark/>
          </w:tcPr>
          <w:p w14:paraId="703D9FF3" w14:textId="77777777" w:rsidR="00337EA5" w:rsidRPr="00E72399" w:rsidRDefault="00337EA5" w:rsidP="00E72399">
            <w:pPr>
              <w:rPr>
                <w:rFonts w:cs="Times New Roman"/>
              </w:rPr>
            </w:pPr>
            <w:r w:rsidRPr="00E72399">
              <w:rPr>
                <w:rFonts w:cs="Times New Roman"/>
              </w:rPr>
              <w:t>-1.91</w:t>
            </w:r>
          </w:p>
        </w:tc>
        <w:tc>
          <w:tcPr>
            <w:tcW w:w="0" w:type="auto"/>
            <w:hideMark/>
          </w:tcPr>
          <w:p w14:paraId="072E1728" w14:textId="77777777" w:rsidR="00337EA5" w:rsidRPr="00E72399" w:rsidRDefault="00337EA5" w:rsidP="00E72399">
            <w:pPr>
              <w:rPr>
                <w:rFonts w:cs="Times New Roman"/>
              </w:rPr>
            </w:pPr>
            <w:r w:rsidRPr="00E72399">
              <w:rPr>
                <w:rFonts w:cs="Times New Roman"/>
              </w:rPr>
              <w:t>0.972</w:t>
            </w:r>
          </w:p>
        </w:tc>
      </w:tr>
      <w:tr w:rsidR="00337EA5" w:rsidRPr="00E72399" w14:paraId="0C2453F4" w14:textId="77777777" w:rsidTr="00337EA5">
        <w:tc>
          <w:tcPr>
            <w:tcW w:w="0" w:type="auto"/>
            <w:hideMark/>
          </w:tcPr>
          <w:p w14:paraId="087AADE8" w14:textId="77777777" w:rsidR="00337EA5" w:rsidRPr="00E72399" w:rsidRDefault="00337EA5" w:rsidP="00E72399">
            <w:pPr>
              <w:rPr>
                <w:rFonts w:cs="Times New Roman"/>
              </w:rPr>
            </w:pPr>
            <w:r w:rsidRPr="00E72399">
              <w:rPr>
                <w:rFonts w:cs="Times New Roman"/>
              </w:rPr>
              <w:t>FH</w:t>
            </w:r>
          </w:p>
        </w:tc>
        <w:tc>
          <w:tcPr>
            <w:tcW w:w="0" w:type="auto"/>
            <w:hideMark/>
          </w:tcPr>
          <w:p w14:paraId="656E4477" w14:textId="77777777" w:rsidR="00337EA5" w:rsidRPr="00E72399" w:rsidRDefault="00337EA5" w:rsidP="00E72399">
            <w:pPr>
              <w:rPr>
                <w:rFonts w:cs="Times New Roman"/>
              </w:rPr>
            </w:pPr>
            <w:r w:rsidRPr="00E72399">
              <w:rPr>
                <w:rFonts w:cs="Times New Roman"/>
              </w:rPr>
              <w:t>337</w:t>
            </w:r>
          </w:p>
        </w:tc>
        <w:tc>
          <w:tcPr>
            <w:tcW w:w="0" w:type="auto"/>
            <w:hideMark/>
          </w:tcPr>
          <w:p w14:paraId="5245895B" w14:textId="77777777" w:rsidR="00337EA5" w:rsidRPr="00E72399" w:rsidRDefault="00337EA5" w:rsidP="00E72399">
            <w:pPr>
              <w:rPr>
                <w:rFonts w:cs="Times New Roman"/>
              </w:rPr>
            </w:pPr>
            <w:r w:rsidRPr="00E72399">
              <w:rPr>
                <w:rFonts w:cs="Times New Roman"/>
              </w:rPr>
              <w:t>0.942</w:t>
            </w:r>
          </w:p>
        </w:tc>
        <w:tc>
          <w:tcPr>
            <w:tcW w:w="0" w:type="auto"/>
            <w:hideMark/>
          </w:tcPr>
          <w:p w14:paraId="50B35920" w14:textId="77777777" w:rsidR="00337EA5" w:rsidRPr="00E72399" w:rsidRDefault="00337EA5" w:rsidP="00E72399">
            <w:pPr>
              <w:rPr>
                <w:rFonts w:cs="Times New Roman"/>
              </w:rPr>
            </w:pPr>
            <w:r w:rsidRPr="00E72399">
              <w:rPr>
                <w:rFonts w:cs="Times New Roman"/>
              </w:rPr>
              <w:t>2.059</w:t>
            </w:r>
          </w:p>
        </w:tc>
        <w:tc>
          <w:tcPr>
            <w:tcW w:w="0" w:type="auto"/>
            <w:hideMark/>
          </w:tcPr>
          <w:p w14:paraId="0B6EFE24" w14:textId="77777777" w:rsidR="00337EA5" w:rsidRPr="00E72399" w:rsidRDefault="00337EA5" w:rsidP="00E72399">
            <w:pPr>
              <w:rPr>
                <w:rFonts w:cs="Times New Roman"/>
              </w:rPr>
            </w:pPr>
            <w:r w:rsidRPr="00E72399">
              <w:rPr>
                <w:rFonts w:cs="Times New Roman"/>
              </w:rPr>
              <w:t>1.508</w:t>
            </w:r>
          </w:p>
        </w:tc>
        <w:tc>
          <w:tcPr>
            <w:tcW w:w="0" w:type="auto"/>
            <w:hideMark/>
          </w:tcPr>
          <w:p w14:paraId="3C185291" w14:textId="77777777" w:rsidR="00337EA5" w:rsidRPr="00E72399" w:rsidRDefault="00337EA5" w:rsidP="00E72399">
            <w:pPr>
              <w:rPr>
                <w:rFonts w:cs="Times New Roman"/>
              </w:rPr>
            </w:pPr>
            <w:r w:rsidRPr="00E72399">
              <w:rPr>
                <w:rFonts w:cs="Times New Roman"/>
              </w:rPr>
              <w:t>0.066</w:t>
            </w:r>
          </w:p>
        </w:tc>
      </w:tr>
    </w:tbl>
    <w:p w14:paraId="68B571DC" w14:textId="77777777" w:rsidR="00337EA5" w:rsidRPr="00E72399" w:rsidRDefault="00337EA5" w:rsidP="00E72399">
      <w:pPr>
        <w:pStyle w:val="NormalWeb"/>
        <w:jc w:val="both"/>
      </w:pPr>
      <w:r w:rsidRPr="00E72399">
        <w:t>The results indicate that all variables are approximately normally distributed. Inventory management (p = 0.117), cash management (p = 0.644), and account payables management (p = 0.972) met the normality assumption comfortably. Financial health (p = 0.066) was slightly closer to the threshold of 0.05 but still acceptable. The approximate normality of the dependent variable validates the use of parametric analyses, enhancing the robustness of regression and correlation tests.</w:t>
      </w:r>
    </w:p>
    <w:p w14:paraId="13DDE3EF" w14:textId="74ACDFE0" w:rsidR="00337EA5" w:rsidRPr="00E72399" w:rsidRDefault="00337EA5" w:rsidP="00E72399">
      <w:pPr>
        <w:rPr>
          <w:rFonts w:cs="Times New Roman"/>
          <w:b/>
        </w:rPr>
      </w:pPr>
      <w:r w:rsidRPr="00E72399">
        <w:rPr>
          <w:rFonts w:cs="Times New Roman"/>
          <w:b/>
        </w:rPr>
        <w:t>Linearity Test Results</w:t>
      </w:r>
    </w:p>
    <w:p w14:paraId="427E0797" w14:textId="77777777" w:rsidR="00337EA5" w:rsidRPr="00E72399" w:rsidRDefault="00337EA5" w:rsidP="00E72399">
      <w:pPr>
        <w:pStyle w:val="NormalWeb"/>
        <w:jc w:val="both"/>
      </w:pPr>
      <w:r w:rsidRPr="00E72399">
        <w:t>Linearity of the regression model was assessed using the Ramsey RESET test, which detects specification errors and omitted variables.</w:t>
      </w:r>
    </w:p>
    <w:p w14:paraId="77F5F56F" w14:textId="0F6BC1F5" w:rsidR="00337EA5" w:rsidRPr="00E72399" w:rsidRDefault="00337EA5" w:rsidP="00E72399">
      <w:pPr>
        <w:pStyle w:val="NormalWeb"/>
        <w:jc w:val="both"/>
      </w:pPr>
      <w:r w:rsidRPr="00E72399">
        <w:rPr>
          <w:rStyle w:val="Strong"/>
        </w:rPr>
        <w:t>Table 4: Ramsey RESET Linearity Test Results</w:t>
      </w:r>
    </w:p>
    <w:tbl>
      <w:tblPr>
        <w:tblStyle w:val="TableGrid1"/>
        <w:tblW w:w="0" w:type="auto"/>
        <w:tblLook w:val="04A0" w:firstRow="1" w:lastRow="0" w:firstColumn="1" w:lastColumn="0" w:noHBand="0" w:noVBand="1"/>
      </w:tblPr>
      <w:tblGrid>
        <w:gridCol w:w="2248"/>
        <w:gridCol w:w="3243"/>
      </w:tblGrid>
      <w:tr w:rsidR="00337EA5" w:rsidRPr="00E72399" w14:paraId="20774BF3" w14:textId="77777777" w:rsidTr="00337EA5">
        <w:tc>
          <w:tcPr>
            <w:tcW w:w="0" w:type="auto"/>
            <w:hideMark/>
          </w:tcPr>
          <w:p w14:paraId="31D58B67" w14:textId="77777777" w:rsidR="00337EA5" w:rsidRPr="00E72399" w:rsidRDefault="00337EA5" w:rsidP="00E72399">
            <w:pPr>
              <w:rPr>
                <w:rFonts w:cs="Times New Roman"/>
                <w:b/>
                <w:bCs/>
              </w:rPr>
            </w:pPr>
            <w:r w:rsidRPr="00E72399">
              <w:rPr>
                <w:rFonts w:cs="Times New Roman"/>
                <w:b/>
                <w:bCs/>
              </w:rPr>
              <w:t>Test</w:t>
            </w:r>
          </w:p>
        </w:tc>
        <w:tc>
          <w:tcPr>
            <w:tcW w:w="0" w:type="auto"/>
            <w:hideMark/>
          </w:tcPr>
          <w:p w14:paraId="6851AD6E" w14:textId="77777777" w:rsidR="00337EA5" w:rsidRPr="00E72399" w:rsidRDefault="00337EA5" w:rsidP="00E72399">
            <w:pPr>
              <w:rPr>
                <w:rFonts w:cs="Times New Roman"/>
                <w:b/>
                <w:bCs/>
              </w:rPr>
            </w:pPr>
            <w:r w:rsidRPr="00E72399">
              <w:rPr>
                <w:rFonts w:cs="Times New Roman"/>
                <w:b/>
                <w:bCs/>
              </w:rPr>
              <w:t>Value</w:t>
            </w:r>
          </w:p>
        </w:tc>
      </w:tr>
      <w:tr w:rsidR="00337EA5" w:rsidRPr="00E72399" w14:paraId="46FE2C7B" w14:textId="77777777" w:rsidTr="00337EA5">
        <w:tc>
          <w:tcPr>
            <w:tcW w:w="0" w:type="auto"/>
            <w:hideMark/>
          </w:tcPr>
          <w:p w14:paraId="1BA96DD7" w14:textId="77777777" w:rsidR="00337EA5" w:rsidRPr="00E72399" w:rsidRDefault="00337EA5" w:rsidP="00E72399">
            <w:pPr>
              <w:rPr>
                <w:rFonts w:cs="Times New Roman"/>
              </w:rPr>
            </w:pPr>
            <w:r w:rsidRPr="00E72399">
              <w:rPr>
                <w:rFonts w:cs="Times New Roman"/>
              </w:rPr>
              <w:t>Null Hypothesis (H₀)</w:t>
            </w:r>
          </w:p>
        </w:tc>
        <w:tc>
          <w:tcPr>
            <w:tcW w:w="0" w:type="auto"/>
            <w:hideMark/>
          </w:tcPr>
          <w:p w14:paraId="4DE78C4C" w14:textId="77777777" w:rsidR="00337EA5" w:rsidRPr="00E72399" w:rsidRDefault="00337EA5" w:rsidP="00E72399">
            <w:pPr>
              <w:rPr>
                <w:rFonts w:cs="Times New Roman"/>
              </w:rPr>
            </w:pPr>
            <w:r w:rsidRPr="00E72399">
              <w:rPr>
                <w:rFonts w:cs="Times New Roman"/>
              </w:rPr>
              <w:t>Model has no omitted variables</w:t>
            </w:r>
          </w:p>
        </w:tc>
      </w:tr>
      <w:tr w:rsidR="00337EA5" w:rsidRPr="00E72399" w14:paraId="60862659" w14:textId="77777777" w:rsidTr="00337EA5">
        <w:tc>
          <w:tcPr>
            <w:tcW w:w="0" w:type="auto"/>
            <w:hideMark/>
          </w:tcPr>
          <w:p w14:paraId="1FFD419A" w14:textId="77777777" w:rsidR="00337EA5" w:rsidRPr="00E72399" w:rsidRDefault="00337EA5" w:rsidP="00E72399">
            <w:pPr>
              <w:rPr>
                <w:rFonts w:cs="Times New Roman"/>
              </w:rPr>
            </w:pPr>
            <w:r w:rsidRPr="00E72399">
              <w:rPr>
                <w:rFonts w:cs="Times New Roman"/>
              </w:rPr>
              <w:t>Variables tested</w:t>
            </w:r>
          </w:p>
        </w:tc>
        <w:tc>
          <w:tcPr>
            <w:tcW w:w="0" w:type="auto"/>
            <w:hideMark/>
          </w:tcPr>
          <w:p w14:paraId="51CA7F65" w14:textId="77777777" w:rsidR="00337EA5" w:rsidRPr="00E72399" w:rsidRDefault="00337EA5" w:rsidP="00E72399">
            <w:pPr>
              <w:rPr>
                <w:rFonts w:cs="Times New Roman"/>
              </w:rPr>
            </w:pPr>
            <w:r w:rsidRPr="00E72399">
              <w:rPr>
                <w:rFonts w:cs="Times New Roman"/>
              </w:rPr>
              <w:t>Powers of fitted values of FH</w:t>
            </w:r>
          </w:p>
        </w:tc>
      </w:tr>
      <w:tr w:rsidR="00337EA5" w:rsidRPr="00E72399" w14:paraId="0AA69BB6" w14:textId="77777777" w:rsidTr="00337EA5">
        <w:tc>
          <w:tcPr>
            <w:tcW w:w="0" w:type="auto"/>
            <w:hideMark/>
          </w:tcPr>
          <w:p w14:paraId="157A0A50" w14:textId="77777777" w:rsidR="00337EA5" w:rsidRPr="00E72399" w:rsidRDefault="00337EA5" w:rsidP="00E72399">
            <w:pPr>
              <w:rPr>
                <w:rFonts w:cs="Times New Roman"/>
              </w:rPr>
            </w:pPr>
            <w:r w:rsidRPr="00E72399">
              <w:rPr>
                <w:rFonts w:cs="Times New Roman"/>
              </w:rPr>
              <w:t>F-statistic</w:t>
            </w:r>
          </w:p>
        </w:tc>
        <w:tc>
          <w:tcPr>
            <w:tcW w:w="0" w:type="auto"/>
            <w:hideMark/>
          </w:tcPr>
          <w:p w14:paraId="05EA5AB6" w14:textId="77777777" w:rsidR="00337EA5" w:rsidRPr="00E72399" w:rsidRDefault="00337EA5" w:rsidP="00E72399">
            <w:pPr>
              <w:rPr>
                <w:rFonts w:cs="Times New Roman"/>
              </w:rPr>
            </w:pPr>
            <w:r w:rsidRPr="00E72399">
              <w:rPr>
                <w:rFonts w:cs="Times New Roman"/>
              </w:rPr>
              <w:t>0.70</w:t>
            </w:r>
          </w:p>
        </w:tc>
      </w:tr>
      <w:tr w:rsidR="00337EA5" w:rsidRPr="00E72399" w14:paraId="1492EA96" w14:textId="77777777" w:rsidTr="00337EA5">
        <w:tc>
          <w:tcPr>
            <w:tcW w:w="0" w:type="auto"/>
            <w:hideMark/>
          </w:tcPr>
          <w:p w14:paraId="34B0534F" w14:textId="77777777" w:rsidR="00337EA5" w:rsidRPr="00E72399" w:rsidRDefault="00337EA5" w:rsidP="00E72399">
            <w:pPr>
              <w:rPr>
                <w:rFonts w:cs="Times New Roman"/>
              </w:rPr>
            </w:pPr>
            <w:r w:rsidRPr="00E72399">
              <w:rPr>
                <w:rFonts w:cs="Times New Roman"/>
              </w:rPr>
              <w:t>p-value (Prob &gt; F)</w:t>
            </w:r>
          </w:p>
        </w:tc>
        <w:tc>
          <w:tcPr>
            <w:tcW w:w="0" w:type="auto"/>
            <w:hideMark/>
          </w:tcPr>
          <w:p w14:paraId="6B78CE65" w14:textId="77777777" w:rsidR="00337EA5" w:rsidRPr="00E72399" w:rsidRDefault="00337EA5" w:rsidP="00E72399">
            <w:pPr>
              <w:rPr>
                <w:rFonts w:cs="Times New Roman"/>
              </w:rPr>
            </w:pPr>
            <w:r w:rsidRPr="00E72399">
              <w:rPr>
                <w:rFonts w:cs="Times New Roman"/>
              </w:rPr>
              <w:t>0.557</w:t>
            </w:r>
          </w:p>
        </w:tc>
      </w:tr>
    </w:tbl>
    <w:p w14:paraId="633E3390" w14:textId="77777777" w:rsidR="00337EA5" w:rsidRPr="00E72399" w:rsidRDefault="00337EA5" w:rsidP="00E72399">
      <w:pPr>
        <w:pStyle w:val="NormalWeb"/>
        <w:jc w:val="both"/>
      </w:pPr>
      <w:r w:rsidRPr="00E72399">
        <w:t>With p = 0.557 (&gt; 0.05), the null hypothesis is not rejected, suggesting the model’s functional form is correct and no omitted variable bias exists. This confirms linearity, ensuring the reliability of subsequent regression results.</w:t>
      </w:r>
    </w:p>
    <w:p w14:paraId="5BE16301" w14:textId="77777777" w:rsidR="00E72399" w:rsidRDefault="00E72399" w:rsidP="00E72399">
      <w:pPr>
        <w:rPr>
          <w:rFonts w:cs="Times New Roman"/>
          <w:b/>
          <w:i/>
        </w:rPr>
      </w:pPr>
    </w:p>
    <w:p w14:paraId="09DCD416" w14:textId="77777777" w:rsidR="00E72399" w:rsidRDefault="00E72399" w:rsidP="00E72399">
      <w:pPr>
        <w:rPr>
          <w:rFonts w:cs="Times New Roman"/>
          <w:b/>
          <w:i/>
        </w:rPr>
      </w:pPr>
    </w:p>
    <w:p w14:paraId="644D088E" w14:textId="428F2DCC" w:rsidR="00337EA5" w:rsidRPr="00E72399" w:rsidRDefault="00337EA5" w:rsidP="00E72399">
      <w:pPr>
        <w:rPr>
          <w:rFonts w:cs="Times New Roman"/>
          <w:b/>
          <w:i/>
        </w:rPr>
      </w:pPr>
      <w:r w:rsidRPr="00E72399">
        <w:rPr>
          <w:rFonts w:cs="Times New Roman"/>
          <w:b/>
          <w:i/>
        </w:rPr>
        <w:t>Multicollinearity Test Results</w:t>
      </w:r>
    </w:p>
    <w:p w14:paraId="7A4E2957" w14:textId="77777777" w:rsidR="00337EA5" w:rsidRPr="00E72399" w:rsidRDefault="00337EA5" w:rsidP="00E72399">
      <w:pPr>
        <w:pStyle w:val="NormalWeb"/>
        <w:jc w:val="both"/>
      </w:pPr>
      <w:r w:rsidRPr="00E72399">
        <w:t>Multicollinearity among predictor variables was assessed using Variance Inflation Factor (VIF) and tolerance values. High multicollinearity can distort regression estimates by inflating standard errors.</w:t>
      </w:r>
    </w:p>
    <w:p w14:paraId="2394F52E" w14:textId="5E15C99C" w:rsidR="00337EA5" w:rsidRPr="00E72399" w:rsidRDefault="00E62F62" w:rsidP="00E72399">
      <w:pPr>
        <w:pStyle w:val="NormalWeb"/>
        <w:jc w:val="both"/>
      </w:pPr>
      <w:r w:rsidRPr="00E72399">
        <w:rPr>
          <w:rStyle w:val="Strong"/>
        </w:rPr>
        <w:t>Table 5</w:t>
      </w:r>
      <w:r w:rsidR="00337EA5" w:rsidRPr="00E72399">
        <w:rPr>
          <w:rStyle w:val="Strong"/>
        </w:rPr>
        <w:t>: Multicollinearity Test Results</w:t>
      </w:r>
    </w:p>
    <w:tbl>
      <w:tblPr>
        <w:tblStyle w:val="TableGrid1"/>
        <w:tblW w:w="0" w:type="auto"/>
        <w:tblLook w:val="04A0" w:firstRow="1" w:lastRow="0" w:firstColumn="1" w:lastColumn="0" w:noHBand="0" w:noVBand="1"/>
      </w:tblPr>
      <w:tblGrid>
        <w:gridCol w:w="1210"/>
        <w:gridCol w:w="636"/>
        <w:gridCol w:w="2063"/>
      </w:tblGrid>
      <w:tr w:rsidR="00337EA5" w:rsidRPr="00E72399" w14:paraId="75C8110E" w14:textId="77777777" w:rsidTr="00337EA5">
        <w:tc>
          <w:tcPr>
            <w:tcW w:w="0" w:type="auto"/>
            <w:hideMark/>
          </w:tcPr>
          <w:p w14:paraId="248EA1E1" w14:textId="77777777" w:rsidR="00337EA5" w:rsidRPr="00E72399" w:rsidRDefault="00337EA5" w:rsidP="00E72399">
            <w:pPr>
              <w:rPr>
                <w:rFonts w:cs="Times New Roman"/>
                <w:b/>
                <w:bCs/>
              </w:rPr>
            </w:pPr>
            <w:r w:rsidRPr="00E72399">
              <w:rPr>
                <w:rFonts w:cs="Times New Roman"/>
                <w:b/>
                <w:bCs/>
              </w:rPr>
              <w:t>Variable</w:t>
            </w:r>
          </w:p>
        </w:tc>
        <w:tc>
          <w:tcPr>
            <w:tcW w:w="0" w:type="auto"/>
            <w:hideMark/>
          </w:tcPr>
          <w:p w14:paraId="0EE5091C" w14:textId="77777777" w:rsidR="00337EA5" w:rsidRPr="00E72399" w:rsidRDefault="00337EA5" w:rsidP="00E72399">
            <w:pPr>
              <w:rPr>
                <w:rFonts w:cs="Times New Roman"/>
                <w:b/>
                <w:bCs/>
              </w:rPr>
            </w:pPr>
            <w:r w:rsidRPr="00E72399">
              <w:rPr>
                <w:rFonts w:cs="Times New Roman"/>
                <w:b/>
                <w:bCs/>
              </w:rPr>
              <w:t>VIF</w:t>
            </w:r>
          </w:p>
        </w:tc>
        <w:tc>
          <w:tcPr>
            <w:tcW w:w="0" w:type="auto"/>
            <w:hideMark/>
          </w:tcPr>
          <w:p w14:paraId="039B3EE2" w14:textId="77777777" w:rsidR="00337EA5" w:rsidRPr="00E72399" w:rsidRDefault="00337EA5" w:rsidP="00E72399">
            <w:pPr>
              <w:rPr>
                <w:rFonts w:cs="Times New Roman"/>
                <w:b/>
                <w:bCs/>
              </w:rPr>
            </w:pPr>
            <w:r w:rsidRPr="00E72399">
              <w:rPr>
                <w:rFonts w:cs="Times New Roman"/>
                <w:b/>
                <w:bCs/>
              </w:rPr>
              <w:t>Tolerance (1/VIF)</w:t>
            </w:r>
          </w:p>
        </w:tc>
      </w:tr>
      <w:tr w:rsidR="00337EA5" w:rsidRPr="00E72399" w14:paraId="14495351" w14:textId="77777777" w:rsidTr="00337EA5">
        <w:tc>
          <w:tcPr>
            <w:tcW w:w="0" w:type="auto"/>
            <w:hideMark/>
          </w:tcPr>
          <w:p w14:paraId="174345B1" w14:textId="77777777" w:rsidR="00337EA5" w:rsidRPr="00E72399" w:rsidRDefault="00337EA5" w:rsidP="00E72399">
            <w:pPr>
              <w:rPr>
                <w:rFonts w:cs="Times New Roman"/>
              </w:rPr>
            </w:pPr>
            <w:r w:rsidRPr="00E72399">
              <w:rPr>
                <w:rFonts w:cs="Times New Roman"/>
              </w:rPr>
              <w:t>IMP</w:t>
            </w:r>
          </w:p>
        </w:tc>
        <w:tc>
          <w:tcPr>
            <w:tcW w:w="0" w:type="auto"/>
            <w:hideMark/>
          </w:tcPr>
          <w:p w14:paraId="0AD557AB" w14:textId="77777777" w:rsidR="00337EA5" w:rsidRPr="00E72399" w:rsidRDefault="00337EA5" w:rsidP="00E72399">
            <w:pPr>
              <w:rPr>
                <w:rFonts w:cs="Times New Roman"/>
              </w:rPr>
            </w:pPr>
            <w:r w:rsidRPr="00E72399">
              <w:rPr>
                <w:rFonts w:cs="Times New Roman"/>
              </w:rPr>
              <w:t>1.99</w:t>
            </w:r>
          </w:p>
        </w:tc>
        <w:tc>
          <w:tcPr>
            <w:tcW w:w="0" w:type="auto"/>
            <w:hideMark/>
          </w:tcPr>
          <w:p w14:paraId="3590EFB9" w14:textId="77777777" w:rsidR="00337EA5" w:rsidRPr="00E72399" w:rsidRDefault="00337EA5" w:rsidP="00E72399">
            <w:pPr>
              <w:rPr>
                <w:rFonts w:cs="Times New Roman"/>
              </w:rPr>
            </w:pPr>
            <w:r w:rsidRPr="00E72399">
              <w:rPr>
                <w:rFonts w:cs="Times New Roman"/>
              </w:rPr>
              <w:t>0.502</w:t>
            </w:r>
          </w:p>
        </w:tc>
      </w:tr>
      <w:tr w:rsidR="00337EA5" w:rsidRPr="00E72399" w14:paraId="26BD203F" w14:textId="77777777" w:rsidTr="00337EA5">
        <w:tc>
          <w:tcPr>
            <w:tcW w:w="0" w:type="auto"/>
            <w:hideMark/>
          </w:tcPr>
          <w:p w14:paraId="5C0E0C5C" w14:textId="77777777" w:rsidR="00337EA5" w:rsidRPr="00E72399" w:rsidRDefault="00337EA5" w:rsidP="00E72399">
            <w:pPr>
              <w:rPr>
                <w:rFonts w:cs="Times New Roman"/>
              </w:rPr>
            </w:pPr>
            <w:r w:rsidRPr="00E72399">
              <w:rPr>
                <w:rFonts w:cs="Times New Roman"/>
              </w:rPr>
              <w:t>CMP</w:t>
            </w:r>
          </w:p>
        </w:tc>
        <w:tc>
          <w:tcPr>
            <w:tcW w:w="0" w:type="auto"/>
            <w:hideMark/>
          </w:tcPr>
          <w:p w14:paraId="21FD1FA2" w14:textId="77777777" w:rsidR="00337EA5" w:rsidRPr="00E72399" w:rsidRDefault="00337EA5" w:rsidP="00E72399">
            <w:pPr>
              <w:rPr>
                <w:rFonts w:cs="Times New Roman"/>
              </w:rPr>
            </w:pPr>
            <w:r w:rsidRPr="00E72399">
              <w:rPr>
                <w:rFonts w:cs="Times New Roman"/>
              </w:rPr>
              <w:t>1.74</w:t>
            </w:r>
          </w:p>
        </w:tc>
        <w:tc>
          <w:tcPr>
            <w:tcW w:w="0" w:type="auto"/>
            <w:hideMark/>
          </w:tcPr>
          <w:p w14:paraId="06B34726" w14:textId="77777777" w:rsidR="00337EA5" w:rsidRPr="00E72399" w:rsidRDefault="00337EA5" w:rsidP="00E72399">
            <w:pPr>
              <w:rPr>
                <w:rFonts w:cs="Times New Roman"/>
              </w:rPr>
            </w:pPr>
            <w:r w:rsidRPr="00E72399">
              <w:rPr>
                <w:rFonts w:cs="Times New Roman"/>
              </w:rPr>
              <w:t>0.575</w:t>
            </w:r>
          </w:p>
        </w:tc>
      </w:tr>
      <w:tr w:rsidR="00337EA5" w:rsidRPr="00E72399" w14:paraId="41C1A884" w14:textId="77777777" w:rsidTr="00337EA5">
        <w:tc>
          <w:tcPr>
            <w:tcW w:w="0" w:type="auto"/>
            <w:hideMark/>
          </w:tcPr>
          <w:p w14:paraId="408AE781" w14:textId="77777777" w:rsidR="00337EA5" w:rsidRPr="00E72399" w:rsidRDefault="00337EA5" w:rsidP="00E72399">
            <w:pPr>
              <w:rPr>
                <w:rFonts w:cs="Times New Roman"/>
              </w:rPr>
            </w:pPr>
            <w:r w:rsidRPr="00E72399">
              <w:rPr>
                <w:rFonts w:cs="Times New Roman"/>
              </w:rPr>
              <w:t>APM</w:t>
            </w:r>
          </w:p>
        </w:tc>
        <w:tc>
          <w:tcPr>
            <w:tcW w:w="0" w:type="auto"/>
            <w:hideMark/>
          </w:tcPr>
          <w:p w14:paraId="2BE018CE" w14:textId="77777777" w:rsidR="00337EA5" w:rsidRPr="00E72399" w:rsidRDefault="00337EA5" w:rsidP="00E72399">
            <w:pPr>
              <w:rPr>
                <w:rFonts w:cs="Times New Roman"/>
              </w:rPr>
            </w:pPr>
            <w:r w:rsidRPr="00E72399">
              <w:rPr>
                <w:rFonts w:cs="Times New Roman"/>
              </w:rPr>
              <w:t>1.55</w:t>
            </w:r>
          </w:p>
        </w:tc>
        <w:tc>
          <w:tcPr>
            <w:tcW w:w="0" w:type="auto"/>
            <w:hideMark/>
          </w:tcPr>
          <w:p w14:paraId="4F24619D" w14:textId="77777777" w:rsidR="00337EA5" w:rsidRPr="00E72399" w:rsidRDefault="00337EA5" w:rsidP="00E72399">
            <w:pPr>
              <w:rPr>
                <w:rFonts w:cs="Times New Roman"/>
              </w:rPr>
            </w:pPr>
            <w:r w:rsidRPr="00E72399">
              <w:rPr>
                <w:rFonts w:cs="Times New Roman"/>
              </w:rPr>
              <w:t>0.644</w:t>
            </w:r>
          </w:p>
        </w:tc>
      </w:tr>
      <w:tr w:rsidR="00337EA5" w:rsidRPr="00E72399" w14:paraId="0F22C8F9" w14:textId="77777777" w:rsidTr="00337EA5">
        <w:tc>
          <w:tcPr>
            <w:tcW w:w="0" w:type="auto"/>
            <w:hideMark/>
          </w:tcPr>
          <w:p w14:paraId="3D6A99AF" w14:textId="77777777" w:rsidR="00337EA5" w:rsidRPr="00E72399" w:rsidRDefault="00337EA5" w:rsidP="00E72399">
            <w:pPr>
              <w:rPr>
                <w:rFonts w:cs="Times New Roman"/>
              </w:rPr>
            </w:pPr>
            <w:r w:rsidRPr="00E72399">
              <w:rPr>
                <w:rFonts w:cs="Times New Roman"/>
              </w:rPr>
              <w:t>Mean VIF</w:t>
            </w:r>
          </w:p>
        </w:tc>
        <w:tc>
          <w:tcPr>
            <w:tcW w:w="0" w:type="auto"/>
            <w:hideMark/>
          </w:tcPr>
          <w:p w14:paraId="3D969E39" w14:textId="77777777" w:rsidR="00337EA5" w:rsidRPr="00E72399" w:rsidRDefault="00337EA5" w:rsidP="00E72399">
            <w:pPr>
              <w:rPr>
                <w:rFonts w:cs="Times New Roman"/>
              </w:rPr>
            </w:pPr>
            <w:r w:rsidRPr="00E72399">
              <w:rPr>
                <w:rFonts w:cs="Times New Roman"/>
              </w:rPr>
              <w:t>1.76</w:t>
            </w:r>
          </w:p>
        </w:tc>
        <w:tc>
          <w:tcPr>
            <w:tcW w:w="0" w:type="auto"/>
            <w:hideMark/>
          </w:tcPr>
          <w:p w14:paraId="5640CDC4" w14:textId="77777777" w:rsidR="00337EA5" w:rsidRPr="00E72399" w:rsidRDefault="00337EA5" w:rsidP="00E72399">
            <w:pPr>
              <w:rPr>
                <w:rFonts w:cs="Times New Roman"/>
              </w:rPr>
            </w:pPr>
            <w:r w:rsidRPr="00E72399">
              <w:rPr>
                <w:rFonts w:cs="Times New Roman"/>
              </w:rPr>
              <w:t>-</w:t>
            </w:r>
          </w:p>
        </w:tc>
      </w:tr>
    </w:tbl>
    <w:p w14:paraId="4484BA18" w14:textId="77777777" w:rsidR="00337EA5" w:rsidRPr="00E72399" w:rsidRDefault="00337EA5" w:rsidP="00E72399">
      <w:pPr>
        <w:pStyle w:val="NormalWeb"/>
        <w:jc w:val="both"/>
      </w:pPr>
      <w:r w:rsidRPr="00E72399">
        <w:t>All VIF values are well below the cutoff of 10, and tolerance values exceed 0.1, indicating no serious multicollinearity. This confirms that the predictors are independent, supporting reliable coefficient estimation.</w:t>
      </w:r>
    </w:p>
    <w:p w14:paraId="32E4090E" w14:textId="066DDF03" w:rsidR="00337EA5" w:rsidRPr="00E72399" w:rsidRDefault="00337EA5" w:rsidP="00E72399">
      <w:pPr>
        <w:rPr>
          <w:rFonts w:cs="Times New Roman"/>
          <w:b/>
          <w:i/>
        </w:rPr>
      </w:pPr>
      <w:r w:rsidRPr="00E72399">
        <w:rPr>
          <w:rFonts w:cs="Times New Roman"/>
          <w:b/>
          <w:i/>
        </w:rPr>
        <w:t>Heteroscedasticity Test Results</w:t>
      </w:r>
    </w:p>
    <w:p w14:paraId="713C2BDC" w14:textId="77777777" w:rsidR="00337EA5" w:rsidRPr="00E72399" w:rsidRDefault="00337EA5" w:rsidP="00E72399">
      <w:pPr>
        <w:pStyle w:val="NormalWeb"/>
        <w:jc w:val="both"/>
      </w:pPr>
      <w:r w:rsidRPr="00E72399">
        <w:t>Homoscedasticity, the constancy of error term variance, was examined using the Breusch-Pagan/Cook-Weisberg test.</w:t>
      </w:r>
    </w:p>
    <w:p w14:paraId="2C6B8598" w14:textId="258EFF1F" w:rsidR="00337EA5" w:rsidRPr="00E72399" w:rsidRDefault="00E62F62" w:rsidP="00E72399">
      <w:pPr>
        <w:pStyle w:val="NormalWeb"/>
        <w:jc w:val="both"/>
      </w:pPr>
      <w:r w:rsidRPr="00E72399">
        <w:rPr>
          <w:rStyle w:val="Strong"/>
        </w:rPr>
        <w:t>Table 6</w:t>
      </w:r>
      <w:r w:rsidR="00337EA5" w:rsidRPr="00E72399">
        <w:rPr>
          <w:rStyle w:val="Strong"/>
        </w:rPr>
        <w:t>: Breusch-Pagan/Cook-Weisberg Heteroscedasticity Test</w:t>
      </w:r>
    </w:p>
    <w:tbl>
      <w:tblPr>
        <w:tblStyle w:val="TableGrid1"/>
        <w:tblW w:w="0" w:type="auto"/>
        <w:tblLook w:val="04A0" w:firstRow="1" w:lastRow="0" w:firstColumn="1" w:lastColumn="0" w:noHBand="0" w:noVBand="1"/>
      </w:tblPr>
      <w:tblGrid>
        <w:gridCol w:w="2248"/>
        <w:gridCol w:w="2076"/>
      </w:tblGrid>
      <w:tr w:rsidR="00337EA5" w:rsidRPr="00E72399" w14:paraId="3C3D49AB" w14:textId="77777777" w:rsidTr="00E62F62">
        <w:tc>
          <w:tcPr>
            <w:tcW w:w="0" w:type="auto"/>
            <w:hideMark/>
          </w:tcPr>
          <w:p w14:paraId="33F0D6A3" w14:textId="77777777" w:rsidR="00337EA5" w:rsidRPr="00E72399" w:rsidRDefault="00337EA5" w:rsidP="00E72399">
            <w:pPr>
              <w:rPr>
                <w:rFonts w:cs="Times New Roman"/>
                <w:b/>
                <w:bCs/>
              </w:rPr>
            </w:pPr>
            <w:r w:rsidRPr="00E72399">
              <w:rPr>
                <w:rFonts w:cs="Times New Roman"/>
                <w:b/>
                <w:bCs/>
              </w:rPr>
              <w:t>Test</w:t>
            </w:r>
          </w:p>
        </w:tc>
        <w:tc>
          <w:tcPr>
            <w:tcW w:w="0" w:type="auto"/>
            <w:hideMark/>
          </w:tcPr>
          <w:p w14:paraId="3966EA74" w14:textId="77777777" w:rsidR="00337EA5" w:rsidRPr="00E72399" w:rsidRDefault="00337EA5" w:rsidP="00E72399">
            <w:pPr>
              <w:rPr>
                <w:rFonts w:cs="Times New Roman"/>
                <w:b/>
                <w:bCs/>
              </w:rPr>
            </w:pPr>
            <w:r w:rsidRPr="00E72399">
              <w:rPr>
                <w:rFonts w:cs="Times New Roman"/>
                <w:b/>
                <w:bCs/>
              </w:rPr>
              <w:t>Value</w:t>
            </w:r>
          </w:p>
        </w:tc>
      </w:tr>
      <w:tr w:rsidR="00337EA5" w:rsidRPr="00E72399" w14:paraId="382D6923" w14:textId="77777777" w:rsidTr="00E62F62">
        <w:tc>
          <w:tcPr>
            <w:tcW w:w="0" w:type="auto"/>
            <w:hideMark/>
          </w:tcPr>
          <w:p w14:paraId="164003AF" w14:textId="77777777" w:rsidR="00337EA5" w:rsidRPr="00E72399" w:rsidRDefault="00337EA5" w:rsidP="00E72399">
            <w:pPr>
              <w:rPr>
                <w:rFonts w:cs="Times New Roman"/>
              </w:rPr>
            </w:pPr>
            <w:r w:rsidRPr="00E72399">
              <w:rPr>
                <w:rFonts w:cs="Times New Roman"/>
              </w:rPr>
              <w:t>Null Hypothesis (H₀)</w:t>
            </w:r>
          </w:p>
        </w:tc>
        <w:tc>
          <w:tcPr>
            <w:tcW w:w="0" w:type="auto"/>
            <w:hideMark/>
          </w:tcPr>
          <w:p w14:paraId="30DA0CE5" w14:textId="77777777" w:rsidR="00337EA5" w:rsidRPr="00E72399" w:rsidRDefault="00337EA5" w:rsidP="00E72399">
            <w:pPr>
              <w:rPr>
                <w:rFonts w:cs="Times New Roman"/>
              </w:rPr>
            </w:pPr>
            <w:r w:rsidRPr="00E72399">
              <w:rPr>
                <w:rFonts w:cs="Times New Roman"/>
              </w:rPr>
              <w:t>Constant variance</w:t>
            </w:r>
          </w:p>
        </w:tc>
      </w:tr>
      <w:tr w:rsidR="00337EA5" w:rsidRPr="00E72399" w14:paraId="08361DDB" w14:textId="77777777" w:rsidTr="00E62F62">
        <w:tc>
          <w:tcPr>
            <w:tcW w:w="0" w:type="auto"/>
            <w:hideMark/>
          </w:tcPr>
          <w:p w14:paraId="4127232E" w14:textId="77777777" w:rsidR="00337EA5" w:rsidRPr="00E72399" w:rsidRDefault="00337EA5" w:rsidP="00E72399">
            <w:pPr>
              <w:rPr>
                <w:rFonts w:cs="Times New Roman"/>
              </w:rPr>
            </w:pPr>
            <w:r w:rsidRPr="00E72399">
              <w:rPr>
                <w:rFonts w:cs="Times New Roman"/>
              </w:rPr>
              <w:t>Variables tested</w:t>
            </w:r>
          </w:p>
        </w:tc>
        <w:tc>
          <w:tcPr>
            <w:tcW w:w="0" w:type="auto"/>
            <w:hideMark/>
          </w:tcPr>
          <w:p w14:paraId="157D6FC9" w14:textId="77777777" w:rsidR="00337EA5" w:rsidRPr="00E72399" w:rsidRDefault="00337EA5" w:rsidP="00E72399">
            <w:pPr>
              <w:rPr>
                <w:rFonts w:cs="Times New Roman"/>
              </w:rPr>
            </w:pPr>
            <w:r w:rsidRPr="00E72399">
              <w:rPr>
                <w:rFonts w:cs="Times New Roman"/>
              </w:rPr>
              <w:t>Fitted values of FH</w:t>
            </w:r>
          </w:p>
        </w:tc>
      </w:tr>
      <w:tr w:rsidR="00337EA5" w:rsidRPr="00E72399" w14:paraId="57CC3A66" w14:textId="77777777" w:rsidTr="00E62F62">
        <w:tc>
          <w:tcPr>
            <w:tcW w:w="0" w:type="auto"/>
            <w:hideMark/>
          </w:tcPr>
          <w:p w14:paraId="1F241801" w14:textId="77777777" w:rsidR="00337EA5" w:rsidRPr="00E72399" w:rsidRDefault="00337EA5" w:rsidP="00E72399">
            <w:pPr>
              <w:rPr>
                <w:rFonts w:cs="Times New Roman"/>
              </w:rPr>
            </w:pPr>
            <w:r w:rsidRPr="00E72399">
              <w:rPr>
                <w:rFonts w:cs="Times New Roman"/>
              </w:rPr>
              <w:lastRenderedPageBreak/>
              <w:t>χ² (1)</w:t>
            </w:r>
          </w:p>
        </w:tc>
        <w:tc>
          <w:tcPr>
            <w:tcW w:w="0" w:type="auto"/>
            <w:hideMark/>
          </w:tcPr>
          <w:p w14:paraId="46B98FBE" w14:textId="77777777" w:rsidR="00337EA5" w:rsidRPr="00E72399" w:rsidRDefault="00337EA5" w:rsidP="00E72399">
            <w:pPr>
              <w:rPr>
                <w:rFonts w:cs="Times New Roman"/>
              </w:rPr>
            </w:pPr>
            <w:r w:rsidRPr="00E72399">
              <w:rPr>
                <w:rFonts w:cs="Times New Roman"/>
              </w:rPr>
              <w:t>0.21</w:t>
            </w:r>
          </w:p>
        </w:tc>
      </w:tr>
      <w:tr w:rsidR="00337EA5" w:rsidRPr="00E72399" w14:paraId="1C4A51E5" w14:textId="77777777" w:rsidTr="00E62F62">
        <w:tc>
          <w:tcPr>
            <w:tcW w:w="0" w:type="auto"/>
            <w:hideMark/>
          </w:tcPr>
          <w:p w14:paraId="50E934BE" w14:textId="77777777" w:rsidR="00337EA5" w:rsidRPr="00E72399" w:rsidRDefault="00337EA5" w:rsidP="00E72399">
            <w:pPr>
              <w:rPr>
                <w:rFonts w:cs="Times New Roman"/>
              </w:rPr>
            </w:pPr>
            <w:r w:rsidRPr="00E72399">
              <w:rPr>
                <w:rFonts w:cs="Times New Roman"/>
              </w:rPr>
              <w:t>p-value (Prob &gt; χ²)</w:t>
            </w:r>
          </w:p>
        </w:tc>
        <w:tc>
          <w:tcPr>
            <w:tcW w:w="0" w:type="auto"/>
            <w:hideMark/>
          </w:tcPr>
          <w:p w14:paraId="1D994720" w14:textId="77777777" w:rsidR="00337EA5" w:rsidRPr="00E72399" w:rsidRDefault="00337EA5" w:rsidP="00E72399">
            <w:pPr>
              <w:rPr>
                <w:rFonts w:cs="Times New Roman"/>
              </w:rPr>
            </w:pPr>
            <w:r w:rsidRPr="00E72399">
              <w:rPr>
                <w:rFonts w:cs="Times New Roman"/>
              </w:rPr>
              <w:t>0.651</w:t>
            </w:r>
          </w:p>
        </w:tc>
      </w:tr>
    </w:tbl>
    <w:p w14:paraId="7BE6892B" w14:textId="56FA895E" w:rsidR="00E62F62" w:rsidRPr="00E72399" w:rsidRDefault="00337EA5" w:rsidP="00E72399">
      <w:pPr>
        <w:pStyle w:val="NormalWeb"/>
        <w:jc w:val="both"/>
      </w:pPr>
      <w:r w:rsidRPr="00E72399">
        <w:t>Since p = 0.651 (&gt; 0.05), the null hypothesis is accepted, indicating no evidence of heteroscedasticity. The regression residuals exhibit constant variance, strengthening the reliability of estimated coefficients and statistical tests.</w:t>
      </w:r>
    </w:p>
    <w:p w14:paraId="56293147" w14:textId="67C119D0" w:rsidR="00E62F62" w:rsidRPr="00E72399" w:rsidRDefault="00E62F62" w:rsidP="00E72399">
      <w:pPr>
        <w:rPr>
          <w:rFonts w:cs="Times New Roman"/>
          <w:b/>
        </w:rPr>
      </w:pPr>
      <w:r w:rsidRPr="00E72399">
        <w:rPr>
          <w:rFonts w:cs="Times New Roman"/>
          <w:b/>
        </w:rPr>
        <w:t>Correlation Analysis Results</w:t>
      </w:r>
    </w:p>
    <w:p w14:paraId="055457F9" w14:textId="77777777" w:rsidR="00E62F62" w:rsidRPr="00E72399" w:rsidRDefault="00E62F62" w:rsidP="00E72399">
      <w:pPr>
        <w:pStyle w:val="NormalWeb"/>
        <w:jc w:val="both"/>
      </w:pPr>
      <w:r w:rsidRPr="00E72399">
        <w:t>The study examined the relationships between inventory management practices (IMP), cash management practices (CMP), accounts payables management (APM), and the financial health (FH) of mini-marts operating in Nairobi County. Correlation analysis was conducted to determine the strength, direction, and significance of these relationships, providing insights into the interdependencies among key working capital management components and overall firm performance.</w:t>
      </w:r>
    </w:p>
    <w:p w14:paraId="0FBFA382" w14:textId="2FB51CD5" w:rsidR="00E62F62" w:rsidRPr="00E72399" w:rsidRDefault="00E62F62" w:rsidP="00E72399">
      <w:pPr>
        <w:pStyle w:val="NormalWeb"/>
        <w:jc w:val="both"/>
      </w:pPr>
      <w:r w:rsidRPr="00E72399">
        <w:t xml:space="preserve">The findings, summarized in Table </w:t>
      </w:r>
      <w:r w:rsidR="001A6591" w:rsidRPr="00E72399">
        <w:t>7</w:t>
      </w:r>
      <w:r w:rsidRPr="00E72399">
        <w:t>, show that all examined variables exhibit significant positive correlations at the 0.05 level. Inventory management practices were positively correlated with cash management practices (r = 0.617, p &lt; 0.05), account payables management (r = 0.484, p &lt; 0.05), and financial health (r = 0.623, p &lt; 0.05). Similarly, cash management practices correlated strongly with account payables management (r = 0.699, p &lt; 0.05) and financial health (r = 0.821, p &lt; 0.05). Account payables management also demonstrated a significant positive correlation with financial health (r = 0.460, p &lt; 0.05).</w:t>
      </w:r>
    </w:p>
    <w:p w14:paraId="45F0609B" w14:textId="77777777" w:rsidR="00E62F62" w:rsidRPr="00E72399" w:rsidRDefault="00E62F62" w:rsidP="00E72399">
      <w:pPr>
        <w:pStyle w:val="NormalWeb"/>
        <w:jc w:val="both"/>
      </w:pPr>
      <w:r w:rsidRPr="00E72399">
        <w:t>These results highlight that effective management of inventory, cash, and accounts payables is linked to better financial outcomes. The interrelatedness suggests that mini-marts can improve financial health by integrating and strengthening working capital practices across these domains.</w:t>
      </w:r>
    </w:p>
    <w:p w14:paraId="31B704DC" w14:textId="59F44AF7" w:rsidR="00E62F62" w:rsidRPr="00E72399" w:rsidRDefault="001A6591" w:rsidP="00E72399">
      <w:pPr>
        <w:pStyle w:val="NormalWeb"/>
        <w:jc w:val="both"/>
      </w:pPr>
      <w:r w:rsidRPr="00E72399">
        <w:rPr>
          <w:rStyle w:val="Strong"/>
        </w:rPr>
        <w:t>Table 7</w:t>
      </w:r>
      <w:r w:rsidR="00E62F62" w:rsidRPr="00E72399">
        <w:rPr>
          <w:rStyle w:val="Strong"/>
        </w:rPr>
        <w:t>: Correlation Results</w:t>
      </w:r>
    </w:p>
    <w:tbl>
      <w:tblPr>
        <w:tblStyle w:val="TableGrid1"/>
        <w:tblW w:w="0" w:type="auto"/>
        <w:tblLook w:val="04A0" w:firstRow="1" w:lastRow="0" w:firstColumn="1" w:lastColumn="0" w:noHBand="0" w:noVBand="1"/>
      </w:tblPr>
      <w:tblGrid>
        <w:gridCol w:w="1110"/>
        <w:gridCol w:w="630"/>
        <w:gridCol w:w="996"/>
        <w:gridCol w:w="996"/>
        <w:gridCol w:w="996"/>
      </w:tblGrid>
      <w:tr w:rsidR="00E62F62" w:rsidRPr="00E72399" w14:paraId="03E12268" w14:textId="77777777" w:rsidTr="001A6591">
        <w:tc>
          <w:tcPr>
            <w:tcW w:w="0" w:type="auto"/>
            <w:hideMark/>
          </w:tcPr>
          <w:p w14:paraId="55422AA3" w14:textId="77777777" w:rsidR="00E62F62" w:rsidRPr="00E72399" w:rsidRDefault="00E62F62" w:rsidP="00E72399">
            <w:pPr>
              <w:rPr>
                <w:rFonts w:cs="Times New Roman"/>
                <w:b/>
                <w:bCs/>
              </w:rPr>
            </w:pPr>
            <w:r w:rsidRPr="00E72399">
              <w:rPr>
                <w:rFonts w:cs="Times New Roman"/>
                <w:b/>
                <w:bCs/>
              </w:rPr>
              <w:t>Variable</w:t>
            </w:r>
          </w:p>
        </w:tc>
        <w:tc>
          <w:tcPr>
            <w:tcW w:w="0" w:type="auto"/>
            <w:hideMark/>
          </w:tcPr>
          <w:p w14:paraId="666A8A53" w14:textId="77777777" w:rsidR="00E62F62" w:rsidRPr="00E72399" w:rsidRDefault="00E62F62" w:rsidP="00E72399">
            <w:pPr>
              <w:rPr>
                <w:rFonts w:cs="Times New Roman"/>
                <w:b/>
                <w:bCs/>
              </w:rPr>
            </w:pPr>
            <w:r w:rsidRPr="00E72399">
              <w:rPr>
                <w:rFonts w:cs="Times New Roman"/>
                <w:b/>
                <w:bCs/>
              </w:rPr>
              <w:t>INP</w:t>
            </w:r>
          </w:p>
        </w:tc>
        <w:tc>
          <w:tcPr>
            <w:tcW w:w="0" w:type="auto"/>
            <w:hideMark/>
          </w:tcPr>
          <w:p w14:paraId="20498D90" w14:textId="77777777" w:rsidR="00E62F62" w:rsidRPr="00E72399" w:rsidRDefault="00E62F62" w:rsidP="00E72399">
            <w:pPr>
              <w:rPr>
                <w:rFonts w:cs="Times New Roman"/>
                <w:b/>
                <w:bCs/>
              </w:rPr>
            </w:pPr>
            <w:r w:rsidRPr="00E72399">
              <w:rPr>
                <w:rFonts w:cs="Times New Roman"/>
                <w:b/>
                <w:bCs/>
              </w:rPr>
              <w:t>CMP</w:t>
            </w:r>
          </w:p>
        </w:tc>
        <w:tc>
          <w:tcPr>
            <w:tcW w:w="0" w:type="auto"/>
            <w:hideMark/>
          </w:tcPr>
          <w:p w14:paraId="40C88702" w14:textId="77777777" w:rsidR="00E62F62" w:rsidRPr="00E72399" w:rsidRDefault="00E62F62" w:rsidP="00E72399">
            <w:pPr>
              <w:rPr>
                <w:rFonts w:cs="Times New Roman"/>
                <w:b/>
                <w:bCs/>
              </w:rPr>
            </w:pPr>
            <w:r w:rsidRPr="00E72399">
              <w:rPr>
                <w:rFonts w:cs="Times New Roman"/>
                <w:b/>
                <w:bCs/>
              </w:rPr>
              <w:t>APM</w:t>
            </w:r>
          </w:p>
        </w:tc>
        <w:tc>
          <w:tcPr>
            <w:tcW w:w="0" w:type="auto"/>
            <w:hideMark/>
          </w:tcPr>
          <w:p w14:paraId="67F02C52" w14:textId="77777777" w:rsidR="00E62F62" w:rsidRPr="00E72399" w:rsidRDefault="00E62F62" w:rsidP="00E72399">
            <w:pPr>
              <w:rPr>
                <w:rFonts w:cs="Times New Roman"/>
                <w:b/>
                <w:bCs/>
              </w:rPr>
            </w:pPr>
            <w:r w:rsidRPr="00E72399">
              <w:rPr>
                <w:rFonts w:cs="Times New Roman"/>
                <w:b/>
                <w:bCs/>
              </w:rPr>
              <w:t>FH</w:t>
            </w:r>
          </w:p>
        </w:tc>
      </w:tr>
      <w:tr w:rsidR="00E62F62" w:rsidRPr="00E72399" w14:paraId="01BF5518" w14:textId="77777777" w:rsidTr="001A6591">
        <w:tc>
          <w:tcPr>
            <w:tcW w:w="0" w:type="auto"/>
            <w:hideMark/>
          </w:tcPr>
          <w:p w14:paraId="6EF1905F" w14:textId="77777777" w:rsidR="00E62F62" w:rsidRPr="00E72399" w:rsidRDefault="00E62F62" w:rsidP="00E72399">
            <w:pPr>
              <w:rPr>
                <w:rFonts w:cs="Times New Roman"/>
              </w:rPr>
            </w:pPr>
            <w:r w:rsidRPr="00E72399">
              <w:rPr>
                <w:rFonts w:cs="Times New Roman"/>
              </w:rPr>
              <w:t>INP</w:t>
            </w:r>
          </w:p>
        </w:tc>
        <w:tc>
          <w:tcPr>
            <w:tcW w:w="0" w:type="auto"/>
            <w:hideMark/>
          </w:tcPr>
          <w:p w14:paraId="443C8D3D" w14:textId="77777777" w:rsidR="00E62F62" w:rsidRPr="00E72399" w:rsidRDefault="00E62F62" w:rsidP="00E72399">
            <w:pPr>
              <w:rPr>
                <w:rFonts w:cs="Times New Roman"/>
              </w:rPr>
            </w:pPr>
            <w:r w:rsidRPr="00E72399">
              <w:rPr>
                <w:rFonts w:cs="Times New Roman"/>
              </w:rPr>
              <w:t>1</w:t>
            </w:r>
          </w:p>
        </w:tc>
        <w:tc>
          <w:tcPr>
            <w:tcW w:w="0" w:type="auto"/>
            <w:hideMark/>
          </w:tcPr>
          <w:p w14:paraId="62033965" w14:textId="77777777" w:rsidR="00E62F62" w:rsidRPr="00E72399" w:rsidRDefault="00E62F62" w:rsidP="00E72399">
            <w:pPr>
              <w:rPr>
                <w:rFonts w:cs="Times New Roman"/>
              </w:rPr>
            </w:pPr>
            <w:r w:rsidRPr="00E72399">
              <w:rPr>
                <w:rFonts w:cs="Times New Roman"/>
              </w:rPr>
              <w:t>0.617**</w:t>
            </w:r>
          </w:p>
        </w:tc>
        <w:tc>
          <w:tcPr>
            <w:tcW w:w="0" w:type="auto"/>
            <w:hideMark/>
          </w:tcPr>
          <w:p w14:paraId="30BDC889" w14:textId="77777777" w:rsidR="00E62F62" w:rsidRPr="00E72399" w:rsidRDefault="00E62F62" w:rsidP="00E72399">
            <w:pPr>
              <w:rPr>
                <w:rFonts w:cs="Times New Roman"/>
              </w:rPr>
            </w:pPr>
            <w:r w:rsidRPr="00E72399">
              <w:rPr>
                <w:rFonts w:cs="Times New Roman"/>
              </w:rPr>
              <w:t>0.484**</w:t>
            </w:r>
          </w:p>
        </w:tc>
        <w:tc>
          <w:tcPr>
            <w:tcW w:w="0" w:type="auto"/>
            <w:hideMark/>
          </w:tcPr>
          <w:p w14:paraId="7BC2F85F" w14:textId="77777777" w:rsidR="00E62F62" w:rsidRPr="00E72399" w:rsidRDefault="00E62F62" w:rsidP="00E72399">
            <w:pPr>
              <w:rPr>
                <w:rFonts w:cs="Times New Roman"/>
              </w:rPr>
            </w:pPr>
            <w:r w:rsidRPr="00E72399">
              <w:rPr>
                <w:rFonts w:cs="Times New Roman"/>
              </w:rPr>
              <w:t>0.623**</w:t>
            </w:r>
          </w:p>
        </w:tc>
      </w:tr>
      <w:tr w:rsidR="00E62F62" w:rsidRPr="00E72399" w14:paraId="7F55ED22" w14:textId="77777777" w:rsidTr="001A6591">
        <w:tc>
          <w:tcPr>
            <w:tcW w:w="0" w:type="auto"/>
            <w:hideMark/>
          </w:tcPr>
          <w:p w14:paraId="24302182" w14:textId="77777777" w:rsidR="00E62F62" w:rsidRPr="00E72399" w:rsidRDefault="00E62F62" w:rsidP="00E72399">
            <w:pPr>
              <w:rPr>
                <w:rFonts w:cs="Times New Roman"/>
              </w:rPr>
            </w:pPr>
            <w:r w:rsidRPr="00E72399">
              <w:rPr>
                <w:rFonts w:cs="Times New Roman"/>
              </w:rPr>
              <w:t>CMP</w:t>
            </w:r>
          </w:p>
        </w:tc>
        <w:tc>
          <w:tcPr>
            <w:tcW w:w="0" w:type="auto"/>
            <w:hideMark/>
          </w:tcPr>
          <w:p w14:paraId="65823D03" w14:textId="77777777" w:rsidR="00E62F62" w:rsidRPr="00E72399" w:rsidRDefault="00E62F62" w:rsidP="00E72399">
            <w:pPr>
              <w:rPr>
                <w:rFonts w:cs="Times New Roman"/>
              </w:rPr>
            </w:pPr>
          </w:p>
        </w:tc>
        <w:tc>
          <w:tcPr>
            <w:tcW w:w="0" w:type="auto"/>
            <w:hideMark/>
          </w:tcPr>
          <w:p w14:paraId="506B8331" w14:textId="77777777" w:rsidR="00E62F62" w:rsidRPr="00E72399" w:rsidRDefault="00E62F62" w:rsidP="00E72399">
            <w:pPr>
              <w:rPr>
                <w:rFonts w:cs="Times New Roman"/>
                <w:szCs w:val="24"/>
              </w:rPr>
            </w:pPr>
            <w:r w:rsidRPr="00E72399">
              <w:rPr>
                <w:rFonts w:cs="Times New Roman"/>
              </w:rPr>
              <w:t>1</w:t>
            </w:r>
          </w:p>
        </w:tc>
        <w:tc>
          <w:tcPr>
            <w:tcW w:w="0" w:type="auto"/>
            <w:hideMark/>
          </w:tcPr>
          <w:p w14:paraId="4794C63E" w14:textId="77777777" w:rsidR="00E62F62" w:rsidRPr="00E72399" w:rsidRDefault="00E62F62" w:rsidP="00E72399">
            <w:pPr>
              <w:rPr>
                <w:rFonts w:cs="Times New Roman"/>
              </w:rPr>
            </w:pPr>
            <w:r w:rsidRPr="00E72399">
              <w:rPr>
                <w:rFonts w:cs="Times New Roman"/>
              </w:rPr>
              <w:t>0.699**</w:t>
            </w:r>
          </w:p>
        </w:tc>
        <w:tc>
          <w:tcPr>
            <w:tcW w:w="0" w:type="auto"/>
            <w:hideMark/>
          </w:tcPr>
          <w:p w14:paraId="31861164" w14:textId="77777777" w:rsidR="00E62F62" w:rsidRPr="00E72399" w:rsidRDefault="00E62F62" w:rsidP="00E72399">
            <w:pPr>
              <w:rPr>
                <w:rFonts w:cs="Times New Roman"/>
              </w:rPr>
            </w:pPr>
            <w:r w:rsidRPr="00E72399">
              <w:rPr>
                <w:rFonts w:cs="Times New Roman"/>
              </w:rPr>
              <w:t>0.821**</w:t>
            </w:r>
          </w:p>
        </w:tc>
      </w:tr>
      <w:tr w:rsidR="00E62F62" w:rsidRPr="00E72399" w14:paraId="0D4E9A0A" w14:textId="77777777" w:rsidTr="001A6591">
        <w:tc>
          <w:tcPr>
            <w:tcW w:w="0" w:type="auto"/>
            <w:hideMark/>
          </w:tcPr>
          <w:p w14:paraId="1E774051" w14:textId="77777777" w:rsidR="00E62F62" w:rsidRPr="00E72399" w:rsidRDefault="00E62F62" w:rsidP="00E72399">
            <w:pPr>
              <w:rPr>
                <w:rFonts w:cs="Times New Roman"/>
              </w:rPr>
            </w:pPr>
            <w:r w:rsidRPr="00E72399">
              <w:rPr>
                <w:rFonts w:cs="Times New Roman"/>
              </w:rPr>
              <w:t>APM</w:t>
            </w:r>
          </w:p>
        </w:tc>
        <w:tc>
          <w:tcPr>
            <w:tcW w:w="0" w:type="auto"/>
            <w:hideMark/>
          </w:tcPr>
          <w:p w14:paraId="5FEB2CC7" w14:textId="77777777" w:rsidR="00E62F62" w:rsidRPr="00E72399" w:rsidRDefault="00E62F62" w:rsidP="00E72399">
            <w:pPr>
              <w:rPr>
                <w:rFonts w:cs="Times New Roman"/>
              </w:rPr>
            </w:pPr>
          </w:p>
        </w:tc>
        <w:tc>
          <w:tcPr>
            <w:tcW w:w="0" w:type="auto"/>
            <w:hideMark/>
          </w:tcPr>
          <w:p w14:paraId="5C21C7D3" w14:textId="77777777" w:rsidR="00E62F62" w:rsidRPr="00E72399" w:rsidRDefault="00E62F62" w:rsidP="00E72399">
            <w:pPr>
              <w:rPr>
                <w:rFonts w:cs="Times New Roman"/>
                <w:sz w:val="20"/>
              </w:rPr>
            </w:pPr>
          </w:p>
        </w:tc>
        <w:tc>
          <w:tcPr>
            <w:tcW w:w="0" w:type="auto"/>
            <w:hideMark/>
          </w:tcPr>
          <w:p w14:paraId="16FBDB52" w14:textId="77777777" w:rsidR="00E62F62" w:rsidRPr="00E72399" w:rsidRDefault="00E62F62" w:rsidP="00E72399">
            <w:pPr>
              <w:rPr>
                <w:rFonts w:cs="Times New Roman"/>
                <w:szCs w:val="24"/>
              </w:rPr>
            </w:pPr>
            <w:r w:rsidRPr="00E72399">
              <w:rPr>
                <w:rFonts w:cs="Times New Roman"/>
              </w:rPr>
              <w:t>1</w:t>
            </w:r>
          </w:p>
        </w:tc>
        <w:tc>
          <w:tcPr>
            <w:tcW w:w="0" w:type="auto"/>
            <w:hideMark/>
          </w:tcPr>
          <w:p w14:paraId="5719A152" w14:textId="77777777" w:rsidR="00E62F62" w:rsidRPr="00E72399" w:rsidRDefault="00E62F62" w:rsidP="00E72399">
            <w:pPr>
              <w:rPr>
                <w:rFonts w:cs="Times New Roman"/>
              </w:rPr>
            </w:pPr>
            <w:r w:rsidRPr="00E72399">
              <w:rPr>
                <w:rFonts w:cs="Times New Roman"/>
              </w:rPr>
              <w:t>0.460**</w:t>
            </w:r>
          </w:p>
        </w:tc>
      </w:tr>
      <w:tr w:rsidR="00E62F62" w:rsidRPr="00E72399" w14:paraId="4B867A60" w14:textId="77777777" w:rsidTr="001A6591">
        <w:tc>
          <w:tcPr>
            <w:tcW w:w="0" w:type="auto"/>
            <w:hideMark/>
          </w:tcPr>
          <w:p w14:paraId="1B781D8B" w14:textId="77777777" w:rsidR="00E62F62" w:rsidRPr="00E72399" w:rsidRDefault="00E62F62" w:rsidP="00E72399">
            <w:pPr>
              <w:rPr>
                <w:rFonts w:cs="Times New Roman"/>
              </w:rPr>
            </w:pPr>
            <w:r w:rsidRPr="00E72399">
              <w:rPr>
                <w:rFonts w:cs="Times New Roman"/>
              </w:rPr>
              <w:t>FH</w:t>
            </w:r>
          </w:p>
        </w:tc>
        <w:tc>
          <w:tcPr>
            <w:tcW w:w="0" w:type="auto"/>
            <w:hideMark/>
          </w:tcPr>
          <w:p w14:paraId="6A1221E7" w14:textId="77777777" w:rsidR="00E62F62" w:rsidRPr="00E72399" w:rsidRDefault="00E62F62" w:rsidP="00E72399">
            <w:pPr>
              <w:rPr>
                <w:rFonts w:cs="Times New Roman"/>
              </w:rPr>
            </w:pPr>
          </w:p>
        </w:tc>
        <w:tc>
          <w:tcPr>
            <w:tcW w:w="0" w:type="auto"/>
            <w:hideMark/>
          </w:tcPr>
          <w:p w14:paraId="54AB94E6" w14:textId="77777777" w:rsidR="00E62F62" w:rsidRPr="00E72399" w:rsidRDefault="00E62F62" w:rsidP="00E72399">
            <w:pPr>
              <w:rPr>
                <w:rFonts w:cs="Times New Roman"/>
                <w:sz w:val="20"/>
              </w:rPr>
            </w:pPr>
          </w:p>
        </w:tc>
        <w:tc>
          <w:tcPr>
            <w:tcW w:w="0" w:type="auto"/>
            <w:hideMark/>
          </w:tcPr>
          <w:p w14:paraId="557C30AB" w14:textId="77777777" w:rsidR="00E62F62" w:rsidRPr="00E72399" w:rsidRDefault="00E62F62" w:rsidP="00E72399">
            <w:pPr>
              <w:rPr>
                <w:rFonts w:cs="Times New Roman"/>
                <w:sz w:val="20"/>
              </w:rPr>
            </w:pPr>
          </w:p>
        </w:tc>
        <w:tc>
          <w:tcPr>
            <w:tcW w:w="0" w:type="auto"/>
            <w:hideMark/>
          </w:tcPr>
          <w:p w14:paraId="1863E64B" w14:textId="77777777" w:rsidR="00E62F62" w:rsidRPr="00E72399" w:rsidRDefault="00E62F62" w:rsidP="00E72399">
            <w:pPr>
              <w:rPr>
                <w:rFonts w:cs="Times New Roman"/>
                <w:szCs w:val="24"/>
              </w:rPr>
            </w:pPr>
            <w:r w:rsidRPr="00E72399">
              <w:rPr>
                <w:rFonts w:cs="Times New Roman"/>
              </w:rPr>
              <w:t>1</w:t>
            </w:r>
          </w:p>
        </w:tc>
      </w:tr>
    </w:tbl>
    <w:p w14:paraId="01119862" w14:textId="77777777" w:rsidR="00E62F62" w:rsidRPr="00E72399" w:rsidRDefault="00E62F62" w:rsidP="00E72399">
      <w:pPr>
        <w:pStyle w:val="NormalWeb"/>
        <w:jc w:val="both"/>
      </w:pPr>
      <w:r w:rsidRPr="00E72399">
        <w:rPr>
          <w:rStyle w:val="Strong"/>
        </w:rPr>
        <w:t>Note:</w:t>
      </w:r>
      <w:r w:rsidRPr="00E72399">
        <w:t xml:space="preserve"> </w:t>
      </w:r>
      <w:r w:rsidRPr="00E72399">
        <w:rPr>
          <w:rStyle w:val="Strong"/>
        </w:rPr>
        <w:t>p &lt; 0.05</w:t>
      </w:r>
      <w:r w:rsidRPr="00E72399">
        <w:t>, two-tailed test. INP = Inventory Management Practices, CMP = Cash Management Practices, APM = Account Payables Management, FH = Financial Health.</w:t>
      </w:r>
    </w:p>
    <w:p w14:paraId="41FF1174" w14:textId="5988D42B" w:rsidR="00E62F62" w:rsidRPr="00E72399" w:rsidRDefault="00E62F62" w:rsidP="00E72399">
      <w:pPr>
        <w:rPr>
          <w:rFonts w:cs="Times New Roman"/>
          <w:b/>
          <w:i/>
        </w:rPr>
      </w:pPr>
      <w:r w:rsidRPr="00E72399">
        <w:rPr>
          <w:rFonts w:cs="Times New Roman"/>
          <w:b/>
          <w:i/>
        </w:rPr>
        <w:lastRenderedPageBreak/>
        <w:t>Regression Analysis</w:t>
      </w:r>
    </w:p>
    <w:p w14:paraId="714D72D4" w14:textId="068B4BD0" w:rsidR="00E62F62" w:rsidRPr="00E72399" w:rsidRDefault="00E62F62" w:rsidP="00E72399">
      <w:pPr>
        <w:pStyle w:val="NormalWeb"/>
        <w:jc w:val="both"/>
      </w:pPr>
      <w:r w:rsidRPr="00E72399">
        <w:t xml:space="preserve">Regression analysis was conducted to examine the influence of working capital management practices (IMP, CMP, APM) on the financial health of mini-marts. The model summary (Table </w:t>
      </w:r>
      <w:r w:rsidR="007474D8">
        <w:t>8</w:t>
      </w:r>
      <w:r w:rsidRPr="00E72399">
        <w:t>) indicates that the combined effect of these practices explains 37% of the variation in financial health (Adjusted R² = 0.37), while the remaining 63% is attributed to factors outside the scope of this study.</w:t>
      </w:r>
    </w:p>
    <w:p w14:paraId="433B35E3" w14:textId="34D19440" w:rsidR="00E62F62" w:rsidRPr="00E72399" w:rsidRDefault="00E62F62" w:rsidP="00E72399">
      <w:pPr>
        <w:pStyle w:val="NormalWeb"/>
        <w:jc w:val="both"/>
      </w:pPr>
      <w:r w:rsidRPr="00E72399">
        <w:rPr>
          <w:rStyle w:val="Strong"/>
        </w:rPr>
        <w:t xml:space="preserve">Table </w:t>
      </w:r>
      <w:r w:rsidR="00E72399" w:rsidRPr="00E72399">
        <w:rPr>
          <w:rStyle w:val="Strong"/>
        </w:rPr>
        <w:t>8</w:t>
      </w:r>
      <w:r w:rsidRPr="00E72399">
        <w:rPr>
          <w:rStyle w:val="Strong"/>
        </w:rPr>
        <w:t>: Model Goodness of Fit</w:t>
      </w:r>
    </w:p>
    <w:tbl>
      <w:tblPr>
        <w:tblStyle w:val="TableGrid1"/>
        <w:tblW w:w="0" w:type="auto"/>
        <w:tblLook w:val="04A0" w:firstRow="1" w:lastRow="0" w:firstColumn="1" w:lastColumn="0" w:noHBand="0" w:noVBand="1"/>
      </w:tblPr>
      <w:tblGrid>
        <w:gridCol w:w="870"/>
        <w:gridCol w:w="756"/>
        <w:gridCol w:w="756"/>
        <w:gridCol w:w="1455"/>
        <w:gridCol w:w="2509"/>
      </w:tblGrid>
      <w:tr w:rsidR="00E62F62" w:rsidRPr="00E72399" w14:paraId="338D5C5A" w14:textId="77777777" w:rsidTr="00E72399">
        <w:tc>
          <w:tcPr>
            <w:tcW w:w="0" w:type="auto"/>
            <w:hideMark/>
          </w:tcPr>
          <w:p w14:paraId="518F1D81" w14:textId="77777777" w:rsidR="00E62F62" w:rsidRPr="00E72399" w:rsidRDefault="00E62F62" w:rsidP="00E72399">
            <w:pPr>
              <w:rPr>
                <w:rFonts w:cs="Times New Roman"/>
                <w:b/>
                <w:bCs/>
              </w:rPr>
            </w:pPr>
            <w:r w:rsidRPr="00E72399">
              <w:rPr>
                <w:rFonts w:cs="Times New Roman"/>
                <w:b/>
                <w:bCs/>
              </w:rPr>
              <w:t>Model</w:t>
            </w:r>
          </w:p>
        </w:tc>
        <w:tc>
          <w:tcPr>
            <w:tcW w:w="0" w:type="auto"/>
            <w:hideMark/>
          </w:tcPr>
          <w:p w14:paraId="7A6BC81C" w14:textId="77777777" w:rsidR="00E62F62" w:rsidRPr="00E72399" w:rsidRDefault="00E62F62" w:rsidP="00E72399">
            <w:pPr>
              <w:rPr>
                <w:rFonts w:cs="Times New Roman"/>
                <w:b/>
                <w:bCs/>
              </w:rPr>
            </w:pPr>
            <w:r w:rsidRPr="00E72399">
              <w:rPr>
                <w:rFonts w:cs="Times New Roman"/>
                <w:b/>
                <w:bCs/>
              </w:rPr>
              <w:t>R</w:t>
            </w:r>
          </w:p>
        </w:tc>
        <w:tc>
          <w:tcPr>
            <w:tcW w:w="0" w:type="auto"/>
            <w:hideMark/>
          </w:tcPr>
          <w:p w14:paraId="13E8C9BE" w14:textId="77777777" w:rsidR="00E62F62" w:rsidRPr="00E72399" w:rsidRDefault="00E62F62" w:rsidP="00E72399">
            <w:pPr>
              <w:rPr>
                <w:rFonts w:cs="Times New Roman"/>
                <w:b/>
                <w:bCs/>
              </w:rPr>
            </w:pPr>
            <w:r w:rsidRPr="00E72399">
              <w:rPr>
                <w:rFonts w:cs="Times New Roman"/>
                <w:b/>
                <w:bCs/>
              </w:rPr>
              <w:t>R²</w:t>
            </w:r>
          </w:p>
        </w:tc>
        <w:tc>
          <w:tcPr>
            <w:tcW w:w="0" w:type="auto"/>
            <w:hideMark/>
          </w:tcPr>
          <w:p w14:paraId="64904355" w14:textId="77777777" w:rsidR="00E62F62" w:rsidRPr="00E72399" w:rsidRDefault="00E62F62" w:rsidP="00E72399">
            <w:pPr>
              <w:rPr>
                <w:rFonts w:cs="Times New Roman"/>
                <w:b/>
                <w:bCs/>
              </w:rPr>
            </w:pPr>
            <w:r w:rsidRPr="00E72399">
              <w:rPr>
                <w:rFonts w:cs="Times New Roman"/>
                <w:b/>
                <w:bCs/>
              </w:rPr>
              <w:t>Adjusted R²</w:t>
            </w:r>
          </w:p>
        </w:tc>
        <w:tc>
          <w:tcPr>
            <w:tcW w:w="0" w:type="auto"/>
            <w:hideMark/>
          </w:tcPr>
          <w:p w14:paraId="0D73EE65" w14:textId="77777777" w:rsidR="00E62F62" w:rsidRPr="00E72399" w:rsidRDefault="00E62F62" w:rsidP="00E72399">
            <w:pPr>
              <w:rPr>
                <w:rFonts w:cs="Times New Roman"/>
                <w:b/>
                <w:bCs/>
              </w:rPr>
            </w:pPr>
            <w:r w:rsidRPr="00E72399">
              <w:rPr>
                <w:rFonts w:cs="Times New Roman"/>
                <w:b/>
                <w:bCs/>
              </w:rPr>
              <w:t>Std. Error of Estimate</w:t>
            </w:r>
          </w:p>
        </w:tc>
      </w:tr>
      <w:tr w:rsidR="00E62F62" w:rsidRPr="00E72399" w14:paraId="325B89CF" w14:textId="77777777" w:rsidTr="00E72399">
        <w:tc>
          <w:tcPr>
            <w:tcW w:w="0" w:type="auto"/>
            <w:hideMark/>
          </w:tcPr>
          <w:p w14:paraId="511CC35C" w14:textId="77777777" w:rsidR="00E62F62" w:rsidRPr="00E72399" w:rsidRDefault="00E62F62" w:rsidP="00E72399">
            <w:pPr>
              <w:rPr>
                <w:rFonts w:cs="Times New Roman"/>
              </w:rPr>
            </w:pPr>
            <w:r w:rsidRPr="00E72399">
              <w:rPr>
                <w:rFonts w:cs="Times New Roman"/>
              </w:rPr>
              <w:t>1</w:t>
            </w:r>
          </w:p>
        </w:tc>
        <w:tc>
          <w:tcPr>
            <w:tcW w:w="0" w:type="auto"/>
            <w:hideMark/>
          </w:tcPr>
          <w:p w14:paraId="577F7205" w14:textId="77777777" w:rsidR="00E62F62" w:rsidRPr="00E72399" w:rsidRDefault="00E62F62" w:rsidP="00E72399">
            <w:pPr>
              <w:rPr>
                <w:rFonts w:cs="Times New Roman"/>
              </w:rPr>
            </w:pPr>
            <w:r w:rsidRPr="00E72399">
              <w:rPr>
                <w:rFonts w:cs="Times New Roman"/>
              </w:rPr>
              <w:t>0.632</w:t>
            </w:r>
          </w:p>
        </w:tc>
        <w:tc>
          <w:tcPr>
            <w:tcW w:w="0" w:type="auto"/>
            <w:hideMark/>
          </w:tcPr>
          <w:p w14:paraId="4F45FC3D" w14:textId="77777777" w:rsidR="00E62F62" w:rsidRPr="00E72399" w:rsidRDefault="00E62F62" w:rsidP="00E72399">
            <w:pPr>
              <w:rPr>
                <w:rFonts w:cs="Times New Roman"/>
              </w:rPr>
            </w:pPr>
            <w:r w:rsidRPr="00E72399">
              <w:rPr>
                <w:rFonts w:cs="Times New Roman"/>
              </w:rPr>
              <w:t>0.389</w:t>
            </w:r>
          </w:p>
        </w:tc>
        <w:tc>
          <w:tcPr>
            <w:tcW w:w="0" w:type="auto"/>
            <w:hideMark/>
          </w:tcPr>
          <w:p w14:paraId="4AEA8282" w14:textId="77777777" w:rsidR="00E62F62" w:rsidRPr="00E72399" w:rsidRDefault="00E62F62" w:rsidP="00E72399">
            <w:pPr>
              <w:rPr>
                <w:rFonts w:cs="Times New Roman"/>
              </w:rPr>
            </w:pPr>
            <w:r w:rsidRPr="00E72399">
              <w:rPr>
                <w:rFonts w:cs="Times New Roman"/>
              </w:rPr>
              <w:t>0.37</w:t>
            </w:r>
          </w:p>
        </w:tc>
        <w:tc>
          <w:tcPr>
            <w:tcW w:w="0" w:type="auto"/>
            <w:hideMark/>
          </w:tcPr>
          <w:p w14:paraId="219D809B" w14:textId="77777777" w:rsidR="00E62F62" w:rsidRPr="00E72399" w:rsidRDefault="00E62F62" w:rsidP="00E72399">
            <w:pPr>
              <w:rPr>
                <w:rFonts w:cs="Times New Roman"/>
              </w:rPr>
            </w:pPr>
            <w:r w:rsidRPr="00E72399">
              <w:rPr>
                <w:rFonts w:cs="Times New Roman"/>
              </w:rPr>
              <w:t>1.0665</w:t>
            </w:r>
          </w:p>
        </w:tc>
      </w:tr>
    </w:tbl>
    <w:p w14:paraId="7CC29952" w14:textId="48F8A08B" w:rsidR="00E62F62" w:rsidRPr="00E72399" w:rsidRDefault="00E62F62" w:rsidP="00E72399">
      <w:pPr>
        <w:pStyle w:val="NormalWeb"/>
        <w:jc w:val="both"/>
      </w:pPr>
      <w:r w:rsidRPr="00E72399">
        <w:t xml:space="preserve">Analysis of variance (Table </w:t>
      </w:r>
      <w:r w:rsidR="00E72399" w:rsidRPr="00E72399">
        <w:t>9</w:t>
      </w:r>
      <w:r w:rsidRPr="00E72399">
        <w:t>) confirms that the model is statistically significant (F = 3.290, p = 0.048), indicating that working capital practices reliably predict financial health outcomes.</w:t>
      </w:r>
    </w:p>
    <w:p w14:paraId="5080D7CC" w14:textId="0B671869" w:rsidR="00E62F62" w:rsidRPr="00E72399" w:rsidRDefault="00E62F62" w:rsidP="00E72399">
      <w:pPr>
        <w:pStyle w:val="NormalWeb"/>
        <w:jc w:val="both"/>
      </w:pPr>
      <w:r w:rsidRPr="00E72399">
        <w:rPr>
          <w:rStyle w:val="Strong"/>
        </w:rPr>
        <w:t xml:space="preserve">Table </w:t>
      </w:r>
      <w:r w:rsidR="00E72399" w:rsidRPr="00E72399">
        <w:rPr>
          <w:rStyle w:val="Strong"/>
        </w:rPr>
        <w:t>9</w:t>
      </w:r>
      <w:r w:rsidRPr="00E72399">
        <w:rPr>
          <w:rStyle w:val="Strong"/>
        </w:rPr>
        <w:t>: ANOVA</w:t>
      </w:r>
    </w:p>
    <w:tbl>
      <w:tblPr>
        <w:tblStyle w:val="TableGrid1"/>
        <w:tblW w:w="0" w:type="auto"/>
        <w:tblLook w:val="04A0" w:firstRow="1" w:lastRow="0" w:firstColumn="1" w:lastColumn="0" w:noHBand="0" w:noVBand="1"/>
      </w:tblPr>
      <w:tblGrid>
        <w:gridCol w:w="1283"/>
        <w:gridCol w:w="1330"/>
        <w:gridCol w:w="576"/>
        <w:gridCol w:w="1190"/>
        <w:gridCol w:w="756"/>
        <w:gridCol w:w="756"/>
      </w:tblGrid>
      <w:tr w:rsidR="00E62F62" w:rsidRPr="00E72399" w14:paraId="2555444D" w14:textId="77777777" w:rsidTr="00E72399">
        <w:tc>
          <w:tcPr>
            <w:tcW w:w="0" w:type="auto"/>
            <w:hideMark/>
          </w:tcPr>
          <w:p w14:paraId="79E3946F" w14:textId="77777777" w:rsidR="00E62F62" w:rsidRPr="00E72399" w:rsidRDefault="00E62F62" w:rsidP="00E72399">
            <w:pPr>
              <w:rPr>
                <w:rFonts w:cs="Times New Roman"/>
                <w:b/>
                <w:bCs/>
              </w:rPr>
            </w:pPr>
            <w:r w:rsidRPr="00E72399">
              <w:rPr>
                <w:rFonts w:cs="Times New Roman"/>
                <w:b/>
                <w:bCs/>
              </w:rPr>
              <w:t>Model</w:t>
            </w:r>
          </w:p>
        </w:tc>
        <w:tc>
          <w:tcPr>
            <w:tcW w:w="0" w:type="auto"/>
            <w:hideMark/>
          </w:tcPr>
          <w:p w14:paraId="2AC252AC" w14:textId="77777777" w:rsidR="00E62F62" w:rsidRPr="00E72399" w:rsidRDefault="00E62F62" w:rsidP="00E72399">
            <w:pPr>
              <w:rPr>
                <w:rFonts w:cs="Times New Roman"/>
                <w:b/>
                <w:bCs/>
              </w:rPr>
            </w:pPr>
            <w:r w:rsidRPr="00E72399">
              <w:rPr>
                <w:rFonts w:cs="Times New Roman"/>
                <w:b/>
                <w:bCs/>
              </w:rPr>
              <w:t>Sum of Sq.</w:t>
            </w:r>
          </w:p>
        </w:tc>
        <w:tc>
          <w:tcPr>
            <w:tcW w:w="0" w:type="auto"/>
            <w:hideMark/>
          </w:tcPr>
          <w:p w14:paraId="7BEA5D22" w14:textId="77777777" w:rsidR="00E62F62" w:rsidRPr="00E72399" w:rsidRDefault="00E62F62" w:rsidP="00E72399">
            <w:pPr>
              <w:rPr>
                <w:rFonts w:cs="Times New Roman"/>
                <w:b/>
                <w:bCs/>
              </w:rPr>
            </w:pPr>
            <w:r w:rsidRPr="00E72399">
              <w:rPr>
                <w:rFonts w:cs="Times New Roman"/>
                <w:b/>
                <w:bCs/>
              </w:rPr>
              <w:t>Df</w:t>
            </w:r>
          </w:p>
        </w:tc>
        <w:tc>
          <w:tcPr>
            <w:tcW w:w="0" w:type="auto"/>
            <w:hideMark/>
          </w:tcPr>
          <w:p w14:paraId="6903DA95" w14:textId="77777777" w:rsidR="00E62F62" w:rsidRPr="00E72399" w:rsidRDefault="00E62F62" w:rsidP="00E72399">
            <w:pPr>
              <w:rPr>
                <w:rFonts w:cs="Times New Roman"/>
                <w:b/>
                <w:bCs/>
              </w:rPr>
            </w:pPr>
            <w:r w:rsidRPr="00E72399">
              <w:rPr>
                <w:rFonts w:cs="Times New Roman"/>
                <w:b/>
                <w:bCs/>
              </w:rPr>
              <w:t>Mean Sq.</w:t>
            </w:r>
          </w:p>
        </w:tc>
        <w:tc>
          <w:tcPr>
            <w:tcW w:w="0" w:type="auto"/>
            <w:hideMark/>
          </w:tcPr>
          <w:p w14:paraId="53E5826F" w14:textId="77777777" w:rsidR="00E62F62" w:rsidRPr="00E72399" w:rsidRDefault="00E62F62" w:rsidP="00E72399">
            <w:pPr>
              <w:rPr>
                <w:rFonts w:cs="Times New Roman"/>
                <w:b/>
                <w:bCs/>
              </w:rPr>
            </w:pPr>
            <w:r w:rsidRPr="00E72399">
              <w:rPr>
                <w:rFonts w:cs="Times New Roman"/>
                <w:b/>
                <w:bCs/>
              </w:rPr>
              <w:t>F</w:t>
            </w:r>
          </w:p>
        </w:tc>
        <w:tc>
          <w:tcPr>
            <w:tcW w:w="0" w:type="auto"/>
            <w:hideMark/>
          </w:tcPr>
          <w:p w14:paraId="26C9C347" w14:textId="77777777" w:rsidR="00E62F62" w:rsidRPr="00E72399" w:rsidRDefault="00E62F62" w:rsidP="00E72399">
            <w:pPr>
              <w:rPr>
                <w:rFonts w:cs="Times New Roman"/>
                <w:b/>
                <w:bCs/>
              </w:rPr>
            </w:pPr>
            <w:r w:rsidRPr="00E72399">
              <w:rPr>
                <w:rFonts w:cs="Times New Roman"/>
                <w:b/>
                <w:bCs/>
              </w:rPr>
              <w:t>Sig.</w:t>
            </w:r>
          </w:p>
        </w:tc>
      </w:tr>
      <w:tr w:rsidR="00E62F62" w:rsidRPr="00E72399" w14:paraId="16B4DB76" w14:textId="77777777" w:rsidTr="00E72399">
        <w:tc>
          <w:tcPr>
            <w:tcW w:w="0" w:type="auto"/>
            <w:hideMark/>
          </w:tcPr>
          <w:p w14:paraId="5329F8B7" w14:textId="77777777" w:rsidR="00E62F62" w:rsidRPr="00E72399" w:rsidRDefault="00E62F62" w:rsidP="00E72399">
            <w:pPr>
              <w:rPr>
                <w:rFonts w:cs="Times New Roman"/>
              </w:rPr>
            </w:pPr>
            <w:r w:rsidRPr="00E72399">
              <w:rPr>
                <w:rFonts w:cs="Times New Roman"/>
              </w:rPr>
              <w:t>Regression</w:t>
            </w:r>
          </w:p>
        </w:tc>
        <w:tc>
          <w:tcPr>
            <w:tcW w:w="0" w:type="auto"/>
            <w:hideMark/>
          </w:tcPr>
          <w:p w14:paraId="0C376DE8" w14:textId="77777777" w:rsidR="00E62F62" w:rsidRPr="00E72399" w:rsidRDefault="00E62F62" w:rsidP="00E72399">
            <w:pPr>
              <w:rPr>
                <w:rFonts w:cs="Times New Roman"/>
              </w:rPr>
            </w:pPr>
            <w:r w:rsidRPr="00E72399">
              <w:rPr>
                <w:rFonts w:cs="Times New Roman"/>
              </w:rPr>
              <w:t>7.815</w:t>
            </w:r>
          </w:p>
        </w:tc>
        <w:tc>
          <w:tcPr>
            <w:tcW w:w="0" w:type="auto"/>
            <w:hideMark/>
          </w:tcPr>
          <w:p w14:paraId="45802690" w14:textId="77777777" w:rsidR="00E62F62" w:rsidRPr="00E72399" w:rsidRDefault="00E62F62" w:rsidP="00E72399">
            <w:pPr>
              <w:rPr>
                <w:rFonts w:cs="Times New Roman"/>
              </w:rPr>
            </w:pPr>
            <w:r w:rsidRPr="00E72399">
              <w:rPr>
                <w:rFonts w:cs="Times New Roman"/>
              </w:rPr>
              <w:t>3</w:t>
            </w:r>
          </w:p>
        </w:tc>
        <w:tc>
          <w:tcPr>
            <w:tcW w:w="0" w:type="auto"/>
            <w:hideMark/>
          </w:tcPr>
          <w:p w14:paraId="60542E83" w14:textId="77777777" w:rsidR="00E62F62" w:rsidRPr="00E72399" w:rsidRDefault="00E62F62" w:rsidP="00E72399">
            <w:pPr>
              <w:rPr>
                <w:rFonts w:cs="Times New Roman"/>
              </w:rPr>
            </w:pPr>
            <w:r w:rsidRPr="00E72399">
              <w:rPr>
                <w:rFonts w:cs="Times New Roman"/>
              </w:rPr>
              <w:t>2.605</w:t>
            </w:r>
          </w:p>
        </w:tc>
        <w:tc>
          <w:tcPr>
            <w:tcW w:w="0" w:type="auto"/>
            <w:hideMark/>
          </w:tcPr>
          <w:p w14:paraId="18894D61" w14:textId="77777777" w:rsidR="00E62F62" w:rsidRPr="00E72399" w:rsidRDefault="00E62F62" w:rsidP="00E72399">
            <w:pPr>
              <w:rPr>
                <w:rFonts w:cs="Times New Roman"/>
              </w:rPr>
            </w:pPr>
            <w:r w:rsidRPr="00E72399">
              <w:rPr>
                <w:rFonts w:cs="Times New Roman"/>
              </w:rPr>
              <w:t>3.290</w:t>
            </w:r>
          </w:p>
        </w:tc>
        <w:tc>
          <w:tcPr>
            <w:tcW w:w="0" w:type="auto"/>
            <w:hideMark/>
          </w:tcPr>
          <w:p w14:paraId="666A4A64" w14:textId="77777777" w:rsidR="00E62F62" w:rsidRPr="00E72399" w:rsidRDefault="00E62F62" w:rsidP="00E72399">
            <w:pPr>
              <w:rPr>
                <w:rFonts w:cs="Times New Roman"/>
              </w:rPr>
            </w:pPr>
            <w:r w:rsidRPr="00E72399">
              <w:rPr>
                <w:rFonts w:cs="Times New Roman"/>
              </w:rPr>
              <w:t>0.048</w:t>
            </w:r>
          </w:p>
        </w:tc>
      </w:tr>
      <w:tr w:rsidR="00E62F62" w:rsidRPr="00E72399" w14:paraId="0DEFB4B8" w14:textId="77777777" w:rsidTr="00E72399">
        <w:tc>
          <w:tcPr>
            <w:tcW w:w="0" w:type="auto"/>
            <w:hideMark/>
          </w:tcPr>
          <w:p w14:paraId="3353FE62" w14:textId="77777777" w:rsidR="00E62F62" w:rsidRPr="00E72399" w:rsidRDefault="00E62F62" w:rsidP="00E72399">
            <w:pPr>
              <w:rPr>
                <w:rFonts w:cs="Times New Roman"/>
              </w:rPr>
            </w:pPr>
            <w:r w:rsidRPr="00E72399">
              <w:rPr>
                <w:rFonts w:cs="Times New Roman"/>
              </w:rPr>
              <w:t>Residual</w:t>
            </w:r>
          </w:p>
        </w:tc>
        <w:tc>
          <w:tcPr>
            <w:tcW w:w="0" w:type="auto"/>
            <w:hideMark/>
          </w:tcPr>
          <w:p w14:paraId="3852B824" w14:textId="77777777" w:rsidR="00E62F62" w:rsidRPr="00E72399" w:rsidRDefault="00E62F62" w:rsidP="00E72399">
            <w:pPr>
              <w:rPr>
                <w:rFonts w:cs="Times New Roman"/>
              </w:rPr>
            </w:pPr>
            <w:r w:rsidRPr="00E72399">
              <w:rPr>
                <w:rFonts w:cs="Times New Roman"/>
              </w:rPr>
              <w:t>191.278</w:t>
            </w:r>
          </w:p>
        </w:tc>
        <w:tc>
          <w:tcPr>
            <w:tcW w:w="0" w:type="auto"/>
            <w:hideMark/>
          </w:tcPr>
          <w:p w14:paraId="586EFBF1" w14:textId="77777777" w:rsidR="00E62F62" w:rsidRPr="00E72399" w:rsidRDefault="00E62F62" w:rsidP="00E72399">
            <w:pPr>
              <w:rPr>
                <w:rFonts w:cs="Times New Roman"/>
              </w:rPr>
            </w:pPr>
            <w:r w:rsidRPr="00E72399">
              <w:rPr>
                <w:rFonts w:cs="Times New Roman"/>
              </w:rPr>
              <w:t>329</w:t>
            </w:r>
          </w:p>
        </w:tc>
        <w:tc>
          <w:tcPr>
            <w:tcW w:w="0" w:type="auto"/>
            <w:hideMark/>
          </w:tcPr>
          <w:p w14:paraId="34C4359A" w14:textId="77777777" w:rsidR="00E62F62" w:rsidRPr="00E72399" w:rsidRDefault="00E62F62" w:rsidP="00E72399">
            <w:pPr>
              <w:rPr>
                <w:rFonts w:cs="Times New Roman"/>
              </w:rPr>
            </w:pPr>
            <w:r w:rsidRPr="00E72399">
              <w:rPr>
                <w:rFonts w:cs="Times New Roman"/>
              </w:rPr>
              <w:t>4.904</w:t>
            </w:r>
          </w:p>
        </w:tc>
        <w:tc>
          <w:tcPr>
            <w:tcW w:w="0" w:type="auto"/>
            <w:hideMark/>
          </w:tcPr>
          <w:p w14:paraId="664921BF" w14:textId="77777777" w:rsidR="00E62F62" w:rsidRPr="00E72399" w:rsidRDefault="00E62F62" w:rsidP="00E72399">
            <w:pPr>
              <w:rPr>
                <w:rFonts w:cs="Times New Roman"/>
              </w:rPr>
            </w:pPr>
          </w:p>
        </w:tc>
        <w:tc>
          <w:tcPr>
            <w:tcW w:w="0" w:type="auto"/>
            <w:hideMark/>
          </w:tcPr>
          <w:p w14:paraId="1EA07D32" w14:textId="77777777" w:rsidR="00E62F62" w:rsidRPr="00E72399" w:rsidRDefault="00E62F62" w:rsidP="00E72399">
            <w:pPr>
              <w:rPr>
                <w:rFonts w:cs="Times New Roman"/>
                <w:sz w:val="20"/>
              </w:rPr>
            </w:pPr>
          </w:p>
        </w:tc>
      </w:tr>
      <w:tr w:rsidR="00E62F62" w:rsidRPr="00E72399" w14:paraId="7CE8D3DB" w14:textId="77777777" w:rsidTr="00E72399">
        <w:tc>
          <w:tcPr>
            <w:tcW w:w="0" w:type="auto"/>
            <w:hideMark/>
          </w:tcPr>
          <w:p w14:paraId="3FF4AA3F" w14:textId="77777777" w:rsidR="00E62F62" w:rsidRPr="00E72399" w:rsidRDefault="00E62F62" w:rsidP="00E72399">
            <w:pPr>
              <w:rPr>
                <w:rFonts w:cs="Times New Roman"/>
                <w:szCs w:val="24"/>
              </w:rPr>
            </w:pPr>
            <w:r w:rsidRPr="00E72399">
              <w:rPr>
                <w:rFonts w:cs="Times New Roman"/>
              </w:rPr>
              <w:t>Total</w:t>
            </w:r>
          </w:p>
        </w:tc>
        <w:tc>
          <w:tcPr>
            <w:tcW w:w="0" w:type="auto"/>
            <w:hideMark/>
          </w:tcPr>
          <w:p w14:paraId="2833FD98" w14:textId="77777777" w:rsidR="00E62F62" w:rsidRPr="00E72399" w:rsidRDefault="00E62F62" w:rsidP="00E72399">
            <w:pPr>
              <w:rPr>
                <w:rFonts w:cs="Times New Roman"/>
              </w:rPr>
            </w:pPr>
            <w:r w:rsidRPr="00E72399">
              <w:rPr>
                <w:rFonts w:cs="Times New Roman"/>
              </w:rPr>
              <w:t>199.093</w:t>
            </w:r>
          </w:p>
        </w:tc>
        <w:tc>
          <w:tcPr>
            <w:tcW w:w="0" w:type="auto"/>
            <w:hideMark/>
          </w:tcPr>
          <w:p w14:paraId="6D94675D" w14:textId="77777777" w:rsidR="00E62F62" w:rsidRPr="00E72399" w:rsidRDefault="00E62F62" w:rsidP="00E72399">
            <w:pPr>
              <w:rPr>
                <w:rFonts w:cs="Times New Roman"/>
              </w:rPr>
            </w:pPr>
            <w:r w:rsidRPr="00E72399">
              <w:rPr>
                <w:rFonts w:cs="Times New Roman"/>
              </w:rPr>
              <w:t>332</w:t>
            </w:r>
          </w:p>
        </w:tc>
        <w:tc>
          <w:tcPr>
            <w:tcW w:w="0" w:type="auto"/>
            <w:hideMark/>
          </w:tcPr>
          <w:p w14:paraId="714E4EFF" w14:textId="77777777" w:rsidR="00E62F62" w:rsidRPr="00E72399" w:rsidRDefault="00E62F62" w:rsidP="00E72399">
            <w:pPr>
              <w:rPr>
                <w:rFonts w:cs="Times New Roman"/>
              </w:rPr>
            </w:pPr>
          </w:p>
        </w:tc>
        <w:tc>
          <w:tcPr>
            <w:tcW w:w="0" w:type="auto"/>
            <w:hideMark/>
          </w:tcPr>
          <w:p w14:paraId="64398259" w14:textId="77777777" w:rsidR="00E62F62" w:rsidRPr="00E72399" w:rsidRDefault="00E62F62" w:rsidP="00E72399">
            <w:pPr>
              <w:rPr>
                <w:rFonts w:cs="Times New Roman"/>
                <w:sz w:val="20"/>
              </w:rPr>
            </w:pPr>
          </w:p>
        </w:tc>
        <w:tc>
          <w:tcPr>
            <w:tcW w:w="0" w:type="auto"/>
            <w:hideMark/>
          </w:tcPr>
          <w:p w14:paraId="0D4A77F6" w14:textId="77777777" w:rsidR="00E62F62" w:rsidRPr="00E72399" w:rsidRDefault="00E62F62" w:rsidP="00E72399">
            <w:pPr>
              <w:rPr>
                <w:rFonts w:cs="Times New Roman"/>
                <w:sz w:val="20"/>
              </w:rPr>
            </w:pPr>
          </w:p>
        </w:tc>
      </w:tr>
    </w:tbl>
    <w:p w14:paraId="0B14814E" w14:textId="2B6EA482" w:rsidR="00E62F62" w:rsidRPr="00E72399" w:rsidRDefault="00E62F62" w:rsidP="00E72399">
      <w:pPr>
        <w:pStyle w:val="NormalWeb"/>
        <w:jc w:val="both"/>
      </w:pPr>
      <w:r w:rsidRPr="00E72399">
        <w:t xml:space="preserve">The regression coefficients (Table </w:t>
      </w:r>
      <w:r w:rsidR="00E72399" w:rsidRPr="00E72399">
        <w:t>10</w:t>
      </w:r>
      <w:r w:rsidRPr="00E72399">
        <w:t xml:space="preserve">) indicate that inventory management has the strongest positive effect on financial health (β = 0.685, t = 4.581, p &lt; 0.05), followed by cash management (β = 0.207, t = 1.52, p &lt; 0.05). Accounts payables management showed a positive but </w:t>
      </w:r>
      <w:r w:rsidRPr="0040300C">
        <w:rPr>
          <w:highlight w:val="yellow"/>
        </w:rPr>
        <w:t>significant</w:t>
      </w:r>
      <w:r w:rsidRPr="00E72399">
        <w:t xml:space="preserve"> effect (β = 0.118, t = 1.259, p &gt; 0.05). The predictive model is represented as:</w:t>
      </w:r>
    </w:p>
    <w:p w14:paraId="2CB153D8" w14:textId="77777777" w:rsidR="00E62F62" w:rsidRPr="00E72399" w:rsidRDefault="00E62F62" w:rsidP="00E72399">
      <w:pPr>
        <w:pStyle w:val="NormalWeb"/>
        <w:jc w:val="both"/>
      </w:pPr>
      <w:r w:rsidRPr="00E72399">
        <w:rPr>
          <w:rStyle w:val="Strong"/>
        </w:rPr>
        <w:t>FH = 1.597 + 0.685 IMP + 0.207 CMP + 0.118 APM</w:t>
      </w:r>
    </w:p>
    <w:p w14:paraId="29EA5C63" w14:textId="77777777" w:rsidR="00E62F62" w:rsidRPr="00E72399" w:rsidRDefault="00E62F62" w:rsidP="00E72399">
      <w:pPr>
        <w:pStyle w:val="NormalWeb"/>
        <w:jc w:val="both"/>
      </w:pPr>
      <w:r w:rsidRPr="00E72399">
        <w:t>These findings emphasize that prioritizing inventory and cash management significantly enhances the financial health of mini-marts in Nairobi County, while accounts payables management may require complementary strategies to achieve measurable impact.</w:t>
      </w:r>
    </w:p>
    <w:p w14:paraId="1EE7106B" w14:textId="5E677701" w:rsidR="00E62F62" w:rsidRPr="00E72399" w:rsidRDefault="00E62F62" w:rsidP="00E72399">
      <w:pPr>
        <w:pStyle w:val="NormalWeb"/>
        <w:jc w:val="both"/>
      </w:pPr>
      <w:r w:rsidRPr="00E72399">
        <w:rPr>
          <w:rStyle w:val="Strong"/>
        </w:rPr>
        <w:t xml:space="preserve">Table </w:t>
      </w:r>
      <w:r w:rsidR="00E72399" w:rsidRPr="00E72399">
        <w:rPr>
          <w:rStyle w:val="Strong"/>
        </w:rPr>
        <w:t>10</w:t>
      </w:r>
      <w:r w:rsidRPr="00E72399">
        <w:rPr>
          <w:rStyle w:val="Strong"/>
        </w:rPr>
        <w:t>: Regression Coefficients</w:t>
      </w:r>
    </w:p>
    <w:tbl>
      <w:tblPr>
        <w:tblStyle w:val="TableGrid1"/>
        <w:tblW w:w="0" w:type="auto"/>
        <w:tblLook w:val="04A0" w:firstRow="1" w:lastRow="0" w:firstColumn="1" w:lastColumn="0" w:noHBand="0" w:noVBand="1"/>
      </w:tblPr>
      <w:tblGrid>
        <w:gridCol w:w="3389"/>
        <w:gridCol w:w="756"/>
        <w:gridCol w:w="843"/>
        <w:gridCol w:w="756"/>
        <w:gridCol w:w="756"/>
      </w:tblGrid>
      <w:tr w:rsidR="00E62F62" w:rsidRPr="00E72399" w14:paraId="7CB007E2" w14:textId="77777777" w:rsidTr="00E72399">
        <w:tc>
          <w:tcPr>
            <w:tcW w:w="0" w:type="auto"/>
            <w:hideMark/>
          </w:tcPr>
          <w:p w14:paraId="216D932B" w14:textId="77777777" w:rsidR="00E62F62" w:rsidRPr="00E72399" w:rsidRDefault="00E62F62" w:rsidP="00E72399">
            <w:pPr>
              <w:rPr>
                <w:rFonts w:cs="Times New Roman"/>
                <w:b/>
                <w:bCs/>
              </w:rPr>
            </w:pPr>
            <w:r w:rsidRPr="00E72399">
              <w:rPr>
                <w:rFonts w:cs="Times New Roman"/>
                <w:b/>
                <w:bCs/>
              </w:rPr>
              <w:lastRenderedPageBreak/>
              <w:t>Predictor</w:t>
            </w:r>
          </w:p>
        </w:tc>
        <w:tc>
          <w:tcPr>
            <w:tcW w:w="0" w:type="auto"/>
            <w:hideMark/>
          </w:tcPr>
          <w:p w14:paraId="03B3983D" w14:textId="77777777" w:rsidR="00E62F62" w:rsidRPr="00E72399" w:rsidRDefault="00E62F62" w:rsidP="00E72399">
            <w:pPr>
              <w:rPr>
                <w:rFonts w:cs="Times New Roman"/>
                <w:b/>
                <w:bCs/>
              </w:rPr>
            </w:pPr>
            <w:r w:rsidRPr="00E72399">
              <w:rPr>
                <w:rFonts w:cs="Times New Roman"/>
                <w:b/>
                <w:bCs/>
              </w:rPr>
              <w:t>B</w:t>
            </w:r>
          </w:p>
        </w:tc>
        <w:tc>
          <w:tcPr>
            <w:tcW w:w="0" w:type="auto"/>
            <w:hideMark/>
          </w:tcPr>
          <w:p w14:paraId="1BE417CE" w14:textId="77777777" w:rsidR="00E62F62" w:rsidRPr="00E72399" w:rsidRDefault="00E62F62" w:rsidP="00E72399">
            <w:pPr>
              <w:rPr>
                <w:rFonts w:cs="Times New Roman"/>
                <w:b/>
                <w:bCs/>
              </w:rPr>
            </w:pPr>
            <w:r w:rsidRPr="00E72399">
              <w:rPr>
                <w:rFonts w:cs="Times New Roman"/>
                <w:b/>
                <w:bCs/>
              </w:rPr>
              <w:t>Std. E</w:t>
            </w:r>
          </w:p>
        </w:tc>
        <w:tc>
          <w:tcPr>
            <w:tcW w:w="0" w:type="auto"/>
            <w:hideMark/>
          </w:tcPr>
          <w:p w14:paraId="187203CB" w14:textId="77777777" w:rsidR="00E62F62" w:rsidRPr="00E72399" w:rsidRDefault="00E62F62" w:rsidP="00E72399">
            <w:pPr>
              <w:rPr>
                <w:rFonts w:cs="Times New Roman"/>
                <w:b/>
                <w:bCs/>
              </w:rPr>
            </w:pPr>
            <w:r w:rsidRPr="00E72399">
              <w:rPr>
                <w:rFonts w:cs="Times New Roman"/>
                <w:b/>
                <w:bCs/>
              </w:rPr>
              <w:t>t</w:t>
            </w:r>
          </w:p>
        </w:tc>
        <w:tc>
          <w:tcPr>
            <w:tcW w:w="0" w:type="auto"/>
            <w:hideMark/>
          </w:tcPr>
          <w:p w14:paraId="690840EF" w14:textId="77777777" w:rsidR="00E62F62" w:rsidRPr="00E72399" w:rsidRDefault="00E62F62" w:rsidP="00E72399">
            <w:pPr>
              <w:rPr>
                <w:rFonts w:cs="Times New Roman"/>
                <w:b/>
                <w:bCs/>
              </w:rPr>
            </w:pPr>
            <w:r w:rsidRPr="00E72399">
              <w:rPr>
                <w:rFonts w:cs="Times New Roman"/>
                <w:b/>
                <w:bCs/>
              </w:rPr>
              <w:t>Sig.</w:t>
            </w:r>
          </w:p>
        </w:tc>
      </w:tr>
      <w:tr w:rsidR="00E62F62" w:rsidRPr="00E72399" w14:paraId="2F0C4762" w14:textId="77777777" w:rsidTr="00E72399">
        <w:tc>
          <w:tcPr>
            <w:tcW w:w="0" w:type="auto"/>
            <w:hideMark/>
          </w:tcPr>
          <w:p w14:paraId="082B5AFF" w14:textId="77777777" w:rsidR="00E62F62" w:rsidRPr="00E72399" w:rsidRDefault="00E62F62" w:rsidP="00E72399">
            <w:pPr>
              <w:rPr>
                <w:rFonts w:cs="Times New Roman"/>
              </w:rPr>
            </w:pPr>
            <w:r w:rsidRPr="00E72399">
              <w:rPr>
                <w:rFonts w:cs="Times New Roman"/>
              </w:rPr>
              <w:t>Constant</w:t>
            </w:r>
          </w:p>
        </w:tc>
        <w:tc>
          <w:tcPr>
            <w:tcW w:w="0" w:type="auto"/>
            <w:hideMark/>
          </w:tcPr>
          <w:p w14:paraId="024E9FB7" w14:textId="77777777" w:rsidR="00E62F62" w:rsidRPr="00E72399" w:rsidRDefault="00E62F62" w:rsidP="00E72399">
            <w:pPr>
              <w:rPr>
                <w:rFonts w:cs="Times New Roman"/>
              </w:rPr>
            </w:pPr>
            <w:r w:rsidRPr="00E72399">
              <w:rPr>
                <w:rFonts w:cs="Times New Roman"/>
              </w:rPr>
              <w:t>1.597</w:t>
            </w:r>
          </w:p>
        </w:tc>
        <w:tc>
          <w:tcPr>
            <w:tcW w:w="0" w:type="auto"/>
            <w:hideMark/>
          </w:tcPr>
          <w:p w14:paraId="1D51D000" w14:textId="77777777" w:rsidR="00E62F62" w:rsidRPr="00E72399" w:rsidRDefault="00E62F62" w:rsidP="00E72399">
            <w:pPr>
              <w:rPr>
                <w:rFonts w:cs="Times New Roman"/>
              </w:rPr>
            </w:pPr>
            <w:r w:rsidRPr="00E72399">
              <w:rPr>
                <w:rFonts w:cs="Times New Roman"/>
              </w:rPr>
              <w:t>0.592</w:t>
            </w:r>
          </w:p>
        </w:tc>
        <w:tc>
          <w:tcPr>
            <w:tcW w:w="0" w:type="auto"/>
            <w:hideMark/>
          </w:tcPr>
          <w:p w14:paraId="66A56365" w14:textId="77777777" w:rsidR="00E62F62" w:rsidRPr="00E72399" w:rsidRDefault="00E62F62" w:rsidP="00E72399">
            <w:pPr>
              <w:rPr>
                <w:rFonts w:cs="Times New Roman"/>
              </w:rPr>
            </w:pPr>
            <w:r w:rsidRPr="00E72399">
              <w:rPr>
                <w:rFonts w:cs="Times New Roman"/>
              </w:rPr>
              <w:t>2.698</w:t>
            </w:r>
          </w:p>
        </w:tc>
        <w:tc>
          <w:tcPr>
            <w:tcW w:w="0" w:type="auto"/>
            <w:hideMark/>
          </w:tcPr>
          <w:p w14:paraId="71E310E6" w14:textId="77777777" w:rsidR="00E62F62" w:rsidRPr="00E72399" w:rsidRDefault="00E62F62" w:rsidP="00E72399">
            <w:pPr>
              <w:rPr>
                <w:rFonts w:cs="Times New Roman"/>
              </w:rPr>
            </w:pPr>
            <w:r w:rsidRPr="00E72399">
              <w:rPr>
                <w:rFonts w:cs="Times New Roman"/>
              </w:rPr>
              <w:t>0.000</w:t>
            </w:r>
          </w:p>
        </w:tc>
      </w:tr>
      <w:tr w:rsidR="00E62F62" w:rsidRPr="00E72399" w14:paraId="47826F3B" w14:textId="77777777" w:rsidTr="00E72399">
        <w:tc>
          <w:tcPr>
            <w:tcW w:w="0" w:type="auto"/>
            <w:hideMark/>
          </w:tcPr>
          <w:p w14:paraId="051B4FF3" w14:textId="77777777" w:rsidR="00E62F62" w:rsidRPr="00E72399" w:rsidRDefault="00E62F62" w:rsidP="00E72399">
            <w:pPr>
              <w:rPr>
                <w:rFonts w:cs="Times New Roman"/>
              </w:rPr>
            </w:pPr>
            <w:r w:rsidRPr="00E72399">
              <w:rPr>
                <w:rFonts w:cs="Times New Roman"/>
              </w:rPr>
              <w:t>Inventory Management Practices</w:t>
            </w:r>
          </w:p>
        </w:tc>
        <w:tc>
          <w:tcPr>
            <w:tcW w:w="0" w:type="auto"/>
            <w:hideMark/>
          </w:tcPr>
          <w:p w14:paraId="03D6CC7C" w14:textId="77777777" w:rsidR="00E62F62" w:rsidRPr="00E72399" w:rsidRDefault="00E62F62" w:rsidP="00E72399">
            <w:pPr>
              <w:rPr>
                <w:rFonts w:cs="Times New Roman"/>
              </w:rPr>
            </w:pPr>
            <w:r w:rsidRPr="00E72399">
              <w:rPr>
                <w:rFonts w:cs="Times New Roman"/>
              </w:rPr>
              <w:t>0.685</w:t>
            </w:r>
          </w:p>
        </w:tc>
        <w:tc>
          <w:tcPr>
            <w:tcW w:w="0" w:type="auto"/>
            <w:hideMark/>
          </w:tcPr>
          <w:p w14:paraId="626F7528" w14:textId="77777777" w:rsidR="00E62F62" w:rsidRPr="00E72399" w:rsidRDefault="00E62F62" w:rsidP="00E72399">
            <w:pPr>
              <w:rPr>
                <w:rFonts w:cs="Times New Roman"/>
              </w:rPr>
            </w:pPr>
            <w:r w:rsidRPr="00E72399">
              <w:rPr>
                <w:rFonts w:cs="Times New Roman"/>
              </w:rPr>
              <w:t>0.149</w:t>
            </w:r>
          </w:p>
        </w:tc>
        <w:tc>
          <w:tcPr>
            <w:tcW w:w="0" w:type="auto"/>
            <w:hideMark/>
          </w:tcPr>
          <w:p w14:paraId="68EE5DA4" w14:textId="77777777" w:rsidR="00E62F62" w:rsidRPr="00E72399" w:rsidRDefault="00E62F62" w:rsidP="00E72399">
            <w:pPr>
              <w:rPr>
                <w:rFonts w:cs="Times New Roman"/>
              </w:rPr>
            </w:pPr>
            <w:r w:rsidRPr="00E72399">
              <w:rPr>
                <w:rFonts w:cs="Times New Roman"/>
              </w:rPr>
              <w:t>4.581</w:t>
            </w:r>
          </w:p>
        </w:tc>
        <w:tc>
          <w:tcPr>
            <w:tcW w:w="0" w:type="auto"/>
            <w:hideMark/>
          </w:tcPr>
          <w:p w14:paraId="1B8B3BD1" w14:textId="77777777" w:rsidR="00E62F62" w:rsidRPr="00E72399" w:rsidRDefault="00E62F62" w:rsidP="00E72399">
            <w:pPr>
              <w:rPr>
                <w:rFonts w:cs="Times New Roman"/>
              </w:rPr>
            </w:pPr>
            <w:r w:rsidRPr="00E72399">
              <w:rPr>
                <w:rFonts w:cs="Times New Roman"/>
              </w:rPr>
              <w:t>0.011</w:t>
            </w:r>
          </w:p>
        </w:tc>
      </w:tr>
      <w:tr w:rsidR="00E62F62" w:rsidRPr="00E72399" w14:paraId="7555B589" w14:textId="77777777" w:rsidTr="00E72399">
        <w:tc>
          <w:tcPr>
            <w:tcW w:w="0" w:type="auto"/>
            <w:hideMark/>
          </w:tcPr>
          <w:p w14:paraId="71F20E03" w14:textId="77777777" w:rsidR="00E62F62" w:rsidRPr="00E72399" w:rsidRDefault="00E62F62" w:rsidP="00E72399">
            <w:pPr>
              <w:rPr>
                <w:rFonts w:cs="Times New Roman"/>
              </w:rPr>
            </w:pPr>
            <w:r w:rsidRPr="00E72399">
              <w:rPr>
                <w:rFonts w:cs="Times New Roman"/>
              </w:rPr>
              <w:t>Cash Management Practices</w:t>
            </w:r>
          </w:p>
        </w:tc>
        <w:tc>
          <w:tcPr>
            <w:tcW w:w="0" w:type="auto"/>
            <w:hideMark/>
          </w:tcPr>
          <w:p w14:paraId="6E107249" w14:textId="77777777" w:rsidR="00E62F62" w:rsidRPr="00E72399" w:rsidRDefault="00E62F62" w:rsidP="00E72399">
            <w:pPr>
              <w:rPr>
                <w:rFonts w:cs="Times New Roman"/>
              </w:rPr>
            </w:pPr>
            <w:r w:rsidRPr="00E72399">
              <w:rPr>
                <w:rFonts w:cs="Times New Roman"/>
              </w:rPr>
              <w:t>0.207</w:t>
            </w:r>
          </w:p>
        </w:tc>
        <w:tc>
          <w:tcPr>
            <w:tcW w:w="0" w:type="auto"/>
            <w:hideMark/>
          </w:tcPr>
          <w:p w14:paraId="07FD5BA0" w14:textId="77777777" w:rsidR="00E62F62" w:rsidRPr="00E72399" w:rsidRDefault="00E62F62" w:rsidP="00E72399">
            <w:pPr>
              <w:rPr>
                <w:rFonts w:cs="Times New Roman"/>
              </w:rPr>
            </w:pPr>
            <w:r w:rsidRPr="00E72399">
              <w:rPr>
                <w:rFonts w:cs="Times New Roman"/>
              </w:rPr>
              <w:t>0.136</w:t>
            </w:r>
          </w:p>
        </w:tc>
        <w:tc>
          <w:tcPr>
            <w:tcW w:w="0" w:type="auto"/>
            <w:hideMark/>
          </w:tcPr>
          <w:p w14:paraId="1DB0BB68" w14:textId="77777777" w:rsidR="00E62F62" w:rsidRPr="00E72399" w:rsidRDefault="00E62F62" w:rsidP="00E72399">
            <w:pPr>
              <w:rPr>
                <w:rFonts w:cs="Times New Roman"/>
              </w:rPr>
            </w:pPr>
            <w:r w:rsidRPr="00E72399">
              <w:rPr>
                <w:rFonts w:cs="Times New Roman"/>
              </w:rPr>
              <w:t>1.520</w:t>
            </w:r>
          </w:p>
        </w:tc>
        <w:tc>
          <w:tcPr>
            <w:tcW w:w="0" w:type="auto"/>
            <w:hideMark/>
          </w:tcPr>
          <w:p w14:paraId="201233B0" w14:textId="77777777" w:rsidR="00E62F62" w:rsidRPr="00E72399" w:rsidRDefault="00E62F62" w:rsidP="00E72399">
            <w:pPr>
              <w:rPr>
                <w:rFonts w:cs="Times New Roman"/>
              </w:rPr>
            </w:pPr>
            <w:r w:rsidRPr="00E72399">
              <w:rPr>
                <w:rFonts w:cs="Times New Roman"/>
              </w:rPr>
              <w:t>0.030</w:t>
            </w:r>
          </w:p>
        </w:tc>
      </w:tr>
      <w:tr w:rsidR="00E62F62" w:rsidRPr="00E72399" w14:paraId="6E5B44B6" w14:textId="77777777" w:rsidTr="00E72399">
        <w:tc>
          <w:tcPr>
            <w:tcW w:w="0" w:type="auto"/>
            <w:hideMark/>
          </w:tcPr>
          <w:p w14:paraId="7422375C" w14:textId="77777777" w:rsidR="00E62F62" w:rsidRPr="00E72399" w:rsidRDefault="00E62F62" w:rsidP="00E72399">
            <w:pPr>
              <w:rPr>
                <w:rFonts w:cs="Times New Roman"/>
              </w:rPr>
            </w:pPr>
            <w:r w:rsidRPr="00E72399">
              <w:rPr>
                <w:rFonts w:cs="Times New Roman"/>
              </w:rPr>
              <w:t>Account Payables Management</w:t>
            </w:r>
          </w:p>
        </w:tc>
        <w:tc>
          <w:tcPr>
            <w:tcW w:w="0" w:type="auto"/>
            <w:hideMark/>
          </w:tcPr>
          <w:p w14:paraId="5FB2C885" w14:textId="77777777" w:rsidR="00E62F62" w:rsidRPr="00E72399" w:rsidRDefault="00E62F62" w:rsidP="00E72399">
            <w:pPr>
              <w:rPr>
                <w:rFonts w:cs="Times New Roman"/>
              </w:rPr>
            </w:pPr>
            <w:r w:rsidRPr="00E72399">
              <w:rPr>
                <w:rFonts w:cs="Times New Roman"/>
              </w:rPr>
              <w:t>0.118</w:t>
            </w:r>
          </w:p>
        </w:tc>
        <w:tc>
          <w:tcPr>
            <w:tcW w:w="0" w:type="auto"/>
            <w:hideMark/>
          </w:tcPr>
          <w:p w14:paraId="68C37925" w14:textId="77777777" w:rsidR="00E62F62" w:rsidRPr="00E72399" w:rsidRDefault="00E62F62" w:rsidP="00E72399">
            <w:pPr>
              <w:rPr>
                <w:rFonts w:cs="Times New Roman"/>
              </w:rPr>
            </w:pPr>
            <w:r w:rsidRPr="00E72399">
              <w:rPr>
                <w:rFonts w:cs="Times New Roman"/>
              </w:rPr>
              <w:t>0.094</w:t>
            </w:r>
          </w:p>
        </w:tc>
        <w:tc>
          <w:tcPr>
            <w:tcW w:w="0" w:type="auto"/>
            <w:hideMark/>
          </w:tcPr>
          <w:p w14:paraId="2E0B70AF" w14:textId="77777777" w:rsidR="00E62F62" w:rsidRPr="00E72399" w:rsidRDefault="00E62F62" w:rsidP="00E72399">
            <w:pPr>
              <w:rPr>
                <w:rFonts w:cs="Times New Roman"/>
              </w:rPr>
            </w:pPr>
            <w:r w:rsidRPr="00E72399">
              <w:rPr>
                <w:rFonts w:cs="Times New Roman"/>
              </w:rPr>
              <w:t>1.259</w:t>
            </w:r>
          </w:p>
        </w:tc>
        <w:tc>
          <w:tcPr>
            <w:tcW w:w="0" w:type="auto"/>
            <w:hideMark/>
          </w:tcPr>
          <w:p w14:paraId="07EEC72A" w14:textId="77777777" w:rsidR="00E62F62" w:rsidRPr="00E72399" w:rsidRDefault="00E62F62" w:rsidP="00E72399">
            <w:pPr>
              <w:rPr>
                <w:rFonts w:cs="Times New Roman"/>
              </w:rPr>
            </w:pPr>
            <w:r w:rsidRPr="00E72399">
              <w:rPr>
                <w:rFonts w:cs="Times New Roman"/>
              </w:rPr>
              <w:t>0.024</w:t>
            </w:r>
          </w:p>
        </w:tc>
      </w:tr>
    </w:tbl>
    <w:p w14:paraId="359E84B3" w14:textId="69EAA060" w:rsidR="00055D83" w:rsidRPr="00E72399" w:rsidRDefault="00055D83" w:rsidP="00E72399">
      <w:pPr>
        <w:shd w:val="clear" w:color="auto" w:fill="FFFFFF"/>
        <w:spacing w:line="240" w:lineRule="auto"/>
        <w:rPr>
          <w:rFonts w:eastAsia="Times New Roman" w:cs="Times New Roman"/>
          <w:b/>
          <w:bCs/>
          <w:color w:val="000000" w:themeColor="text1"/>
          <w:sz w:val="28"/>
          <w:szCs w:val="28"/>
        </w:rPr>
      </w:pPr>
      <w:r w:rsidRPr="00E72399">
        <w:rPr>
          <w:rFonts w:eastAsia="Times New Roman" w:cs="Times New Roman"/>
          <w:b/>
          <w:bCs/>
          <w:color w:val="000000" w:themeColor="text1"/>
          <w:sz w:val="28"/>
          <w:szCs w:val="28"/>
        </w:rPr>
        <w:t xml:space="preserve">5.0 CONCLUSIONS </w:t>
      </w:r>
    </w:p>
    <w:p w14:paraId="64F2E1D7" w14:textId="79CADB64" w:rsidR="007966C7" w:rsidRPr="00E72399" w:rsidRDefault="007966C7" w:rsidP="00E72399">
      <w:pPr>
        <w:spacing w:line="240" w:lineRule="auto"/>
        <w:rPr>
          <w:rFonts w:cs="Times New Roman"/>
          <w:color w:val="000000" w:themeColor="text1"/>
          <w:szCs w:val="24"/>
        </w:rPr>
      </w:pPr>
      <w:r w:rsidRPr="00E72399">
        <w:rPr>
          <w:rFonts w:cs="Times New Roman"/>
          <w:color w:val="000000" w:themeColor="text1"/>
          <w:szCs w:val="24"/>
        </w:rPr>
        <w:t>The study concludes that working capital management practices (WCMP) play a significant role in shaping the financial health of minimarts in Nairobi County, Kenya, despite the presence of limiting factors that moderate their overall impact. The findings establish a positive and statistically significant relationship between WCMP and financial health, indicating that effective working capital strategies enhance both financial and operational performance. This underscores WCMP as a critical strategic driver in the minimart retail sector.</w:t>
      </w:r>
    </w:p>
    <w:p w14:paraId="1ECBB5BB" w14:textId="68CA57D0" w:rsidR="007966C7" w:rsidRPr="00E72399" w:rsidRDefault="007966C7" w:rsidP="00E72399">
      <w:pPr>
        <w:spacing w:line="240" w:lineRule="auto"/>
        <w:rPr>
          <w:rFonts w:cs="Times New Roman"/>
          <w:color w:val="000000" w:themeColor="text1"/>
          <w:szCs w:val="24"/>
        </w:rPr>
      </w:pPr>
      <w:r w:rsidRPr="00E72399">
        <w:rPr>
          <w:rFonts w:cs="Times New Roman"/>
          <w:color w:val="000000" w:themeColor="text1"/>
          <w:szCs w:val="24"/>
        </w:rPr>
        <w:t>Specifically, cash management practices were found to have a strong and significant positive effect on financial health. Minimarts that implement sound cash management strategies improve their liquidity position and operational efficiency, reinforcing the importance of managing cash flows within the working capital cycle.</w:t>
      </w:r>
    </w:p>
    <w:p w14:paraId="50F0BC2F" w14:textId="04B064AA" w:rsidR="00A27439" w:rsidRPr="00E72399" w:rsidRDefault="007966C7" w:rsidP="00E72399">
      <w:pPr>
        <w:spacing w:line="240" w:lineRule="auto"/>
        <w:rPr>
          <w:rFonts w:cs="Times New Roman"/>
          <w:color w:val="000000" w:themeColor="text1"/>
          <w:szCs w:val="24"/>
        </w:rPr>
      </w:pPr>
      <w:r w:rsidRPr="00E72399">
        <w:rPr>
          <w:rFonts w:cs="Times New Roman"/>
          <w:color w:val="000000" w:themeColor="text1"/>
          <w:szCs w:val="24"/>
        </w:rPr>
        <w:t>Additionally, the study reveals that accounts payable management practices positively influence financial health, contrary to some prior studies. The results indicate that effective use of trade credit enhances firm performance by supporting cost management and future growth. This leads to the conclusion that accounts payable management acts as a significant moderating factor in the WCMP–financial health relationship. Overall, the study highlights that efficient management of inventory, cash, and payables is essential for optimizing financial outcomes and sustaining competitiveness in the minimart sector.</w:t>
      </w:r>
      <w:r w:rsidR="00E05059" w:rsidRPr="00E72399">
        <w:rPr>
          <w:rFonts w:cs="Times New Roman"/>
          <w:color w:val="000000" w:themeColor="text1"/>
          <w:szCs w:val="24"/>
        </w:rPr>
        <w:t xml:space="preserve"> </w:t>
      </w:r>
    </w:p>
    <w:p w14:paraId="750144BF" w14:textId="7E52FE3F" w:rsidR="00055D83" w:rsidRPr="00E72399" w:rsidRDefault="00055D83" w:rsidP="00E72399">
      <w:pPr>
        <w:spacing w:line="240" w:lineRule="auto"/>
        <w:rPr>
          <w:rFonts w:cs="Times New Roman"/>
          <w:b/>
          <w:bCs/>
          <w:color w:val="000000" w:themeColor="text1"/>
          <w:sz w:val="28"/>
          <w:szCs w:val="28"/>
        </w:rPr>
      </w:pPr>
      <w:r w:rsidRPr="00E72399">
        <w:rPr>
          <w:rFonts w:cs="Times New Roman"/>
          <w:b/>
          <w:bCs/>
          <w:color w:val="000000" w:themeColor="text1"/>
          <w:sz w:val="28"/>
          <w:szCs w:val="28"/>
        </w:rPr>
        <w:t>6.0 RECOMMENDATIONS</w:t>
      </w:r>
    </w:p>
    <w:p w14:paraId="38ACF2C4" w14:textId="209EB6EE" w:rsidR="007A56B8" w:rsidRDefault="007966C7" w:rsidP="00E72399">
      <w:pPr>
        <w:spacing w:before="0" w:after="160" w:line="259" w:lineRule="auto"/>
        <w:rPr>
          <w:rFonts w:cs="Times New Roman"/>
        </w:rPr>
      </w:pPr>
      <w:r w:rsidRPr="00E72399">
        <w:rPr>
          <w:rFonts w:cs="Times New Roman"/>
        </w:rPr>
        <w:t>The study recommends policy and managerial interventions to enhance the financial performance of minimarts in Kenya through effective working capital management practices (WCMP). Policymakers and financiers are encouraged to promote the integration of WCMP into business strategies by creating a supportive business environment and offering financial incentives to minimize business failure and improve sustainability. At the managerial level, minimart owners and operators should incorporate sound working capital practices—particularly in inventory, cash, and accounts payable management—into their core operations to strengthen financial stability and operational efficiency. The findings emphasize that aligning business strategies with WCMP enables firms to exploit opportunities and mitigate risks. Additionally, managers are advised to adopt continuous monitoring and evaluation mechanisms by using clear performance indicators and data-driven approaches. This ensures that WCMP initiatives translate into measurable financial improvements, ultimately enhancing the resilience and competitiveness of minimarts in Kenya.</w:t>
      </w:r>
    </w:p>
    <w:p w14:paraId="03DC93EB" w14:textId="40234E7A" w:rsidR="006507E7" w:rsidRDefault="006507E7" w:rsidP="00E72399">
      <w:pPr>
        <w:spacing w:before="0" w:after="160" w:line="259" w:lineRule="auto"/>
        <w:rPr>
          <w:rFonts w:eastAsia="Times New Roman" w:cs="Times New Roman"/>
          <w:b/>
          <w:bCs/>
          <w:color w:val="000000" w:themeColor="text1"/>
          <w:sz w:val="28"/>
          <w:szCs w:val="28"/>
        </w:rPr>
      </w:pPr>
    </w:p>
    <w:p w14:paraId="3083682D" w14:textId="77777777" w:rsidR="006507E7" w:rsidRPr="00005ED1" w:rsidRDefault="006507E7" w:rsidP="006507E7">
      <w:pPr>
        <w:pStyle w:val="NoSpacing"/>
        <w:rPr>
          <w:rFonts w:ascii="Arial" w:hAnsi="Arial" w:cs="Arial"/>
          <w:highlight w:val="yellow"/>
        </w:rPr>
      </w:pPr>
      <w:bookmarkStart w:id="2" w:name="_Hlk198031404"/>
      <w:r w:rsidRPr="00005ED1">
        <w:rPr>
          <w:rFonts w:ascii="Arial" w:hAnsi="Arial" w:cs="Arial"/>
          <w:highlight w:val="yellow"/>
        </w:rPr>
        <w:lastRenderedPageBreak/>
        <w:t>Disclaimer (Artificial intelligence)</w:t>
      </w:r>
    </w:p>
    <w:p w14:paraId="3C4043B7" w14:textId="77777777" w:rsidR="006507E7" w:rsidRPr="00005ED1" w:rsidRDefault="006507E7" w:rsidP="006507E7">
      <w:pPr>
        <w:pStyle w:val="NoSpacing"/>
        <w:rPr>
          <w:rFonts w:ascii="Arial" w:hAnsi="Arial" w:cs="Arial"/>
          <w:highlight w:val="yellow"/>
        </w:rPr>
      </w:pPr>
    </w:p>
    <w:p w14:paraId="08729442" w14:textId="77777777" w:rsidR="006507E7" w:rsidRPr="00005ED1" w:rsidRDefault="006507E7" w:rsidP="006507E7">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2EAE541C" w14:textId="77777777" w:rsidR="006507E7" w:rsidRDefault="006507E7" w:rsidP="006507E7">
      <w:pPr>
        <w:pStyle w:val="NoSpacing"/>
        <w:rPr>
          <w:rFonts w:ascii="Arial" w:hAnsi="Arial" w:cs="Arial"/>
        </w:rPr>
      </w:pPr>
    </w:p>
    <w:p w14:paraId="25866953" w14:textId="77777777" w:rsidR="006507E7" w:rsidRPr="00E72399" w:rsidRDefault="006507E7" w:rsidP="00E72399">
      <w:pPr>
        <w:spacing w:before="0" w:after="160" w:line="259" w:lineRule="auto"/>
        <w:rPr>
          <w:rFonts w:eastAsia="Times New Roman" w:cs="Times New Roman"/>
          <w:b/>
          <w:bCs/>
          <w:color w:val="000000" w:themeColor="text1"/>
          <w:sz w:val="28"/>
          <w:szCs w:val="28"/>
        </w:rPr>
      </w:pPr>
    </w:p>
    <w:p w14:paraId="5A202687" w14:textId="6C149CC1" w:rsidR="00B55CEF" w:rsidRPr="0040300C" w:rsidRDefault="00055D83" w:rsidP="002151BA">
      <w:pPr>
        <w:shd w:val="clear" w:color="auto" w:fill="FFFFFF"/>
        <w:spacing w:line="240" w:lineRule="auto"/>
        <w:rPr>
          <w:rFonts w:eastAsia="Times New Roman" w:cs="Times New Roman"/>
          <w:b/>
          <w:bCs/>
          <w:color w:val="000000" w:themeColor="text1"/>
          <w:sz w:val="28"/>
          <w:szCs w:val="28"/>
          <w:lang w:val="es-US"/>
        </w:rPr>
      </w:pPr>
      <w:r w:rsidRPr="0040300C">
        <w:rPr>
          <w:rFonts w:eastAsia="Times New Roman" w:cs="Times New Roman"/>
          <w:b/>
          <w:bCs/>
          <w:color w:val="000000" w:themeColor="text1"/>
          <w:sz w:val="28"/>
          <w:szCs w:val="28"/>
          <w:lang w:val="es-US"/>
        </w:rPr>
        <w:t>REFERENCES</w:t>
      </w:r>
    </w:p>
    <w:p w14:paraId="6E2A1CBD" w14:textId="77777777" w:rsidR="00AE317F" w:rsidRPr="00613504" w:rsidRDefault="00AE317F" w:rsidP="00AE317F">
      <w:pPr>
        <w:spacing w:before="0" w:line="240" w:lineRule="auto"/>
        <w:ind w:left="630" w:hanging="630"/>
        <w:rPr>
          <w:rFonts w:cs="Times New Roman"/>
          <w:szCs w:val="24"/>
        </w:rPr>
      </w:pPr>
      <w:r w:rsidRPr="0040300C">
        <w:rPr>
          <w:rFonts w:cs="Times New Roman"/>
          <w:szCs w:val="24"/>
          <w:lang w:val="es-US"/>
        </w:rPr>
        <w:t xml:space="preserve">Afrifa, G. A., &amp; </w:t>
      </w:r>
      <w:proofErr w:type="spellStart"/>
      <w:r w:rsidRPr="0040300C">
        <w:rPr>
          <w:rFonts w:cs="Times New Roman"/>
          <w:szCs w:val="24"/>
          <w:lang w:val="es-US"/>
        </w:rPr>
        <w:t>Padachi</w:t>
      </w:r>
      <w:proofErr w:type="spellEnd"/>
      <w:r w:rsidRPr="0040300C">
        <w:rPr>
          <w:rFonts w:cs="Times New Roman"/>
          <w:szCs w:val="24"/>
          <w:lang w:val="es-US"/>
        </w:rPr>
        <w:t xml:space="preserve">, K. (2016). </w:t>
      </w:r>
      <w:r w:rsidRPr="00613504">
        <w:rPr>
          <w:rFonts w:cs="Times New Roman"/>
          <w:szCs w:val="24"/>
        </w:rPr>
        <w:t xml:space="preserve">Working capital level influence on SME profitability. </w:t>
      </w:r>
      <w:r w:rsidRPr="00613504">
        <w:rPr>
          <w:rFonts w:cs="Times New Roman"/>
          <w:i/>
          <w:iCs/>
          <w:szCs w:val="24"/>
        </w:rPr>
        <w:t>Journal of Small Business and Enterprise Development,</w:t>
      </w:r>
      <w:r w:rsidRPr="00613504">
        <w:rPr>
          <w:rFonts w:cs="Times New Roman"/>
          <w:szCs w:val="24"/>
        </w:rPr>
        <w:t xml:space="preserve"> 23(1), 44-63.</w:t>
      </w:r>
    </w:p>
    <w:p w14:paraId="609D6F20" w14:textId="77777777" w:rsidR="00AE317F" w:rsidRPr="00613504" w:rsidRDefault="00AE317F" w:rsidP="00AE317F">
      <w:pPr>
        <w:pStyle w:val="Bibliography"/>
        <w:spacing w:before="0" w:line="240" w:lineRule="auto"/>
        <w:rPr>
          <w:noProof/>
        </w:rPr>
      </w:pPr>
      <w:r w:rsidRPr="00613504">
        <w:rPr>
          <w:noProof/>
        </w:rPr>
        <w:t xml:space="preserve">Ahmadimousaabad, A., Bajuri, N., &amp; Jahanzeb, A. S. (2013). Trade-off theory, pecking order theory and market timing theory. </w:t>
      </w:r>
      <w:r w:rsidRPr="00613504">
        <w:rPr>
          <w:i/>
          <w:iCs/>
          <w:noProof/>
        </w:rPr>
        <w:t>International Journal of Management and Commerce Innovations, 1</w:t>
      </w:r>
      <w:r w:rsidRPr="00613504">
        <w:rPr>
          <w:noProof/>
        </w:rPr>
        <w:t>(1), 11-18.</w:t>
      </w:r>
    </w:p>
    <w:p w14:paraId="12BD1132"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Akinyomi, O., &amp; Chinedu, O. (2018). Cash management on the profitability of manufacturing companies in Nigeria. </w:t>
      </w:r>
      <w:r w:rsidRPr="00613504">
        <w:rPr>
          <w:rFonts w:cs="Times New Roman"/>
          <w:i/>
          <w:szCs w:val="24"/>
        </w:rPr>
        <w:t>Business and strategic management Journal, 29</w:t>
      </w:r>
      <w:r w:rsidRPr="00613504">
        <w:rPr>
          <w:rFonts w:cs="Times New Roman"/>
          <w:szCs w:val="24"/>
        </w:rPr>
        <w:t>(6), 76-82.</w:t>
      </w:r>
    </w:p>
    <w:p w14:paraId="7A495439"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Alhasanko, R. (2024). Financial health of the company and its relationship to its market value added: Evidence from Industrial Companies Listed on Amman Stock Exchange. </w:t>
      </w:r>
      <w:r w:rsidRPr="00613504">
        <w:rPr>
          <w:rFonts w:cs="Times New Roman"/>
          <w:i/>
          <w:szCs w:val="24"/>
        </w:rPr>
        <w:t>International Journal of Finance and Accounting, 9</w:t>
      </w:r>
      <w:r w:rsidRPr="00613504">
        <w:rPr>
          <w:rFonts w:cs="Times New Roman"/>
          <w:szCs w:val="24"/>
        </w:rPr>
        <w:t>(3), 37 – 51</w:t>
      </w:r>
    </w:p>
    <w:p w14:paraId="6A30FD39"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Avist</w:t>
      </w:r>
      <w:proofErr w:type="spellEnd"/>
      <w:r w:rsidRPr="00613504">
        <w:rPr>
          <w:rFonts w:cs="Times New Roman"/>
          <w:szCs w:val="24"/>
        </w:rPr>
        <w:t xml:space="preserve">, J., Mike G., &amp; Jussi, N. (2021). Working capital management on firm profitability in different business cycles, Finland. </w:t>
      </w:r>
      <w:r w:rsidRPr="00613504">
        <w:rPr>
          <w:rFonts w:cs="Times New Roman"/>
          <w:i/>
          <w:szCs w:val="24"/>
        </w:rPr>
        <w:t>Research in International Business and Finance, Vol 32</w:t>
      </w:r>
      <w:r w:rsidRPr="00613504">
        <w:rPr>
          <w:rFonts w:cs="Times New Roman"/>
          <w:szCs w:val="24"/>
        </w:rPr>
        <w:t>, (36- 49)</w:t>
      </w:r>
    </w:p>
    <w:p w14:paraId="746F70E9"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Babbie, E. R. (2010). </w:t>
      </w:r>
      <w:r w:rsidRPr="00613504">
        <w:rPr>
          <w:rFonts w:cs="Times New Roman"/>
          <w:i/>
          <w:szCs w:val="24"/>
        </w:rPr>
        <w:t>The Practice of Social Research.</w:t>
      </w:r>
      <w:r w:rsidRPr="00613504">
        <w:rPr>
          <w:rFonts w:cs="Times New Roman"/>
          <w:szCs w:val="24"/>
        </w:rPr>
        <w:t xml:space="preserve"> Belmont, CA: Wadsworth</w:t>
      </w:r>
    </w:p>
    <w:p w14:paraId="724B887D"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Banne, V. R., </w:t>
      </w:r>
      <w:proofErr w:type="spellStart"/>
      <w:r w:rsidRPr="00613504">
        <w:rPr>
          <w:rFonts w:cs="Times New Roman"/>
          <w:szCs w:val="24"/>
        </w:rPr>
        <w:t>Kalangi</w:t>
      </w:r>
      <w:proofErr w:type="spellEnd"/>
      <w:r w:rsidRPr="00613504">
        <w:rPr>
          <w:rFonts w:cs="Times New Roman"/>
          <w:szCs w:val="24"/>
        </w:rPr>
        <w:t xml:space="preserve">, J. B., &amp; Wangke, S. J. (2019). Financial health level of PT. Garuda Indonesia. </w:t>
      </w:r>
      <w:proofErr w:type="spellStart"/>
      <w:r w:rsidRPr="00613504">
        <w:rPr>
          <w:rFonts w:cs="Times New Roman"/>
          <w:i/>
          <w:szCs w:val="24"/>
        </w:rPr>
        <w:t>Jurnal</w:t>
      </w:r>
      <w:proofErr w:type="spellEnd"/>
      <w:r w:rsidRPr="00613504">
        <w:rPr>
          <w:rFonts w:cs="Times New Roman"/>
          <w:i/>
          <w:szCs w:val="24"/>
        </w:rPr>
        <w:t xml:space="preserve"> Riset Ekonomi, </w:t>
      </w:r>
      <w:proofErr w:type="spellStart"/>
      <w:r w:rsidRPr="00613504">
        <w:rPr>
          <w:rFonts w:cs="Times New Roman"/>
          <w:i/>
          <w:szCs w:val="24"/>
        </w:rPr>
        <w:t>Manajemen</w:t>
      </w:r>
      <w:proofErr w:type="spellEnd"/>
      <w:r w:rsidRPr="00613504">
        <w:rPr>
          <w:rFonts w:cs="Times New Roman"/>
          <w:i/>
          <w:szCs w:val="24"/>
        </w:rPr>
        <w:t xml:space="preserve">, </w:t>
      </w:r>
      <w:proofErr w:type="spellStart"/>
      <w:r w:rsidRPr="00613504">
        <w:rPr>
          <w:rFonts w:cs="Times New Roman"/>
          <w:i/>
          <w:szCs w:val="24"/>
        </w:rPr>
        <w:t>Bisnis</w:t>
      </w:r>
      <w:proofErr w:type="spellEnd"/>
      <w:r w:rsidRPr="00613504">
        <w:rPr>
          <w:rFonts w:cs="Times New Roman"/>
          <w:i/>
          <w:szCs w:val="24"/>
        </w:rPr>
        <w:t xml:space="preserve"> dan Akuntansi, 7</w:t>
      </w:r>
      <w:r w:rsidRPr="00613504">
        <w:rPr>
          <w:rFonts w:cs="Times New Roman"/>
          <w:szCs w:val="24"/>
        </w:rPr>
        <w:t>(3), 3648- 3657.</w:t>
      </w:r>
    </w:p>
    <w:p w14:paraId="56C00856"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Barnard, A., Peters, D., &amp; Muller, H. (2020). Financial health and sense of coherence. </w:t>
      </w:r>
      <w:r w:rsidRPr="00613504">
        <w:rPr>
          <w:rFonts w:cs="Times New Roman"/>
          <w:i/>
          <w:szCs w:val="24"/>
        </w:rPr>
        <w:t>SA Journal of Human Resource Management, 8</w:t>
      </w:r>
      <w:r w:rsidRPr="00613504">
        <w:rPr>
          <w:rFonts w:cs="Times New Roman"/>
          <w:szCs w:val="24"/>
        </w:rPr>
        <w:t>(1), 1-12.</w:t>
      </w:r>
    </w:p>
    <w:p w14:paraId="200CBEDC"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Bhattacherjee, A. (2012). </w:t>
      </w:r>
      <w:r w:rsidRPr="00613504">
        <w:rPr>
          <w:rFonts w:cs="Times New Roman"/>
          <w:i/>
          <w:iCs/>
          <w:szCs w:val="24"/>
        </w:rPr>
        <w:t>Social science research: Principles, methods, and practices.</w:t>
      </w:r>
      <w:r w:rsidRPr="00613504">
        <w:rPr>
          <w:rFonts w:cs="Times New Roman"/>
          <w:szCs w:val="24"/>
        </w:rPr>
        <w:t xml:space="preserve"> Textbooks Collection, 3.</w:t>
      </w:r>
    </w:p>
    <w:p w14:paraId="2402BBD1"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Bira, J., &amp; Habiba, A. P. (2018). Working capital management and firm profitability among manufacturing and construction firms on NSE. </w:t>
      </w:r>
      <w:r w:rsidRPr="00613504">
        <w:rPr>
          <w:rFonts w:cs="Times New Roman"/>
          <w:i/>
          <w:szCs w:val="24"/>
        </w:rPr>
        <w:t>Journal of Financial and Development Studies, 7</w:t>
      </w:r>
      <w:r w:rsidRPr="00613504">
        <w:rPr>
          <w:rFonts w:cs="Times New Roman"/>
          <w:szCs w:val="24"/>
        </w:rPr>
        <w:t>(29), 97-106</w:t>
      </w:r>
    </w:p>
    <w:p w14:paraId="17EBF5C1"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Bryman, A., &amp; Bell, E. (2015). </w:t>
      </w:r>
      <w:r w:rsidRPr="00613504">
        <w:rPr>
          <w:rFonts w:cs="Times New Roman"/>
          <w:i/>
          <w:szCs w:val="24"/>
        </w:rPr>
        <w:t>Business research methods</w:t>
      </w:r>
      <w:r w:rsidRPr="00613504">
        <w:rPr>
          <w:rFonts w:cs="Times New Roman"/>
          <w:szCs w:val="24"/>
        </w:rPr>
        <w:t xml:space="preserve"> (4 </w:t>
      </w:r>
      <w:proofErr w:type="spellStart"/>
      <w:r w:rsidRPr="00613504">
        <w:rPr>
          <w:rFonts w:cs="Times New Roman"/>
          <w:szCs w:val="24"/>
        </w:rPr>
        <w:t>th</w:t>
      </w:r>
      <w:proofErr w:type="spellEnd"/>
      <w:r w:rsidRPr="00613504">
        <w:rPr>
          <w:rFonts w:cs="Times New Roman"/>
          <w:szCs w:val="24"/>
        </w:rPr>
        <w:t xml:space="preserve"> ed.). Oxford University Press, US.</w:t>
      </w:r>
    </w:p>
    <w:p w14:paraId="523FA2C3"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Chege, J., &amp; Wang, H. (2021). Supermarkets and consumers in Africa: The case of Nairobi, Kenya. </w:t>
      </w:r>
      <w:r w:rsidRPr="00613504">
        <w:rPr>
          <w:rFonts w:cs="Times New Roman"/>
          <w:i/>
          <w:iCs/>
          <w:szCs w:val="24"/>
        </w:rPr>
        <w:t>Journal of International Food &amp; Agribusiness Marketing,</w:t>
      </w:r>
      <w:r w:rsidRPr="00613504">
        <w:rPr>
          <w:rFonts w:cs="Times New Roman"/>
          <w:szCs w:val="24"/>
        </w:rPr>
        <w:t xml:space="preserve"> 18 (1-2), 103-123. </w:t>
      </w:r>
    </w:p>
    <w:p w14:paraId="6E53EEC6"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Chege, P. M., &amp; Bett, S. (2019). Internal control systems on financial performance of SMEs in Nairobi, Kenya. </w:t>
      </w:r>
      <w:r w:rsidRPr="00613504">
        <w:rPr>
          <w:rFonts w:cs="Times New Roman"/>
          <w:i/>
          <w:iCs/>
          <w:szCs w:val="24"/>
        </w:rPr>
        <w:t>International Academic Journal of Economics and Finance,</w:t>
      </w:r>
      <w:r w:rsidRPr="00613504">
        <w:rPr>
          <w:rFonts w:cs="Times New Roman"/>
          <w:szCs w:val="24"/>
        </w:rPr>
        <w:t xml:space="preserve"> (2), 47-65.</w:t>
      </w:r>
    </w:p>
    <w:p w14:paraId="24FC1D43"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Cooper, D. R., &amp; Schindler, R. (2013). </w:t>
      </w:r>
      <w:r w:rsidRPr="00613504">
        <w:rPr>
          <w:rFonts w:cs="Times New Roman"/>
          <w:i/>
          <w:szCs w:val="24"/>
        </w:rPr>
        <w:t>Research methods for business</w:t>
      </w:r>
      <w:r w:rsidRPr="00613504">
        <w:rPr>
          <w:rFonts w:cs="Times New Roman"/>
          <w:szCs w:val="24"/>
        </w:rPr>
        <w:t xml:space="preserve"> (4th ed.). Chennai: Wiley &amp; Sons.</w:t>
      </w:r>
    </w:p>
    <w:p w14:paraId="76FB6C94"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Creswell, J.W. (2013). </w:t>
      </w:r>
      <w:r w:rsidRPr="00613504">
        <w:rPr>
          <w:rFonts w:cs="Times New Roman"/>
          <w:i/>
          <w:szCs w:val="24"/>
        </w:rPr>
        <w:t xml:space="preserve">Research Design: qualitative, quantitative and mixed methods </w:t>
      </w:r>
      <w:proofErr w:type="gramStart"/>
      <w:r w:rsidRPr="00613504">
        <w:rPr>
          <w:rFonts w:cs="Times New Roman"/>
          <w:i/>
          <w:szCs w:val="24"/>
        </w:rPr>
        <w:t>approaches</w:t>
      </w:r>
      <w:proofErr w:type="gramEnd"/>
      <w:r w:rsidRPr="00613504">
        <w:rPr>
          <w:rFonts w:cs="Times New Roman"/>
          <w:i/>
          <w:szCs w:val="24"/>
        </w:rPr>
        <w:t>.</w:t>
      </w:r>
      <w:r w:rsidRPr="00613504">
        <w:rPr>
          <w:rFonts w:cs="Times New Roman"/>
          <w:szCs w:val="24"/>
        </w:rPr>
        <w:t xml:space="preserve"> SAGE publications</w:t>
      </w:r>
    </w:p>
    <w:p w14:paraId="2681506B"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Deloof, M. (2003). Does working capital management affect profitability of Belgian firms?</w:t>
      </w:r>
      <w:r w:rsidRPr="00613504">
        <w:rPr>
          <w:rFonts w:cs="Times New Roman"/>
          <w:i/>
          <w:iCs/>
          <w:szCs w:val="24"/>
        </w:rPr>
        <w:t xml:space="preserve"> Journal of Business Finance &amp; Accounting</w:t>
      </w:r>
      <w:r w:rsidRPr="00613504">
        <w:rPr>
          <w:rFonts w:cs="Times New Roman"/>
          <w:szCs w:val="24"/>
        </w:rPr>
        <w:t>, 30 (3-4), 573-588.</w:t>
      </w:r>
    </w:p>
    <w:p w14:paraId="49F6ED04"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Gitman, </w:t>
      </w:r>
      <w:proofErr w:type="spellStart"/>
      <w:r w:rsidRPr="00613504">
        <w:rPr>
          <w:rFonts w:cs="Times New Roman"/>
          <w:szCs w:val="24"/>
        </w:rPr>
        <w:t>Lawrrnc</w:t>
      </w:r>
      <w:proofErr w:type="spellEnd"/>
      <w:r w:rsidRPr="00613504">
        <w:rPr>
          <w:rFonts w:cs="Times New Roman"/>
          <w:szCs w:val="24"/>
        </w:rPr>
        <w:t xml:space="preserve"> (2009). Managerial Finance,12edition. United States, America.</w:t>
      </w:r>
    </w:p>
    <w:p w14:paraId="20EF8B9F"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Hair, J. F., Black, W. C., Babin, B. J., &amp; Anderson, R. E. (2019). </w:t>
      </w:r>
      <w:r w:rsidRPr="00613504">
        <w:rPr>
          <w:rFonts w:cs="Times New Roman"/>
          <w:i/>
          <w:iCs/>
          <w:szCs w:val="24"/>
        </w:rPr>
        <w:t xml:space="preserve">Multivariate data analysis </w:t>
      </w:r>
      <w:r w:rsidRPr="00613504">
        <w:rPr>
          <w:rFonts w:cs="Times New Roman"/>
          <w:szCs w:val="24"/>
        </w:rPr>
        <w:t>(8th ed.). Cengage Learning.</w:t>
      </w:r>
    </w:p>
    <w:p w14:paraId="20CC0C16"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Halotra</w:t>
      </w:r>
      <w:proofErr w:type="spellEnd"/>
      <w:r w:rsidRPr="00613504">
        <w:rPr>
          <w:rFonts w:cs="Times New Roman"/>
          <w:szCs w:val="24"/>
        </w:rPr>
        <w:t xml:space="preserve">, V. (2023). Inventory management and small </w:t>
      </w:r>
      <w:proofErr w:type="gramStart"/>
      <w:r w:rsidRPr="00613504">
        <w:rPr>
          <w:rFonts w:cs="Times New Roman"/>
          <w:szCs w:val="24"/>
        </w:rPr>
        <w:t>firms</w:t>
      </w:r>
      <w:proofErr w:type="gramEnd"/>
      <w:r w:rsidRPr="00613504">
        <w:rPr>
          <w:rFonts w:cs="Times New Roman"/>
          <w:szCs w:val="24"/>
        </w:rPr>
        <w:t xml:space="preserve"> growth: an analytical study in </w:t>
      </w:r>
      <w:r w:rsidRPr="00613504">
        <w:rPr>
          <w:rFonts w:cs="Times New Roman"/>
          <w:i/>
          <w:szCs w:val="24"/>
        </w:rPr>
        <w:t>Supply Chain. Vision, 17</w:t>
      </w:r>
      <w:r w:rsidRPr="00613504">
        <w:rPr>
          <w:rFonts w:cs="Times New Roman"/>
          <w:szCs w:val="24"/>
        </w:rPr>
        <w:t>(3), 213–222</w:t>
      </w:r>
    </w:p>
    <w:p w14:paraId="4EF859BE"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Joel, P., &amp; Sharm, A. M. (2022). Efficiency change in working capital management using </w:t>
      </w:r>
      <w:proofErr w:type="spellStart"/>
      <w:r w:rsidRPr="00613504">
        <w:rPr>
          <w:rFonts w:cs="Times New Roman"/>
          <w:szCs w:val="24"/>
        </w:rPr>
        <w:t>malmquist</w:t>
      </w:r>
      <w:proofErr w:type="spellEnd"/>
      <w:r w:rsidRPr="00613504">
        <w:rPr>
          <w:rFonts w:cs="Times New Roman"/>
          <w:szCs w:val="24"/>
        </w:rPr>
        <w:t xml:space="preserve"> productivity index. </w:t>
      </w:r>
      <w:r w:rsidRPr="00613504">
        <w:rPr>
          <w:rFonts w:cs="Times New Roman"/>
          <w:i/>
          <w:szCs w:val="24"/>
        </w:rPr>
        <w:t>Journal of Information and Optimization Sciences, 76</w:t>
      </w:r>
      <w:r w:rsidRPr="00613504">
        <w:rPr>
          <w:rFonts w:cs="Times New Roman"/>
          <w:szCs w:val="24"/>
        </w:rPr>
        <w:t>(9), 695-716</w:t>
      </w:r>
    </w:p>
    <w:p w14:paraId="2897BF3E"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Kaiser, K. (2009). Protecting respondent confidentiality in qualitative research. </w:t>
      </w:r>
      <w:r w:rsidRPr="00613504">
        <w:rPr>
          <w:rFonts w:cs="Times New Roman"/>
          <w:i/>
          <w:iCs/>
          <w:szCs w:val="24"/>
        </w:rPr>
        <w:t>Qualitative Health Research,</w:t>
      </w:r>
      <w:r w:rsidRPr="00613504">
        <w:rPr>
          <w:rFonts w:cs="Times New Roman"/>
          <w:szCs w:val="24"/>
        </w:rPr>
        <w:t xml:space="preserve"> 19 (11), 1632-1641. </w:t>
      </w:r>
    </w:p>
    <w:p w14:paraId="6090729B"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lastRenderedPageBreak/>
        <w:t xml:space="preserve">Kamau, L. W., &amp; </w:t>
      </w:r>
      <w:proofErr w:type="spellStart"/>
      <w:r w:rsidRPr="00613504">
        <w:rPr>
          <w:rFonts w:cs="Times New Roman"/>
          <w:szCs w:val="24"/>
        </w:rPr>
        <w:t>Kagiri</w:t>
      </w:r>
      <w:proofErr w:type="spellEnd"/>
      <w:r w:rsidRPr="00613504">
        <w:rPr>
          <w:rFonts w:cs="Times New Roman"/>
          <w:szCs w:val="24"/>
        </w:rPr>
        <w:t xml:space="preserve">, A. W. (2015). Inventory management practices on organizational competitiveness, Safaricom Kenya Ltd. </w:t>
      </w:r>
      <w:r w:rsidRPr="00613504">
        <w:rPr>
          <w:rFonts w:cs="Times New Roman"/>
          <w:i/>
          <w:szCs w:val="24"/>
        </w:rPr>
        <w:t>International Academic Journal of Procurement and Supply Chain Management, 1</w:t>
      </w:r>
      <w:r w:rsidRPr="00613504">
        <w:rPr>
          <w:rFonts w:cs="Times New Roman"/>
          <w:szCs w:val="24"/>
        </w:rPr>
        <w:t xml:space="preserve"> (5), 72-98</w:t>
      </w:r>
    </w:p>
    <w:p w14:paraId="20899048"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Karim, R., Al-Mamun, M. A., &amp; Miah, M. T. (2017). Working capital management efficiency and profitability: Square and Beximco Pharmaceuticals Ltd, in Bangladesh. </w:t>
      </w:r>
      <w:r w:rsidRPr="00613504">
        <w:rPr>
          <w:rFonts w:cs="Times New Roman"/>
          <w:i/>
          <w:szCs w:val="24"/>
        </w:rPr>
        <w:t>International Journal of Economics, Finance and Management Sciences, 5</w:t>
      </w:r>
      <w:r w:rsidRPr="00613504">
        <w:rPr>
          <w:rFonts w:cs="Times New Roman"/>
          <w:szCs w:val="24"/>
        </w:rPr>
        <w:t>(2), 121-128.</w:t>
      </w:r>
    </w:p>
    <w:p w14:paraId="5870EA2E"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Kenya National Bureau of Statistics. (2021). </w:t>
      </w:r>
      <w:r w:rsidRPr="00613504">
        <w:rPr>
          <w:rFonts w:cs="Times New Roman"/>
          <w:i/>
          <w:iCs/>
          <w:szCs w:val="24"/>
        </w:rPr>
        <w:t>Economic survey 2021</w:t>
      </w:r>
      <w:r w:rsidRPr="00613504">
        <w:rPr>
          <w:rFonts w:cs="Times New Roman"/>
          <w:szCs w:val="24"/>
        </w:rPr>
        <w:t>. Government Printer.</w:t>
      </w:r>
    </w:p>
    <w:p w14:paraId="7ED4C03F"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Kibunja</w:t>
      </w:r>
      <w:proofErr w:type="spellEnd"/>
      <w:r w:rsidRPr="00613504">
        <w:rPr>
          <w:rFonts w:cs="Times New Roman"/>
          <w:szCs w:val="24"/>
        </w:rPr>
        <w:t xml:space="preserve">, L. W. (2017). </w:t>
      </w:r>
      <w:r w:rsidRPr="00613504">
        <w:rPr>
          <w:rFonts w:cs="Times New Roman"/>
          <w:i/>
          <w:iCs/>
          <w:szCs w:val="24"/>
        </w:rPr>
        <w:t>Working capital management practices on the financial performance of SMEs in Kenya</w:t>
      </w:r>
      <w:r w:rsidRPr="00613504">
        <w:rPr>
          <w:rFonts w:cs="Times New Roman"/>
          <w:szCs w:val="24"/>
        </w:rPr>
        <w:t xml:space="preserve"> [Masters dissertation]. KCA University.</w:t>
      </w:r>
    </w:p>
    <w:p w14:paraId="42E03369"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Kimani, J. N., &amp; Mugo, R. (2021). Working capital management on financial performance SMEs in Nairobi, Kenya.  </w:t>
      </w:r>
      <w:r w:rsidRPr="00613504">
        <w:rPr>
          <w:rFonts w:cs="Times New Roman"/>
          <w:i/>
          <w:iCs/>
          <w:szCs w:val="24"/>
        </w:rPr>
        <w:t>Journal of Finance and Accounting, 5</w:t>
      </w:r>
      <w:r w:rsidRPr="00613504">
        <w:rPr>
          <w:rFonts w:cs="Times New Roman"/>
          <w:szCs w:val="24"/>
        </w:rPr>
        <w:t>(1), 1-15.</w:t>
      </w:r>
    </w:p>
    <w:p w14:paraId="2E212D2B"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Kliestik</w:t>
      </w:r>
      <w:proofErr w:type="spellEnd"/>
      <w:r w:rsidRPr="00613504">
        <w:rPr>
          <w:rFonts w:cs="Times New Roman"/>
          <w:szCs w:val="24"/>
        </w:rPr>
        <w:t xml:space="preserve">, T. (2020). Remaining financially healthy and competitive: the role of financial predictors. </w:t>
      </w:r>
      <w:r w:rsidRPr="00613504">
        <w:rPr>
          <w:rFonts w:cs="Times New Roman"/>
          <w:i/>
          <w:szCs w:val="24"/>
        </w:rPr>
        <w:t>Journal of Competitiveness, 12</w:t>
      </w:r>
      <w:r w:rsidRPr="00613504">
        <w:rPr>
          <w:rFonts w:cs="Times New Roman"/>
          <w:szCs w:val="24"/>
        </w:rPr>
        <w:t>(1), 74–92.</w:t>
      </w:r>
    </w:p>
    <w:p w14:paraId="49CEA549"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Kwame, A. N. (2017). Working capital management practices of small firms in the Ashanti region of Ghana. </w:t>
      </w:r>
      <w:r w:rsidRPr="00613504">
        <w:rPr>
          <w:rFonts w:cs="Times New Roman"/>
          <w:i/>
          <w:szCs w:val="24"/>
        </w:rPr>
        <w:t>Development finance review, 8</w:t>
      </w:r>
      <w:r w:rsidRPr="00613504">
        <w:rPr>
          <w:rFonts w:cs="Times New Roman"/>
          <w:szCs w:val="24"/>
        </w:rPr>
        <w:t>(3), 30-37</w:t>
      </w:r>
    </w:p>
    <w:p w14:paraId="17A7B31F"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Kweru</w:t>
      </w:r>
      <w:proofErr w:type="spellEnd"/>
      <w:r w:rsidRPr="00613504">
        <w:rPr>
          <w:rFonts w:cs="Times New Roman"/>
          <w:szCs w:val="24"/>
        </w:rPr>
        <w:t xml:space="preserve">, G. M. (2021). Working capital management and profitability of manufacturing firms listed the NSE. </w:t>
      </w:r>
      <w:proofErr w:type="spellStart"/>
      <w:r w:rsidRPr="00613504">
        <w:rPr>
          <w:rFonts w:cs="Times New Roman"/>
          <w:szCs w:val="24"/>
        </w:rPr>
        <w:t>Unpublıshed</w:t>
      </w:r>
      <w:proofErr w:type="spellEnd"/>
      <w:r w:rsidRPr="00613504">
        <w:rPr>
          <w:rFonts w:cs="Times New Roman"/>
          <w:szCs w:val="24"/>
        </w:rPr>
        <w:t xml:space="preserve"> </w:t>
      </w:r>
      <w:proofErr w:type="spellStart"/>
      <w:r w:rsidRPr="00613504">
        <w:rPr>
          <w:rFonts w:cs="Times New Roman"/>
          <w:szCs w:val="24"/>
        </w:rPr>
        <w:t>Masters</w:t>
      </w:r>
      <w:proofErr w:type="spellEnd"/>
      <w:r w:rsidRPr="00613504">
        <w:rPr>
          <w:rFonts w:cs="Times New Roman"/>
          <w:szCs w:val="24"/>
        </w:rPr>
        <w:t xml:space="preserve"> Thesis, University of Nairobi.</w:t>
      </w:r>
    </w:p>
    <w:p w14:paraId="178F5853"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Malombe</w:t>
      </w:r>
      <w:proofErr w:type="spellEnd"/>
      <w:r w:rsidRPr="00613504">
        <w:rPr>
          <w:rFonts w:cs="Times New Roman"/>
          <w:szCs w:val="24"/>
        </w:rPr>
        <w:t xml:space="preserve">, M.N. (2018). </w:t>
      </w:r>
      <w:proofErr w:type="spellStart"/>
      <w:r w:rsidRPr="00613504">
        <w:rPr>
          <w:rFonts w:cs="Times New Roman"/>
          <w:szCs w:val="24"/>
        </w:rPr>
        <w:t>Workıng</w:t>
      </w:r>
      <w:proofErr w:type="spellEnd"/>
      <w:r w:rsidRPr="00613504">
        <w:rPr>
          <w:rFonts w:cs="Times New Roman"/>
          <w:szCs w:val="24"/>
        </w:rPr>
        <w:t xml:space="preserve"> </w:t>
      </w:r>
      <w:proofErr w:type="spellStart"/>
      <w:r w:rsidRPr="00613504">
        <w:rPr>
          <w:rFonts w:cs="Times New Roman"/>
          <w:szCs w:val="24"/>
        </w:rPr>
        <w:t>capıtal</w:t>
      </w:r>
      <w:proofErr w:type="spellEnd"/>
      <w:r w:rsidRPr="00613504">
        <w:rPr>
          <w:rFonts w:cs="Times New Roman"/>
          <w:szCs w:val="24"/>
        </w:rPr>
        <w:t xml:space="preserve"> management and </w:t>
      </w:r>
      <w:proofErr w:type="spellStart"/>
      <w:r w:rsidRPr="00613504">
        <w:rPr>
          <w:rFonts w:cs="Times New Roman"/>
          <w:szCs w:val="24"/>
        </w:rPr>
        <w:t>profıtabılıty</w:t>
      </w:r>
      <w:proofErr w:type="spellEnd"/>
      <w:r w:rsidRPr="00613504">
        <w:rPr>
          <w:rFonts w:cs="Times New Roman"/>
          <w:szCs w:val="24"/>
        </w:rPr>
        <w:t xml:space="preserve"> of </w:t>
      </w:r>
      <w:proofErr w:type="spellStart"/>
      <w:r w:rsidRPr="00613504">
        <w:rPr>
          <w:rFonts w:cs="Times New Roman"/>
          <w:szCs w:val="24"/>
        </w:rPr>
        <w:t>reınsurance</w:t>
      </w:r>
      <w:proofErr w:type="spellEnd"/>
      <w:r w:rsidRPr="00613504">
        <w:rPr>
          <w:rFonts w:cs="Times New Roman"/>
          <w:szCs w:val="24"/>
        </w:rPr>
        <w:t xml:space="preserve"> </w:t>
      </w:r>
      <w:proofErr w:type="spellStart"/>
      <w:r w:rsidRPr="00613504">
        <w:rPr>
          <w:rFonts w:cs="Times New Roman"/>
          <w:szCs w:val="24"/>
        </w:rPr>
        <w:t>companıes</w:t>
      </w:r>
      <w:proofErr w:type="spellEnd"/>
      <w:r w:rsidRPr="00613504">
        <w:rPr>
          <w:rFonts w:cs="Times New Roman"/>
          <w:szCs w:val="24"/>
        </w:rPr>
        <w:t xml:space="preserve"> In East </w:t>
      </w:r>
      <w:proofErr w:type="spellStart"/>
      <w:r w:rsidRPr="00613504">
        <w:rPr>
          <w:rFonts w:cs="Times New Roman"/>
          <w:szCs w:val="24"/>
        </w:rPr>
        <w:t>Afrıca</w:t>
      </w:r>
      <w:proofErr w:type="spellEnd"/>
      <w:r w:rsidRPr="00613504">
        <w:rPr>
          <w:rFonts w:cs="Times New Roman"/>
          <w:szCs w:val="24"/>
        </w:rPr>
        <w:t xml:space="preserve">. </w:t>
      </w:r>
      <w:proofErr w:type="spellStart"/>
      <w:r w:rsidRPr="00613504">
        <w:rPr>
          <w:rFonts w:cs="Times New Roman"/>
          <w:szCs w:val="24"/>
        </w:rPr>
        <w:t>Unpublıshed</w:t>
      </w:r>
      <w:proofErr w:type="spellEnd"/>
      <w:r w:rsidRPr="00613504">
        <w:rPr>
          <w:rFonts w:cs="Times New Roman"/>
          <w:szCs w:val="24"/>
        </w:rPr>
        <w:t xml:space="preserve"> </w:t>
      </w:r>
      <w:proofErr w:type="spellStart"/>
      <w:r w:rsidRPr="00613504">
        <w:rPr>
          <w:rFonts w:cs="Times New Roman"/>
          <w:szCs w:val="24"/>
        </w:rPr>
        <w:t>Masters</w:t>
      </w:r>
      <w:proofErr w:type="spellEnd"/>
      <w:r w:rsidRPr="00613504">
        <w:rPr>
          <w:rFonts w:cs="Times New Roman"/>
          <w:szCs w:val="24"/>
        </w:rPr>
        <w:t xml:space="preserve"> thesis submitted to University of Nairobi.</w:t>
      </w:r>
    </w:p>
    <w:p w14:paraId="713C1422"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Mathuva</w:t>
      </w:r>
      <w:proofErr w:type="spellEnd"/>
      <w:r w:rsidRPr="00613504">
        <w:rPr>
          <w:rFonts w:cs="Times New Roman"/>
          <w:szCs w:val="24"/>
        </w:rPr>
        <w:t xml:space="preserve">, D. M. (2015). Working capital management components on corporate profitability: A survey on Kenyan listed firms.  </w:t>
      </w:r>
      <w:r w:rsidRPr="00613504">
        <w:rPr>
          <w:rFonts w:cs="Times New Roman"/>
          <w:i/>
          <w:iCs/>
          <w:szCs w:val="24"/>
        </w:rPr>
        <w:t>Research Journal of Business Management,</w:t>
      </w:r>
      <w:r w:rsidRPr="00613504">
        <w:rPr>
          <w:rFonts w:cs="Times New Roman"/>
          <w:szCs w:val="24"/>
        </w:rPr>
        <w:t xml:space="preserve"> 4 (1), 1-11. </w:t>
      </w:r>
    </w:p>
    <w:p w14:paraId="28DD4E18"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Mohajan</w:t>
      </w:r>
      <w:proofErr w:type="spellEnd"/>
      <w:r w:rsidRPr="00613504">
        <w:rPr>
          <w:rFonts w:cs="Times New Roman"/>
          <w:szCs w:val="24"/>
        </w:rPr>
        <w:t xml:space="preserve">, H. K. (2017). Two criteria for good measurements in research: Validity and reliability. </w:t>
      </w:r>
      <w:r w:rsidRPr="00613504">
        <w:rPr>
          <w:rFonts w:cs="Times New Roman"/>
          <w:i/>
          <w:iCs/>
          <w:szCs w:val="24"/>
        </w:rPr>
        <w:t>Annals of Spiru Haret University. Economic Series,</w:t>
      </w:r>
      <w:r w:rsidRPr="00613504">
        <w:rPr>
          <w:rFonts w:cs="Times New Roman"/>
          <w:szCs w:val="24"/>
        </w:rPr>
        <w:t xml:space="preserve"> 17*(4), 59-82. </w:t>
      </w:r>
    </w:p>
    <w:p w14:paraId="4D09BE5E"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Mohamad, N. E. A. B (2018). Working capital management: The effect of market valuation and profitability in Malaysia. </w:t>
      </w:r>
      <w:r w:rsidRPr="00613504">
        <w:rPr>
          <w:rFonts w:cs="Times New Roman"/>
          <w:i/>
          <w:szCs w:val="24"/>
        </w:rPr>
        <w:t>International Journal of Business and Management, 5</w:t>
      </w:r>
      <w:r w:rsidRPr="00613504">
        <w:rPr>
          <w:rFonts w:cs="Times New Roman"/>
          <w:szCs w:val="24"/>
        </w:rPr>
        <w:t>(11), 140-147</w:t>
      </w:r>
    </w:p>
    <w:p w14:paraId="09D8F937"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Mugenda, O. M., &amp; Mugenda, A. G. (2019). </w:t>
      </w:r>
      <w:r w:rsidRPr="00613504">
        <w:rPr>
          <w:rFonts w:cs="Times New Roman"/>
          <w:i/>
          <w:iCs/>
          <w:szCs w:val="24"/>
        </w:rPr>
        <w:t>Research methods: Quantitative and qualitative approaches.</w:t>
      </w:r>
      <w:r w:rsidRPr="00613504">
        <w:rPr>
          <w:rFonts w:cs="Times New Roman"/>
          <w:szCs w:val="24"/>
        </w:rPr>
        <w:t xml:space="preserve"> Nairobi ACTS Press.</w:t>
      </w:r>
    </w:p>
    <w:p w14:paraId="63DD5705"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Mungai, A. N., </w:t>
      </w:r>
      <w:proofErr w:type="spellStart"/>
      <w:r w:rsidRPr="00613504">
        <w:rPr>
          <w:rFonts w:cs="Times New Roman"/>
          <w:szCs w:val="24"/>
        </w:rPr>
        <w:t>Omboi</w:t>
      </w:r>
      <w:proofErr w:type="spellEnd"/>
      <w:r w:rsidRPr="00613504">
        <w:rPr>
          <w:rFonts w:cs="Times New Roman"/>
          <w:szCs w:val="24"/>
        </w:rPr>
        <w:t xml:space="preserve">, B. M., &amp; Okiro, K. (2020). Working capital management practices on financial performance of SMEs in Kenya. </w:t>
      </w:r>
      <w:r w:rsidRPr="00613504">
        <w:rPr>
          <w:rFonts w:cs="Times New Roman"/>
          <w:i/>
          <w:iCs/>
          <w:szCs w:val="24"/>
        </w:rPr>
        <w:t>African Journal of Emerging Issues</w:t>
      </w:r>
      <w:r w:rsidRPr="00613504">
        <w:rPr>
          <w:rFonts w:cs="Times New Roman"/>
          <w:szCs w:val="24"/>
        </w:rPr>
        <w:t>, 2 (5), 1-21.</w:t>
      </w:r>
    </w:p>
    <w:p w14:paraId="3D6042D1"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Munyao, A. N., &amp; Ole Sopia, D. (2018). Working capital management on financial performance of retail firms in Nairobi County, Kenya. </w:t>
      </w:r>
      <w:r w:rsidRPr="00613504">
        <w:rPr>
          <w:rFonts w:cs="Times New Roman"/>
          <w:i/>
          <w:iCs/>
          <w:szCs w:val="24"/>
        </w:rPr>
        <w:t>International Journal of Social Sciences and Information Technology,</w:t>
      </w:r>
      <w:r w:rsidRPr="00613504">
        <w:rPr>
          <w:rFonts w:cs="Times New Roman"/>
          <w:szCs w:val="24"/>
        </w:rPr>
        <w:t xml:space="preserve"> (5), 307-321.</w:t>
      </w:r>
    </w:p>
    <w:p w14:paraId="30F02A43"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Murdayanti</w:t>
      </w:r>
      <w:proofErr w:type="spellEnd"/>
      <w:r w:rsidRPr="00613504">
        <w:rPr>
          <w:rFonts w:cs="Times New Roman"/>
          <w:szCs w:val="24"/>
        </w:rPr>
        <w:t xml:space="preserve">, Y., </w:t>
      </w:r>
      <w:proofErr w:type="spellStart"/>
      <w:r w:rsidRPr="00613504">
        <w:rPr>
          <w:rFonts w:cs="Times New Roman"/>
          <w:szCs w:val="24"/>
        </w:rPr>
        <w:t>Gurendrawati</w:t>
      </w:r>
      <w:proofErr w:type="spellEnd"/>
      <w:r w:rsidRPr="00613504">
        <w:rPr>
          <w:rFonts w:cs="Times New Roman"/>
          <w:szCs w:val="24"/>
        </w:rPr>
        <w:t xml:space="preserve">, E., Pahala, I., &amp; </w:t>
      </w:r>
      <w:proofErr w:type="spellStart"/>
      <w:r w:rsidRPr="00613504">
        <w:rPr>
          <w:rFonts w:cs="Times New Roman"/>
          <w:szCs w:val="24"/>
        </w:rPr>
        <w:t>Indriani</w:t>
      </w:r>
      <w:proofErr w:type="spellEnd"/>
      <w:r w:rsidRPr="00613504">
        <w:rPr>
          <w:rFonts w:cs="Times New Roman"/>
          <w:szCs w:val="24"/>
        </w:rPr>
        <w:t xml:space="preserve">, S. (2015). Prediction of revenue forecast error study on IPO firms at Indonesians Stock Exchange Period 2007-2012. </w:t>
      </w:r>
      <w:r w:rsidRPr="00613504">
        <w:rPr>
          <w:rFonts w:cs="Times New Roman"/>
          <w:i/>
          <w:szCs w:val="24"/>
        </w:rPr>
        <w:t>Review of Integrative Business and Economics Research, 4</w:t>
      </w:r>
      <w:r w:rsidRPr="00613504">
        <w:rPr>
          <w:rFonts w:cs="Times New Roman"/>
          <w:szCs w:val="24"/>
        </w:rPr>
        <w:t>(1), 262.</w:t>
      </w:r>
    </w:p>
    <w:p w14:paraId="08921A1E"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Muthini, C. M., &amp; </w:t>
      </w:r>
      <w:proofErr w:type="spellStart"/>
      <w:r w:rsidRPr="00613504">
        <w:rPr>
          <w:rFonts w:cs="Times New Roman"/>
          <w:szCs w:val="24"/>
        </w:rPr>
        <w:t>Mandewa</w:t>
      </w:r>
      <w:proofErr w:type="spellEnd"/>
      <w:r w:rsidRPr="00613504">
        <w:rPr>
          <w:rFonts w:cs="Times New Roman"/>
          <w:szCs w:val="24"/>
        </w:rPr>
        <w:t>, I. (2019). Cash management practices on the financial performance of retail SMEs in Machakos sub-county, Kenya. Unpublished MBA thesis at JKUAT</w:t>
      </w:r>
    </w:p>
    <w:p w14:paraId="6800B934"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Muthomi, E. M., &amp; Muturi, W. (2021). Working capital management on financial performance of retail firms in Nairobi County, Kenya. </w:t>
      </w:r>
      <w:r w:rsidRPr="00613504">
        <w:rPr>
          <w:rFonts w:cs="Times New Roman"/>
          <w:i/>
          <w:iCs/>
          <w:szCs w:val="24"/>
        </w:rPr>
        <w:t>International Journal of Social Sciences and Information Technology,</w:t>
      </w:r>
      <w:r w:rsidRPr="00613504">
        <w:rPr>
          <w:rFonts w:cs="Times New Roman"/>
          <w:szCs w:val="24"/>
        </w:rPr>
        <w:t xml:space="preserve"> 4 (8), 190-204.</w:t>
      </w:r>
    </w:p>
    <w:p w14:paraId="7ECDE497"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Muthoni, R. W., Otieno, M., &amp; Mungai, A. N. (2017). Performance of retail shops in Nairobi County: A case of </w:t>
      </w:r>
      <w:proofErr w:type="spellStart"/>
      <w:r w:rsidRPr="00613504">
        <w:rPr>
          <w:rFonts w:cs="Times New Roman"/>
          <w:szCs w:val="24"/>
        </w:rPr>
        <w:t>Sokomjinga</w:t>
      </w:r>
      <w:proofErr w:type="spellEnd"/>
      <w:r w:rsidRPr="00613504">
        <w:rPr>
          <w:rFonts w:cs="Times New Roman"/>
          <w:szCs w:val="24"/>
        </w:rPr>
        <w:t xml:space="preserve"> retail shops. </w:t>
      </w:r>
      <w:r w:rsidRPr="00613504">
        <w:rPr>
          <w:rFonts w:cs="Times New Roman"/>
          <w:i/>
          <w:iCs/>
          <w:szCs w:val="24"/>
        </w:rPr>
        <w:t>International Journal of Management and Commerce Innovations, 5</w:t>
      </w:r>
      <w:r w:rsidRPr="00613504">
        <w:rPr>
          <w:rFonts w:cs="Times New Roman"/>
          <w:szCs w:val="24"/>
        </w:rPr>
        <w:t xml:space="preserve"> (1), 544-551.</w:t>
      </w:r>
    </w:p>
    <w:p w14:paraId="3BC779DB"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Mwangi, L. W., Makau, M. S., &amp; </w:t>
      </w:r>
      <w:proofErr w:type="spellStart"/>
      <w:r w:rsidRPr="00613504">
        <w:rPr>
          <w:rFonts w:cs="Times New Roman"/>
          <w:szCs w:val="24"/>
        </w:rPr>
        <w:t>Kosimbei</w:t>
      </w:r>
      <w:proofErr w:type="spellEnd"/>
      <w:r w:rsidRPr="00613504">
        <w:rPr>
          <w:rFonts w:cs="Times New Roman"/>
          <w:szCs w:val="24"/>
        </w:rPr>
        <w:t xml:space="preserve">, G. (2019). Working capital management on performance of non-financial firms on NSE, Kenya. </w:t>
      </w:r>
      <w:r w:rsidRPr="00613504">
        <w:rPr>
          <w:rFonts w:cs="Times New Roman"/>
          <w:i/>
          <w:iCs/>
          <w:szCs w:val="24"/>
        </w:rPr>
        <w:t>European Scientific Journal,</w:t>
      </w:r>
      <w:r w:rsidRPr="00613504">
        <w:rPr>
          <w:rFonts w:cs="Times New Roman"/>
          <w:szCs w:val="24"/>
        </w:rPr>
        <w:t xml:space="preserve"> 15 (7), 302-320. </w:t>
      </w:r>
    </w:p>
    <w:p w14:paraId="6E9A89EB"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Ndega</w:t>
      </w:r>
      <w:proofErr w:type="spellEnd"/>
      <w:r w:rsidRPr="00613504">
        <w:rPr>
          <w:rFonts w:cs="Times New Roman"/>
          <w:szCs w:val="24"/>
        </w:rPr>
        <w:t xml:space="preserve">, S. K, Moffat, M., &amp; </w:t>
      </w:r>
      <w:proofErr w:type="spellStart"/>
      <w:r w:rsidRPr="00613504">
        <w:rPr>
          <w:rFonts w:cs="Times New Roman"/>
          <w:szCs w:val="24"/>
        </w:rPr>
        <w:t>Ochide</w:t>
      </w:r>
      <w:proofErr w:type="spellEnd"/>
      <w:r w:rsidRPr="00613504">
        <w:rPr>
          <w:rFonts w:cs="Times New Roman"/>
          <w:szCs w:val="24"/>
        </w:rPr>
        <w:t xml:space="preserve">, P. (2021). Cash management practices and financial performance of SMEs in Nairobi County. </w:t>
      </w:r>
      <w:r w:rsidRPr="00613504">
        <w:rPr>
          <w:rFonts w:cs="Times New Roman"/>
          <w:i/>
          <w:szCs w:val="24"/>
        </w:rPr>
        <w:t>Journal of Business and Management Studies, 18</w:t>
      </w:r>
      <w:r w:rsidRPr="00613504">
        <w:rPr>
          <w:rFonts w:cs="Times New Roman"/>
          <w:szCs w:val="24"/>
        </w:rPr>
        <w:t>(4), 190-199</w:t>
      </w:r>
    </w:p>
    <w:p w14:paraId="39A9E186"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Nganga, S. I., Onyango, G. M., &amp; Kerre, B. W. (2019). Determinants of SMEs performance in Nairobi County, Kenya. </w:t>
      </w:r>
      <w:r w:rsidRPr="00613504">
        <w:rPr>
          <w:rFonts w:cs="Times New Roman"/>
          <w:i/>
          <w:iCs/>
          <w:szCs w:val="24"/>
        </w:rPr>
        <w:t>International Journal of Economics, Commerce and Management</w:t>
      </w:r>
      <w:r w:rsidRPr="00613504">
        <w:rPr>
          <w:rFonts w:cs="Times New Roman"/>
          <w:szCs w:val="24"/>
        </w:rPr>
        <w:t>, 7 (2), 479-497.</w:t>
      </w:r>
    </w:p>
    <w:p w14:paraId="453DB3E9"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Nijhawan, L. P., </w:t>
      </w:r>
      <w:proofErr w:type="spellStart"/>
      <w:r w:rsidRPr="00613504">
        <w:rPr>
          <w:rFonts w:cs="Times New Roman"/>
          <w:szCs w:val="24"/>
        </w:rPr>
        <w:t>Janodia</w:t>
      </w:r>
      <w:proofErr w:type="spellEnd"/>
      <w:r w:rsidRPr="00613504">
        <w:rPr>
          <w:rFonts w:cs="Times New Roman"/>
          <w:szCs w:val="24"/>
        </w:rPr>
        <w:t xml:space="preserve">, M. D., &amp; </w:t>
      </w:r>
      <w:proofErr w:type="spellStart"/>
      <w:r w:rsidRPr="00613504">
        <w:rPr>
          <w:rFonts w:cs="Times New Roman"/>
          <w:szCs w:val="24"/>
        </w:rPr>
        <w:t>Muddukrishna</w:t>
      </w:r>
      <w:proofErr w:type="spellEnd"/>
      <w:r w:rsidRPr="00613504">
        <w:rPr>
          <w:rFonts w:cs="Times New Roman"/>
          <w:szCs w:val="24"/>
        </w:rPr>
        <w:t xml:space="preserve">, B. </w:t>
      </w:r>
      <w:proofErr w:type="gramStart"/>
      <w:r w:rsidRPr="00613504">
        <w:rPr>
          <w:rFonts w:cs="Times New Roman"/>
          <w:szCs w:val="24"/>
        </w:rPr>
        <w:t>S..</w:t>
      </w:r>
      <w:proofErr w:type="gramEnd"/>
      <w:r w:rsidRPr="00613504">
        <w:rPr>
          <w:rFonts w:cs="Times New Roman"/>
          <w:szCs w:val="24"/>
        </w:rPr>
        <w:t xml:space="preserve"> (2013). Informed consent: Issues and challenges. </w:t>
      </w:r>
      <w:r w:rsidRPr="00613504">
        <w:rPr>
          <w:rFonts w:cs="Times New Roman"/>
          <w:i/>
          <w:iCs/>
          <w:szCs w:val="24"/>
        </w:rPr>
        <w:t>Journal of Advanced Pharmaceutical Technology &amp; Research,</w:t>
      </w:r>
      <w:r w:rsidRPr="00613504">
        <w:rPr>
          <w:rFonts w:cs="Times New Roman"/>
          <w:szCs w:val="24"/>
        </w:rPr>
        <w:t xml:space="preserve"> 4*(3), 134-140. </w:t>
      </w:r>
    </w:p>
    <w:p w14:paraId="6B2BD080"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lastRenderedPageBreak/>
        <w:t xml:space="preserve">Njeru, M. D., Njeru, A., Member, F., &amp; </w:t>
      </w:r>
      <w:proofErr w:type="spellStart"/>
      <w:r w:rsidRPr="00613504">
        <w:rPr>
          <w:rFonts w:cs="Times New Roman"/>
          <w:szCs w:val="24"/>
        </w:rPr>
        <w:t>Ondabu</w:t>
      </w:r>
      <w:proofErr w:type="spellEnd"/>
      <w:r w:rsidRPr="00613504">
        <w:rPr>
          <w:rFonts w:cs="Times New Roman"/>
          <w:szCs w:val="24"/>
        </w:rPr>
        <w:t xml:space="preserve">, I. T. (2020). Working capital management on financial performance of financial institutions in Kenya. </w:t>
      </w:r>
      <w:r w:rsidRPr="00613504">
        <w:rPr>
          <w:rFonts w:cs="Times New Roman"/>
          <w:i/>
          <w:iCs/>
          <w:szCs w:val="24"/>
        </w:rPr>
        <w:t>International Journal of Business and Management Invention,</w:t>
      </w:r>
      <w:r w:rsidRPr="00613504">
        <w:rPr>
          <w:rFonts w:cs="Times New Roman"/>
          <w:szCs w:val="24"/>
        </w:rPr>
        <w:t xml:space="preserve"> 6 (7), 31-39.</w:t>
      </w:r>
    </w:p>
    <w:p w14:paraId="0AEABD0F"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Njiru, M. K. &amp; Asumani, A. A. (2022). Inventory management on financial performance of supermarkets in Nairobi County.</w:t>
      </w:r>
      <w:r w:rsidRPr="00613504">
        <w:rPr>
          <w:rFonts w:cs="Times New Roman"/>
          <w:i/>
          <w:szCs w:val="24"/>
        </w:rPr>
        <w:t xml:space="preserve"> Journal of Management and Business Studies, 49(12), 33-39.</w:t>
      </w:r>
    </w:p>
    <w:p w14:paraId="6A6393FB"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Nzomo, M., &amp; Mwangi, M. (2020). Working capital management on the financial performance of retail firms in Nairobi County, Kenya. </w:t>
      </w:r>
      <w:r w:rsidRPr="00613504">
        <w:rPr>
          <w:rFonts w:cs="Times New Roman"/>
          <w:i/>
          <w:iCs/>
          <w:szCs w:val="24"/>
        </w:rPr>
        <w:t>Journal of Finance and Accounting, 4</w:t>
      </w:r>
      <w:r w:rsidRPr="00613504">
        <w:rPr>
          <w:rFonts w:cs="Times New Roman"/>
          <w:szCs w:val="24"/>
        </w:rPr>
        <w:t xml:space="preserve"> (3), 1-15.</w:t>
      </w:r>
    </w:p>
    <w:p w14:paraId="0930F27B"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OgIbo</w:t>
      </w:r>
      <w:proofErr w:type="spellEnd"/>
      <w:r w:rsidRPr="00613504">
        <w:rPr>
          <w:rFonts w:cs="Times New Roman"/>
          <w:szCs w:val="24"/>
        </w:rPr>
        <w:t xml:space="preserve">, O. I., </w:t>
      </w:r>
      <w:proofErr w:type="spellStart"/>
      <w:r w:rsidRPr="00613504">
        <w:rPr>
          <w:rFonts w:cs="Times New Roman"/>
          <w:szCs w:val="24"/>
        </w:rPr>
        <w:t>Okekanma</w:t>
      </w:r>
      <w:proofErr w:type="spellEnd"/>
      <w:r w:rsidRPr="00613504">
        <w:rPr>
          <w:rFonts w:cs="Times New Roman"/>
          <w:szCs w:val="24"/>
        </w:rPr>
        <w:t xml:space="preserve">, E. E., &amp; </w:t>
      </w:r>
      <w:proofErr w:type="spellStart"/>
      <w:r w:rsidRPr="00613504">
        <w:rPr>
          <w:rFonts w:cs="Times New Roman"/>
          <w:szCs w:val="24"/>
        </w:rPr>
        <w:t>Ukpere</w:t>
      </w:r>
      <w:proofErr w:type="spellEnd"/>
      <w:r w:rsidRPr="00613504">
        <w:rPr>
          <w:rFonts w:cs="Times New Roman"/>
          <w:szCs w:val="24"/>
        </w:rPr>
        <w:t xml:space="preserve">, T. O. (2019). Effective inventory control management of organizational performance: A study of 7up Bottling Company, Nigeria. </w:t>
      </w:r>
      <w:r w:rsidRPr="00613504">
        <w:rPr>
          <w:rFonts w:cs="Times New Roman"/>
          <w:i/>
          <w:szCs w:val="24"/>
        </w:rPr>
        <w:t>Mediterranean Journal of Social Sciences, 5</w:t>
      </w:r>
      <w:r w:rsidRPr="00613504">
        <w:rPr>
          <w:rFonts w:cs="Times New Roman"/>
          <w:szCs w:val="24"/>
        </w:rPr>
        <w:t>(10), 109</w:t>
      </w:r>
    </w:p>
    <w:p w14:paraId="35D31A8C"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Ouma, D., Mwangi, T., &amp; </w:t>
      </w:r>
      <w:proofErr w:type="spellStart"/>
      <w:r w:rsidRPr="00613504">
        <w:rPr>
          <w:rFonts w:cs="Times New Roman"/>
          <w:szCs w:val="24"/>
        </w:rPr>
        <w:t>Oduk</w:t>
      </w:r>
      <w:proofErr w:type="spellEnd"/>
      <w:r w:rsidRPr="00613504">
        <w:rPr>
          <w:rFonts w:cs="Times New Roman"/>
          <w:szCs w:val="24"/>
        </w:rPr>
        <w:t xml:space="preserve">, P. M. (2021). Working capital management practices on financial performance of SMEs in Nairobi, Kenya. </w:t>
      </w:r>
      <w:r w:rsidRPr="00613504">
        <w:rPr>
          <w:rFonts w:cs="Times New Roman"/>
          <w:i/>
          <w:iCs/>
          <w:szCs w:val="24"/>
        </w:rPr>
        <w:t>African Journal of Emerging Issues,</w:t>
      </w:r>
      <w:r w:rsidRPr="00613504">
        <w:rPr>
          <w:rFonts w:cs="Times New Roman"/>
          <w:szCs w:val="24"/>
        </w:rPr>
        <w:t xml:space="preserve"> 3 (9), 1-19.</w:t>
      </w:r>
    </w:p>
    <w:p w14:paraId="7EAE39BB"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Pais, G. G., &amp; Gama, H. (2019). How working capital projections shape small businesses profits. </w:t>
      </w:r>
      <w:r w:rsidRPr="00613504">
        <w:rPr>
          <w:rFonts w:cs="Times New Roman"/>
          <w:i/>
          <w:szCs w:val="24"/>
        </w:rPr>
        <w:t>Business and Management review, 15</w:t>
      </w:r>
      <w:r w:rsidRPr="00613504">
        <w:rPr>
          <w:rFonts w:cs="Times New Roman"/>
          <w:szCs w:val="24"/>
        </w:rPr>
        <w:t>(3)12-18.</w:t>
      </w:r>
    </w:p>
    <w:p w14:paraId="7CE9C912"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Pallant, J. (2020). </w:t>
      </w:r>
      <w:r w:rsidRPr="00613504">
        <w:rPr>
          <w:rFonts w:cs="Times New Roman"/>
          <w:i/>
          <w:iCs/>
          <w:szCs w:val="24"/>
        </w:rPr>
        <w:t xml:space="preserve">SPSS survival manual: A step-by-step guide to data analysis using IBM SPSS </w:t>
      </w:r>
      <w:r w:rsidRPr="00613504">
        <w:rPr>
          <w:rFonts w:cs="Times New Roman"/>
          <w:szCs w:val="24"/>
        </w:rPr>
        <w:t>(7th ed.). Open University Press.</w:t>
      </w:r>
    </w:p>
    <w:p w14:paraId="2FD3A769"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Resnik, D. B. (2015). What is ethics in research &amp; why is it important? National Institute of Environmental Health Sciences. </w:t>
      </w:r>
    </w:p>
    <w:p w14:paraId="65CA21F6"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Saunders, M. N. K., Lewis, P., &amp; Thornhill, A. (2016). </w:t>
      </w:r>
      <w:r w:rsidRPr="00613504">
        <w:rPr>
          <w:rFonts w:cs="Times New Roman"/>
          <w:i/>
          <w:szCs w:val="24"/>
        </w:rPr>
        <w:t>Research methods for business students</w:t>
      </w:r>
      <w:r w:rsidRPr="00613504">
        <w:rPr>
          <w:rFonts w:cs="Times New Roman"/>
          <w:szCs w:val="24"/>
        </w:rPr>
        <w:t xml:space="preserve"> (7th ed.). Harlow: Pearson Education Ltd.</w:t>
      </w:r>
    </w:p>
    <w:p w14:paraId="1685CAC3"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Sekaran, U., &amp; Bougie, R. (2016). </w:t>
      </w:r>
      <w:r w:rsidRPr="00613504">
        <w:rPr>
          <w:rFonts w:cs="Times New Roman"/>
          <w:i/>
          <w:iCs/>
          <w:szCs w:val="24"/>
        </w:rPr>
        <w:t>Research methods for business: A skill building approach</w:t>
      </w:r>
      <w:r w:rsidRPr="00613504">
        <w:rPr>
          <w:rFonts w:cs="Times New Roman"/>
          <w:szCs w:val="24"/>
        </w:rPr>
        <w:t xml:space="preserve"> (7th ed.). John Wiley &amp; Sons.</w:t>
      </w:r>
    </w:p>
    <w:p w14:paraId="25C06000"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Shikuku, L.R. &amp; Ondiek, H. O. (2020). Cash management practices on performance as adopted by SMEs in Eldoret town, Kenya. </w:t>
      </w:r>
      <w:r w:rsidRPr="00613504">
        <w:rPr>
          <w:rFonts w:cs="Times New Roman"/>
          <w:i/>
          <w:szCs w:val="24"/>
        </w:rPr>
        <w:t>Journal of Business and Financial Studies, 88(19) 230-239</w:t>
      </w:r>
    </w:p>
    <w:p w14:paraId="602FAC93"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Tabachnick, B. G., &amp; Fidell, L. S. (2019). </w:t>
      </w:r>
      <w:r w:rsidRPr="00613504">
        <w:rPr>
          <w:rFonts w:cs="Times New Roman"/>
          <w:i/>
          <w:iCs/>
          <w:szCs w:val="24"/>
        </w:rPr>
        <w:t>Using multivariate statistics</w:t>
      </w:r>
      <w:r w:rsidRPr="00613504">
        <w:rPr>
          <w:rFonts w:cs="Times New Roman"/>
          <w:szCs w:val="24"/>
        </w:rPr>
        <w:t xml:space="preserve"> (7th ed.). Pearson.</w:t>
      </w:r>
    </w:p>
    <w:p w14:paraId="1FFC75AC"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Taber, K. S. (2018). The use of Cronbach's alpha when developing and reporting research instruments in science education. </w:t>
      </w:r>
      <w:r w:rsidRPr="00613504">
        <w:rPr>
          <w:rFonts w:cs="Times New Roman"/>
          <w:i/>
          <w:iCs/>
          <w:szCs w:val="24"/>
        </w:rPr>
        <w:t>Research in Science Education, 48 (6),</w:t>
      </w:r>
      <w:r w:rsidRPr="00613504">
        <w:rPr>
          <w:rFonts w:cs="Times New Roman"/>
          <w:szCs w:val="24"/>
        </w:rPr>
        <w:t xml:space="preserve"> 1273-1296. </w:t>
      </w:r>
    </w:p>
    <w:p w14:paraId="333AFB09"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Taherdoost</w:t>
      </w:r>
      <w:proofErr w:type="spellEnd"/>
      <w:r w:rsidRPr="00613504">
        <w:rPr>
          <w:rFonts w:cs="Times New Roman"/>
          <w:szCs w:val="24"/>
        </w:rPr>
        <w:t xml:space="preserve">, H. (2016). Validity and reliability of the research instrument; How to test the validation of a questionnaire/survey in research. </w:t>
      </w:r>
      <w:r w:rsidRPr="00613504">
        <w:rPr>
          <w:rFonts w:cs="Times New Roman"/>
          <w:i/>
          <w:iCs/>
          <w:szCs w:val="24"/>
        </w:rPr>
        <w:t>International Journal of Academic Research in Management, 5</w:t>
      </w:r>
      <w:r w:rsidRPr="00613504">
        <w:rPr>
          <w:rFonts w:cs="Times New Roman"/>
          <w:szCs w:val="24"/>
        </w:rPr>
        <w:t xml:space="preserve"> (3), 28-36. </w:t>
      </w:r>
    </w:p>
    <w:p w14:paraId="78BD60E8" w14:textId="77777777" w:rsidR="00AE317F" w:rsidRPr="00613504" w:rsidRDefault="00AE317F" w:rsidP="00AE317F">
      <w:pPr>
        <w:spacing w:before="0" w:line="240" w:lineRule="auto"/>
        <w:ind w:left="720" w:hanging="720"/>
        <w:rPr>
          <w:rFonts w:cs="Times New Roman"/>
          <w:szCs w:val="24"/>
        </w:rPr>
      </w:pPr>
      <w:proofErr w:type="spellStart"/>
      <w:r w:rsidRPr="00613504">
        <w:rPr>
          <w:rFonts w:cs="Times New Roman"/>
          <w:szCs w:val="24"/>
        </w:rPr>
        <w:t>Thıuru</w:t>
      </w:r>
      <w:proofErr w:type="spellEnd"/>
      <w:r w:rsidRPr="00613504">
        <w:rPr>
          <w:rFonts w:cs="Times New Roman"/>
          <w:szCs w:val="24"/>
        </w:rPr>
        <w:t xml:space="preserve">, M.M. (2023). </w:t>
      </w:r>
      <w:proofErr w:type="spellStart"/>
      <w:r w:rsidRPr="00613504">
        <w:rPr>
          <w:rFonts w:cs="Times New Roman"/>
          <w:szCs w:val="24"/>
        </w:rPr>
        <w:t>Workıng</w:t>
      </w:r>
      <w:proofErr w:type="spellEnd"/>
      <w:r w:rsidRPr="00613504">
        <w:rPr>
          <w:rFonts w:cs="Times New Roman"/>
          <w:szCs w:val="24"/>
        </w:rPr>
        <w:t xml:space="preserve"> </w:t>
      </w:r>
      <w:proofErr w:type="spellStart"/>
      <w:r w:rsidRPr="00613504">
        <w:rPr>
          <w:rFonts w:cs="Times New Roman"/>
          <w:szCs w:val="24"/>
        </w:rPr>
        <w:t>capıtal</w:t>
      </w:r>
      <w:proofErr w:type="spellEnd"/>
      <w:r w:rsidRPr="00613504">
        <w:rPr>
          <w:rFonts w:cs="Times New Roman"/>
          <w:szCs w:val="24"/>
        </w:rPr>
        <w:t xml:space="preserve"> management on corporate </w:t>
      </w:r>
      <w:proofErr w:type="spellStart"/>
      <w:r w:rsidRPr="00613504">
        <w:rPr>
          <w:rFonts w:cs="Times New Roman"/>
          <w:szCs w:val="24"/>
        </w:rPr>
        <w:t>profıtabılıty</w:t>
      </w:r>
      <w:proofErr w:type="spellEnd"/>
      <w:r w:rsidRPr="00613504">
        <w:rPr>
          <w:rFonts w:cs="Times New Roman"/>
          <w:szCs w:val="24"/>
        </w:rPr>
        <w:t xml:space="preserve"> among </w:t>
      </w:r>
      <w:proofErr w:type="spellStart"/>
      <w:r w:rsidRPr="00613504">
        <w:rPr>
          <w:rFonts w:cs="Times New Roman"/>
          <w:szCs w:val="24"/>
        </w:rPr>
        <w:t>fırms</w:t>
      </w:r>
      <w:proofErr w:type="spellEnd"/>
      <w:r w:rsidRPr="00613504">
        <w:rPr>
          <w:rFonts w:cs="Times New Roman"/>
          <w:szCs w:val="24"/>
        </w:rPr>
        <w:t xml:space="preserve"> </w:t>
      </w:r>
      <w:proofErr w:type="spellStart"/>
      <w:r w:rsidRPr="00613504">
        <w:rPr>
          <w:rFonts w:cs="Times New Roman"/>
          <w:szCs w:val="24"/>
        </w:rPr>
        <w:t>lısted</w:t>
      </w:r>
      <w:proofErr w:type="spellEnd"/>
      <w:r w:rsidRPr="00613504">
        <w:rPr>
          <w:rFonts w:cs="Times New Roman"/>
          <w:szCs w:val="24"/>
        </w:rPr>
        <w:t xml:space="preserve"> at </w:t>
      </w:r>
      <w:proofErr w:type="spellStart"/>
      <w:r w:rsidRPr="00613504">
        <w:rPr>
          <w:rFonts w:cs="Times New Roman"/>
          <w:szCs w:val="24"/>
        </w:rPr>
        <w:t>Naırobı</w:t>
      </w:r>
      <w:proofErr w:type="spellEnd"/>
      <w:r w:rsidRPr="00613504">
        <w:rPr>
          <w:rFonts w:cs="Times New Roman"/>
          <w:szCs w:val="24"/>
        </w:rPr>
        <w:t xml:space="preserve"> Securities Exchange. </w:t>
      </w:r>
      <w:proofErr w:type="spellStart"/>
      <w:r w:rsidRPr="00613504">
        <w:rPr>
          <w:rFonts w:cs="Times New Roman"/>
          <w:szCs w:val="24"/>
        </w:rPr>
        <w:t>Unpublıshed</w:t>
      </w:r>
      <w:proofErr w:type="spellEnd"/>
      <w:r w:rsidRPr="00613504">
        <w:rPr>
          <w:rFonts w:cs="Times New Roman"/>
          <w:szCs w:val="24"/>
        </w:rPr>
        <w:t xml:space="preserve"> </w:t>
      </w:r>
      <w:proofErr w:type="spellStart"/>
      <w:r w:rsidRPr="00613504">
        <w:rPr>
          <w:rFonts w:cs="Times New Roman"/>
          <w:szCs w:val="24"/>
        </w:rPr>
        <w:t>masters</w:t>
      </w:r>
      <w:proofErr w:type="spellEnd"/>
      <w:r w:rsidRPr="00613504">
        <w:rPr>
          <w:rFonts w:cs="Times New Roman"/>
          <w:szCs w:val="24"/>
        </w:rPr>
        <w:t xml:space="preserve"> Thesis, UoN</w:t>
      </w:r>
    </w:p>
    <w:p w14:paraId="143B9FEA"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Uche, Obina, O., &amp; Osho, U. U. (2020). Accounts payable management on the financial performance of SMEs in Nigeria. </w:t>
      </w:r>
      <w:r w:rsidRPr="00613504">
        <w:rPr>
          <w:rFonts w:cs="Times New Roman"/>
          <w:i/>
          <w:szCs w:val="24"/>
        </w:rPr>
        <w:t>Business and Financial Review, 6(</w:t>
      </w:r>
      <w:r w:rsidRPr="00613504">
        <w:rPr>
          <w:rFonts w:cs="Times New Roman"/>
          <w:szCs w:val="24"/>
        </w:rPr>
        <w:t>11), 47-57</w:t>
      </w:r>
    </w:p>
    <w:p w14:paraId="4E72A2C2"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Waithaka, S. M. (2019).</w:t>
      </w:r>
      <w:r w:rsidRPr="00613504">
        <w:rPr>
          <w:rFonts w:cs="Times New Roman"/>
          <w:i/>
          <w:iCs/>
          <w:szCs w:val="24"/>
        </w:rPr>
        <w:t xml:space="preserve"> Working capital management practices on the financial performance of small and medium enterprises in Nairobi County, Kenya</w:t>
      </w:r>
      <w:r w:rsidRPr="00613504">
        <w:rPr>
          <w:rFonts w:cs="Times New Roman"/>
          <w:szCs w:val="24"/>
        </w:rPr>
        <w:t xml:space="preserve"> [Doctoral dissertation]. University of Nairobi.</w:t>
      </w:r>
    </w:p>
    <w:p w14:paraId="1EDAC2A5" w14:textId="77777777" w:rsidR="00AE317F" w:rsidRPr="00613504" w:rsidRDefault="00AE317F" w:rsidP="00AE317F">
      <w:pPr>
        <w:spacing w:before="0" w:line="240" w:lineRule="auto"/>
        <w:ind w:left="720" w:hanging="720"/>
        <w:rPr>
          <w:rFonts w:cs="Times New Roman"/>
          <w:szCs w:val="24"/>
        </w:rPr>
      </w:pPr>
      <w:r w:rsidRPr="00613504">
        <w:rPr>
          <w:rFonts w:cs="Times New Roman"/>
          <w:szCs w:val="24"/>
        </w:rPr>
        <w:t xml:space="preserve">Wangari, E. N., Gichuki, P., &amp; </w:t>
      </w:r>
      <w:proofErr w:type="spellStart"/>
      <w:r w:rsidRPr="00613504">
        <w:rPr>
          <w:rFonts w:cs="Times New Roman"/>
          <w:szCs w:val="24"/>
        </w:rPr>
        <w:t>Abuor</w:t>
      </w:r>
      <w:proofErr w:type="spellEnd"/>
      <w:r w:rsidRPr="00613504">
        <w:rPr>
          <w:rFonts w:cs="Times New Roman"/>
          <w:szCs w:val="24"/>
        </w:rPr>
        <w:t xml:space="preserve">, A. (2021). Kenya's response to the COVID-19 pandemic: A balance between minimizing morbidity and adverse economic impact. </w:t>
      </w:r>
      <w:r w:rsidRPr="00613504">
        <w:rPr>
          <w:rFonts w:cs="Times New Roman"/>
          <w:i/>
          <w:iCs/>
          <w:szCs w:val="24"/>
        </w:rPr>
        <w:t>AAS Open Research, 4</w:t>
      </w:r>
      <w:r w:rsidRPr="00613504">
        <w:rPr>
          <w:rFonts w:cs="Times New Roman"/>
          <w:szCs w:val="24"/>
        </w:rPr>
        <w:t xml:space="preserve"> (3),3.</w:t>
      </w:r>
    </w:p>
    <w:p w14:paraId="5247E03A" w14:textId="77777777" w:rsidR="00535E95" w:rsidRDefault="00AE317F" w:rsidP="00535E95">
      <w:pPr>
        <w:spacing w:before="0" w:line="240" w:lineRule="auto"/>
        <w:ind w:left="720" w:hanging="720"/>
        <w:rPr>
          <w:rFonts w:cs="Times New Roman"/>
          <w:szCs w:val="24"/>
        </w:rPr>
      </w:pPr>
      <w:r w:rsidRPr="00613504">
        <w:rPr>
          <w:rFonts w:cs="Times New Roman"/>
          <w:szCs w:val="24"/>
        </w:rPr>
        <w:t xml:space="preserve">Weida, E. B., </w:t>
      </w:r>
      <w:proofErr w:type="spellStart"/>
      <w:r w:rsidRPr="00613504">
        <w:rPr>
          <w:rFonts w:cs="Times New Roman"/>
          <w:szCs w:val="24"/>
        </w:rPr>
        <w:t>Phojanakong</w:t>
      </w:r>
      <w:proofErr w:type="spellEnd"/>
      <w:r w:rsidRPr="00613504">
        <w:rPr>
          <w:rFonts w:cs="Times New Roman"/>
          <w:szCs w:val="24"/>
        </w:rPr>
        <w:t xml:space="preserve">, P., &amp; Patel, F. (2020). Financial health as a measurable social determinant of firm health. </w:t>
      </w:r>
      <w:proofErr w:type="spellStart"/>
      <w:r w:rsidRPr="00613504">
        <w:rPr>
          <w:rFonts w:cs="Times New Roman"/>
          <w:i/>
          <w:szCs w:val="24"/>
        </w:rPr>
        <w:t>PLoS</w:t>
      </w:r>
      <w:proofErr w:type="spellEnd"/>
      <w:r w:rsidRPr="00613504">
        <w:rPr>
          <w:rFonts w:cs="Times New Roman"/>
          <w:i/>
          <w:szCs w:val="24"/>
        </w:rPr>
        <w:t xml:space="preserve"> ONE, 15</w:t>
      </w:r>
      <w:r w:rsidRPr="00613504">
        <w:rPr>
          <w:rFonts w:cs="Times New Roman"/>
          <w:szCs w:val="24"/>
        </w:rPr>
        <w:t>(5), 239-247</w:t>
      </w:r>
      <w:r w:rsidR="00535E95">
        <w:rPr>
          <w:rFonts w:cs="Times New Roman"/>
          <w:szCs w:val="24"/>
        </w:rPr>
        <w:t xml:space="preserve"> </w:t>
      </w:r>
    </w:p>
    <w:p w14:paraId="4E26D1B0" w14:textId="77777777" w:rsidR="00302A9D" w:rsidRPr="0040300C" w:rsidRDefault="00535E95" w:rsidP="00302A9D">
      <w:pPr>
        <w:spacing w:before="0" w:line="240" w:lineRule="auto"/>
        <w:ind w:left="720" w:hanging="720"/>
        <w:rPr>
          <w:rFonts w:cs="Times New Roman"/>
          <w:szCs w:val="24"/>
          <w:highlight w:val="yellow"/>
        </w:rPr>
      </w:pPr>
      <w:r w:rsidRPr="0040300C">
        <w:rPr>
          <w:rFonts w:cs="Times New Roman"/>
          <w:szCs w:val="24"/>
          <w:highlight w:val="yellow"/>
          <w:lang w:val="es-US"/>
        </w:rPr>
        <w:t xml:space="preserve">Ninga, F. M., &amp; </w:t>
      </w:r>
      <w:proofErr w:type="spellStart"/>
      <w:r w:rsidRPr="0040300C">
        <w:rPr>
          <w:rFonts w:cs="Times New Roman"/>
          <w:szCs w:val="24"/>
          <w:highlight w:val="yellow"/>
          <w:lang w:val="es-US"/>
        </w:rPr>
        <w:t>Naho</w:t>
      </w:r>
      <w:proofErr w:type="spellEnd"/>
      <w:r w:rsidRPr="0040300C">
        <w:rPr>
          <w:rFonts w:cs="Times New Roman"/>
          <w:szCs w:val="24"/>
          <w:highlight w:val="yellow"/>
          <w:lang w:val="es-US"/>
        </w:rPr>
        <w:t xml:space="preserve">, A. (2024). </w:t>
      </w:r>
      <w:r w:rsidRPr="0040300C">
        <w:rPr>
          <w:rFonts w:cs="Times New Roman"/>
          <w:szCs w:val="24"/>
          <w:highlight w:val="yellow"/>
        </w:rPr>
        <w:t>The Impact of Working Capital Management on Financial Performance: Evidence from Sokoine University of Agriculture. </w:t>
      </w:r>
      <w:r w:rsidRPr="0040300C">
        <w:rPr>
          <w:rFonts w:cs="Times New Roman"/>
          <w:i/>
          <w:iCs/>
          <w:szCs w:val="24"/>
          <w:highlight w:val="yellow"/>
        </w:rPr>
        <w:t>Asian Journal of Economics, Business and Accounting</w:t>
      </w:r>
      <w:r w:rsidRPr="0040300C">
        <w:rPr>
          <w:rFonts w:cs="Times New Roman"/>
          <w:szCs w:val="24"/>
          <w:highlight w:val="yellow"/>
        </w:rPr>
        <w:t>, </w:t>
      </w:r>
      <w:r w:rsidRPr="0040300C">
        <w:rPr>
          <w:rFonts w:cs="Times New Roman"/>
          <w:i/>
          <w:iCs/>
          <w:szCs w:val="24"/>
          <w:highlight w:val="yellow"/>
        </w:rPr>
        <w:t>24</w:t>
      </w:r>
      <w:r w:rsidRPr="0040300C">
        <w:rPr>
          <w:rFonts w:cs="Times New Roman"/>
          <w:szCs w:val="24"/>
          <w:highlight w:val="yellow"/>
        </w:rPr>
        <w:t xml:space="preserve">(9), 484–493. </w:t>
      </w:r>
      <w:hyperlink r:id="rId7" w:history="1">
        <w:r w:rsidR="00302A9D" w:rsidRPr="0040300C">
          <w:rPr>
            <w:rStyle w:val="Hyperlink"/>
            <w:rFonts w:cs="Times New Roman"/>
            <w:szCs w:val="24"/>
            <w:highlight w:val="yellow"/>
          </w:rPr>
          <w:t>https://doi.org/10.9734/ajeba/2024/v24i91506</w:t>
        </w:r>
      </w:hyperlink>
      <w:r w:rsidR="00302A9D" w:rsidRPr="0040300C">
        <w:rPr>
          <w:rFonts w:cs="Times New Roman"/>
          <w:szCs w:val="24"/>
          <w:highlight w:val="yellow"/>
        </w:rPr>
        <w:t xml:space="preserve"> </w:t>
      </w:r>
    </w:p>
    <w:p w14:paraId="3DE2B7AD" w14:textId="77777777" w:rsidR="00302A9D" w:rsidRPr="0040300C" w:rsidRDefault="00302A9D" w:rsidP="00302A9D">
      <w:pPr>
        <w:spacing w:before="0" w:line="240" w:lineRule="auto"/>
        <w:ind w:left="720" w:hanging="720"/>
        <w:rPr>
          <w:rFonts w:cs="Times New Roman"/>
          <w:szCs w:val="24"/>
          <w:highlight w:val="yellow"/>
        </w:rPr>
      </w:pPr>
      <w:proofErr w:type="spellStart"/>
      <w:r w:rsidRPr="0040300C">
        <w:rPr>
          <w:rFonts w:cs="Times New Roman"/>
          <w:szCs w:val="24"/>
          <w:highlight w:val="yellow"/>
        </w:rPr>
        <w:t>Lanquaye</w:t>
      </w:r>
      <w:proofErr w:type="spellEnd"/>
      <w:r w:rsidRPr="0040300C">
        <w:rPr>
          <w:rFonts w:cs="Times New Roman"/>
          <w:szCs w:val="24"/>
          <w:highlight w:val="yellow"/>
        </w:rPr>
        <w:t xml:space="preserve"> Lamptey, L., Frimpong, K., &amp; </w:t>
      </w:r>
      <w:proofErr w:type="spellStart"/>
      <w:r w:rsidRPr="0040300C">
        <w:rPr>
          <w:rFonts w:cs="Times New Roman"/>
          <w:szCs w:val="24"/>
          <w:highlight w:val="yellow"/>
        </w:rPr>
        <w:t>Bassaw</w:t>
      </w:r>
      <w:proofErr w:type="spellEnd"/>
      <w:r w:rsidRPr="0040300C">
        <w:rPr>
          <w:rFonts w:cs="Times New Roman"/>
          <w:szCs w:val="24"/>
          <w:highlight w:val="yellow"/>
        </w:rPr>
        <w:t xml:space="preserve"> Morrison, A. (2017). Empirical Study on the Influence of Working Capital Management on Performance of SMEs in a Developing Economy. </w:t>
      </w:r>
      <w:r w:rsidRPr="0040300C">
        <w:rPr>
          <w:rFonts w:cs="Times New Roman"/>
          <w:i/>
          <w:iCs/>
          <w:szCs w:val="24"/>
          <w:highlight w:val="yellow"/>
        </w:rPr>
        <w:t>Journal of Economics, Management and Trade</w:t>
      </w:r>
      <w:r w:rsidRPr="0040300C">
        <w:rPr>
          <w:rFonts w:cs="Times New Roman"/>
          <w:szCs w:val="24"/>
          <w:highlight w:val="yellow"/>
        </w:rPr>
        <w:t>, </w:t>
      </w:r>
      <w:r w:rsidRPr="0040300C">
        <w:rPr>
          <w:rFonts w:cs="Times New Roman"/>
          <w:i/>
          <w:iCs/>
          <w:szCs w:val="24"/>
          <w:highlight w:val="yellow"/>
        </w:rPr>
        <w:t>17</w:t>
      </w:r>
      <w:r w:rsidRPr="0040300C">
        <w:rPr>
          <w:rFonts w:cs="Times New Roman"/>
          <w:szCs w:val="24"/>
          <w:highlight w:val="yellow"/>
        </w:rPr>
        <w:t xml:space="preserve">(4), 1–10. </w:t>
      </w:r>
      <w:hyperlink r:id="rId8" w:history="1">
        <w:r w:rsidRPr="0040300C">
          <w:rPr>
            <w:rStyle w:val="Hyperlink"/>
            <w:rFonts w:cs="Times New Roman"/>
            <w:szCs w:val="24"/>
            <w:highlight w:val="yellow"/>
          </w:rPr>
          <w:t>https://doi.org/10.9734/BJEMT/2017/33579</w:t>
        </w:r>
      </w:hyperlink>
      <w:r w:rsidRPr="0040300C">
        <w:rPr>
          <w:rFonts w:cs="Times New Roman"/>
          <w:szCs w:val="24"/>
          <w:highlight w:val="yellow"/>
        </w:rPr>
        <w:t xml:space="preserve"> </w:t>
      </w:r>
    </w:p>
    <w:p w14:paraId="4A46AD16" w14:textId="77777777" w:rsidR="00302A9D" w:rsidRPr="0040300C" w:rsidRDefault="00302A9D" w:rsidP="00302A9D">
      <w:pPr>
        <w:spacing w:before="0" w:line="240" w:lineRule="auto"/>
        <w:ind w:left="720" w:hanging="720"/>
        <w:rPr>
          <w:rFonts w:cs="Times New Roman"/>
          <w:szCs w:val="24"/>
          <w:highlight w:val="yellow"/>
          <w:lang w:val="es-US"/>
        </w:rPr>
      </w:pPr>
      <w:r w:rsidRPr="0040300C">
        <w:rPr>
          <w:rFonts w:cs="Times New Roman"/>
          <w:szCs w:val="24"/>
          <w:highlight w:val="yellow"/>
          <w:lang w:val="es-US"/>
        </w:rPr>
        <w:t xml:space="preserve">Munyaka, J.-C. B., &amp; Yadavalli, S. V. (2022). </w:t>
      </w:r>
      <w:r w:rsidRPr="0040300C">
        <w:rPr>
          <w:rFonts w:cs="Times New Roman"/>
          <w:szCs w:val="24"/>
          <w:highlight w:val="yellow"/>
        </w:rPr>
        <w:t>INVENTORY MANAGEMENT CONCEPTS AND IMPLEMENTATIONS: A SYSTEMATIC REVIEW. </w:t>
      </w:r>
      <w:r w:rsidRPr="0040300C">
        <w:rPr>
          <w:rFonts w:cs="Times New Roman"/>
          <w:i/>
          <w:iCs/>
          <w:szCs w:val="24"/>
          <w:highlight w:val="yellow"/>
        </w:rPr>
        <w:t>South African Journal of Industrial Engineering</w:t>
      </w:r>
      <w:r w:rsidRPr="0040300C">
        <w:rPr>
          <w:rFonts w:cs="Times New Roman"/>
          <w:szCs w:val="24"/>
          <w:highlight w:val="yellow"/>
        </w:rPr>
        <w:t>, </w:t>
      </w:r>
      <w:r w:rsidRPr="0040300C">
        <w:rPr>
          <w:rFonts w:cs="Times New Roman"/>
          <w:i/>
          <w:iCs/>
          <w:szCs w:val="24"/>
          <w:highlight w:val="yellow"/>
        </w:rPr>
        <w:t>32</w:t>
      </w:r>
      <w:r w:rsidRPr="0040300C">
        <w:rPr>
          <w:rFonts w:cs="Times New Roman"/>
          <w:szCs w:val="24"/>
          <w:highlight w:val="yellow"/>
        </w:rPr>
        <w:t xml:space="preserve">(2). </w:t>
      </w:r>
      <w:hyperlink r:id="rId9" w:history="1">
        <w:r w:rsidRPr="0040300C">
          <w:rPr>
            <w:rStyle w:val="Hyperlink"/>
            <w:rFonts w:cs="Times New Roman"/>
            <w:szCs w:val="24"/>
            <w:highlight w:val="yellow"/>
            <w:lang w:val="es-US"/>
          </w:rPr>
          <w:t>https://doi.org/10.7166/33-2-2527</w:t>
        </w:r>
      </w:hyperlink>
      <w:r w:rsidRPr="0040300C">
        <w:rPr>
          <w:rFonts w:cs="Times New Roman"/>
          <w:szCs w:val="24"/>
          <w:highlight w:val="yellow"/>
          <w:lang w:val="es-US"/>
        </w:rPr>
        <w:t xml:space="preserve"> </w:t>
      </w:r>
    </w:p>
    <w:p w14:paraId="1C6BA90D" w14:textId="77777777" w:rsidR="000342B3" w:rsidRPr="0040300C" w:rsidRDefault="00302A9D" w:rsidP="000342B3">
      <w:pPr>
        <w:spacing w:before="0" w:line="240" w:lineRule="auto"/>
        <w:ind w:left="720" w:hanging="720"/>
        <w:rPr>
          <w:rFonts w:cs="Times New Roman"/>
          <w:szCs w:val="24"/>
          <w:highlight w:val="yellow"/>
        </w:rPr>
      </w:pPr>
      <w:r w:rsidRPr="0040300C">
        <w:rPr>
          <w:rFonts w:cs="Times New Roman"/>
          <w:szCs w:val="24"/>
          <w:highlight w:val="yellow"/>
          <w:lang w:val="es-US"/>
        </w:rPr>
        <w:t xml:space="preserve">Silva, Â., Silva, M., &amp; Ferreira, A. C. (2025). </w:t>
      </w:r>
      <w:r w:rsidRPr="0040300C">
        <w:rPr>
          <w:rFonts w:cs="Times New Roman"/>
          <w:szCs w:val="24"/>
          <w:highlight w:val="yellow"/>
        </w:rPr>
        <w:t>Inventory Management and Its Influence on the Supply of High-Value Products: Case Study Evidence. </w:t>
      </w:r>
      <w:r w:rsidRPr="0040300C">
        <w:rPr>
          <w:rFonts w:cs="Times New Roman"/>
          <w:i/>
          <w:iCs/>
          <w:szCs w:val="24"/>
          <w:highlight w:val="yellow"/>
        </w:rPr>
        <w:t>Logistics</w:t>
      </w:r>
      <w:r w:rsidRPr="0040300C">
        <w:rPr>
          <w:rFonts w:cs="Times New Roman"/>
          <w:szCs w:val="24"/>
          <w:highlight w:val="yellow"/>
        </w:rPr>
        <w:t>, </w:t>
      </w:r>
      <w:r w:rsidRPr="0040300C">
        <w:rPr>
          <w:rFonts w:cs="Times New Roman"/>
          <w:i/>
          <w:iCs/>
          <w:szCs w:val="24"/>
          <w:highlight w:val="yellow"/>
        </w:rPr>
        <w:t>9</w:t>
      </w:r>
      <w:r w:rsidRPr="0040300C">
        <w:rPr>
          <w:rFonts w:cs="Times New Roman"/>
          <w:szCs w:val="24"/>
          <w:highlight w:val="yellow"/>
        </w:rPr>
        <w:t xml:space="preserve">(4), 170. </w:t>
      </w:r>
      <w:hyperlink r:id="rId10" w:history="1">
        <w:r w:rsidR="000342B3" w:rsidRPr="0040300C">
          <w:rPr>
            <w:rStyle w:val="Hyperlink"/>
            <w:rFonts w:cs="Times New Roman"/>
            <w:szCs w:val="24"/>
            <w:highlight w:val="yellow"/>
          </w:rPr>
          <w:t>https://doi.org/10.3390/logistics9040170</w:t>
        </w:r>
      </w:hyperlink>
      <w:r w:rsidR="000342B3" w:rsidRPr="0040300C">
        <w:rPr>
          <w:rFonts w:cs="Times New Roman"/>
          <w:szCs w:val="24"/>
          <w:highlight w:val="yellow"/>
        </w:rPr>
        <w:t xml:space="preserve"> </w:t>
      </w:r>
    </w:p>
    <w:p w14:paraId="67040E58" w14:textId="3CB23A19" w:rsidR="000342B3" w:rsidRPr="0040300C" w:rsidRDefault="000342B3" w:rsidP="000342B3">
      <w:pPr>
        <w:spacing w:before="0" w:line="240" w:lineRule="auto"/>
        <w:ind w:left="720" w:hanging="720"/>
        <w:rPr>
          <w:rFonts w:cs="Times New Roman"/>
          <w:szCs w:val="24"/>
          <w:highlight w:val="yellow"/>
        </w:rPr>
      </w:pPr>
      <w:r w:rsidRPr="0040300C">
        <w:rPr>
          <w:rFonts w:cs="Times New Roman"/>
          <w:szCs w:val="24"/>
          <w:highlight w:val="yellow"/>
          <w:lang w:val="es-US"/>
        </w:rPr>
        <w:lastRenderedPageBreak/>
        <w:t xml:space="preserve">Salas-Molina, F., Rodríguez-Aguilar, J. A., &amp; Guillen, M. (2023). </w:t>
      </w:r>
      <w:r w:rsidRPr="0040300C">
        <w:rPr>
          <w:rFonts w:cs="Times New Roman"/>
          <w:szCs w:val="24"/>
          <w:highlight w:val="yellow"/>
        </w:rPr>
        <w:t>A multidimensional review of the cash management problem. </w:t>
      </w:r>
      <w:r w:rsidRPr="0040300C">
        <w:rPr>
          <w:rFonts w:cs="Times New Roman"/>
          <w:i/>
          <w:iCs/>
          <w:szCs w:val="24"/>
          <w:highlight w:val="yellow"/>
        </w:rPr>
        <w:t>Financial Innovation</w:t>
      </w:r>
      <w:r w:rsidRPr="0040300C">
        <w:rPr>
          <w:rFonts w:cs="Times New Roman"/>
          <w:szCs w:val="24"/>
          <w:highlight w:val="yellow"/>
        </w:rPr>
        <w:t>, </w:t>
      </w:r>
      <w:r w:rsidRPr="0040300C">
        <w:rPr>
          <w:rFonts w:cs="Times New Roman"/>
          <w:i/>
          <w:iCs/>
          <w:szCs w:val="24"/>
          <w:highlight w:val="yellow"/>
        </w:rPr>
        <w:t>9</w:t>
      </w:r>
      <w:r w:rsidRPr="0040300C">
        <w:rPr>
          <w:rFonts w:cs="Times New Roman"/>
          <w:szCs w:val="24"/>
          <w:highlight w:val="yellow"/>
        </w:rPr>
        <w:t>(1). https://doi.org/10.1186/s40854-023-00473-7</w:t>
      </w:r>
    </w:p>
    <w:p w14:paraId="21A73264" w14:textId="77777777" w:rsidR="000342B3" w:rsidRPr="000342B3" w:rsidRDefault="000342B3" w:rsidP="000342B3">
      <w:pPr>
        <w:spacing w:before="0" w:line="240" w:lineRule="auto"/>
        <w:ind w:left="720" w:hanging="720"/>
        <w:rPr>
          <w:rFonts w:cs="Times New Roman"/>
          <w:szCs w:val="24"/>
        </w:rPr>
      </w:pPr>
      <w:r w:rsidRPr="0040300C">
        <w:rPr>
          <w:rFonts w:cs="Times New Roman"/>
          <w:szCs w:val="24"/>
          <w:highlight w:val="yellow"/>
        </w:rPr>
        <w:t>‌</w:t>
      </w:r>
    </w:p>
    <w:p w14:paraId="6A3009C5" w14:textId="2644F9CD" w:rsidR="00302A9D" w:rsidRPr="00302A9D" w:rsidRDefault="00302A9D" w:rsidP="00302A9D">
      <w:pPr>
        <w:spacing w:before="0" w:line="240" w:lineRule="auto"/>
        <w:ind w:left="720" w:hanging="720"/>
        <w:rPr>
          <w:rFonts w:cs="Times New Roman"/>
          <w:szCs w:val="24"/>
        </w:rPr>
      </w:pPr>
    </w:p>
    <w:p w14:paraId="4FF3B7E3" w14:textId="190E8D87" w:rsidR="00302A9D" w:rsidRPr="00302A9D" w:rsidRDefault="00302A9D" w:rsidP="00302A9D">
      <w:pPr>
        <w:spacing w:before="0" w:line="240" w:lineRule="auto"/>
        <w:ind w:left="720" w:hanging="720"/>
        <w:rPr>
          <w:rFonts w:cs="Times New Roman"/>
          <w:szCs w:val="24"/>
        </w:rPr>
      </w:pPr>
      <w:r w:rsidRPr="00302A9D">
        <w:rPr>
          <w:rFonts w:cs="Times New Roman"/>
          <w:szCs w:val="24"/>
        </w:rPr>
        <w:t>‌</w:t>
      </w:r>
      <w:r>
        <w:rPr>
          <w:rFonts w:cs="Times New Roman"/>
          <w:szCs w:val="24"/>
        </w:rPr>
        <w:t xml:space="preserve"> </w:t>
      </w:r>
    </w:p>
    <w:p w14:paraId="3E9335DF" w14:textId="53E259D4" w:rsidR="00302A9D" w:rsidRPr="00302A9D" w:rsidRDefault="00302A9D" w:rsidP="00302A9D">
      <w:pPr>
        <w:spacing w:before="0" w:line="240" w:lineRule="auto"/>
        <w:ind w:left="720" w:hanging="720"/>
        <w:rPr>
          <w:rFonts w:cs="Times New Roman"/>
          <w:szCs w:val="24"/>
        </w:rPr>
      </w:pPr>
    </w:p>
    <w:p w14:paraId="6C47AF7D" w14:textId="3086797D" w:rsidR="00535E95" w:rsidRPr="00535E95" w:rsidRDefault="00535E95" w:rsidP="00535E95">
      <w:pPr>
        <w:spacing w:before="0" w:line="240" w:lineRule="auto"/>
        <w:ind w:left="720" w:hanging="720"/>
        <w:rPr>
          <w:rFonts w:cs="Times New Roman"/>
          <w:szCs w:val="24"/>
        </w:rPr>
      </w:pPr>
    </w:p>
    <w:p w14:paraId="496A096F" w14:textId="49530022" w:rsidR="00AE317F" w:rsidRPr="00613504" w:rsidRDefault="00302A9D" w:rsidP="00AE317F">
      <w:pPr>
        <w:spacing w:before="0" w:line="240" w:lineRule="auto"/>
        <w:ind w:left="720" w:hanging="720"/>
        <w:rPr>
          <w:rFonts w:cs="Times New Roman"/>
          <w:szCs w:val="24"/>
        </w:rPr>
      </w:pPr>
      <w:r>
        <w:rPr>
          <w:rFonts w:cs="Times New Roman"/>
          <w:szCs w:val="24"/>
        </w:rPr>
        <w:t xml:space="preserve"> </w:t>
      </w:r>
    </w:p>
    <w:p w14:paraId="03F8CAD5" w14:textId="77777777" w:rsidR="00AE317F" w:rsidRPr="00613504" w:rsidRDefault="00AE317F" w:rsidP="00AE317F">
      <w:pPr>
        <w:spacing w:line="360" w:lineRule="auto"/>
        <w:ind w:left="720" w:hanging="720"/>
        <w:rPr>
          <w:rFonts w:cs="Times New Roman"/>
          <w:szCs w:val="24"/>
        </w:rPr>
      </w:pPr>
    </w:p>
    <w:p w14:paraId="6DCE94DE" w14:textId="77777777" w:rsidR="00AE317F" w:rsidRDefault="00AE317F" w:rsidP="002151BA">
      <w:pPr>
        <w:shd w:val="clear" w:color="auto" w:fill="FFFFFF"/>
        <w:spacing w:line="240" w:lineRule="auto"/>
        <w:rPr>
          <w:rFonts w:eastAsia="Times New Roman" w:cs="Times New Roman"/>
          <w:b/>
          <w:bCs/>
          <w:color w:val="000000" w:themeColor="text1"/>
          <w:sz w:val="28"/>
          <w:szCs w:val="28"/>
        </w:rPr>
      </w:pPr>
    </w:p>
    <w:p w14:paraId="3A81360F" w14:textId="77777777" w:rsidR="00B26084" w:rsidRPr="007A56B8" w:rsidRDefault="00B26084" w:rsidP="002151BA">
      <w:pPr>
        <w:shd w:val="clear" w:color="auto" w:fill="FFFFFF"/>
        <w:spacing w:line="240" w:lineRule="auto"/>
        <w:rPr>
          <w:rFonts w:eastAsia="Times New Roman" w:cs="Times New Roman"/>
          <w:b/>
          <w:bCs/>
          <w:color w:val="000000" w:themeColor="text1"/>
          <w:sz w:val="28"/>
          <w:szCs w:val="28"/>
        </w:rPr>
      </w:pPr>
    </w:p>
    <w:sectPr w:rsidR="00B26084" w:rsidRPr="007A56B8" w:rsidSect="00055D83">
      <w:headerReference w:type="even" r:id="rId11"/>
      <w:headerReference w:type="default" r:id="rId12"/>
      <w:footerReference w:type="even" r:id="rId13"/>
      <w:footerReference w:type="default" r:id="rId14"/>
      <w:headerReference w:type="first" r:id="rId15"/>
      <w:footerReference w:type="first" r:id="rId16"/>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DF06" w14:textId="77777777" w:rsidR="00262B00" w:rsidRDefault="00262B00">
      <w:pPr>
        <w:spacing w:before="0" w:line="240" w:lineRule="auto"/>
      </w:pPr>
      <w:r>
        <w:separator/>
      </w:r>
    </w:p>
  </w:endnote>
  <w:endnote w:type="continuationSeparator" w:id="0">
    <w:p w14:paraId="27973497" w14:textId="77777777" w:rsidR="00262B00" w:rsidRDefault="00262B0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14E3" w14:textId="44685476" w:rsidR="009E3D26" w:rsidRDefault="009E3D26">
    <w:pPr>
      <w:pStyle w:val="Footer"/>
    </w:pPr>
    <w:r>
      <w:rPr>
        <w:noProof/>
      </w:rPr>
      <mc:AlternateContent>
        <mc:Choice Requires="wps">
          <w:drawing>
            <wp:anchor distT="0" distB="0" distL="0" distR="0" simplePos="0" relativeHeight="251659264" behindDoc="0" locked="0" layoutInCell="1" allowOverlap="1" wp14:anchorId="717D1372" wp14:editId="2F124E48">
              <wp:simplePos x="635" y="635"/>
              <wp:positionH relativeFrom="page">
                <wp:align>center</wp:align>
              </wp:positionH>
              <wp:positionV relativeFrom="page">
                <wp:align>bottom</wp:align>
              </wp:positionV>
              <wp:extent cx="938530" cy="635000"/>
              <wp:effectExtent l="0" t="0" r="13970" b="0"/>
              <wp:wrapNone/>
              <wp:docPr id="263647457" name="Text Box 2"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635000"/>
                      </a:xfrm>
                      <a:prstGeom prst="rect">
                        <a:avLst/>
                      </a:prstGeom>
                      <a:noFill/>
                      <a:ln>
                        <a:noFill/>
                      </a:ln>
                    </wps:spPr>
                    <wps:txbx>
                      <w:txbxContent>
                        <w:p w14:paraId="5D8F1562" w14:textId="553438AD"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D1372" id="_x0000_t202" coordsize="21600,21600" o:spt="202" path="m,l,21600r21600,l21600,xe">
              <v:stroke joinstyle="miter"/>
              <v:path gradientshapeok="t" o:connecttype="rect"/>
            </v:shapetype>
            <v:shape id="Text Box 2" o:spid="_x0000_s1026" type="#_x0000_t202" alt="---Internal Use--- " style="position:absolute;left:0;text-align:left;margin-left:0;margin-top:0;width:73.9pt;height:50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" filled="f" stroked="f">
              <v:textbox style="mso-fit-shape-to-text:t" inset="0,0,0,15pt">
                <w:txbxContent>
                  <w:p w14:paraId="5D8F1562" w14:textId="553438AD"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28D3" w14:textId="16B1541C" w:rsidR="004A12F4" w:rsidRPr="008A0558" w:rsidRDefault="00000000">
    <w:pPr>
      <w:pStyle w:val="Footer"/>
      <w:jc w:val="center"/>
      <w:rPr>
        <w:sz w:val="20"/>
        <w:szCs w:val="18"/>
      </w:rPr>
    </w:pPr>
    <w:sdt>
      <w:sdtPr>
        <w:id w:val="-1882236679"/>
        <w:docPartObj>
          <w:docPartGallery w:val="Page Numbers (Bottom of Page)"/>
          <w:docPartUnique/>
        </w:docPartObj>
      </w:sdtPr>
      <w:sdtEndPr>
        <w:rPr>
          <w:noProof/>
          <w:sz w:val="20"/>
          <w:szCs w:val="18"/>
        </w:rPr>
      </w:sdtEndPr>
      <w:sdtContent>
        <w:r w:rsidR="00556C7C" w:rsidRPr="008A0558">
          <w:rPr>
            <w:sz w:val="20"/>
            <w:szCs w:val="18"/>
          </w:rPr>
          <w:fldChar w:fldCharType="begin"/>
        </w:r>
        <w:r w:rsidR="00556C7C" w:rsidRPr="008A0558">
          <w:rPr>
            <w:sz w:val="20"/>
            <w:szCs w:val="18"/>
          </w:rPr>
          <w:instrText xml:space="preserve"> PAGE   \* MERGEFORMAT </w:instrText>
        </w:r>
        <w:r w:rsidR="00556C7C" w:rsidRPr="008A0558">
          <w:rPr>
            <w:sz w:val="20"/>
            <w:szCs w:val="18"/>
          </w:rPr>
          <w:fldChar w:fldCharType="separate"/>
        </w:r>
        <w:r w:rsidR="005078D4">
          <w:rPr>
            <w:noProof/>
            <w:sz w:val="20"/>
            <w:szCs w:val="18"/>
          </w:rPr>
          <w:t>5</w:t>
        </w:r>
        <w:r w:rsidR="00556C7C" w:rsidRPr="008A0558">
          <w:rPr>
            <w:noProof/>
            <w:sz w:val="20"/>
            <w:szCs w:val="18"/>
          </w:rPr>
          <w:fldChar w:fldCharType="end"/>
        </w:r>
      </w:sdtContent>
    </w:sdt>
  </w:p>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AAD0" w14:textId="7CA455B1" w:rsidR="009E3D26" w:rsidRDefault="009E3D26">
    <w:pPr>
      <w:pStyle w:val="Footer"/>
    </w:pPr>
    <w:r>
      <w:rPr>
        <w:noProof/>
      </w:rPr>
      <mc:AlternateContent>
        <mc:Choice Requires="wps">
          <w:drawing>
            <wp:anchor distT="0" distB="0" distL="0" distR="0" simplePos="0" relativeHeight="251658240" behindDoc="0" locked="0" layoutInCell="1" allowOverlap="1" wp14:anchorId="47786DB9" wp14:editId="365A000E">
              <wp:simplePos x="635" y="635"/>
              <wp:positionH relativeFrom="page">
                <wp:align>center</wp:align>
              </wp:positionH>
              <wp:positionV relativeFrom="page">
                <wp:align>bottom</wp:align>
              </wp:positionV>
              <wp:extent cx="938530" cy="635000"/>
              <wp:effectExtent l="0" t="0" r="13970" b="0"/>
              <wp:wrapNone/>
              <wp:docPr id="1916076555" name="Text Box 1"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635000"/>
                      </a:xfrm>
                      <a:prstGeom prst="rect">
                        <a:avLst/>
                      </a:prstGeom>
                      <a:noFill/>
                      <a:ln>
                        <a:noFill/>
                      </a:ln>
                    </wps:spPr>
                    <wps:txbx>
                      <w:txbxContent>
                        <w:p w14:paraId="1601DDE2" w14:textId="60A9E9C9"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86DB9" id="_x0000_t202" coordsize="21600,21600" o:spt="202" path="m,l,21600r21600,l21600,xe">
              <v:stroke joinstyle="miter"/>
              <v:path gradientshapeok="t" o:connecttype="rect"/>
            </v:shapetype>
            <v:shape id="Text Box 1" o:spid="_x0000_s1027" type="#_x0000_t202" alt="---Internal Use--- " style="position:absolute;left:0;text-align:left;margin-left:0;margin-top:0;width:73.9pt;height:50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" filled="f" stroked="f">
              <v:textbox style="mso-fit-shape-to-text:t" inset="0,0,0,15pt">
                <w:txbxContent>
                  <w:p w14:paraId="1601DDE2" w14:textId="60A9E9C9"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0E025" w14:textId="77777777" w:rsidR="00262B00" w:rsidRDefault="00262B00">
      <w:pPr>
        <w:spacing w:before="0" w:line="240" w:lineRule="auto"/>
      </w:pPr>
      <w:r>
        <w:separator/>
      </w:r>
    </w:p>
  </w:footnote>
  <w:footnote w:type="continuationSeparator" w:id="0">
    <w:p w14:paraId="6732140D" w14:textId="77777777" w:rsidR="00262B00" w:rsidRDefault="00262B0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82A0" w14:textId="5DC4CC04" w:rsidR="00272E82" w:rsidRDefault="00000000">
    <w:pPr>
      <w:pStyle w:val="Header"/>
    </w:pPr>
    <w:r>
      <w:rPr>
        <w:noProof/>
      </w:rPr>
      <w:pict w14:anchorId="74D9A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34532" o:spid="_x0000_s1026"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7AA2" w14:textId="5075E604" w:rsidR="00272E82" w:rsidRDefault="00000000">
    <w:pPr>
      <w:pStyle w:val="Header"/>
    </w:pPr>
    <w:r>
      <w:rPr>
        <w:noProof/>
      </w:rPr>
      <w:pict w14:anchorId="712C6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34533" o:spid="_x0000_s1027" type="#_x0000_t136" style="position:absolute;left:0;text-align:left;margin-left:0;margin-top:0;width:699.8pt;height:77.7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5414" w14:textId="09225E49" w:rsidR="00272E82" w:rsidRDefault="00000000">
    <w:pPr>
      <w:pStyle w:val="Header"/>
    </w:pPr>
    <w:r>
      <w:rPr>
        <w:noProof/>
      </w:rPr>
      <w:pict w14:anchorId="225DF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34531" o:spid="_x0000_s1025"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7493F"/>
    <w:multiLevelType w:val="hybridMultilevel"/>
    <w:tmpl w:val="646C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CF67FC"/>
    <w:multiLevelType w:val="hybridMultilevel"/>
    <w:tmpl w:val="4922F10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1" w15:restartNumberingAfterBreak="0">
    <w:nsid w:val="790C191B"/>
    <w:multiLevelType w:val="hybridMultilevel"/>
    <w:tmpl w:val="06B00824"/>
    <w:lvl w:ilvl="0" w:tplc="F1BC3844">
      <w:start w:val="1"/>
      <w:numFmt w:val="lowerLetter"/>
      <w:lvlText w:val="%1."/>
      <w:lvlJc w:val="left"/>
      <w:pPr>
        <w:ind w:left="750" w:hanging="39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16cid:durableId="254630249">
    <w:abstractNumId w:val="4"/>
  </w:num>
  <w:num w:numId="2" w16cid:durableId="1830755766">
    <w:abstractNumId w:val="16"/>
  </w:num>
  <w:num w:numId="3" w16cid:durableId="1835996079">
    <w:abstractNumId w:val="23"/>
  </w:num>
  <w:num w:numId="4" w16cid:durableId="1574897630">
    <w:abstractNumId w:val="22"/>
  </w:num>
  <w:num w:numId="5" w16cid:durableId="921766245">
    <w:abstractNumId w:val="17"/>
  </w:num>
  <w:num w:numId="6" w16cid:durableId="1173909245">
    <w:abstractNumId w:val="20"/>
  </w:num>
  <w:num w:numId="7" w16cid:durableId="1280185860">
    <w:abstractNumId w:val="3"/>
  </w:num>
  <w:num w:numId="8" w16cid:durableId="343408913">
    <w:abstractNumId w:val="0"/>
  </w:num>
  <w:num w:numId="9" w16cid:durableId="1702895408">
    <w:abstractNumId w:val="12"/>
  </w:num>
  <w:num w:numId="10" w16cid:durableId="1637562664">
    <w:abstractNumId w:val="5"/>
  </w:num>
  <w:num w:numId="11" w16cid:durableId="1648389683">
    <w:abstractNumId w:val="1"/>
  </w:num>
  <w:num w:numId="12" w16cid:durableId="1591088397">
    <w:abstractNumId w:val="11"/>
  </w:num>
  <w:num w:numId="13" w16cid:durableId="1338191559">
    <w:abstractNumId w:val="14"/>
  </w:num>
  <w:num w:numId="14" w16cid:durableId="1783917813">
    <w:abstractNumId w:val="19"/>
  </w:num>
  <w:num w:numId="15" w16cid:durableId="192615948">
    <w:abstractNumId w:val="2"/>
  </w:num>
  <w:num w:numId="16" w16cid:durableId="630745597">
    <w:abstractNumId w:val="10"/>
  </w:num>
  <w:num w:numId="17" w16cid:durableId="1188788399">
    <w:abstractNumId w:val="7"/>
  </w:num>
  <w:num w:numId="18" w16cid:durableId="1140920548">
    <w:abstractNumId w:val="15"/>
  </w:num>
  <w:num w:numId="19" w16cid:durableId="498623296">
    <w:abstractNumId w:val="13"/>
  </w:num>
  <w:num w:numId="20" w16cid:durableId="306249956">
    <w:abstractNumId w:val="6"/>
  </w:num>
  <w:num w:numId="21" w16cid:durableId="967317175">
    <w:abstractNumId w:val="8"/>
  </w:num>
  <w:num w:numId="22" w16cid:durableId="148064034">
    <w:abstractNumId w:val="21"/>
  </w:num>
  <w:num w:numId="23" w16cid:durableId="1379554338">
    <w:abstractNumId w:val="9"/>
  </w:num>
  <w:num w:numId="24" w16cid:durableId="18346423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5286"/>
    <w:rsid w:val="00014726"/>
    <w:rsid w:val="0001490C"/>
    <w:rsid w:val="000342B3"/>
    <w:rsid w:val="00036654"/>
    <w:rsid w:val="000410EC"/>
    <w:rsid w:val="000443AB"/>
    <w:rsid w:val="000446E8"/>
    <w:rsid w:val="00047D61"/>
    <w:rsid w:val="00055D83"/>
    <w:rsid w:val="000577EB"/>
    <w:rsid w:val="0006448B"/>
    <w:rsid w:val="00064933"/>
    <w:rsid w:val="000650BC"/>
    <w:rsid w:val="000661F9"/>
    <w:rsid w:val="00070886"/>
    <w:rsid w:val="00073097"/>
    <w:rsid w:val="000747C2"/>
    <w:rsid w:val="00074FB4"/>
    <w:rsid w:val="000750F8"/>
    <w:rsid w:val="00076BA5"/>
    <w:rsid w:val="000804D7"/>
    <w:rsid w:val="00082DAA"/>
    <w:rsid w:val="00087A1D"/>
    <w:rsid w:val="000951D7"/>
    <w:rsid w:val="0009733F"/>
    <w:rsid w:val="000A3BD7"/>
    <w:rsid w:val="000A57EC"/>
    <w:rsid w:val="000A6884"/>
    <w:rsid w:val="000B496D"/>
    <w:rsid w:val="000C037E"/>
    <w:rsid w:val="000D075E"/>
    <w:rsid w:val="000D0F56"/>
    <w:rsid w:val="000D1B44"/>
    <w:rsid w:val="000D7152"/>
    <w:rsid w:val="000D7DAA"/>
    <w:rsid w:val="000E2349"/>
    <w:rsid w:val="000F4A65"/>
    <w:rsid w:val="0011024B"/>
    <w:rsid w:val="00111B62"/>
    <w:rsid w:val="001163C7"/>
    <w:rsid w:val="00124253"/>
    <w:rsid w:val="00130874"/>
    <w:rsid w:val="00131EAA"/>
    <w:rsid w:val="001403AD"/>
    <w:rsid w:val="00142F60"/>
    <w:rsid w:val="001450C8"/>
    <w:rsid w:val="001452A3"/>
    <w:rsid w:val="00147E4C"/>
    <w:rsid w:val="00154669"/>
    <w:rsid w:val="00162029"/>
    <w:rsid w:val="00167079"/>
    <w:rsid w:val="00167C75"/>
    <w:rsid w:val="0017796D"/>
    <w:rsid w:val="0018163F"/>
    <w:rsid w:val="00185BCB"/>
    <w:rsid w:val="00185FFD"/>
    <w:rsid w:val="001938DE"/>
    <w:rsid w:val="001A1E1C"/>
    <w:rsid w:val="001A5880"/>
    <w:rsid w:val="001A6591"/>
    <w:rsid w:val="001C0412"/>
    <w:rsid w:val="001C35CA"/>
    <w:rsid w:val="001C4B7D"/>
    <w:rsid w:val="001D23A9"/>
    <w:rsid w:val="001D4A55"/>
    <w:rsid w:val="001D6A60"/>
    <w:rsid w:val="001E0043"/>
    <w:rsid w:val="001E052A"/>
    <w:rsid w:val="001E21F0"/>
    <w:rsid w:val="001E5289"/>
    <w:rsid w:val="001E649F"/>
    <w:rsid w:val="001F024F"/>
    <w:rsid w:val="001F27A6"/>
    <w:rsid w:val="001F2B0E"/>
    <w:rsid w:val="001F51C1"/>
    <w:rsid w:val="001F7468"/>
    <w:rsid w:val="00204AAD"/>
    <w:rsid w:val="0021142D"/>
    <w:rsid w:val="002147E2"/>
    <w:rsid w:val="002151BA"/>
    <w:rsid w:val="0022048F"/>
    <w:rsid w:val="0022156B"/>
    <w:rsid w:val="00223099"/>
    <w:rsid w:val="00223A1A"/>
    <w:rsid w:val="0022500A"/>
    <w:rsid w:val="00243C69"/>
    <w:rsid w:val="0024737A"/>
    <w:rsid w:val="0025131C"/>
    <w:rsid w:val="0025160E"/>
    <w:rsid w:val="0025635B"/>
    <w:rsid w:val="00260B2D"/>
    <w:rsid w:val="00262B00"/>
    <w:rsid w:val="002645C1"/>
    <w:rsid w:val="00270AED"/>
    <w:rsid w:val="00271CF6"/>
    <w:rsid w:val="00272E82"/>
    <w:rsid w:val="00274AC6"/>
    <w:rsid w:val="00276CE5"/>
    <w:rsid w:val="002779A5"/>
    <w:rsid w:val="00284CD4"/>
    <w:rsid w:val="002856C7"/>
    <w:rsid w:val="002859D4"/>
    <w:rsid w:val="002860AE"/>
    <w:rsid w:val="002A562C"/>
    <w:rsid w:val="002B2D3C"/>
    <w:rsid w:val="002B5578"/>
    <w:rsid w:val="002C2F8F"/>
    <w:rsid w:val="002C5E15"/>
    <w:rsid w:val="002C6F25"/>
    <w:rsid w:val="002C72A3"/>
    <w:rsid w:val="002D1CB2"/>
    <w:rsid w:val="002D32ED"/>
    <w:rsid w:val="002D4259"/>
    <w:rsid w:val="002D7340"/>
    <w:rsid w:val="002E3874"/>
    <w:rsid w:val="002E784F"/>
    <w:rsid w:val="002F03DA"/>
    <w:rsid w:val="002F3573"/>
    <w:rsid w:val="00300BE0"/>
    <w:rsid w:val="00301FD6"/>
    <w:rsid w:val="003029F0"/>
    <w:rsid w:val="00302A9D"/>
    <w:rsid w:val="00311377"/>
    <w:rsid w:val="00311DFA"/>
    <w:rsid w:val="003128C6"/>
    <w:rsid w:val="003131D7"/>
    <w:rsid w:val="003140FD"/>
    <w:rsid w:val="00323D68"/>
    <w:rsid w:val="00324548"/>
    <w:rsid w:val="0033028F"/>
    <w:rsid w:val="0033151D"/>
    <w:rsid w:val="00336C6D"/>
    <w:rsid w:val="00337145"/>
    <w:rsid w:val="00337EA5"/>
    <w:rsid w:val="0034183D"/>
    <w:rsid w:val="00342FD9"/>
    <w:rsid w:val="00343363"/>
    <w:rsid w:val="00344733"/>
    <w:rsid w:val="003522D0"/>
    <w:rsid w:val="003607E2"/>
    <w:rsid w:val="0036344E"/>
    <w:rsid w:val="00370F8B"/>
    <w:rsid w:val="00372DCB"/>
    <w:rsid w:val="00374FD9"/>
    <w:rsid w:val="00376BF4"/>
    <w:rsid w:val="0038103F"/>
    <w:rsid w:val="003851AE"/>
    <w:rsid w:val="003A2387"/>
    <w:rsid w:val="003C4227"/>
    <w:rsid w:val="003C581F"/>
    <w:rsid w:val="003C59BB"/>
    <w:rsid w:val="003C7107"/>
    <w:rsid w:val="003D2541"/>
    <w:rsid w:val="003D39AB"/>
    <w:rsid w:val="003D4D6F"/>
    <w:rsid w:val="003D4FD6"/>
    <w:rsid w:val="003D7198"/>
    <w:rsid w:val="003E0D69"/>
    <w:rsid w:val="003E0FAD"/>
    <w:rsid w:val="003E38F0"/>
    <w:rsid w:val="003E7E33"/>
    <w:rsid w:val="003F01AE"/>
    <w:rsid w:val="003F72A0"/>
    <w:rsid w:val="0040300C"/>
    <w:rsid w:val="00406845"/>
    <w:rsid w:val="004071F4"/>
    <w:rsid w:val="00407977"/>
    <w:rsid w:val="0041566F"/>
    <w:rsid w:val="00415ABE"/>
    <w:rsid w:val="004165B3"/>
    <w:rsid w:val="00416E73"/>
    <w:rsid w:val="00421CF2"/>
    <w:rsid w:val="0042251A"/>
    <w:rsid w:val="00426201"/>
    <w:rsid w:val="00426617"/>
    <w:rsid w:val="00426CDB"/>
    <w:rsid w:val="00437393"/>
    <w:rsid w:val="004378EE"/>
    <w:rsid w:val="00440EF7"/>
    <w:rsid w:val="00451ECC"/>
    <w:rsid w:val="00453A95"/>
    <w:rsid w:val="00462C20"/>
    <w:rsid w:val="004737A8"/>
    <w:rsid w:val="004803CC"/>
    <w:rsid w:val="00483FB5"/>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E3D2D"/>
    <w:rsid w:val="004E4A2C"/>
    <w:rsid w:val="004F5A5D"/>
    <w:rsid w:val="00500683"/>
    <w:rsid w:val="00505972"/>
    <w:rsid w:val="005078D4"/>
    <w:rsid w:val="00511FA2"/>
    <w:rsid w:val="0051495F"/>
    <w:rsid w:val="00526412"/>
    <w:rsid w:val="0052667E"/>
    <w:rsid w:val="00535E95"/>
    <w:rsid w:val="005417F4"/>
    <w:rsid w:val="0054398C"/>
    <w:rsid w:val="00546369"/>
    <w:rsid w:val="00556C7C"/>
    <w:rsid w:val="00561737"/>
    <w:rsid w:val="00563CE7"/>
    <w:rsid w:val="00563F35"/>
    <w:rsid w:val="005666F9"/>
    <w:rsid w:val="005713C2"/>
    <w:rsid w:val="00571717"/>
    <w:rsid w:val="00571F99"/>
    <w:rsid w:val="005740B5"/>
    <w:rsid w:val="00575F00"/>
    <w:rsid w:val="00591DBD"/>
    <w:rsid w:val="005926C9"/>
    <w:rsid w:val="00594F68"/>
    <w:rsid w:val="00596FF6"/>
    <w:rsid w:val="005B04D7"/>
    <w:rsid w:val="005B0558"/>
    <w:rsid w:val="005D3FE1"/>
    <w:rsid w:val="005D72F4"/>
    <w:rsid w:val="005E3D2C"/>
    <w:rsid w:val="005F19B0"/>
    <w:rsid w:val="005F1DA5"/>
    <w:rsid w:val="005F2F50"/>
    <w:rsid w:val="005F479B"/>
    <w:rsid w:val="0060683F"/>
    <w:rsid w:val="00610BEF"/>
    <w:rsid w:val="0061111A"/>
    <w:rsid w:val="00615B2D"/>
    <w:rsid w:val="00616E93"/>
    <w:rsid w:val="006177C4"/>
    <w:rsid w:val="006211E5"/>
    <w:rsid w:val="00622E5D"/>
    <w:rsid w:val="00623C02"/>
    <w:rsid w:val="00632E53"/>
    <w:rsid w:val="006507E7"/>
    <w:rsid w:val="00652189"/>
    <w:rsid w:val="0065654C"/>
    <w:rsid w:val="00661AAF"/>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E1D74"/>
    <w:rsid w:val="006E3F3F"/>
    <w:rsid w:val="006E526B"/>
    <w:rsid w:val="0070085D"/>
    <w:rsid w:val="00714562"/>
    <w:rsid w:val="00715AA2"/>
    <w:rsid w:val="0071731F"/>
    <w:rsid w:val="007173FC"/>
    <w:rsid w:val="007205CE"/>
    <w:rsid w:val="00722A32"/>
    <w:rsid w:val="00723B81"/>
    <w:rsid w:val="007313ED"/>
    <w:rsid w:val="007474D8"/>
    <w:rsid w:val="00750F50"/>
    <w:rsid w:val="0076188C"/>
    <w:rsid w:val="00762807"/>
    <w:rsid w:val="007656A9"/>
    <w:rsid w:val="0077042C"/>
    <w:rsid w:val="00772A04"/>
    <w:rsid w:val="00774F84"/>
    <w:rsid w:val="007769D0"/>
    <w:rsid w:val="00777615"/>
    <w:rsid w:val="0078324B"/>
    <w:rsid w:val="007846B3"/>
    <w:rsid w:val="00784B96"/>
    <w:rsid w:val="00785F6F"/>
    <w:rsid w:val="00790BF9"/>
    <w:rsid w:val="00795B86"/>
    <w:rsid w:val="007966C7"/>
    <w:rsid w:val="00797B58"/>
    <w:rsid w:val="007A0442"/>
    <w:rsid w:val="007A2567"/>
    <w:rsid w:val="007A48D9"/>
    <w:rsid w:val="007A56B8"/>
    <w:rsid w:val="007A602B"/>
    <w:rsid w:val="007A6B64"/>
    <w:rsid w:val="007A7328"/>
    <w:rsid w:val="007A784F"/>
    <w:rsid w:val="007A7BFC"/>
    <w:rsid w:val="007B75C6"/>
    <w:rsid w:val="007C3182"/>
    <w:rsid w:val="007C6929"/>
    <w:rsid w:val="007D08AC"/>
    <w:rsid w:val="007D0F3B"/>
    <w:rsid w:val="007D4F35"/>
    <w:rsid w:val="007E3458"/>
    <w:rsid w:val="007E5A6C"/>
    <w:rsid w:val="007F1318"/>
    <w:rsid w:val="007F4F3C"/>
    <w:rsid w:val="008003E7"/>
    <w:rsid w:val="0081762C"/>
    <w:rsid w:val="008209F0"/>
    <w:rsid w:val="00822A7E"/>
    <w:rsid w:val="008263C5"/>
    <w:rsid w:val="008456FF"/>
    <w:rsid w:val="00854FF7"/>
    <w:rsid w:val="00857BF9"/>
    <w:rsid w:val="00860F17"/>
    <w:rsid w:val="00863107"/>
    <w:rsid w:val="00870B4E"/>
    <w:rsid w:val="008718EE"/>
    <w:rsid w:val="00872612"/>
    <w:rsid w:val="00876501"/>
    <w:rsid w:val="00880213"/>
    <w:rsid w:val="00895281"/>
    <w:rsid w:val="008A5E87"/>
    <w:rsid w:val="008B0097"/>
    <w:rsid w:val="008B4F87"/>
    <w:rsid w:val="008B511B"/>
    <w:rsid w:val="008B630B"/>
    <w:rsid w:val="008B7836"/>
    <w:rsid w:val="008B7D65"/>
    <w:rsid w:val="008C0186"/>
    <w:rsid w:val="008C2098"/>
    <w:rsid w:val="008D43EA"/>
    <w:rsid w:val="008E2312"/>
    <w:rsid w:val="008E5566"/>
    <w:rsid w:val="008F4E62"/>
    <w:rsid w:val="00906288"/>
    <w:rsid w:val="00912F66"/>
    <w:rsid w:val="0092006B"/>
    <w:rsid w:val="00925466"/>
    <w:rsid w:val="0092720B"/>
    <w:rsid w:val="00935ABF"/>
    <w:rsid w:val="00945F70"/>
    <w:rsid w:val="00961903"/>
    <w:rsid w:val="00963A57"/>
    <w:rsid w:val="00973355"/>
    <w:rsid w:val="009841F2"/>
    <w:rsid w:val="00984917"/>
    <w:rsid w:val="00993BED"/>
    <w:rsid w:val="009963FB"/>
    <w:rsid w:val="009A067C"/>
    <w:rsid w:val="009A1D5D"/>
    <w:rsid w:val="009A2D28"/>
    <w:rsid w:val="009B17C5"/>
    <w:rsid w:val="009B2CE5"/>
    <w:rsid w:val="009B3203"/>
    <w:rsid w:val="009B38E7"/>
    <w:rsid w:val="009B434B"/>
    <w:rsid w:val="009B7DE4"/>
    <w:rsid w:val="009C0C7F"/>
    <w:rsid w:val="009C11BB"/>
    <w:rsid w:val="009D5CE2"/>
    <w:rsid w:val="009E0B92"/>
    <w:rsid w:val="009E0CF9"/>
    <w:rsid w:val="009E3D26"/>
    <w:rsid w:val="009E457F"/>
    <w:rsid w:val="009E783A"/>
    <w:rsid w:val="009F3871"/>
    <w:rsid w:val="009F5632"/>
    <w:rsid w:val="009F64ED"/>
    <w:rsid w:val="009F6D2D"/>
    <w:rsid w:val="00A00A05"/>
    <w:rsid w:val="00A0120F"/>
    <w:rsid w:val="00A01B25"/>
    <w:rsid w:val="00A01E19"/>
    <w:rsid w:val="00A15B6B"/>
    <w:rsid w:val="00A22EB7"/>
    <w:rsid w:val="00A27439"/>
    <w:rsid w:val="00A31119"/>
    <w:rsid w:val="00A40F08"/>
    <w:rsid w:val="00A52C12"/>
    <w:rsid w:val="00A57832"/>
    <w:rsid w:val="00A616A9"/>
    <w:rsid w:val="00A6679B"/>
    <w:rsid w:val="00A67F40"/>
    <w:rsid w:val="00A73EDF"/>
    <w:rsid w:val="00A75341"/>
    <w:rsid w:val="00A81F27"/>
    <w:rsid w:val="00A82DFB"/>
    <w:rsid w:val="00A85593"/>
    <w:rsid w:val="00A85B82"/>
    <w:rsid w:val="00A86FE6"/>
    <w:rsid w:val="00A91ACF"/>
    <w:rsid w:val="00A91C98"/>
    <w:rsid w:val="00A9253F"/>
    <w:rsid w:val="00A94D23"/>
    <w:rsid w:val="00A9586C"/>
    <w:rsid w:val="00A96A1E"/>
    <w:rsid w:val="00AA6B98"/>
    <w:rsid w:val="00AC0D69"/>
    <w:rsid w:val="00AC2144"/>
    <w:rsid w:val="00AD0959"/>
    <w:rsid w:val="00AD4106"/>
    <w:rsid w:val="00AD50D3"/>
    <w:rsid w:val="00AD6429"/>
    <w:rsid w:val="00AE317F"/>
    <w:rsid w:val="00AE3911"/>
    <w:rsid w:val="00AE4AA5"/>
    <w:rsid w:val="00AE69E8"/>
    <w:rsid w:val="00AE740A"/>
    <w:rsid w:val="00AF253B"/>
    <w:rsid w:val="00AF38F9"/>
    <w:rsid w:val="00AF46F3"/>
    <w:rsid w:val="00B00FCB"/>
    <w:rsid w:val="00B03327"/>
    <w:rsid w:val="00B04E6C"/>
    <w:rsid w:val="00B05A71"/>
    <w:rsid w:val="00B108BB"/>
    <w:rsid w:val="00B14085"/>
    <w:rsid w:val="00B14EAC"/>
    <w:rsid w:val="00B2188D"/>
    <w:rsid w:val="00B22173"/>
    <w:rsid w:val="00B26084"/>
    <w:rsid w:val="00B3762C"/>
    <w:rsid w:val="00B40B7A"/>
    <w:rsid w:val="00B40DD3"/>
    <w:rsid w:val="00B449E1"/>
    <w:rsid w:val="00B44AE3"/>
    <w:rsid w:val="00B44B78"/>
    <w:rsid w:val="00B55CEF"/>
    <w:rsid w:val="00B55DC9"/>
    <w:rsid w:val="00B62CA4"/>
    <w:rsid w:val="00B67158"/>
    <w:rsid w:val="00B717D1"/>
    <w:rsid w:val="00B836B4"/>
    <w:rsid w:val="00B85E42"/>
    <w:rsid w:val="00B87A83"/>
    <w:rsid w:val="00B93488"/>
    <w:rsid w:val="00B9497F"/>
    <w:rsid w:val="00BA58DB"/>
    <w:rsid w:val="00BA790C"/>
    <w:rsid w:val="00BB1899"/>
    <w:rsid w:val="00BB3A83"/>
    <w:rsid w:val="00BC2524"/>
    <w:rsid w:val="00BC4A5D"/>
    <w:rsid w:val="00BC6A0A"/>
    <w:rsid w:val="00BC7830"/>
    <w:rsid w:val="00BD0E33"/>
    <w:rsid w:val="00BD15A0"/>
    <w:rsid w:val="00BD64EB"/>
    <w:rsid w:val="00BD7BE1"/>
    <w:rsid w:val="00BE1869"/>
    <w:rsid w:val="00BE24E1"/>
    <w:rsid w:val="00BF3C23"/>
    <w:rsid w:val="00BF6F97"/>
    <w:rsid w:val="00C01423"/>
    <w:rsid w:val="00C0320B"/>
    <w:rsid w:val="00C03297"/>
    <w:rsid w:val="00C053F5"/>
    <w:rsid w:val="00C06731"/>
    <w:rsid w:val="00C10FCA"/>
    <w:rsid w:val="00C1335A"/>
    <w:rsid w:val="00C237CE"/>
    <w:rsid w:val="00C25488"/>
    <w:rsid w:val="00C32AB8"/>
    <w:rsid w:val="00C4118B"/>
    <w:rsid w:val="00C54577"/>
    <w:rsid w:val="00C67694"/>
    <w:rsid w:val="00C864EE"/>
    <w:rsid w:val="00C9348C"/>
    <w:rsid w:val="00C937F1"/>
    <w:rsid w:val="00C95979"/>
    <w:rsid w:val="00CA2418"/>
    <w:rsid w:val="00CA37C0"/>
    <w:rsid w:val="00CA6BD4"/>
    <w:rsid w:val="00CB6E82"/>
    <w:rsid w:val="00CD4379"/>
    <w:rsid w:val="00CE4C91"/>
    <w:rsid w:val="00CF7125"/>
    <w:rsid w:val="00CF7422"/>
    <w:rsid w:val="00D15E77"/>
    <w:rsid w:val="00D16476"/>
    <w:rsid w:val="00D20B1E"/>
    <w:rsid w:val="00D21679"/>
    <w:rsid w:val="00D242AA"/>
    <w:rsid w:val="00D257C4"/>
    <w:rsid w:val="00D257F6"/>
    <w:rsid w:val="00D26C8B"/>
    <w:rsid w:val="00D309F6"/>
    <w:rsid w:val="00D35C0E"/>
    <w:rsid w:val="00D36322"/>
    <w:rsid w:val="00D54CAA"/>
    <w:rsid w:val="00D56393"/>
    <w:rsid w:val="00D56DAA"/>
    <w:rsid w:val="00D656A4"/>
    <w:rsid w:val="00D665A0"/>
    <w:rsid w:val="00D73F27"/>
    <w:rsid w:val="00D74259"/>
    <w:rsid w:val="00D7477F"/>
    <w:rsid w:val="00D7785F"/>
    <w:rsid w:val="00D86D39"/>
    <w:rsid w:val="00D916BC"/>
    <w:rsid w:val="00D94638"/>
    <w:rsid w:val="00DA0813"/>
    <w:rsid w:val="00DB266B"/>
    <w:rsid w:val="00DB408B"/>
    <w:rsid w:val="00DC20F2"/>
    <w:rsid w:val="00DC406B"/>
    <w:rsid w:val="00DC4076"/>
    <w:rsid w:val="00DC411F"/>
    <w:rsid w:val="00DD21C0"/>
    <w:rsid w:val="00DE2430"/>
    <w:rsid w:val="00DE5974"/>
    <w:rsid w:val="00DE6047"/>
    <w:rsid w:val="00DF126E"/>
    <w:rsid w:val="00E05059"/>
    <w:rsid w:val="00E0554F"/>
    <w:rsid w:val="00E07021"/>
    <w:rsid w:val="00E1065F"/>
    <w:rsid w:val="00E1453F"/>
    <w:rsid w:val="00E160F3"/>
    <w:rsid w:val="00E17890"/>
    <w:rsid w:val="00E22B03"/>
    <w:rsid w:val="00E22FC8"/>
    <w:rsid w:val="00E236F2"/>
    <w:rsid w:val="00E24AB2"/>
    <w:rsid w:val="00E31A3E"/>
    <w:rsid w:val="00E3230A"/>
    <w:rsid w:val="00E3709F"/>
    <w:rsid w:val="00E41E2F"/>
    <w:rsid w:val="00E448DE"/>
    <w:rsid w:val="00E468EC"/>
    <w:rsid w:val="00E5141C"/>
    <w:rsid w:val="00E54B24"/>
    <w:rsid w:val="00E550A5"/>
    <w:rsid w:val="00E57ADC"/>
    <w:rsid w:val="00E60AE6"/>
    <w:rsid w:val="00E62F62"/>
    <w:rsid w:val="00E63B72"/>
    <w:rsid w:val="00E63DD0"/>
    <w:rsid w:val="00E65193"/>
    <w:rsid w:val="00E70601"/>
    <w:rsid w:val="00E72399"/>
    <w:rsid w:val="00E728DB"/>
    <w:rsid w:val="00E730D7"/>
    <w:rsid w:val="00E737F5"/>
    <w:rsid w:val="00E73E17"/>
    <w:rsid w:val="00E75DCB"/>
    <w:rsid w:val="00E77E87"/>
    <w:rsid w:val="00E819C7"/>
    <w:rsid w:val="00E85394"/>
    <w:rsid w:val="00E85589"/>
    <w:rsid w:val="00E87A78"/>
    <w:rsid w:val="00E95BE7"/>
    <w:rsid w:val="00E95FB3"/>
    <w:rsid w:val="00EA2C0D"/>
    <w:rsid w:val="00EA355D"/>
    <w:rsid w:val="00EA6B12"/>
    <w:rsid w:val="00EA7AE3"/>
    <w:rsid w:val="00EC58C5"/>
    <w:rsid w:val="00ED008A"/>
    <w:rsid w:val="00EE0214"/>
    <w:rsid w:val="00F00D01"/>
    <w:rsid w:val="00F01BA4"/>
    <w:rsid w:val="00F02225"/>
    <w:rsid w:val="00F05D67"/>
    <w:rsid w:val="00F111A2"/>
    <w:rsid w:val="00F14915"/>
    <w:rsid w:val="00F16858"/>
    <w:rsid w:val="00F23691"/>
    <w:rsid w:val="00F341B9"/>
    <w:rsid w:val="00F42712"/>
    <w:rsid w:val="00F42A52"/>
    <w:rsid w:val="00F42B0A"/>
    <w:rsid w:val="00F46BA3"/>
    <w:rsid w:val="00F61F6F"/>
    <w:rsid w:val="00F6655B"/>
    <w:rsid w:val="00F74A68"/>
    <w:rsid w:val="00F74BD5"/>
    <w:rsid w:val="00F857CA"/>
    <w:rsid w:val="00F926C6"/>
    <w:rsid w:val="00F933EE"/>
    <w:rsid w:val="00F93EB9"/>
    <w:rsid w:val="00FA3A0A"/>
    <w:rsid w:val="00FA74EF"/>
    <w:rsid w:val="00FB2E0F"/>
    <w:rsid w:val="00FB3030"/>
    <w:rsid w:val="00FB4E25"/>
    <w:rsid w:val="00FC34D0"/>
    <w:rsid w:val="00FC4A1C"/>
    <w:rsid w:val="00FD3DAC"/>
    <w:rsid w:val="00FD4A02"/>
    <w:rsid w:val="00FE1FD7"/>
    <w:rsid w:val="00FE5B93"/>
    <w:rsid w:val="00FE6B26"/>
    <w:rsid w:val="00FE7703"/>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084"/>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uiPriority w:val="20"/>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Light">
    <w:name w:val="Grid Table Light"/>
    <w:basedOn w:val="TableNormal"/>
    <w:uiPriority w:val="40"/>
    <w:rsid w:val="00DC20F2"/>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9E3D26"/>
    <w:rPr>
      <w:color w:val="605E5C"/>
      <w:shd w:val="clear" w:color="auto" w:fill="E1DFDD"/>
    </w:rPr>
  </w:style>
  <w:style w:type="paragraph" w:styleId="Header">
    <w:name w:val="header"/>
    <w:basedOn w:val="Normal"/>
    <w:link w:val="HeaderChar"/>
    <w:uiPriority w:val="99"/>
    <w:unhideWhenUsed/>
    <w:rsid w:val="000F4A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F4A65"/>
    <w:rPr>
      <w:rFonts w:ascii="Times New Roman" w:eastAsia="Calibri" w:hAnsi="Times New Roman" w:cs="SimSun"/>
      <w:color w:val="000000"/>
      <w:kern w:val="0"/>
      <w:sz w:val="24"/>
    </w:rPr>
  </w:style>
  <w:style w:type="paragraph" w:styleId="Bibliography">
    <w:name w:val="Bibliography"/>
    <w:basedOn w:val="Normal"/>
    <w:next w:val="Normal"/>
    <w:uiPriority w:val="37"/>
    <w:semiHidden/>
    <w:unhideWhenUsed/>
    <w:rsid w:val="00AE317F"/>
  </w:style>
  <w:style w:type="character" w:styleId="UnresolvedMention">
    <w:name w:val="Unresolved Mention"/>
    <w:basedOn w:val="DefaultParagraphFont"/>
    <w:uiPriority w:val="99"/>
    <w:semiHidden/>
    <w:unhideWhenUsed/>
    <w:rsid w:val="007474D8"/>
    <w:rPr>
      <w:color w:val="605E5C"/>
      <w:shd w:val="clear" w:color="auto" w:fill="E1DFDD"/>
    </w:rPr>
  </w:style>
  <w:style w:type="paragraph" w:styleId="Revision">
    <w:name w:val="Revision"/>
    <w:hidden/>
    <w:uiPriority w:val="99"/>
    <w:semiHidden/>
    <w:rsid w:val="00070886"/>
    <w:pPr>
      <w:spacing w:after="0" w:line="240" w:lineRule="auto"/>
    </w:pPr>
    <w:rPr>
      <w:rFonts w:ascii="Times New Roman" w:eastAsia="Calibri" w:hAnsi="Times New Roman" w:cs="SimSu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68377">
      <w:bodyDiv w:val="1"/>
      <w:marLeft w:val="0"/>
      <w:marRight w:val="0"/>
      <w:marTop w:val="0"/>
      <w:marBottom w:val="0"/>
      <w:divBdr>
        <w:top w:val="none" w:sz="0" w:space="0" w:color="auto"/>
        <w:left w:val="none" w:sz="0" w:space="0" w:color="auto"/>
        <w:bottom w:val="none" w:sz="0" w:space="0" w:color="auto"/>
        <w:right w:val="none" w:sz="0" w:space="0" w:color="auto"/>
      </w:divBdr>
    </w:div>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34656723">
      <w:bodyDiv w:val="1"/>
      <w:marLeft w:val="0"/>
      <w:marRight w:val="0"/>
      <w:marTop w:val="0"/>
      <w:marBottom w:val="0"/>
      <w:divBdr>
        <w:top w:val="none" w:sz="0" w:space="0" w:color="auto"/>
        <w:left w:val="none" w:sz="0" w:space="0" w:color="auto"/>
        <w:bottom w:val="none" w:sz="0" w:space="0" w:color="auto"/>
        <w:right w:val="none" w:sz="0" w:space="0" w:color="auto"/>
      </w:divBdr>
    </w:div>
    <w:div w:id="550728396">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30909393">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77716727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BJEMT/2017/3357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9734/ajeba/2024/v24i91506"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3390/logistics9040170" TargetMode="External"/><Relationship Id="rId4" Type="http://schemas.openxmlformats.org/officeDocument/2006/relationships/webSettings" Target="webSettings.xml"/><Relationship Id="rId9" Type="http://schemas.openxmlformats.org/officeDocument/2006/relationships/hyperlink" Target="https://doi.org/10.7166/33-2-252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17</Pages>
  <Words>7482</Words>
  <Characters>42651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Editor-17</cp:lastModifiedBy>
  <cp:revision>7</cp:revision>
  <dcterms:created xsi:type="dcterms:W3CDTF">2026-04-07T12:10:00Z</dcterms:created>
  <dcterms:modified xsi:type="dcterms:W3CDTF">2026-04-20T05:05:00Z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7235020b,fb6f0e1,1ee0ac16</vt:lpwstr>
  </property>
  <property fmtid="{D5CDD505-2E9C-101B-9397-08002B2CF9AE}" pid="3" name="ClassificationContentMarkingFooterFontProps">
    <vt:lpwstr>#000000,10,Arial</vt:lpwstr>
  </property>
  <property fmtid="{D5CDD505-2E9C-101B-9397-08002B2CF9AE}" pid="4" name="ClassificationContentMarkingFooterText">
    <vt:lpwstr>---Internal Use--- </vt:lpwstr>
  </property>
  <property fmtid="{D5CDD505-2E9C-101B-9397-08002B2CF9AE}" pid="5" name="MSIP_Label_0d28e344-bb15-459b-97fd-14fa06bc1052_Enabled">
    <vt:lpwstr>true</vt:lpwstr>
  </property>
  <property fmtid="{D5CDD505-2E9C-101B-9397-08002B2CF9AE}" pid="6" name="MSIP_Label_0d28e344-bb15-459b-97fd-14fa06bc1052_SetDate">
    <vt:lpwstr>2025-12-15T06:35:34Z</vt:lpwstr>
  </property>
  <property fmtid="{D5CDD505-2E9C-101B-9397-08002B2CF9AE}" pid="7" name="MSIP_Label_0d28e344-bb15-459b-97fd-14fa06bc1052_Method">
    <vt:lpwstr>Standard</vt:lpwstr>
  </property>
  <property fmtid="{D5CDD505-2E9C-101B-9397-08002B2CF9AE}" pid="8" name="MSIP_Label_0d28e344-bb15-459b-97fd-14fa06bc1052_Name">
    <vt:lpwstr>Not Protected (Internal Use)</vt:lpwstr>
  </property>
  <property fmtid="{D5CDD505-2E9C-101B-9397-08002B2CF9AE}" pid="9" name="MSIP_Label_0d28e344-bb15-459b-97fd-14fa06bc1052_SiteId">
    <vt:lpwstr>3e20ecb2-9cb0-4df1-ad7b-914e31dcdda4</vt:lpwstr>
  </property>
  <property fmtid="{D5CDD505-2E9C-101B-9397-08002B2CF9AE}" pid="10" name="MSIP_Label_0d28e344-bb15-459b-97fd-14fa06bc1052_ActionId">
    <vt:lpwstr>e1182bdf-9d86-4ee4-90f4-00a3d7f77865</vt:lpwstr>
  </property>
  <property fmtid="{D5CDD505-2E9C-101B-9397-08002B2CF9AE}" pid="11" name="MSIP_Label_0d28e344-bb15-459b-97fd-14fa06bc1052_ContentBits">
    <vt:lpwstr>2</vt:lpwstr>
  </property>
  <property fmtid="{D5CDD505-2E9C-101B-9397-08002B2CF9AE}" pid="12" name="MSIP_Label_0d28e344-bb15-459b-97fd-14fa06bc1052_Tag">
    <vt:lpwstr>10, 3, 0, 1</vt:lpwstr>
  </property>
</Properties>
</file>