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A40F1" w14:textId="77777777" w:rsidR="000E2875" w:rsidRPr="00072705" w:rsidRDefault="000E2875" w:rsidP="00C266BE">
      <w:pPr>
        <w:spacing w:after="120"/>
        <w:jc w:val="both"/>
        <w:rPr>
          <w:b/>
          <w:bCs/>
        </w:rPr>
      </w:pPr>
    </w:p>
    <w:p w14:paraId="1E2A47F4" w14:textId="77777777" w:rsidR="000E2875" w:rsidRPr="00960AEC" w:rsidRDefault="000E2875" w:rsidP="00C266BE">
      <w:pPr>
        <w:spacing w:after="80"/>
        <w:jc w:val="both"/>
      </w:pPr>
      <w:r w:rsidRPr="00072705">
        <w:rPr>
          <w:b/>
          <w:bCs/>
        </w:rPr>
        <w:t>Operational Risk and ERP Implementation Success in SACCOs: A Structured Review of Developing-Country Financial Cooperatives</w:t>
      </w:r>
    </w:p>
    <w:p w14:paraId="2A44483A" w14:textId="77777777" w:rsidR="000E2875" w:rsidRPr="00960AEC" w:rsidRDefault="000E2875" w:rsidP="00C266BE">
      <w:pPr>
        <w:spacing w:after="200"/>
        <w:jc w:val="both"/>
      </w:pPr>
    </w:p>
    <w:p w14:paraId="1893AD5E" w14:textId="77777777" w:rsidR="000E2875" w:rsidRPr="00960AEC" w:rsidRDefault="000E2875" w:rsidP="00C266BE">
      <w:pPr>
        <w:spacing w:before="200" w:after="120"/>
        <w:jc w:val="both"/>
      </w:pPr>
      <w:r w:rsidRPr="00072705">
        <w:rPr>
          <w:b/>
          <w:bCs/>
        </w:rPr>
        <w:t>ABSTRACT</w:t>
      </w:r>
    </w:p>
    <w:p w14:paraId="0731D533" w14:textId="77777777" w:rsidR="00C266BE" w:rsidRDefault="00C266BE" w:rsidP="00C266BE">
      <w:pPr>
        <w:spacing w:before="200" w:after="120"/>
        <w:jc w:val="both"/>
      </w:pPr>
      <w:r w:rsidRPr="00C266BE">
        <w:t>This study investigates the influence of operational risks on the success of ERP implementations in SACCOs within developing countries. Specifically, it seeks to explore the operational risk environments of SACCOs, identify key operational risks that could potentially affect ERP success, develop an empirical model that links operational risk management with ERP outcomes, and provide evidence-based recommendations for mitigating challenges related to ERP implementation. </w:t>
      </w:r>
    </w:p>
    <w:p w14:paraId="3DD585E9" w14:textId="77777777" w:rsidR="00C266BE" w:rsidRDefault="00C266BE" w:rsidP="00C266BE">
      <w:pPr>
        <w:spacing w:before="200" w:after="120"/>
        <w:jc w:val="both"/>
      </w:pPr>
      <w:r w:rsidRPr="00C266BE">
        <w:t xml:space="preserve">Data were collected through a qualitative systematic literature review methodology from relevant journal articles and institutional publications accessed via Scopus, Web of Science, ABI/INFORM and Google Scholar. A total of 45 scholarly works published between 2010 and 2024 were analyzed based on Basel II classification of operational risks. </w:t>
      </w:r>
    </w:p>
    <w:p w14:paraId="530FFF74" w14:textId="27C7FA2E" w:rsidR="00C266BE" w:rsidRDefault="00C266BE" w:rsidP="00C266BE">
      <w:pPr>
        <w:spacing w:before="200" w:after="120"/>
        <w:jc w:val="both"/>
      </w:pPr>
      <w:r w:rsidRPr="00C266BE">
        <w:t xml:space="preserve">Results indicated four major categories of operational risks impacting the success of ERP in SACCOs: process misalignment risk category under system quality; human resistance risk category under project cost-effectiveness; technology vulnerabilities under user acceptance; and governance instability under organizational performance. All these risks are classified as operational risk categories that directly impact system quality, project cost-effectiveness, user acceptance, and organizational performance. </w:t>
      </w:r>
    </w:p>
    <w:p w14:paraId="2F3272D8" w14:textId="1DCCC0DF" w:rsidR="00C266BE" w:rsidRDefault="00C266BE" w:rsidP="00C266BE">
      <w:pPr>
        <w:spacing w:before="200" w:after="120"/>
        <w:jc w:val="both"/>
      </w:pPr>
      <w:r w:rsidRPr="00C266BE">
        <w:t>This study further revealed that SAP implementations in SACCOs are more strongly influenced by organizational readiness, governance stability, and change management rather than technological capabilities alone. It thus proposes a risk-centered ERP implementation framework to support SACCO leaders, policymakers, and development partners toward improved digital transformation outcomes.</w:t>
      </w:r>
    </w:p>
    <w:p w14:paraId="5990C586" w14:textId="076B01D8" w:rsidR="000E2875" w:rsidRPr="00960AEC" w:rsidRDefault="000E2875" w:rsidP="00C266BE">
      <w:pPr>
        <w:spacing w:before="200" w:after="120"/>
        <w:jc w:val="both"/>
        <w:rPr>
          <w:b/>
          <w:bCs/>
        </w:rPr>
      </w:pPr>
      <w:r w:rsidRPr="00960AEC">
        <w:rPr>
          <w:b/>
          <w:bCs/>
        </w:rPr>
        <w:t xml:space="preserve">Keywords: </w:t>
      </w:r>
      <w:r w:rsidRPr="00072705">
        <w:rPr>
          <w:i/>
          <w:iCs/>
        </w:rPr>
        <w:t>Operational Risk; ERP Implementation; SACCOs; Digital Transformation; Developing Countries; Cooperative Governance; Risk Management</w:t>
      </w:r>
    </w:p>
    <w:p w14:paraId="21F695C6" w14:textId="77777777" w:rsidR="000E2875" w:rsidRPr="00960AEC" w:rsidRDefault="000E2875" w:rsidP="00C266BE">
      <w:pPr>
        <w:spacing w:after="80"/>
        <w:jc w:val="both"/>
      </w:pPr>
    </w:p>
    <w:p w14:paraId="0BDC9C95" w14:textId="77777777" w:rsidR="000E2875" w:rsidRPr="00960AEC" w:rsidRDefault="000E2875" w:rsidP="00C266BE">
      <w:pPr>
        <w:spacing w:before="240" w:after="120"/>
        <w:jc w:val="both"/>
      </w:pPr>
      <w:r w:rsidRPr="00072705">
        <w:rPr>
          <w:b/>
          <w:bCs/>
        </w:rPr>
        <w:t>1. INTRODUCTION</w:t>
      </w:r>
    </w:p>
    <w:p w14:paraId="6E1D4E33" w14:textId="3468AAA9" w:rsidR="00C266BE" w:rsidRPr="00C266BE" w:rsidRDefault="00C266BE" w:rsidP="00C266BE">
      <w:pPr>
        <w:spacing w:after="160" w:line="276" w:lineRule="auto"/>
        <w:jc w:val="both"/>
        <w:rPr>
          <w:rFonts w:eastAsia="Times New Roman"/>
        </w:rPr>
      </w:pPr>
      <w:r w:rsidRPr="00C266BE">
        <w:rPr>
          <w:rFonts w:eastAsia="Times New Roman"/>
        </w:rPr>
        <w:t>Savings and Credit Co-operative Societies (SACCOs) have been an exceptionally powerful model for financial intermediation. The concept is very simple: members save to form a pool of funds from which they can borrow among themselves and create wealth together instead of individually pursuing it (Wanyama 2014). This has been the experience in Sub Saharan Africa and South East Asia. In rural areas and among low-income urban workers who are systematically excluded from the formal banking sector, SACCOs have offered an accessible, trusted route to credit, savings, and financial security (Birchall &amp; Ketilson, 2009; Nassuna, Jeppesen &amp; Balunywa, 2024). They provide what commercial banks usually cannot offer—a real feeling of ownership, mutual accountability, and trust within the community (Bakkabulindi &amp; Bakkabulindi, 2020).</w:t>
      </w:r>
    </w:p>
    <w:p w14:paraId="1D1015DB" w14:textId="77777777" w:rsidR="00C266BE" w:rsidRDefault="00C266BE" w:rsidP="00C266BE">
      <w:pPr>
        <w:spacing w:after="160" w:line="276" w:lineRule="auto"/>
        <w:jc w:val="both"/>
        <w:rPr>
          <w:rFonts w:eastAsia="Times New Roman"/>
        </w:rPr>
      </w:pPr>
      <w:r w:rsidRPr="00C266BE">
        <w:rPr>
          <w:rFonts w:eastAsia="Times New Roman"/>
        </w:rPr>
        <w:t xml:space="preserve">Yet the environment in which these cooperatives function has become more challenging. Regulatory authorities are demanding enhanced financial disclosure and systems for protecting members. Agile fintech companies and commercial banks are vying for the same membership with modern digital offerings (Ediagbonya &amp; Tioluwani, 2023; Mbiti &amp; Weil, 2015). The digital landscape of financial inclusion in Sub-Saharan Africa is being reshaped by mobile connectivity as well as institutional quality—both creating opportunities for cooperative institutions but also posing competitive pressures (Chinoda &amp; Kapingura, 2024). A rising number of SACCOs have turned to technology—specifically Enterprise Resource Planning (ERP) systems like Microsoft Dynamics 365 Business Central—as their strategic solution in this context. In theory, ERP works wonders; one platform that integrates all processes from member registration through loan origination to accounting and dividend calculations plus regulatory reporting (Al-Mashari, 2002). It promises efficiency gains, visibility in real-time better </w:t>
      </w:r>
      <w:r w:rsidRPr="00C266BE">
        <w:rPr>
          <w:rFonts w:eastAsia="Times New Roman"/>
        </w:rPr>
        <w:lastRenderedPageBreak/>
        <w:t>internal controls as well as the digital infrastructure necessary for competition within today’s economy(Muiruri &amp; Ngugi ,2021).</w:t>
      </w:r>
    </w:p>
    <w:p w14:paraId="443F4E59" w14:textId="169028AE" w:rsidR="000E2875" w:rsidRDefault="00C266BE" w:rsidP="00C266BE">
      <w:pPr>
        <w:spacing w:after="80" w:line="276" w:lineRule="auto"/>
        <w:jc w:val="both"/>
        <w:rPr>
          <w:rFonts w:eastAsia="Times New Roman"/>
        </w:rPr>
      </w:pPr>
      <w:r w:rsidRPr="00C266BE">
        <w:rPr>
          <w:rFonts w:eastAsia="Times New Roman"/>
        </w:rPr>
        <w:t>The facts tell a different and sad truth. Between 50% and 75% of all ERP projects around the world fail completely, are very late, or do not give a return on investment that is close to what was expected (Standish Group, 2020; Panorama Consulting, 2023). For organizations in developing countries with limited financial resources, a lack of skilled IT workers, weak institutional frameworks, and poor technological infrastructure, the chances of failing are even higher (Heeks, 2002; Ochieng, 2021; Malik &amp; Khan, 2020). These failures too often get blamed simply on technical issues or vendor problems. This paper argues that the most important predictors of ERP success or failure are not found in the technology itself but in the organization’s ability to recognize and handle operational risk. In the social, democratic, and trust-based environment of a SACCO, risks that come from people, processes, and governance structures can defeat even the best-designed technology (Kadondi &amp; Kwasira, 2022).</w:t>
      </w:r>
    </w:p>
    <w:p w14:paraId="3624C9F0" w14:textId="77777777" w:rsidR="00C266BE" w:rsidRPr="00960AEC" w:rsidRDefault="00C266BE" w:rsidP="00C266BE">
      <w:pPr>
        <w:spacing w:after="80"/>
        <w:jc w:val="both"/>
      </w:pPr>
    </w:p>
    <w:p w14:paraId="4BAD7A1B" w14:textId="77777777" w:rsidR="000E2875" w:rsidRPr="000E2875" w:rsidRDefault="000E2875" w:rsidP="00C266BE">
      <w:pPr>
        <w:jc w:val="both"/>
        <w:rPr>
          <w:b/>
          <w:bCs/>
        </w:rPr>
      </w:pPr>
      <w:r w:rsidRPr="000E2875">
        <w:rPr>
          <w:b/>
          <w:bCs/>
        </w:rPr>
        <w:t>2. LITERATURE REVIEW</w:t>
      </w:r>
    </w:p>
    <w:p w14:paraId="59324C7A" w14:textId="77777777" w:rsidR="000E2875" w:rsidRPr="000E2875" w:rsidRDefault="000E2875" w:rsidP="00C266BE">
      <w:pPr>
        <w:jc w:val="both"/>
        <w:rPr>
          <w:b/>
          <w:bCs/>
        </w:rPr>
      </w:pPr>
      <w:r w:rsidRPr="000E2875">
        <w:rPr>
          <w:b/>
          <w:bCs/>
        </w:rPr>
        <w:t>2.1 ERP Implementation in Financial Institutions</w:t>
      </w:r>
    </w:p>
    <w:p w14:paraId="79ACC905" w14:textId="3369EC75" w:rsidR="000E2875" w:rsidRPr="00960AEC" w:rsidRDefault="000E2875" w:rsidP="00C266BE">
      <w:pPr>
        <w:spacing w:after="160" w:line="276" w:lineRule="auto"/>
        <w:jc w:val="both"/>
      </w:pPr>
      <w:r w:rsidRPr="00072705">
        <w:rPr>
          <w:rFonts w:eastAsia="Times New Roman"/>
        </w:rPr>
        <w:t xml:space="preserve">ERP systems facilitate process integration within a unified system to improve efficiency and decision-making across the enterprise. The integration of ERP systems includes financial management, </w:t>
      </w:r>
      <w:r w:rsidR="00562351">
        <w:rPr>
          <w:rFonts w:eastAsia="Times New Roman"/>
        </w:rPr>
        <w:t xml:space="preserve">credit management, </w:t>
      </w:r>
      <w:r w:rsidRPr="00072705">
        <w:rPr>
          <w:rFonts w:eastAsia="Times New Roman"/>
        </w:rPr>
        <w:t>customer relationship management, human resources</w:t>
      </w:r>
      <w:r>
        <w:rPr>
          <w:rFonts w:eastAsia="Times New Roman"/>
        </w:rPr>
        <w:t xml:space="preserve">, </w:t>
      </w:r>
      <w:r w:rsidR="00562351">
        <w:rPr>
          <w:rFonts w:eastAsia="Times New Roman"/>
        </w:rPr>
        <w:t xml:space="preserve">digital channels </w:t>
      </w:r>
      <w:r>
        <w:rPr>
          <w:rFonts w:eastAsia="Times New Roman"/>
        </w:rPr>
        <w:t>and operational workflows</w:t>
      </w:r>
      <w:r w:rsidRPr="00072705">
        <w:rPr>
          <w:rFonts w:eastAsia="Times New Roman"/>
        </w:rPr>
        <w:t>.</w:t>
      </w:r>
    </w:p>
    <w:p w14:paraId="74A8C9D0" w14:textId="55921530" w:rsidR="000E2875" w:rsidRPr="00960AEC" w:rsidRDefault="000E2875" w:rsidP="00C266BE">
      <w:pPr>
        <w:spacing w:after="160" w:line="276" w:lineRule="auto"/>
        <w:jc w:val="both"/>
      </w:pPr>
      <w:r w:rsidRPr="00072705">
        <w:rPr>
          <w:rFonts w:eastAsia="Times New Roman"/>
        </w:rPr>
        <w:t xml:space="preserve">According to Umble &amp; Umble (2003), </w:t>
      </w:r>
      <w:r>
        <w:rPr>
          <w:rFonts w:eastAsia="Times New Roman"/>
        </w:rPr>
        <w:t>implementing ERP systems improves coordination and visibility within</w:t>
      </w:r>
      <w:r w:rsidRPr="00072705">
        <w:rPr>
          <w:rFonts w:eastAsia="Times New Roman"/>
        </w:rPr>
        <w:t xml:space="preserve"> the organisation. Nevertheless, </w:t>
      </w:r>
      <w:r>
        <w:rPr>
          <w:rFonts w:eastAsia="Times New Roman"/>
        </w:rPr>
        <w:t>ERP system implementation remains</w:t>
      </w:r>
      <w:r w:rsidRPr="00072705">
        <w:rPr>
          <w:rFonts w:eastAsia="Times New Roman"/>
        </w:rPr>
        <w:t xml:space="preserve"> complex and risky, especially in resource-limited settings. Recent scholarship confirms these challenges persist: Wang et al. (2024) identified 13 critical success factors for ERP post-implementation using the Technology-Organisation-Environment (TOE) framework, underscoring that successful deployment requires simultaneous readiness across technological, organisational, and environmental dimensions. Studies also confirm that transformational leadership significantly mediates the relationship between change management and ERP project success (</w:t>
      </w:r>
      <w:r w:rsidR="009E0825" w:rsidRPr="009E0825">
        <w:rPr>
          <w:rFonts w:eastAsia="Times New Roman"/>
        </w:rPr>
        <w:t>Butarbutar</w:t>
      </w:r>
      <w:r w:rsidR="009E0825">
        <w:rPr>
          <w:rFonts w:eastAsia="Times New Roman"/>
        </w:rPr>
        <w:t xml:space="preserve"> </w:t>
      </w:r>
      <w:r w:rsidRPr="00072705">
        <w:rPr>
          <w:rFonts w:eastAsia="Times New Roman"/>
        </w:rPr>
        <w:t>et al., 202</w:t>
      </w:r>
      <w:r w:rsidR="009E0825">
        <w:rPr>
          <w:rFonts w:eastAsia="Times New Roman"/>
        </w:rPr>
        <w:t>3</w:t>
      </w:r>
      <w:r w:rsidRPr="00072705">
        <w:rPr>
          <w:rFonts w:eastAsia="Times New Roman"/>
        </w:rPr>
        <w:t>).</w:t>
      </w:r>
    </w:p>
    <w:p w14:paraId="0A531A4A" w14:textId="397D736D" w:rsidR="000E2875" w:rsidRPr="00960AEC" w:rsidRDefault="000E2875" w:rsidP="00C266BE">
      <w:pPr>
        <w:spacing w:after="160" w:line="276" w:lineRule="auto"/>
        <w:jc w:val="both"/>
      </w:pPr>
      <w:r w:rsidRPr="00072705">
        <w:rPr>
          <w:rFonts w:eastAsia="Times New Roman"/>
        </w:rPr>
        <w:t xml:space="preserve">The reasons </w:t>
      </w:r>
      <w:r w:rsidR="00DD5AB1">
        <w:rPr>
          <w:rFonts w:eastAsia="Times New Roman"/>
        </w:rPr>
        <w:t xml:space="preserve">financial institutions implement an ERP system include: improved reporting accuracy, governance, operational efficiency, </w:t>
      </w:r>
      <w:r w:rsidRPr="00072705">
        <w:rPr>
          <w:rFonts w:eastAsia="Times New Roman"/>
        </w:rPr>
        <w:t>customer service, and regulatory compliance. ERP implementation remains challenging even for well-resourced organisations; for institutions operating in developing economies, these challenges are substantially magnified by infrastructure constraints and talent shortages (Malik &amp; Khan, 2020).</w:t>
      </w:r>
      <w:r w:rsidR="00562351">
        <w:rPr>
          <w:rFonts w:eastAsia="Times New Roman"/>
        </w:rPr>
        <w:t xml:space="preserve"> In Kenya, </w:t>
      </w:r>
      <w:r w:rsidR="00637F39">
        <w:rPr>
          <w:rFonts w:eastAsia="Times New Roman"/>
        </w:rPr>
        <w:t xml:space="preserve">dozens of </w:t>
      </w:r>
      <w:r w:rsidR="00562351">
        <w:rPr>
          <w:rFonts w:eastAsia="Times New Roman"/>
        </w:rPr>
        <w:t xml:space="preserve">smaller cooperatives are using </w:t>
      </w:r>
      <w:r w:rsidR="00637F39">
        <w:rPr>
          <w:rFonts w:eastAsia="Times New Roman"/>
        </w:rPr>
        <w:t xml:space="preserve">a </w:t>
      </w:r>
      <w:r w:rsidR="00562351">
        <w:rPr>
          <w:rFonts w:eastAsia="Times New Roman"/>
        </w:rPr>
        <w:t xml:space="preserve">shared branch </w:t>
      </w:r>
      <w:r w:rsidR="00637F39">
        <w:rPr>
          <w:rFonts w:eastAsia="Times New Roman"/>
        </w:rPr>
        <w:t>platform</w:t>
      </w:r>
      <w:r w:rsidR="00562351">
        <w:rPr>
          <w:rFonts w:eastAsia="Times New Roman"/>
        </w:rPr>
        <w:t xml:space="preserve"> pioneered by the World Council of Credit Unions (WOCCU) in 2009</w:t>
      </w:r>
      <w:r w:rsidR="00DD5AB1">
        <w:rPr>
          <w:rFonts w:eastAsia="Times New Roman"/>
        </w:rPr>
        <w:t>, with support from the Bill and Melinda Gates Foundation</w:t>
      </w:r>
      <w:r w:rsidR="00637F39">
        <w:rPr>
          <w:rFonts w:eastAsia="Times New Roman"/>
        </w:rPr>
        <w:t xml:space="preserve"> and implemented by the Fintech Group.</w:t>
      </w:r>
    </w:p>
    <w:p w14:paraId="312447C0" w14:textId="77777777" w:rsidR="000E2875" w:rsidRPr="000E2875" w:rsidRDefault="000E2875" w:rsidP="00C266BE">
      <w:pPr>
        <w:jc w:val="both"/>
        <w:rPr>
          <w:b/>
          <w:bCs/>
        </w:rPr>
      </w:pPr>
      <w:r w:rsidRPr="000E2875">
        <w:rPr>
          <w:b/>
          <w:bCs/>
        </w:rPr>
        <w:t>2.2 ERP Implementation in SACCOs</w:t>
      </w:r>
    </w:p>
    <w:p w14:paraId="57E1536F" w14:textId="1E2706D7" w:rsidR="000E2875" w:rsidRPr="00960AEC" w:rsidRDefault="000E2875" w:rsidP="00C266BE">
      <w:pPr>
        <w:spacing w:after="160" w:line="276" w:lineRule="auto"/>
        <w:jc w:val="both"/>
      </w:pPr>
      <w:r w:rsidRPr="00072705">
        <w:rPr>
          <w:rFonts w:eastAsia="Times New Roman"/>
        </w:rPr>
        <w:t>SACCOs have unique features compared to commercial banks, including</w:t>
      </w:r>
      <w:r w:rsidR="00DD5AB1">
        <w:rPr>
          <w:rFonts w:eastAsia="Times New Roman"/>
        </w:rPr>
        <w:t xml:space="preserve"> democratic governance, limited technical expertise</w:t>
      </w:r>
      <w:r w:rsidRPr="00072705">
        <w:rPr>
          <w:rFonts w:eastAsia="Times New Roman"/>
        </w:rPr>
        <w:t xml:space="preserve">, resource constraints, informal processes, and member-oriented operations. This makes the </w:t>
      </w:r>
      <w:r>
        <w:rPr>
          <w:rFonts w:eastAsia="Times New Roman"/>
        </w:rPr>
        <w:t xml:space="preserve">ERP implementation process </w:t>
      </w:r>
      <w:r w:rsidRPr="00072705">
        <w:rPr>
          <w:rFonts w:eastAsia="Times New Roman"/>
        </w:rPr>
        <w:t>complex.</w:t>
      </w:r>
    </w:p>
    <w:p w14:paraId="7A4ABC7C" w14:textId="77777777" w:rsidR="000E2875" w:rsidRPr="00960AEC" w:rsidRDefault="000E2875" w:rsidP="00C266BE">
      <w:pPr>
        <w:spacing w:after="160" w:line="276" w:lineRule="auto"/>
        <w:jc w:val="both"/>
      </w:pPr>
      <w:r w:rsidRPr="00072705">
        <w:rPr>
          <w:rFonts w:eastAsia="Times New Roman"/>
        </w:rPr>
        <w:t xml:space="preserve">Studies conducted in Kenya, Uganda, and Tanzania have shown that SACCOs experience </w:t>
      </w:r>
      <w:r>
        <w:rPr>
          <w:rFonts w:eastAsia="Times New Roman"/>
        </w:rPr>
        <w:t>delayed implementation, poor adoption, cost overruns, and integration problems in</w:t>
      </w:r>
      <w:r w:rsidRPr="00072705">
        <w:rPr>
          <w:rFonts w:eastAsia="Times New Roman"/>
        </w:rPr>
        <w:t xml:space="preserve"> their digitalisation initiatives. Magashi et al. (2023) identified structural and governance weaknesses as primary drivers of SACCO failure in Tanzania, findings that are directly transferable to the ERP implementation context. A recent systematic review covering 2020–2025 across East Africa found that digital capability, governance quality, and knowledge capital are the strongest mediating factors in SACCO performance outcomes (East African Journal of Business and Economics, 2025). Nassuna et al. (2024) further demonstrate that innovative governance practices are essential for cooperatives to leverage digital transformation sustainably. These outcomes suggest that operational risks significantly influence ERP success.</w:t>
      </w:r>
    </w:p>
    <w:p w14:paraId="202DE838" w14:textId="77777777" w:rsidR="000E2875" w:rsidRPr="00960AEC" w:rsidRDefault="000E2875" w:rsidP="00C266BE">
      <w:pPr>
        <w:spacing w:after="160" w:line="276" w:lineRule="auto"/>
        <w:jc w:val="both"/>
      </w:pPr>
      <w:r w:rsidRPr="00072705">
        <w:rPr>
          <w:rFonts w:eastAsia="Times New Roman"/>
        </w:rPr>
        <w:t xml:space="preserve">The SACCO Societies Regulatory Authority (SASRA) Annual SACCO Supervision Report (2023) for Kenya documents persistent weaknesses in ICT governance, financial reporting accuracy, and digital </w:t>
      </w:r>
      <w:r w:rsidRPr="00072705">
        <w:rPr>
          <w:rFonts w:eastAsia="Times New Roman"/>
        </w:rPr>
        <w:lastRenderedPageBreak/>
        <w:t>infrastructure among deposit-taking SACCOs—contextual evidence that directly motivates this study’s focus on operational risk as the central lens for understanding ERP outcomes.</w:t>
      </w:r>
    </w:p>
    <w:p w14:paraId="1C3279E6" w14:textId="77777777" w:rsidR="000E2875" w:rsidRPr="000E2875" w:rsidRDefault="000E2875" w:rsidP="00C266BE">
      <w:pPr>
        <w:jc w:val="both"/>
        <w:rPr>
          <w:b/>
          <w:bCs/>
        </w:rPr>
      </w:pPr>
      <w:r w:rsidRPr="000E2875">
        <w:rPr>
          <w:b/>
          <w:bCs/>
        </w:rPr>
        <w:t>2.3 Framework for Operational Risk</w:t>
      </w:r>
    </w:p>
    <w:p w14:paraId="577B1FF4" w14:textId="77777777" w:rsidR="000E2875" w:rsidRPr="00960AEC" w:rsidRDefault="000E2875" w:rsidP="00C266BE">
      <w:pPr>
        <w:spacing w:after="160" w:line="276" w:lineRule="auto"/>
        <w:jc w:val="both"/>
      </w:pPr>
      <w:r w:rsidRPr="00072705">
        <w:rPr>
          <w:rFonts w:eastAsia="Times New Roman"/>
        </w:rPr>
        <w:t xml:space="preserve">According to the Basel II Framework, operational risk can be divided into process risk, people risk, systems risk, and external risk (BIS, 2006). This framework provides a productive lens for understanding ERP implementation. Process redesign, employee training, technology installation, and reorganisation are all parts of ERP implementation, and </w:t>
      </w:r>
      <w:r>
        <w:rPr>
          <w:rFonts w:eastAsia="Times New Roman"/>
        </w:rPr>
        <w:t>each</w:t>
      </w:r>
      <w:r w:rsidRPr="00072705">
        <w:rPr>
          <w:rFonts w:eastAsia="Times New Roman"/>
        </w:rPr>
        <w:t xml:space="preserve"> presents operational risk.</w:t>
      </w:r>
    </w:p>
    <w:p w14:paraId="2985C4B6" w14:textId="1DF79D51" w:rsidR="000E2875" w:rsidRPr="00960AEC" w:rsidRDefault="000E2875" w:rsidP="00C266BE">
      <w:pPr>
        <w:spacing w:after="160" w:line="276" w:lineRule="auto"/>
        <w:jc w:val="both"/>
      </w:pPr>
      <w:r w:rsidRPr="00072705">
        <w:rPr>
          <w:rFonts w:eastAsia="Times New Roman"/>
        </w:rPr>
        <w:t>Aldasoro, Gambacorta, Giudici</w:t>
      </w:r>
      <w:r w:rsidR="00DD5AB1">
        <w:rPr>
          <w:rFonts w:eastAsia="Times New Roman"/>
        </w:rPr>
        <w:t>, and</w:t>
      </w:r>
      <w:r w:rsidRPr="00072705">
        <w:rPr>
          <w:rFonts w:eastAsia="Times New Roman"/>
        </w:rPr>
        <w:t xml:space="preserve"> Leach (2023) provide empirical evidence from the financial sector that operational and cyber risks are deeply intertwined and are among the most significant threats to institutional stability in an era of rapid digitalisation. Their work, published in the International Journal of Central Banking, reinforces the Basel II taxonomy’s continued relevance and extends it to encompass the cybersecurity dimension of systems risk </w:t>
      </w:r>
      <w:r>
        <w:rPr>
          <w:rFonts w:eastAsia="Times New Roman"/>
        </w:rPr>
        <w:t>faced by SACCO ERP projects</w:t>
      </w:r>
      <w:r w:rsidRPr="00072705">
        <w:rPr>
          <w:rFonts w:eastAsia="Times New Roman"/>
        </w:rPr>
        <w:t>.</w:t>
      </w:r>
    </w:p>
    <w:p w14:paraId="0BD83145" w14:textId="77777777" w:rsidR="000E2875" w:rsidRPr="000E2875" w:rsidRDefault="000E2875" w:rsidP="00C266BE">
      <w:pPr>
        <w:jc w:val="both"/>
        <w:rPr>
          <w:b/>
          <w:bCs/>
        </w:rPr>
      </w:pPr>
      <w:r w:rsidRPr="000E2875">
        <w:rPr>
          <w:b/>
          <w:bCs/>
        </w:rPr>
        <w:t>2.4 Human Factors and ERP Success</w:t>
      </w:r>
    </w:p>
    <w:p w14:paraId="7FE6CB8D" w14:textId="06A24A77" w:rsidR="000E2875" w:rsidRPr="00960AEC" w:rsidRDefault="000E2875" w:rsidP="00C266BE">
      <w:pPr>
        <w:spacing w:after="160" w:line="276" w:lineRule="auto"/>
        <w:jc w:val="both"/>
      </w:pPr>
      <w:r w:rsidRPr="00072705">
        <w:rPr>
          <w:rFonts w:eastAsia="Times New Roman"/>
        </w:rPr>
        <w:t xml:space="preserve">In the context of ERP implementation, human factors have a crucial impact on project success. The Technology Acceptance Model (TAM) </w:t>
      </w:r>
      <w:r w:rsidR="00DD5AB1">
        <w:rPr>
          <w:rFonts w:eastAsia="Times New Roman"/>
        </w:rPr>
        <w:t xml:space="preserve">posits that perceived usefulness and perceived ease of use of a </w:t>
      </w:r>
      <w:r w:rsidRPr="00072705">
        <w:rPr>
          <w:rFonts w:eastAsia="Times New Roman"/>
        </w:rPr>
        <w:t xml:space="preserve">new technology </w:t>
      </w:r>
      <w:r w:rsidR="00DD5AB1">
        <w:rPr>
          <w:rFonts w:eastAsia="Times New Roman"/>
        </w:rPr>
        <w:t>determine</w:t>
      </w:r>
      <w:r w:rsidRPr="00072705">
        <w:rPr>
          <w:rFonts w:eastAsia="Times New Roman"/>
        </w:rPr>
        <w:t xml:space="preserve"> its acceptance (Davis, 1989). ERP implementation resistance </w:t>
      </w:r>
      <w:r>
        <w:rPr>
          <w:rFonts w:eastAsia="Times New Roman"/>
        </w:rPr>
        <w:t xml:space="preserve">stems from fear of losing one’s job, insufficient training, excessive change, and a </w:t>
      </w:r>
      <w:r w:rsidRPr="00072705">
        <w:rPr>
          <w:rFonts w:eastAsia="Times New Roman"/>
        </w:rPr>
        <w:t>lack of managerial support. Research proves that end-user resistance is among the top causes of ERP failure. Contemporary empirical work confirms the continued validity of TAM extensions: studies in developing-country financial institutions find that social influence and facilitating conditions significantly moderate the perceived usefulness–acceptance relationship, particularly in contexts of low baseline digital literacy (Venkatesh et al., 2003; Ali, Edghiem &amp; Alkhalifah, 2023).</w:t>
      </w:r>
    </w:p>
    <w:p w14:paraId="541BD5DC" w14:textId="77777777" w:rsidR="000E2875" w:rsidRPr="000E2875" w:rsidRDefault="000E2875" w:rsidP="00C266BE">
      <w:pPr>
        <w:jc w:val="both"/>
        <w:rPr>
          <w:b/>
          <w:bCs/>
        </w:rPr>
      </w:pPr>
      <w:r w:rsidRPr="000E2875">
        <w:rPr>
          <w:b/>
          <w:bCs/>
        </w:rPr>
        <w:t>2.5 SACCO-Specific Governance Risks</w:t>
      </w:r>
    </w:p>
    <w:p w14:paraId="4AE839A7" w14:textId="5BDBCCDE" w:rsidR="000E2875" w:rsidRPr="00960AEC" w:rsidRDefault="000E2875" w:rsidP="00C266BE">
      <w:pPr>
        <w:spacing w:after="160" w:line="276" w:lineRule="auto"/>
        <w:jc w:val="both"/>
      </w:pPr>
      <w:r w:rsidRPr="00072705">
        <w:rPr>
          <w:rFonts w:eastAsia="Times New Roman"/>
        </w:rPr>
        <w:t xml:space="preserve">There may be special features of SACCO governance structures that </w:t>
      </w:r>
      <w:r w:rsidR="00637F39">
        <w:rPr>
          <w:rFonts w:eastAsia="Times New Roman"/>
        </w:rPr>
        <w:t>pose ERP implementation risks</w:t>
      </w:r>
      <w:r w:rsidRPr="00072705">
        <w:rPr>
          <w:rFonts w:eastAsia="Times New Roman"/>
        </w:rPr>
        <w:t>. These might include frequent board changes, lack of leadership stability, political influences, and delays in decision-making (Karani &amp; Gichuhi, 2022). The participatory, member-democratic model of SACCO governance, while a core strength, creates multi-layered decision chains that can impede the speed and coherence required for complex IT project management (Nassuna et al., 2024). SASRA (2023) notes that governance instability remains one of the top regulatory concerns for deposit-taking SACCOs in Kenya, further validating this study’s focus.</w:t>
      </w:r>
    </w:p>
    <w:p w14:paraId="49F8A89D" w14:textId="77777777" w:rsidR="000E2875" w:rsidRPr="000E2875" w:rsidRDefault="000E2875" w:rsidP="00C266BE">
      <w:pPr>
        <w:jc w:val="both"/>
        <w:rPr>
          <w:b/>
          <w:bCs/>
        </w:rPr>
      </w:pPr>
      <w:r w:rsidRPr="000E2875">
        <w:rPr>
          <w:b/>
          <w:bCs/>
        </w:rPr>
        <w:t>2.6 Technology Risk</w:t>
      </w:r>
    </w:p>
    <w:p w14:paraId="63696CEB" w14:textId="650C3C9E" w:rsidR="000E2875" w:rsidRPr="00960AEC" w:rsidRDefault="000E2875" w:rsidP="00C266BE">
      <w:pPr>
        <w:spacing w:after="160" w:line="276" w:lineRule="auto"/>
        <w:jc w:val="both"/>
      </w:pPr>
      <w:r w:rsidRPr="00072705">
        <w:rPr>
          <w:rFonts w:eastAsia="Times New Roman"/>
        </w:rPr>
        <w:t xml:space="preserve">Technology risks include system incompatibility, </w:t>
      </w:r>
      <w:r>
        <w:rPr>
          <w:rFonts w:eastAsia="Times New Roman"/>
        </w:rPr>
        <w:t>data migration issues, cybersecurity risks</w:t>
      </w:r>
      <w:r w:rsidRPr="00072705">
        <w:rPr>
          <w:rFonts w:eastAsia="Times New Roman"/>
        </w:rPr>
        <w:t xml:space="preserve">, and </w:t>
      </w:r>
      <w:r w:rsidR="00637F39">
        <w:rPr>
          <w:rFonts w:eastAsia="Times New Roman"/>
        </w:rPr>
        <w:t>vendor</w:t>
      </w:r>
      <w:r w:rsidRPr="00072705">
        <w:rPr>
          <w:rFonts w:eastAsia="Times New Roman"/>
        </w:rPr>
        <w:t xml:space="preserve"> risk. Cybersecurity is an increasingly critical dimension of technology risk in African financial institutions. Akinbowale et al. (2024) demonstrate that existing policy and regulatory frameworks for mitigating cyberfraud in Southern African financial institutions remain inadequate, placing institutions that hold sensitive member financial data at existential risk. Research from the African Development Finance Journal (2025) reveals that only 22% of East African financial institutions actively involve their boards in cybersecurity oversight—a governance gap with direct implications for SACCO ERP implementations that expand the digital attack surface. The Aldasoro et al. (2023) study further establishes that smaller financial institutions </w:t>
      </w:r>
      <w:r>
        <w:rPr>
          <w:rFonts w:eastAsia="Times New Roman"/>
        </w:rPr>
        <w:t>incur proportionally higher cyber losses due to limited response capabilities, a finding directly relevant</w:t>
      </w:r>
      <w:r w:rsidRPr="00072705">
        <w:rPr>
          <w:rFonts w:eastAsia="Times New Roman"/>
        </w:rPr>
        <w:t xml:space="preserve"> to the SACCO context.</w:t>
      </w:r>
    </w:p>
    <w:p w14:paraId="5E846410" w14:textId="77777777" w:rsidR="000E2875" w:rsidRPr="000E2875" w:rsidRDefault="000E2875" w:rsidP="00C266BE">
      <w:pPr>
        <w:jc w:val="both"/>
        <w:rPr>
          <w:b/>
          <w:bCs/>
        </w:rPr>
      </w:pPr>
      <w:r w:rsidRPr="000E2875">
        <w:rPr>
          <w:b/>
          <w:bCs/>
        </w:rPr>
        <w:t>2.7 Research Gap</w:t>
      </w:r>
    </w:p>
    <w:p w14:paraId="17FF9AD9" w14:textId="5237D2C8" w:rsidR="000E2875" w:rsidRPr="00960AEC" w:rsidRDefault="000E2875" w:rsidP="00C266BE">
      <w:pPr>
        <w:spacing w:after="160" w:line="276" w:lineRule="auto"/>
        <w:jc w:val="both"/>
      </w:pPr>
      <w:r w:rsidRPr="00072705">
        <w:rPr>
          <w:rFonts w:eastAsia="Times New Roman"/>
        </w:rPr>
        <w:t>Despite growing ERP adoption in SACCOs, limited research examines operational risk and ERP success in developing countries. Existing literature</w:t>
      </w:r>
      <w:r w:rsidR="00637F39">
        <w:rPr>
          <w:rFonts w:eastAsia="Times New Roman"/>
        </w:rPr>
        <w:t xml:space="preserve"> </w:t>
      </w:r>
      <w:r w:rsidRPr="00072705">
        <w:rPr>
          <w:rFonts w:eastAsia="Times New Roman"/>
        </w:rPr>
        <w:t xml:space="preserve">focuses on corporations, ignores SACCO governance, lacks operational risk frameworks, and </w:t>
      </w:r>
      <w:r w:rsidR="00637F39">
        <w:rPr>
          <w:rFonts w:eastAsia="Times New Roman"/>
        </w:rPr>
        <w:t xml:space="preserve">offers a limited view of the </w:t>
      </w:r>
      <w:r w:rsidRPr="00072705">
        <w:rPr>
          <w:rFonts w:eastAsia="Times New Roman"/>
        </w:rPr>
        <w:t xml:space="preserve">developing-country context. Most ERP cultural and change management studies in developing countries focus on manufacturing, oil and gas, or large public-sector organisations (Ali et al., 2023; Malik &amp; Khan, 2020), leaving the cooperative financial sector substantially unaddressed. This study addresses this gap by </w:t>
      </w:r>
      <w:r w:rsidRPr="00072705">
        <w:rPr>
          <w:rFonts w:eastAsia="Times New Roman"/>
        </w:rPr>
        <w:lastRenderedPageBreak/>
        <w:t>applying the Basel II operational risk taxonomy to the SACCO ERP context and proposing a risk-centred implementation framework.</w:t>
      </w:r>
    </w:p>
    <w:p w14:paraId="43E432ED" w14:textId="77777777" w:rsidR="000E2875" w:rsidRPr="00960AEC" w:rsidRDefault="000E2875" w:rsidP="00C266BE">
      <w:pPr>
        <w:spacing w:after="80"/>
        <w:jc w:val="both"/>
      </w:pPr>
    </w:p>
    <w:p w14:paraId="24827B80" w14:textId="77777777" w:rsidR="000E2875" w:rsidRPr="000E2875" w:rsidRDefault="000E2875" w:rsidP="00C266BE">
      <w:pPr>
        <w:jc w:val="both"/>
        <w:rPr>
          <w:b/>
          <w:bCs/>
        </w:rPr>
      </w:pPr>
      <w:r w:rsidRPr="000E2875">
        <w:rPr>
          <w:b/>
          <w:bCs/>
        </w:rPr>
        <w:t>4. RESULTS AND DISCUSSION</w:t>
      </w:r>
    </w:p>
    <w:p w14:paraId="3CC8A954" w14:textId="77777777" w:rsidR="000E2875" w:rsidRPr="00960AEC" w:rsidRDefault="000E2875" w:rsidP="00C266BE">
      <w:pPr>
        <w:spacing w:after="160" w:line="276" w:lineRule="auto"/>
        <w:jc w:val="both"/>
      </w:pPr>
      <w:r w:rsidRPr="00072705">
        <w:rPr>
          <w:rFonts w:eastAsia="Times New Roman"/>
        </w:rPr>
        <w:t>The thematic analysis identified four critical dimensions of operational risk that consistently besiege ERP projects in SACCOs. The Basel II framework provides the organising taxonomy; the analysis that follows gives each dimension a human face.</w:t>
      </w:r>
    </w:p>
    <w:p w14:paraId="7914CE75" w14:textId="77777777" w:rsidR="000E2875" w:rsidRPr="000E2875" w:rsidRDefault="000E2875" w:rsidP="00C266BE">
      <w:pPr>
        <w:jc w:val="both"/>
        <w:rPr>
          <w:b/>
          <w:bCs/>
        </w:rPr>
      </w:pPr>
      <w:r w:rsidRPr="000E2875">
        <w:rPr>
          <w:b/>
          <w:bCs/>
        </w:rPr>
        <w:t>4.1 Process Risks: The Clash of Logic</w:t>
      </w:r>
    </w:p>
    <w:p w14:paraId="2E4161A1" w14:textId="77777777" w:rsidR="000E2875" w:rsidRPr="00960AEC" w:rsidRDefault="000E2875" w:rsidP="00C266BE">
      <w:pPr>
        <w:spacing w:after="160" w:line="276" w:lineRule="auto"/>
        <w:jc w:val="both"/>
      </w:pPr>
      <w:r w:rsidRPr="00072705">
        <w:rPr>
          <w:rFonts w:eastAsia="Times New Roman"/>
        </w:rPr>
        <w:t>The most fundamental operational risk in any ERP implementation is a deep-seated mismatch between the embedded logic of the software and the lived logic of the organisation. Hammer and Champy (1993) warned that organisations face their greatest implementation hurdles not from the technology itself, but from the fundamental redesign of business processes that technology demands. An ERP system is not a blank slate; it is built on “best practices” derived from standard corporate and manufacturing environments. The risk crystallises when an organisation—particularly one as distinctive as a SACCO—attempts to pour its existing processes into that pre-formed mould without undergoing genuine reengineering (Al-Mashari &amp; Zairi, 2000).</w:t>
      </w:r>
    </w:p>
    <w:p w14:paraId="1D4B3289" w14:textId="77777777" w:rsidR="000E2875" w:rsidRPr="00960AEC" w:rsidRDefault="000E2875" w:rsidP="00C266BE">
      <w:pPr>
        <w:spacing w:after="160" w:line="276" w:lineRule="auto"/>
        <w:jc w:val="both"/>
      </w:pPr>
      <w:r w:rsidRPr="00072705">
        <w:rPr>
          <w:rFonts w:eastAsia="Times New Roman"/>
        </w:rPr>
        <w:t>For a SACCO, this clash carries a specific emotional weight. The cooperative model is built on relationships. A loan officer who has spent years building intimate knowledge of a member’s character, their small business cycles, and even the health of their livestock, will find the rigid, rules-based logic of an ERP module not just different, but profoundly alien. The system does not know what the loan officer knows. Forced to comply with its constraints, staff create workarounds—shadow spreadsheets proliferate, data integrity suffers, and member statements become unreliable (Okungu &amp; Kinyua, 2020). Wang et al. (2024) identif</w:t>
      </w:r>
      <w:r>
        <w:rPr>
          <w:rFonts w:eastAsia="Times New Roman"/>
        </w:rPr>
        <w:t>ied</w:t>
      </w:r>
      <w:r w:rsidRPr="00072705">
        <w:rPr>
          <w:rFonts w:eastAsia="Times New Roman"/>
        </w:rPr>
        <w:t xml:space="preserve"> process alignment as among the most critical post-implementation success factors, confirming that business process redesign must precede, not follow, system deployment. The technology meant to bring order instead breeds a new kind of chaos.</w:t>
      </w:r>
    </w:p>
    <w:p w14:paraId="68DE6B76" w14:textId="77777777" w:rsidR="000E2875" w:rsidRPr="000E2875" w:rsidRDefault="000E2875" w:rsidP="00C266BE">
      <w:pPr>
        <w:jc w:val="both"/>
        <w:rPr>
          <w:b/>
          <w:bCs/>
        </w:rPr>
      </w:pPr>
      <w:r w:rsidRPr="000E2875">
        <w:rPr>
          <w:b/>
          <w:bCs/>
        </w:rPr>
        <w:t>4.2 People Risks: The Human Heart of the Issue</w:t>
      </w:r>
    </w:p>
    <w:p w14:paraId="6E54B733" w14:textId="77777777" w:rsidR="004109BC" w:rsidRDefault="004109BC" w:rsidP="00C266BE">
      <w:pPr>
        <w:jc w:val="both"/>
        <w:rPr>
          <w:rFonts w:eastAsia="Times New Roman"/>
        </w:rPr>
      </w:pPr>
      <w:r w:rsidRPr="004109BC">
        <w:rPr>
          <w:rFonts w:eastAsia="Times New Roman"/>
        </w:rPr>
        <w:t>Somers and Nelson (2001) identify human factors as the greatest predictor of ERP failure, emphasizing that ERP systems, which drive organizational change, can disrupt established power dynamics and challenge professional identities (Markus, 1983). Resistance from staff, such as loan officers and branch managers, arises not just from fear of change but also as a rational response to perceived threats to their authority. This resistance is notably magnified in SACCOs due to their democratic governance, where the need for consensus among various stakeholders can hinder timely project progress. Political complexities, such as board elections during implementation, can derail the process, as noted by Karani &amp; Gichuhi (2022). Ali et al. (2023) further corroborate this issue across different industries, revealing that cultural resistance at all stages of ERP implementation is a significant contributor to failure. Additional factors like inadequate training, poor communication, and lack of visible executive support represent substantial operational risks rather than just human resource deficiencies.</w:t>
      </w:r>
    </w:p>
    <w:p w14:paraId="373773C1" w14:textId="77777777" w:rsidR="004109BC" w:rsidRDefault="004109BC" w:rsidP="00C266BE">
      <w:pPr>
        <w:jc w:val="both"/>
        <w:rPr>
          <w:rFonts w:eastAsia="Times New Roman"/>
        </w:rPr>
      </w:pPr>
    </w:p>
    <w:p w14:paraId="1A496EAA" w14:textId="430523B3" w:rsidR="000E2875" w:rsidRPr="000E2875" w:rsidRDefault="000E2875" w:rsidP="00C266BE">
      <w:pPr>
        <w:jc w:val="both"/>
        <w:rPr>
          <w:b/>
          <w:bCs/>
        </w:rPr>
      </w:pPr>
      <w:r w:rsidRPr="000E2875">
        <w:rPr>
          <w:b/>
          <w:bCs/>
        </w:rPr>
        <w:t>4.3 Technology Risks: More Than Just Software</w:t>
      </w:r>
    </w:p>
    <w:p w14:paraId="0E2723C3" w14:textId="6FF3662B" w:rsidR="000E2875" w:rsidRPr="00960AEC" w:rsidRDefault="000E2875" w:rsidP="00C266BE">
      <w:pPr>
        <w:spacing w:after="160" w:line="276" w:lineRule="auto"/>
        <w:jc w:val="both"/>
      </w:pPr>
      <w:r w:rsidRPr="00072705">
        <w:rPr>
          <w:rFonts w:eastAsia="Times New Roman"/>
        </w:rPr>
        <w:t>While this paper challenges a purely technology-centred explanation of ERP failure, technical risks remain a genuine and significant dimension. Data migration is the most perilous. SACCOs often hold decades of member records scattered across legacy systems, spreadsheets, and paper files. The task of consolidating this history into a clean, accurate, and integrated database is monumental. A single data error—a misplaced decimal in a savings balance, a transposed member ID, a missing loan record—can shatter the trust that is the SACCO’s very foundation. As Sarker and Lee (2003) noted, data quality is the single most important determinant of post-implementation user satisfaction.</w:t>
      </w:r>
    </w:p>
    <w:p w14:paraId="0E93A591" w14:textId="77777777" w:rsidR="000E2875" w:rsidRPr="00960AEC" w:rsidRDefault="000E2875" w:rsidP="00C266BE">
      <w:pPr>
        <w:spacing w:after="160" w:line="276" w:lineRule="auto"/>
        <w:jc w:val="both"/>
      </w:pPr>
      <w:r w:rsidRPr="00072705">
        <w:rPr>
          <w:rFonts w:eastAsia="Times New Roman"/>
        </w:rPr>
        <w:t>Integration risks compound this vulnerability. The ERP system must communicate seamlessly with mobile banking platforms, credit reference bureaux, and core banking applications. Failure to achieve this creates new information silos rather than eliminating old ones.</w:t>
      </w:r>
    </w:p>
    <w:p w14:paraId="51436838" w14:textId="36FCA69E" w:rsidR="000E2875" w:rsidRPr="00960AEC" w:rsidRDefault="000E2875" w:rsidP="00C266BE">
      <w:pPr>
        <w:spacing w:after="160" w:line="276" w:lineRule="auto"/>
        <w:jc w:val="both"/>
      </w:pPr>
      <w:r w:rsidRPr="00072705">
        <w:rPr>
          <w:rFonts w:eastAsia="Times New Roman"/>
        </w:rPr>
        <w:t xml:space="preserve">In developing countries, cybersecurity risks are chronically underestimated (Moyo, 2022). A financial cooperative holding the personal and financial records of an entire community is a prime target for </w:t>
      </w:r>
      <w:r w:rsidRPr="00072705">
        <w:rPr>
          <w:rFonts w:eastAsia="Times New Roman"/>
        </w:rPr>
        <w:lastRenderedPageBreak/>
        <w:t xml:space="preserve">cybercriminals. Akinbowale et al. (2024) establish that cyberfraud in African banking institutions is systemic and that existing governance frameworks are inadequate for the scale of the threat. Aldasoro et al. (2023) provide empirical evidence that smaller financial institutions—including cooperatives—bear disproportionately high losses from cybersecurity incidents relative to their resources, making proactive risk management not a luxury but a survival imperative. Research from the African Development Finance Journal (2025) finds that governance gaps in cybersecurity oversight—particularly the exclusion of boards from cybersecurity decision-making—are endemic in East African financial institutions and directly amplify the losses when breaches occur. A breach is not a technical inconvenience; it is a potential existential threat </w:t>
      </w:r>
      <w:r w:rsidR="00DD5AB1">
        <w:rPr>
          <w:rFonts w:eastAsia="Times New Roman"/>
        </w:rPr>
        <w:t>that can trigger regulatory sanctions and permanently erode</w:t>
      </w:r>
      <w:r w:rsidRPr="00072705">
        <w:rPr>
          <w:rFonts w:eastAsia="Times New Roman"/>
        </w:rPr>
        <w:t xml:space="preserve"> member trust.</w:t>
      </w:r>
    </w:p>
    <w:p w14:paraId="2201FD32" w14:textId="092873E9" w:rsidR="000E2875" w:rsidRPr="000E2875" w:rsidRDefault="000E2875" w:rsidP="00C266BE">
      <w:pPr>
        <w:jc w:val="both"/>
        <w:rPr>
          <w:b/>
          <w:bCs/>
        </w:rPr>
      </w:pPr>
      <w:r w:rsidRPr="000E2875">
        <w:rPr>
          <w:b/>
          <w:bCs/>
        </w:rPr>
        <w:t>4.4 Governance and Financial Risks: The Silent Killers</w:t>
      </w:r>
    </w:p>
    <w:p w14:paraId="415B1A44" w14:textId="1C81F004" w:rsidR="000E2875" w:rsidRPr="00960AEC" w:rsidRDefault="000E2875" w:rsidP="00C266BE">
      <w:pPr>
        <w:spacing w:after="160" w:line="276" w:lineRule="auto"/>
        <w:jc w:val="both"/>
      </w:pPr>
      <w:r w:rsidRPr="00072705">
        <w:rPr>
          <w:rFonts w:eastAsia="Times New Roman"/>
        </w:rPr>
        <w:t xml:space="preserve">ERP projects typically span </w:t>
      </w:r>
      <w:r w:rsidR="00DD5AB1">
        <w:rPr>
          <w:rFonts w:eastAsia="Times New Roman"/>
        </w:rPr>
        <w:t xml:space="preserve">4 </w:t>
      </w:r>
      <w:r w:rsidRPr="00072705">
        <w:rPr>
          <w:rFonts w:eastAsia="Times New Roman"/>
        </w:rPr>
        <w:t xml:space="preserve">to </w:t>
      </w:r>
      <w:r w:rsidR="00DD5AB1">
        <w:rPr>
          <w:rFonts w:eastAsia="Times New Roman"/>
        </w:rPr>
        <w:t>18</w:t>
      </w:r>
      <w:r w:rsidRPr="00072705">
        <w:rPr>
          <w:rFonts w:eastAsia="Times New Roman"/>
        </w:rPr>
        <w:t xml:space="preserve"> months</w:t>
      </w:r>
      <w:r w:rsidR="00DD5AB1">
        <w:rPr>
          <w:rFonts w:eastAsia="Times New Roman"/>
        </w:rPr>
        <w:t>, depending on the size of the institution, team and data readiness, modules required, digital channels to be integrated and level of customization required</w:t>
      </w:r>
      <w:r w:rsidRPr="00072705">
        <w:rPr>
          <w:rFonts w:eastAsia="Times New Roman"/>
        </w:rPr>
        <w:t>. Over such an extended timeline, governance instability is a constant threat. A change in the board of directors, the arrival of a new CEO, or an escalating conflict between governance layers can strip a project of its political capital—the social fuel required to push through difficult decisions, secure resources, and maintain momentum (Nah, Lau &amp; Kuang, 2001). Top management support is not a one-time declaration; it must be a continuous, visible, and credible commitment throughout the project’s life (Akkermans &amp; van Helden, 2002). Nassuna et al. (2024) demonstrate that governance innovation—specifically the capacity to maintain strategic continuity through leadership transitions—is a defining differentiator between SACCOs that successfully implement digital tools and those that do not.</w:t>
      </w:r>
    </w:p>
    <w:p w14:paraId="5F0B77E5" w14:textId="1E8A5A03" w:rsidR="000E2875" w:rsidRPr="00960AEC" w:rsidRDefault="000E2875" w:rsidP="00C266BE">
      <w:pPr>
        <w:spacing w:after="160" w:line="276" w:lineRule="auto"/>
        <w:jc w:val="both"/>
      </w:pPr>
      <w:r w:rsidRPr="00072705">
        <w:rPr>
          <w:rFonts w:eastAsia="Times New Roman"/>
        </w:rPr>
        <w:t xml:space="preserve">Financial risks are equally </w:t>
      </w:r>
      <w:r w:rsidR="00DD5AB1" w:rsidRPr="00072705">
        <w:rPr>
          <w:rFonts w:eastAsia="Times New Roman"/>
        </w:rPr>
        <w:t>treacherous</w:t>
      </w:r>
      <w:r w:rsidRPr="00072705">
        <w:rPr>
          <w:rFonts w:eastAsia="Times New Roman"/>
        </w:rPr>
        <w:t>. ERP projects are notorious for budget overruns, often because initial estimates fail to account for the true costs of customisation, data cleansing, or training staff with highly varied digital literacy. When budget pressure mounts, the consequences follow a predictable and devastating sequence: training funds are cut first, testing phases are shortened to save time, and post-go-live support is eliminated (Aloini, Dulmin &amp; Mininno, 2007). The go-live event ceases to be a launch and becomes an implosion—a system pushed into production before it was ready, into the hands of users who were never adequately prepared.</w:t>
      </w:r>
    </w:p>
    <w:p w14:paraId="56037A2F" w14:textId="77777777" w:rsidR="000E2875" w:rsidRPr="00960AEC" w:rsidRDefault="000E2875" w:rsidP="00C266BE">
      <w:pPr>
        <w:spacing w:after="80"/>
        <w:jc w:val="both"/>
      </w:pPr>
    </w:p>
    <w:p w14:paraId="5E734FCA" w14:textId="77777777" w:rsidR="000E2875" w:rsidRPr="000E2875" w:rsidRDefault="000E2875" w:rsidP="00C266BE">
      <w:pPr>
        <w:jc w:val="both"/>
        <w:rPr>
          <w:b/>
          <w:bCs/>
        </w:rPr>
      </w:pPr>
      <w:r w:rsidRPr="000E2875">
        <w:rPr>
          <w:b/>
          <w:bCs/>
        </w:rPr>
        <w:t>6. THE PATH FORWARD: FROM RISK TO RESILIENCE</w:t>
      </w:r>
    </w:p>
    <w:p w14:paraId="08C8D5BF" w14:textId="77777777" w:rsidR="000E2875" w:rsidRPr="00960AEC" w:rsidRDefault="000E2875" w:rsidP="00C266BE">
      <w:pPr>
        <w:spacing w:after="160" w:line="276" w:lineRule="auto"/>
        <w:jc w:val="both"/>
      </w:pPr>
      <w:r w:rsidRPr="00072705">
        <w:rPr>
          <w:rFonts w:eastAsia="Times New Roman"/>
        </w:rPr>
        <w:t>This narrative of failure is not inevitable. The evidence, when combined with lessons from more successful implementations, offers a clear and actionable roadmap. The journey begins with a fundamental shift in perspective: an ERP implementation must be viewed not as a technology project, but as a complex organisational transformation—one in which operational risk management is the core competency, not an afterthought.</w:t>
      </w:r>
    </w:p>
    <w:p w14:paraId="1BBCC04E" w14:textId="77777777" w:rsidR="000E2875" w:rsidRPr="000E2875" w:rsidRDefault="000E2875" w:rsidP="00C266BE">
      <w:pPr>
        <w:jc w:val="both"/>
        <w:rPr>
          <w:b/>
          <w:bCs/>
        </w:rPr>
      </w:pPr>
      <w:r w:rsidRPr="000E2875">
        <w:rPr>
          <w:b/>
          <w:bCs/>
        </w:rPr>
        <w:t>6.1 Foundational Step: The Organisational Readiness Assessment</w:t>
      </w:r>
    </w:p>
    <w:p w14:paraId="332A217D" w14:textId="6C634418" w:rsidR="000E2875" w:rsidRPr="00960AEC" w:rsidRDefault="000E2875" w:rsidP="00C266BE">
      <w:pPr>
        <w:spacing w:after="160" w:line="276" w:lineRule="auto"/>
        <w:jc w:val="both"/>
      </w:pPr>
      <w:r w:rsidRPr="00072705">
        <w:rPr>
          <w:rFonts w:eastAsia="Times New Roman"/>
        </w:rPr>
        <w:t xml:space="preserve">Before a single software licence is purchased, a comprehensive organisational readiness assessment is essential. This is not a technical audit. It is an honest, often uncomfortable examination of leadership commitment, staff capability, process maturity, and governance stability. It must ask—and candidly answer—questions that organisations routinely avoid: Are our leaders genuinely committed </w:t>
      </w:r>
      <w:r w:rsidR="00DD5AB1">
        <w:rPr>
          <w:rFonts w:eastAsia="Times New Roman"/>
        </w:rPr>
        <w:t>to</w:t>
      </w:r>
      <w:r w:rsidRPr="00072705">
        <w:rPr>
          <w:rFonts w:eastAsia="Times New Roman"/>
        </w:rPr>
        <w:t xml:space="preserve"> the full multi-year duration of this project, or merely enthusiastic at the start? What is the realistic level of digital literacy across our staff? Are we prepared to redesign our processes to fit the system, or do we expect the software to conform to our old ways? The answers to these questions are the foundation of a realistic, resilient implementation strategy (Ifinedo &amp; Nahar, 2009). SASRA (2023) recommends that deposit-taking SACCOs conduct ICT governance assessments prior to major digital investments, providing regulatory backing for this foundational step.</w:t>
      </w:r>
    </w:p>
    <w:p w14:paraId="7253983E" w14:textId="77777777" w:rsidR="000E2875" w:rsidRPr="000E2875" w:rsidRDefault="000E2875" w:rsidP="00C266BE">
      <w:pPr>
        <w:jc w:val="both"/>
        <w:rPr>
          <w:b/>
          <w:bCs/>
        </w:rPr>
      </w:pPr>
      <w:r w:rsidRPr="000E2875">
        <w:rPr>
          <w:b/>
          <w:bCs/>
        </w:rPr>
        <w:t>6.2 A Multi-Pronged Strategy for Resilience</w:t>
      </w:r>
    </w:p>
    <w:p w14:paraId="0C046894" w14:textId="77777777" w:rsidR="000E2875" w:rsidRPr="00960AEC" w:rsidRDefault="000E2875" w:rsidP="00C266BE">
      <w:pPr>
        <w:spacing w:after="160" w:line="276" w:lineRule="auto"/>
        <w:jc w:val="both"/>
      </w:pPr>
      <w:r w:rsidRPr="00072705">
        <w:rPr>
          <w:rFonts w:eastAsia="Times New Roman"/>
        </w:rPr>
        <w:t>Building on the readiness assessment, five interlocking pillars form the strategic foundation for a resilient implementation:</w:t>
      </w:r>
    </w:p>
    <w:p w14:paraId="202CB887" w14:textId="77777777" w:rsidR="000E2875" w:rsidRPr="000E2875" w:rsidRDefault="000E2875" w:rsidP="00C266BE">
      <w:pPr>
        <w:jc w:val="both"/>
        <w:rPr>
          <w:b/>
          <w:bCs/>
        </w:rPr>
      </w:pPr>
      <w:r w:rsidRPr="000E2875">
        <w:rPr>
          <w:b/>
          <w:bCs/>
        </w:rPr>
        <w:lastRenderedPageBreak/>
        <w:t>6.2.1 Establishing Structured Project Governance</w:t>
      </w:r>
    </w:p>
    <w:p w14:paraId="6EAFE6CF" w14:textId="77777777" w:rsidR="000E2875" w:rsidRPr="00960AEC" w:rsidRDefault="000E2875" w:rsidP="00C266BE">
      <w:pPr>
        <w:spacing w:after="160" w:line="276" w:lineRule="auto"/>
        <w:jc w:val="both"/>
      </w:pPr>
      <w:r w:rsidRPr="00072705">
        <w:rPr>
          <w:rFonts w:eastAsia="Times New Roman"/>
        </w:rPr>
        <w:t>A clearly defined governance structure is non-negotiable. A steering committee comprising both management and board representatives must serve as the ultimate decision-making authority—responsible for providing visible executive support, resolving political conflicts, managing scope, and ensuring ongoing strategic alignment. Such a structure prevents the political gridlock that so frequently stalls progress (Nah et al., 2001). Nassuna et al. (2024) provide empirical evidence from Ugandan cooperatives that structured governance innovation is the primary enabler of successful digital transformation.</w:t>
      </w:r>
    </w:p>
    <w:p w14:paraId="6D36963F" w14:textId="77777777" w:rsidR="000E2875" w:rsidRPr="000E2875" w:rsidRDefault="000E2875" w:rsidP="00C266BE">
      <w:pPr>
        <w:jc w:val="both"/>
        <w:rPr>
          <w:b/>
          <w:bCs/>
        </w:rPr>
      </w:pPr>
      <w:r w:rsidRPr="000E2875">
        <w:rPr>
          <w:b/>
          <w:bCs/>
        </w:rPr>
        <w:t>6.2.2 Adopting a Phased Implementation Approach</w:t>
      </w:r>
    </w:p>
    <w:p w14:paraId="622EE340" w14:textId="038A66E7" w:rsidR="000E2875" w:rsidRPr="00960AEC" w:rsidRDefault="000E2875" w:rsidP="00C266BE">
      <w:pPr>
        <w:spacing w:after="160" w:line="276" w:lineRule="auto"/>
        <w:jc w:val="both"/>
      </w:pPr>
      <w:r w:rsidRPr="00072705">
        <w:rPr>
          <w:rFonts w:eastAsia="Times New Roman"/>
        </w:rPr>
        <w:t>The “big bang” approach—deploying all modules across the entire organisation simultaneously—is an exceptionally high-risk strategy. A phased rollout is far more prudent. Implementing the finance module first, followed by member services and then loan management, transforms the project into a series of manageable, learnable milestones. Each phase limits the blast radius of any errors and, critically, builds organisational confidence. Wang et al. (2024) confirm</w:t>
      </w:r>
      <w:r w:rsidR="00DD5AB1">
        <w:rPr>
          <w:rFonts w:eastAsia="Times New Roman"/>
        </w:rPr>
        <w:t>, using the TOE framework, that phased deployment is associated with significantly higher</w:t>
      </w:r>
      <w:r w:rsidRPr="00072705">
        <w:rPr>
          <w:rFonts w:eastAsia="Times New Roman"/>
        </w:rPr>
        <w:t xml:space="preserve"> post-implementation success rates. The visible success of one phase provides tangible evidence and positive momentum that serves as a powerful antidote to institutional cynicism (Akkermans &amp; van Helden, 2002).</w:t>
      </w:r>
    </w:p>
    <w:p w14:paraId="3BD0EB89" w14:textId="77777777" w:rsidR="000E2875" w:rsidRPr="000E2875" w:rsidRDefault="000E2875" w:rsidP="00C266BE">
      <w:pPr>
        <w:jc w:val="both"/>
        <w:rPr>
          <w:b/>
          <w:bCs/>
        </w:rPr>
      </w:pPr>
      <w:r w:rsidRPr="000E2875">
        <w:rPr>
          <w:b/>
          <w:bCs/>
        </w:rPr>
        <w:t>6.2.3 Embedding Change Management as a Core Competency</w:t>
      </w:r>
    </w:p>
    <w:p w14:paraId="58E8C614" w14:textId="1B54CA91" w:rsidR="000E2875" w:rsidRPr="00960AEC" w:rsidRDefault="000E2875" w:rsidP="00C266BE">
      <w:pPr>
        <w:spacing w:after="160" w:line="276" w:lineRule="auto"/>
        <w:jc w:val="both"/>
      </w:pPr>
      <w:r w:rsidRPr="00072705">
        <w:rPr>
          <w:rFonts w:eastAsia="Times New Roman"/>
        </w:rPr>
        <w:t xml:space="preserve">Kotter’s (1996) eight-step change model is not an academic exercise—it is a practical guide to moving an organisation through transformational disruption. </w:t>
      </w:r>
      <w:r w:rsidR="000E751A">
        <w:rPr>
          <w:rFonts w:eastAsia="Times New Roman"/>
        </w:rPr>
        <w:t>Wang</w:t>
      </w:r>
      <w:r w:rsidRPr="00072705">
        <w:rPr>
          <w:rFonts w:eastAsia="Times New Roman"/>
        </w:rPr>
        <w:t xml:space="preserve"> et al. (202</w:t>
      </w:r>
      <w:r w:rsidR="000E751A">
        <w:rPr>
          <w:rFonts w:eastAsia="Times New Roman"/>
        </w:rPr>
        <w:t>4</w:t>
      </w:r>
      <w:r w:rsidRPr="00072705">
        <w:rPr>
          <w:rFonts w:eastAsia="Times New Roman"/>
        </w:rPr>
        <w:t xml:space="preserve">) </w:t>
      </w:r>
      <w:r w:rsidR="00DD5AB1">
        <w:rPr>
          <w:rFonts w:eastAsia="Times New Roman"/>
        </w:rPr>
        <w:t xml:space="preserve">empirically confirm that transformational leadership positively mediates the relationship between change management effectiveness and ERP project success, thereby </w:t>
      </w:r>
      <w:r w:rsidRPr="00072705">
        <w:rPr>
          <w:rFonts w:eastAsia="Times New Roman"/>
        </w:rPr>
        <w:t xml:space="preserve">validating Kotter’s framework in a contemporary context. Applied to an ERP project, it requires assembling a guiding coalition of credible, </w:t>
      </w:r>
      <w:r w:rsidR="00DD5AB1">
        <w:rPr>
          <w:rFonts w:eastAsia="Times New Roman"/>
        </w:rPr>
        <w:t>influential</w:t>
      </w:r>
      <w:r w:rsidRPr="00072705">
        <w:rPr>
          <w:rFonts w:eastAsia="Times New Roman"/>
        </w:rPr>
        <w:t xml:space="preserve"> internal champions. It demands a compelling, human-centred vision for the change—not “we are installing new software,” but “we are transforming how we serve our members to give them faster, more reliable, and more dignified service.” It mandates empowering employees to act on that vision and celebrating early wins. The sight of a single module working well and making a staff member’s daily work genuinely easier is worth more than a hundred executive memos.</w:t>
      </w:r>
    </w:p>
    <w:p w14:paraId="7503C8E6" w14:textId="77777777" w:rsidR="000E2875" w:rsidRPr="000E2875" w:rsidRDefault="000E2875" w:rsidP="00C266BE">
      <w:pPr>
        <w:jc w:val="both"/>
        <w:rPr>
          <w:b/>
          <w:bCs/>
        </w:rPr>
      </w:pPr>
      <w:r w:rsidRPr="000E2875">
        <w:rPr>
          <w:b/>
          <w:bCs/>
        </w:rPr>
        <w:t>6.2.4 Redefining Training as a Sustained Learning Journey</w:t>
      </w:r>
    </w:p>
    <w:p w14:paraId="2D3F2561" w14:textId="58B12D6C" w:rsidR="000E2875" w:rsidRPr="00960AEC" w:rsidRDefault="000E2875" w:rsidP="00C266BE">
      <w:pPr>
        <w:spacing w:after="160" w:line="276" w:lineRule="auto"/>
        <w:jc w:val="both"/>
      </w:pPr>
      <w:r w:rsidRPr="00072705">
        <w:rPr>
          <w:rFonts w:eastAsia="Times New Roman"/>
        </w:rPr>
        <w:t xml:space="preserve">Training must be reframed from a pre-go-live event to a sustained organisational capability. This means moving beyond “click this button” instructions to comprehensive capability building that explains the why behind every new process. A particularly effective mechanism is the cultivation of internal super-users—deeply trained champions </w:t>
      </w:r>
      <w:r w:rsidR="00DD5AB1">
        <w:rPr>
          <w:rFonts w:eastAsia="Times New Roman"/>
        </w:rPr>
        <w:t xml:space="preserve">within the organisation who serve as the first point of contact for their colleagues and </w:t>
      </w:r>
      <w:r w:rsidRPr="00072705">
        <w:rPr>
          <w:rFonts w:eastAsia="Times New Roman"/>
        </w:rPr>
        <w:t>provide contextual, on-the-job support that no external help desk can replicate (Ko &amp; Kirsch, 2017). Research on ERP training in resource-constrained financial institutions confirms that role-specific, outcome-driven training significantly outperforms generic, compliance-focused approaches in terms of system adoption rates (African Development Finance Journal, 2025).</w:t>
      </w:r>
    </w:p>
    <w:p w14:paraId="6A89BD99" w14:textId="77777777" w:rsidR="000E2875" w:rsidRPr="000E2875" w:rsidRDefault="000E2875" w:rsidP="00C266BE">
      <w:pPr>
        <w:jc w:val="both"/>
        <w:rPr>
          <w:b/>
          <w:bCs/>
        </w:rPr>
      </w:pPr>
      <w:r w:rsidRPr="000E2875">
        <w:rPr>
          <w:b/>
          <w:bCs/>
        </w:rPr>
        <w:t>6.2.5 Integrating Risk Management into Daily Practice</w:t>
      </w:r>
    </w:p>
    <w:p w14:paraId="413B7BBC" w14:textId="77777777" w:rsidR="000E2875" w:rsidRPr="00960AEC" w:rsidRDefault="000E2875" w:rsidP="00C266BE">
      <w:pPr>
        <w:spacing w:after="160" w:line="276" w:lineRule="auto"/>
        <w:jc w:val="both"/>
      </w:pPr>
      <w:r w:rsidRPr="00072705">
        <w:rPr>
          <w:rFonts w:eastAsia="Times New Roman"/>
        </w:rPr>
        <w:t>Operational risk management must move from a project-initiation report to a standing item in every project meeting. The Basel-aligned cycle of risk identification, assessment, monitoring, and control should be embedded into the daily rhythm of the project team (BIS, 2006). Aldasoro et al. (2023) demonstrate that institutions that integrate cyber and operational risk monitoring into governance processes experience significantly lower loss severity when incidents occur. When risks are openly discussed and actively tracked, they rarely escalate unnoticed into crises. This practice builds the culture of transparency that is the project’s best defence against the unknown.</w:t>
      </w:r>
    </w:p>
    <w:p w14:paraId="45ECF1EE" w14:textId="77777777" w:rsidR="000E2875" w:rsidRPr="002875F8" w:rsidRDefault="000E2875" w:rsidP="00C266BE">
      <w:pPr>
        <w:spacing w:after="120" w:line="276" w:lineRule="auto"/>
        <w:jc w:val="both"/>
        <w:rPr>
          <w:b/>
          <w:bCs/>
          <w:sz w:val="22"/>
          <w:szCs w:val="22"/>
        </w:rPr>
      </w:pPr>
      <w:r>
        <w:rPr>
          <w:b/>
          <w:bCs/>
          <w:sz w:val="22"/>
          <w:szCs w:val="22"/>
        </w:rPr>
        <w:t xml:space="preserve">7. </w:t>
      </w:r>
      <w:r w:rsidRPr="002875F8">
        <w:rPr>
          <w:b/>
          <w:bCs/>
          <w:sz w:val="22"/>
          <w:szCs w:val="22"/>
        </w:rPr>
        <w:t xml:space="preserve">LIMITATIONS </w:t>
      </w:r>
    </w:p>
    <w:p w14:paraId="223E1FFF" w14:textId="77777777" w:rsidR="00E37F55" w:rsidRPr="00E37F55" w:rsidRDefault="00E37F55" w:rsidP="00C266BE">
      <w:pPr>
        <w:spacing w:after="120" w:line="276" w:lineRule="auto"/>
        <w:jc w:val="both"/>
        <w:rPr>
          <w:sz w:val="22"/>
          <w:szCs w:val="22"/>
        </w:rPr>
      </w:pPr>
      <w:r w:rsidRPr="00E37F55">
        <w:rPr>
          <w:sz w:val="22"/>
          <w:szCs w:val="22"/>
        </w:rPr>
        <w:t xml:space="preserve">There are several restrictions on this study. First, a biased sample selection may arise from the use of secondary data. Second, this study does not apply to rich countries because it was </w:t>
      </w:r>
      <w:r w:rsidRPr="00E37F55">
        <w:rPr>
          <w:sz w:val="22"/>
          <w:szCs w:val="22"/>
        </w:rPr>
        <w:lastRenderedPageBreak/>
        <w:t>mainly concerned with SACCOs in poor countries. Third, because of the information's accessibility, our study has made substantial use of East African SACCO literature.</w:t>
      </w:r>
    </w:p>
    <w:p w14:paraId="032ED742" w14:textId="445E3C06" w:rsidR="000E2875" w:rsidRPr="00072705" w:rsidRDefault="00E37F55" w:rsidP="00C266BE">
      <w:pPr>
        <w:spacing w:after="120" w:line="276" w:lineRule="auto"/>
        <w:jc w:val="both"/>
        <w:rPr>
          <w:sz w:val="22"/>
          <w:szCs w:val="22"/>
        </w:rPr>
      </w:pPr>
      <w:r w:rsidRPr="00E37F55">
        <w:rPr>
          <w:sz w:val="22"/>
          <w:szCs w:val="22"/>
        </w:rPr>
        <w:t>By performing an empirical SACCO study and quantifying the models, additional empirical research can address these shortcomings.</w:t>
      </w:r>
    </w:p>
    <w:p w14:paraId="3704ADF5" w14:textId="77777777" w:rsidR="000E2875" w:rsidRPr="00BA16E8" w:rsidRDefault="000E2875" w:rsidP="00C266BE">
      <w:pPr>
        <w:spacing w:before="240" w:after="120"/>
        <w:jc w:val="both"/>
      </w:pPr>
      <w:r>
        <w:rPr>
          <w:b/>
          <w:bCs/>
          <w:sz w:val="22"/>
          <w:szCs w:val="22"/>
        </w:rPr>
        <w:t>8</w:t>
      </w:r>
      <w:r w:rsidRPr="00BA16E8">
        <w:rPr>
          <w:b/>
          <w:bCs/>
          <w:sz w:val="22"/>
          <w:szCs w:val="22"/>
        </w:rPr>
        <w:t>. CONCLUSION</w:t>
      </w:r>
    </w:p>
    <w:p w14:paraId="49926593" w14:textId="01CC6DC5" w:rsidR="000E2875" w:rsidRPr="00BA16E8" w:rsidRDefault="000E2875" w:rsidP="00C266BE">
      <w:pPr>
        <w:spacing w:after="120" w:line="276" w:lineRule="auto"/>
        <w:jc w:val="both"/>
      </w:pPr>
      <w:r w:rsidRPr="00BA16E8">
        <w:t xml:space="preserve">Implementing an ERP system in a developing-country SACCO is </w:t>
      </w:r>
      <w:r w:rsidR="00DD5AB1">
        <w:t>a genuine endeavour</w:t>
      </w:r>
      <w:r w:rsidRPr="00BA16E8">
        <w:t xml:space="preserve">. The odds, as documented by decades of evidence, are not favourable. </w:t>
      </w:r>
      <w:r w:rsidR="00DD5AB1">
        <w:t>However,</w:t>
      </w:r>
      <w:r w:rsidRPr="00BA16E8">
        <w:t xml:space="preserve"> the opportunity for profound, member-enriching transformation is equally real. What the evidence makes unambiguously clear is this: the outcome is not determined by the sophistication of the software, but by the organisation's capacity to understand, acknowledge, and manage its operational risk.</w:t>
      </w:r>
    </w:p>
    <w:p w14:paraId="104F9385" w14:textId="77777777" w:rsidR="000E2875" w:rsidRPr="00BA16E8" w:rsidRDefault="000E2875" w:rsidP="00C266BE">
      <w:pPr>
        <w:spacing w:after="120" w:line="276" w:lineRule="auto"/>
        <w:jc w:val="both"/>
      </w:pPr>
      <w:r w:rsidRPr="00BA16E8">
        <w:t>At its core, this is a human story. It is a story about leaders who provide consistent, visible support—not just a signed contract. About staff who are genuinely empowered through training and involvement rather than disenfranchised by a system imposed from above. About processes that are thoughtfully redesigned to serve members better, not merely automated to save costs. About risks that are discussed openly as a team and managed proactively, not buried until they explode.</w:t>
      </w:r>
    </w:p>
    <w:p w14:paraId="57DB03FF" w14:textId="77777777" w:rsidR="000E2875" w:rsidRPr="00BA16E8" w:rsidRDefault="000E2875" w:rsidP="00C266BE">
      <w:pPr>
        <w:spacing w:after="120" w:line="276" w:lineRule="auto"/>
        <w:jc w:val="both"/>
      </w:pPr>
      <w:r w:rsidRPr="00BA16E8">
        <w:t>The digital future of SACCOs—and the financial inclusion it promises for millions of people—cannot be secured through technology investment alone. It requires an equal, and arguably greater, investment in organisational readiness, change management capability, and risk management culture. The technology is a tool; the people who wield it, the processes that guide them, and the governance structures that support them will ultimately determine whether that tool builds something lasting.</w:t>
      </w:r>
    </w:p>
    <w:p w14:paraId="08352DB3" w14:textId="77777777" w:rsidR="000E2875" w:rsidRDefault="000E2875" w:rsidP="00C266BE">
      <w:pPr>
        <w:spacing w:after="120" w:line="276" w:lineRule="auto"/>
        <w:jc w:val="both"/>
      </w:pPr>
      <w:r w:rsidRPr="00BA16E8">
        <w:t>For policymakers, development partners, and SACCO leaders, the implication is direct: before asking "which ERP?" ask "are we ready?" That question, answered honestly and acted upon with discipline, is the true blueprint for success.</w:t>
      </w:r>
    </w:p>
    <w:p w14:paraId="756BCFFF" w14:textId="77777777" w:rsidR="00A64028" w:rsidRDefault="00A64028" w:rsidP="00A64028">
      <w:pPr>
        <w:rPr>
          <w:rFonts w:asciiTheme="minorHAnsi" w:eastAsiaTheme="minorHAnsi" w:hAnsiTheme="minorHAnsi" w:cstheme="minorBidi"/>
          <w:highlight w:val="yellow"/>
        </w:rPr>
      </w:pPr>
      <w:r>
        <w:rPr>
          <w:highlight w:val="yellow"/>
        </w:rPr>
        <w:t>Disclaimer (Artificial intelligence)</w:t>
      </w:r>
    </w:p>
    <w:p w14:paraId="44175934" w14:textId="77777777" w:rsidR="00A64028" w:rsidRDefault="00A64028" w:rsidP="00A64028">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4EC60B90" w14:textId="77777777" w:rsidR="00A64028" w:rsidRDefault="00A64028" w:rsidP="00A64028"/>
    <w:p w14:paraId="2206BD61" w14:textId="77777777" w:rsidR="000E2875" w:rsidRPr="00960AEC" w:rsidRDefault="000E2875" w:rsidP="00C266BE">
      <w:pPr>
        <w:spacing w:after="80"/>
        <w:jc w:val="both"/>
      </w:pPr>
      <w:bookmarkStart w:id="0" w:name="_GoBack"/>
      <w:bookmarkEnd w:id="0"/>
    </w:p>
    <w:p w14:paraId="779C0328" w14:textId="77777777" w:rsidR="000E2875" w:rsidRPr="00072705" w:rsidRDefault="000E2875" w:rsidP="00C266BE">
      <w:pPr>
        <w:pStyle w:val="Heading1"/>
        <w:spacing w:after="160"/>
        <w:jc w:val="both"/>
        <w:rPr>
          <w:rFonts w:ascii="Arial" w:hAnsi="Arial" w:cs="Arial"/>
          <w:sz w:val="20"/>
          <w:szCs w:val="20"/>
        </w:rPr>
      </w:pPr>
      <w:r w:rsidRPr="00072705">
        <w:rPr>
          <w:rFonts w:ascii="Arial" w:eastAsia="Times New Roman" w:hAnsi="Arial" w:cs="Arial"/>
          <w:b/>
          <w:bCs/>
          <w:sz w:val="20"/>
          <w:szCs w:val="20"/>
        </w:rPr>
        <w:t>REFERENCES</w:t>
      </w:r>
    </w:p>
    <w:p w14:paraId="37321C54" w14:textId="4990836A"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Akkermans, H., &amp; van Helden, K. (2002). Vicious and virtuous cycles in ERP implementation: A case study of interrelations between critical success factors. European Journal of Information Systems, 11(1), 35–46.</w:t>
      </w:r>
    </w:p>
    <w:p w14:paraId="187593AA" w14:textId="47575292"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Akinbowale, O. E., Klingelhöfer, H. E., Zerihun, M. F., &amp; Mashigo, P. (2024). Development of a policy and regulatory framework for mitigating cyberfraud in the South African banking industry. Heliyon, 10(1), e23491. https://doi.org/10.1016/j.heliyon.2023.e23491</w:t>
      </w:r>
    </w:p>
    <w:p w14:paraId="71AEAFBB" w14:textId="3A96D5AA"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Al-Mashari, M. (2002). Enterprise resource planning (ERP) systems: A research agenda. Industrial Management &amp; Data Systems, 102(3), 165–170.</w:t>
      </w:r>
    </w:p>
    <w:p w14:paraId="55988401" w14:textId="4953F66B"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Al-Mashari, M., &amp; Zairi, M. (2000). The effective application of SAP R/3: A proposed model of best practice. Logistics Information Management, 13(3), 156–166.</w:t>
      </w:r>
    </w:p>
    <w:p w14:paraId="570D09EE" w14:textId="62C492BF"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Aldasoro, I., Gambacorta, L., Giudici, P., &amp; Leach, T. (2023). Operational and cyber risks in the financial sector. International Journal of Central Banking, 19(5), 34</w:t>
      </w:r>
      <w:r w:rsidR="00E37F55">
        <w:rPr>
          <w:rFonts w:eastAsia="Times New Roman"/>
        </w:rPr>
        <w:t>0</w:t>
      </w:r>
      <w:r w:rsidRPr="000E2875">
        <w:rPr>
          <w:rFonts w:eastAsia="Times New Roman"/>
        </w:rPr>
        <w:t>–402.</w:t>
      </w:r>
    </w:p>
    <w:p w14:paraId="2A42DB0F" w14:textId="1A9BBF2A"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 xml:space="preserve">Ali, M., Edghiem, F., &amp; Alkhalifah, E. S. (2023). Cultural challenges of ERP implementation in </w:t>
      </w:r>
      <w:r w:rsidR="00DD5AB1">
        <w:rPr>
          <w:rFonts w:eastAsia="Times New Roman"/>
        </w:rPr>
        <w:t xml:space="preserve">the </w:t>
      </w:r>
      <w:r w:rsidRPr="000E2875">
        <w:rPr>
          <w:rFonts w:eastAsia="Times New Roman"/>
        </w:rPr>
        <w:t>Middle-Eastern oil &amp; gas sector: An action research approach. Systemic Practice and Action Research, 36(1), 111–140. https://doi.org/10.1007/s11213-022-09600-4</w:t>
      </w:r>
      <w:r w:rsidRPr="00960AEC">
        <w:t>.</w:t>
      </w:r>
    </w:p>
    <w:p w14:paraId="61DAA1FE" w14:textId="2B2CF7D6"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Aloini, D., Dulmin, R., &amp; Mininno, V. (2007). Risk management in ERP project introduction: Review of the literature. Information &amp; Management, 44(6), 547–567.</w:t>
      </w:r>
    </w:p>
    <w:p w14:paraId="1B857B6C" w14:textId="24237112"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lastRenderedPageBreak/>
        <w:t>African Development Finance Journal. (2025). Cybersecurity investment</w:t>
      </w:r>
      <w:r w:rsidR="00DD5AB1">
        <w:rPr>
          <w:rFonts w:eastAsia="Times New Roman"/>
        </w:rPr>
        <w:t>, sustainability,</w:t>
      </w:r>
      <w:r w:rsidRPr="000E2875">
        <w:rPr>
          <w:rFonts w:eastAsia="Times New Roman"/>
        </w:rPr>
        <w:t xml:space="preserve"> and fraud mitigation in East African financial institutions. African Development Finance Journal, 8(1). University of Nairobi</w:t>
      </w:r>
      <w:r w:rsidRPr="00960AEC">
        <w:t>.</w:t>
      </w:r>
    </w:p>
    <w:p w14:paraId="6ADC9228" w14:textId="120A3221"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 xml:space="preserve">Bakkabulindi, F. K., &amp; Bakkabulindi, N. (2020). Member participation in savings and credit cooperative societies (SACCOs): A conceptual analysis. Journal of Co-operative </w:t>
      </w:r>
      <w:r w:rsidR="00DD5AB1">
        <w:rPr>
          <w:rFonts w:eastAsia="Times New Roman"/>
        </w:rPr>
        <w:t>Organisation</w:t>
      </w:r>
      <w:r w:rsidRPr="000E2875">
        <w:rPr>
          <w:rFonts w:eastAsia="Times New Roman"/>
        </w:rPr>
        <w:t xml:space="preserve"> and Management, 8(1), 100–108.</w:t>
      </w:r>
    </w:p>
    <w:p w14:paraId="2AE00404" w14:textId="7ACE9292"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Bank for International Settlements. (2006). International convergence of capital measurement and capital standards: A revised framework (Basel II). BIS.</w:t>
      </w:r>
    </w:p>
    <w:p w14:paraId="6F06CE1D" w14:textId="0DE55A6C"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 xml:space="preserve">Birchall, J., &amp; Ketilson, L. H. (2009). Resilience of the cooperative business model in times of crisis. International Labour </w:t>
      </w:r>
      <w:r w:rsidR="00DD5AB1">
        <w:rPr>
          <w:rFonts w:eastAsia="Times New Roman"/>
        </w:rPr>
        <w:t>Organisation</w:t>
      </w:r>
      <w:r w:rsidRPr="000E2875">
        <w:rPr>
          <w:rFonts w:eastAsia="Times New Roman"/>
        </w:rPr>
        <w:t>.</w:t>
      </w:r>
    </w:p>
    <w:p w14:paraId="731E255E" w14:textId="67FDCEA5"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Braun, V., &amp; Clarke, V. (2006). Using thematic analysis in psychology. Qualitative Research in Psychology, 3(2), 77–101.</w:t>
      </w:r>
    </w:p>
    <w:p w14:paraId="668C8AA5" w14:textId="5C9D78E3"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 xml:space="preserve">Chinoda, T., &amp; Kapingura, F. M. (2024). Digital financial inclusion and economic growth in Sub-Saharan Africa: The role of institutions and governance. African Journal of Economic and Management Studies, 15(1), 15–30. https://doi.org/10.1108/AJEMS-09-2022-0372 </w:t>
      </w:r>
    </w:p>
    <w:p w14:paraId="38AFD3C1" w14:textId="0A0E0F67"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Davis, F. D. (1989). Perceived usefulness, perceived ease of use, and user acceptance of information technology. MIS Quarterly, 13(3), 319–340.</w:t>
      </w:r>
    </w:p>
    <w:p w14:paraId="4C5B5799" w14:textId="231F001E"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 xml:space="preserve">Dezdar, S., &amp; Ainin, S. (2011). The influence of </w:t>
      </w:r>
      <w:r w:rsidR="00DD5AB1">
        <w:rPr>
          <w:rFonts w:eastAsia="Times New Roman"/>
        </w:rPr>
        <w:t>organisational</w:t>
      </w:r>
      <w:r w:rsidRPr="000E2875">
        <w:rPr>
          <w:rFonts w:eastAsia="Times New Roman"/>
        </w:rPr>
        <w:t xml:space="preserve"> factors on successful ERP implementation. Management Decision, 49(6), 911–926.</w:t>
      </w:r>
    </w:p>
    <w:p w14:paraId="673C632B" w14:textId="290F52EB"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 xml:space="preserve">East African Journal of Business and Economics. (2025). Digital capability, knowledge capital, and governance in East African SACCOs: A systematic review of drivers of financial inclusion. East African Journal of Business and Economics. https://journals.eanso.org/index.php/eajbe/article/view/4709 </w:t>
      </w:r>
    </w:p>
    <w:p w14:paraId="12B5599E" w14:textId="2DD2C29F"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 xml:space="preserve">Ediagbonya, V., &amp; Tioluwani, C. (2023). The role of fintech in driving financial inclusion in developing and emerging markets: Issues, challenges and prospects. Technological Sustainability, 2(1), 100–119. https://doi.org/10.1108/TECHS-10-2021-0017 </w:t>
      </w:r>
    </w:p>
    <w:p w14:paraId="523BB294" w14:textId="7F2C04A3"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Gichira, R., &amp; Moronge, M. (2021). Influence of enterprise resource planning systems on the financial performance of deposit-taking SACCOs in Nairobi City County, Kenya. International Journal of Business and Social Science, 12(4), 55–66.</w:t>
      </w:r>
    </w:p>
    <w:p w14:paraId="573EA9BC" w14:textId="554C390A"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Hammer, M., &amp; Champy, J. (1993). Reengineering the corporation. Harper Business.</w:t>
      </w:r>
    </w:p>
    <w:p w14:paraId="1A028690" w14:textId="219F645B"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Heeks, R. (2002). Information systems and developing countries: Failure, success, and local improvisations. The Information Society, 18(2), 101–112.</w:t>
      </w:r>
    </w:p>
    <w:p w14:paraId="6DF1000D" w14:textId="741D5E8B"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 xml:space="preserve">Ifinedo, P., &amp; Nahar, N. (2009). Interactions between contingency, </w:t>
      </w:r>
      <w:r w:rsidR="00DD5AB1">
        <w:rPr>
          <w:rFonts w:eastAsia="Times New Roman"/>
        </w:rPr>
        <w:t>organisational</w:t>
      </w:r>
      <w:r w:rsidRPr="000E2875">
        <w:rPr>
          <w:rFonts w:eastAsia="Times New Roman"/>
        </w:rPr>
        <w:t xml:space="preserve"> IT factors, and ERP success. Industrial Management &amp; Data Systems, 109(1), 118–137.</w:t>
      </w:r>
    </w:p>
    <w:p w14:paraId="519BE656" w14:textId="24D9CFD7"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Kadondi, L., &amp; Kwasira, J. (2022). Influence of strategic leadership on implementation of enterprise resource planning in selected SACCOs in Nakuru County, Kenya. International Journal of Business and Social Science, 13(1), 77–85.</w:t>
      </w:r>
    </w:p>
    <w:p w14:paraId="64E05592" w14:textId="4A6A3752"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Karani, S., &amp; Gichuhi, D. (2022). Board governance and performance of deposit-taking SACCOs in Kenya. Journal of Finance and Accounting, 6(2), 34–47.</w:t>
      </w:r>
    </w:p>
    <w:p w14:paraId="0D3FA433" w14:textId="108F84D4"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Ko, D. G., &amp; Kirsch, L. J. (2017). The hybrid IT project manager: The role of business knowledge and technical skills in project success. Journal of Information Technology, 32(2), 152–169.</w:t>
      </w:r>
    </w:p>
    <w:p w14:paraId="5D8AEA0E" w14:textId="7E177169"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Kotter, J. P. (1996). Leading change. Harvard Business School Press.</w:t>
      </w:r>
    </w:p>
    <w:p w14:paraId="3541F766" w14:textId="7752F74A"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 xml:space="preserve">Magashi, C., Agbinya, J., Sam, A., &amp; Mbelwa, J. (2023). Indicative factors for </w:t>
      </w:r>
      <w:r w:rsidR="00DD5AB1">
        <w:rPr>
          <w:rFonts w:eastAsia="Times New Roman"/>
        </w:rPr>
        <w:t>SACCOs'</w:t>
      </w:r>
      <w:r w:rsidRPr="000E2875">
        <w:rPr>
          <w:rFonts w:eastAsia="Times New Roman"/>
        </w:rPr>
        <w:t xml:space="preserve"> failure in Tanzania. Engineering, Technology &amp; Applied Science Research, 13(4), 11177–11181. https://doi.org/10.48084/etasr.5943 </w:t>
      </w:r>
    </w:p>
    <w:p w14:paraId="3EBCD581" w14:textId="1F870843"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 xml:space="preserve">Malik, A., &amp; Khan, M. A. (2020). Analysis of ERP implementation to develop a strategy for its success in developing countries. Production Planning &amp; Control, 32(12), 1020–1035. https://doi.org/10.1080/09537287.2020.1784481 </w:t>
      </w:r>
    </w:p>
    <w:p w14:paraId="6D577A58" w14:textId="68FC3C51"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Markus, M. L. (1983). Power, politics, and MIS implementation. Communications of the ACM, 26(6), 430–444.</w:t>
      </w:r>
    </w:p>
    <w:p w14:paraId="4FFD82EB" w14:textId="3D6C2253"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 xml:space="preserve">Mbiti, I., &amp; Weil, D. N. (2015). Mobile banking: The impact of M-Pesa in Kenya. In African Successes, Volume III: </w:t>
      </w:r>
      <w:r w:rsidR="00DD5AB1">
        <w:rPr>
          <w:rFonts w:eastAsia="Times New Roman"/>
        </w:rPr>
        <w:t>Modernisation</w:t>
      </w:r>
      <w:r w:rsidRPr="000E2875">
        <w:rPr>
          <w:rFonts w:eastAsia="Times New Roman"/>
        </w:rPr>
        <w:t xml:space="preserve"> and Development (pp. 247–293). University of Chicago Press.</w:t>
      </w:r>
    </w:p>
    <w:p w14:paraId="4B946270" w14:textId="24E83947"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Moyo, T. (2022). Cybersecurity threats in the African financial services sector: A review. Journal of Financial Crime, 29(4), 1212–1226.</w:t>
      </w:r>
    </w:p>
    <w:p w14:paraId="16914033" w14:textId="299E2771"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lastRenderedPageBreak/>
        <w:t>Muiruri, D., &amp; Ngugi, J. (2021). Effect of digital transformation on the performance of SACCOs in Kenya. The Strategic Journal of Business &amp; Change Management, 8(2), 456–471.</w:t>
      </w:r>
    </w:p>
    <w:p w14:paraId="5D58B260" w14:textId="466455A6"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Nah, F. F.-H., Lau, J. L.-S., &amp; Kuang, J. (2001). Critical factors for successful ERP implementation. Business Process Management Journal, 7(3), 285–296.</w:t>
      </w:r>
    </w:p>
    <w:p w14:paraId="2EC00284" w14:textId="1960596E"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 xml:space="preserve">Nassuna, A. N., Jeppesen, S., &amp; Balunywa, W. (2024). Leveraging growth of savings and credit cooperatives through innovative practices: Cases from Uganda. African Journal of Economic and Management Studies, 15(4), 781–792. https://doi.org/10.1108/AJEMS-02-2023-0044 </w:t>
      </w:r>
    </w:p>
    <w:p w14:paraId="172D3C2D" w14:textId="1149B08B"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Ochieng, J. (2021). ERP implementation challenges in developing countries: A case of the public sector in Kenya. Unpublished doctoral dissertation, University of Nairobi.</w:t>
      </w:r>
    </w:p>
    <w:p w14:paraId="3D6A42FE" w14:textId="5E433F22"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Okungu, K., &amp; Kinyua, A. (2020). Process re-engineering and ERP implementation success in SACCOs in Kisumu County, Kenya. International Journal of Current Aspects, 4(3), 98–112.</w:t>
      </w:r>
    </w:p>
    <w:p w14:paraId="3098F067" w14:textId="6447912E"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Panorama Consulting. (2023). 2023 ERP report: The state of ERP. Panorama Consulting Solutions.</w:t>
      </w:r>
    </w:p>
    <w:p w14:paraId="764B68FF" w14:textId="799FA1C3"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 xml:space="preserve">SACCO Societies Regulatory Authority (SASRA). (2023). Annual SACCO supervision report 2023. SASRA. </w:t>
      </w:r>
    </w:p>
    <w:p w14:paraId="4607E6B6" w14:textId="3A85C044"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Sarker, S., &amp; Lee, A. S. (2003). Using a case study to test the role of three key social enablers in ERP implementation. Information &amp; Management, 40(8), 813–829.</w:t>
      </w:r>
    </w:p>
    <w:p w14:paraId="5A1B0DC2" w14:textId="43789469"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Somers, T. M., &amp; Nelson, K. G. (2001). The impact of critical success factors across the ERP life cycle. Proceedings of the 34th Hawaii International Conference on System Sciences.</w:t>
      </w:r>
    </w:p>
    <w:p w14:paraId="5AEBB666" w14:textId="7CFF1229"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Standish Group. (2020). CHAOS report 2020: Beyond infinity. The Standish Group International.</w:t>
      </w:r>
    </w:p>
    <w:p w14:paraId="1FC1489D" w14:textId="0A70828E"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Umble, E. J., &amp; Umble, M. M. (2003). Avoiding ERP implementation failure. Industrial Management, 45(1), 25–33.</w:t>
      </w:r>
    </w:p>
    <w:p w14:paraId="6F6842E2" w14:textId="0A77BB44" w:rsidR="000E2875" w:rsidRPr="000E2875"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Venkatesh, V., Morris, M. G., Davis, G. B., &amp; Davis, F. D. (2003). User acceptance of information technology: Toward a unified view. MIS Quarterly, 27(3), 425–478.</w:t>
      </w:r>
    </w:p>
    <w:p w14:paraId="2923F86E" w14:textId="235E203F" w:rsidR="000E2875" w:rsidRDefault="000E2875" w:rsidP="00C266BE">
      <w:pPr>
        <w:pStyle w:val="ListParagraph"/>
        <w:numPr>
          <w:ilvl w:val="0"/>
          <w:numId w:val="2"/>
        </w:numPr>
        <w:tabs>
          <w:tab w:val="left" w:pos="630"/>
        </w:tabs>
        <w:spacing w:after="120" w:line="276" w:lineRule="auto"/>
        <w:ind w:left="630" w:hanging="720"/>
        <w:jc w:val="both"/>
      </w:pPr>
      <w:r w:rsidRPr="000E2875">
        <w:t xml:space="preserve">Butarbutar, Z. T., Handayani, P. W., Suryono, R. R., &amp; Wibowo, W. S. (2023). Systematic literature review of critical success factors on enterprise resource planning </w:t>
      </w:r>
      <w:r w:rsidR="00DD5AB1">
        <w:t>post-implementation</w:t>
      </w:r>
      <w:r w:rsidRPr="000E2875">
        <w:t>. Cogent Business &amp; Management, 10(3), Article 2264001. https://doi.org/10.1080/23311975.2023.2264001</w:t>
      </w:r>
    </w:p>
    <w:p w14:paraId="18355049" w14:textId="60BC9629" w:rsidR="000E2875" w:rsidRPr="00960AEC" w:rsidRDefault="000E2875" w:rsidP="00C266BE">
      <w:pPr>
        <w:pStyle w:val="ListParagraph"/>
        <w:numPr>
          <w:ilvl w:val="0"/>
          <w:numId w:val="2"/>
        </w:numPr>
        <w:tabs>
          <w:tab w:val="left" w:pos="630"/>
        </w:tabs>
        <w:spacing w:after="120" w:line="276" w:lineRule="auto"/>
        <w:ind w:left="630" w:hanging="720"/>
        <w:jc w:val="both"/>
      </w:pPr>
      <w:r w:rsidRPr="000E2875">
        <w:t xml:space="preserve">Wang, D., Kakar, A. S., Khan, M. K., Iftikhar Ali, M., Hoo, W. C., Liau, C. H., &amp; Khan, M. A. (2024). </w:t>
      </w:r>
      <w:r w:rsidR="00DD5AB1">
        <w:t>Digitalisation</w:t>
      </w:r>
      <w:r w:rsidRPr="000E2875">
        <w:t xml:space="preserve"> of present work process: Investigating the role of leadership, change management and top management support in the success of enterprise resource planning projects. Sustainability, 16(24), Article 11178. https://doi.org/10.3390/su162411178</w:t>
      </w:r>
    </w:p>
    <w:p w14:paraId="7C19ACF4" w14:textId="5B878A7C" w:rsidR="000E2875" w:rsidRPr="00960AEC" w:rsidRDefault="000E2875" w:rsidP="00C266BE">
      <w:pPr>
        <w:pStyle w:val="ListParagraph"/>
        <w:numPr>
          <w:ilvl w:val="0"/>
          <w:numId w:val="2"/>
        </w:numPr>
        <w:tabs>
          <w:tab w:val="left" w:pos="630"/>
        </w:tabs>
        <w:spacing w:after="120" w:line="276" w:lineRule="auto"/>
        <w:ind w:left="630" w:hanging="630"/>
        <w:jc w:val="both"/>
      </w:pPr>
      <w:r w:rsidRPr="000E2875">
        <w:rPr>
          <w:rFonts w:eastAsia="Times New Roman"/>
        </w:rPr>
        <w:t>Wanyama, F. O. (20</w:t>
      </w:r>
      <w:r w:rsidR="002F739D">
        <w:rPr>
          <w:rFonts w:eastAsia="Times New Roman"/>
        </w:rPr>
        <w:t>14</w:t>
      </w:r>
      <w:r w:rsidRPr="000E2875">
        <w:rPr>
          <w:rFonts w:eastAsia="Times New Roman"/>
        </w:rPr>
        <w:t xml:space="preserve">). Cooperatives and the sustainable development goals: A case study of Kenya. International Labour </w:t>
      </w:r>
      <w:r w:rsidR="00DD5AB1">
        <w:rPr>
          <w:rFonts w:eastAsia="Times New Roman"/>
        </w:rPr>
        <w:t>Organisation</w:t>
      </w:r>
      <w:r w:rsidRPr="000E2875">
        <w:rPr>
          <w:rFonts w:eastAsia="Times New Roman"/>
        </w:rPr>
        <w:t>.</w:t>
      </w:r>
    </w:p>
    <w:p w14:paraId="000D13AA" w14:textId="77777777" w:rsidR="000E2875" w:rsidRPr="00960AEC" w:rsidRDefault="000E2875" w:rsidP="00C266BE">
      <w:pPr>
        <w:spacing w:after="120" w:line="276" w:lineRule="auto"/>
        <w:jc w:val="both"/>
      </w:pPr>
    </w:p>
    <w:p w14:paraId="3F3DA94E" w14:textId="77777777" w:rsidR="00851019" w:rsidRDefault="00851019" w:rsidP="00C266BE">
      <w:pPr>
        <w:jc w:val="both"/>
      </w:pPr>
    </w:p>
    <w:sectPr w:rsidR="00851019" w:rsidSect="000E28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1720A" w14:textId="77777777" w:rsidR="00356781" w:rsidRDefault="00356781">
      <w:r>
        <w:separator/>
      </w:r>
    </w:p>
  </w:endnote>
  <w:endnote w:type="continuationSeparator" w:id="0">
    <w:p w14:paraId="7CA3F826" w14:textId="77777777" w:rsidR="00356781" w:rsidRDefault="0035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15D9C" w14:textId="77777777" w:rsidR="004320D8" w:rsidRDefault="00432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85AE0" w14:textId="77777777" w:rsidR="004320D8" w:rsidRDefault="004320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323B0" w14:textId="77777777" w:rsidR="004320D8" w:rsidRDefault="00432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12273" w14:textId="77777777" w:rsidR="00356781" w:rsidRDefault="00356781">
      <w:r>
        <w:separator/>
      </w:r>
    </w:p>
  </w:footnote>
  <w:footnote w:type="continuationSeparator" w:id="0">
    <w:p w14:paraId="31B16622" w14:textId="77777777" w:rsidR="00356781" w:rsidRDefault="00356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7C276" w14:textId="77777777" w:rsidR="004320D8" w:rsidRDefault="00356781">
    <w:pPr>
      <w:pStyle w:val="Header"/>
    </w:pPr>
    <w:r>
      <w:rPr>
        <w:noProof/>
      </w:rPr>
      <w:pict w14:anchorId="3A6B9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25532" o:spid="_x0000_s2050" type="#_x0000_t136" style="position:absolute;margin-left:0;margin-top:0;width:571.65pt;height:64.5pt;rotation:315;z-index:-25165619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3767D" w14:textId="77777777" w:rsidR="004320D8" w:rsidRDefault="00356781">
    <w:pPr>
      <w:pStyle w:val="Header"/>
    </w:pPr>
    <w:r>
      <w:rPr>
        <w:noProof/>
      </w:rPr>
      <w:pict w14:anchorId="4BF7F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25533" o:spid="_x0000_s2051"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0583" w14:textId="77777777" w:rsidR="004320D8" w:rsidRDefault="00356781">
    <w:pPr>
      <w:pStyle w:val="Header"/>
    </w:pPr>
    <w:r>
      <w:rPr>
        <w:noProof/>
      </w:rPr>
      <w:pict w14:anchorId="0248A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25531" o:spid="_x0000_s2049" type="#_x0000_t136" style="position:absolute;margin-left:0;margin-top:0;width:571.65pt;height:64.5pt;rotation:315;z-index:-25165824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0212"/>
    <w:multiLevelType w:val="hybridMultilevel"/>
    <w:tmpl w:val="4BF8BD4A"/>
    <w:lvl w:ilvl="0" w:tplc="C39494FA">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7110BA"/>
    <w:multiLevelType w:val="hybridMultilevel"/>
    <w:tmpl w:val="DF541F8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75"/>
    <w:rsid w:val="000E2875"/>
    <w:rsid w:val="000E751A"/>
    <w:rsid w:val="001332AE"/>
    <w:rsid w:val="00242506"/>
    <w:rsid w:val="002F739D"/>
    <w:rsid w:val="003173AC"/>
    <w:rsid w:val="00356781"/>
    <w:rsid w:val="004109BC"/>
    <w:rsid w:val="004320D8"/>
    <w:rsid w:val="004B06F8"/>
    <w:rsid w:val="00551309"/>
    <w:rsid w:val="00562351"/>
    <w:rsid w:val="006253C9"/>
    <w:rsid w:val="00637F39"/>
    <w:rsid w:val="006C09E0"/>
    <w:rsid w:val="00851019"/>
    <w:rsid w:val="00944238"/>
    <w:rsid w:val="009D2E9D"/>
    <w:rsid w:val="009E0825"/>
    <w:rsid w:val="00A64028"/>
    <w:rsid w:val="00A877D2"/>
    <w:rsid w:val="00C1472B"/>
    <w:rsid w:val="00C266BE"/>
    <w:rsid w:val="00CC7ACB"/>
    <w:rsid w:val="00CE59C5"/>
    <w:rsid w:val="00DD5AB1"/>
    <w:rsid w:val="00E37F55"/>
    <w:rsid w:val="00E46BF8"/>
    <w:rsid w:val="00E50B80"/>
    <w:rsid w:val="00ED2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E50369"/>
  <w15:chartTrackingRefBased/>
  <w15:docId w15:val="{71848A40-D20D-4AEF-A0F2-2C7E2CEC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2875"/>
    <w:pPr>
      <w:spacing w:after="0" w:line="240" w:lineRule="auto"/>
    </w:pPr>
    <w:rPr>
      <w:rFonts w:ascii="Arial" w:eastAsia="Arial" w:hAnsi="Arial" w:cs="Arial"/>
      <w:kern w:val="0"/>
      <w:sz w:val="20"/>
      <w:szCs w:val="20"/>
      <w14:ligatures w14:val="none"/>
    </w:rPr>
  </w:style>
  <w:style w:type="paragraph" w:styleId="Heading1">
    <w:name w:val="heading 1"/>
    <w:basedOn w:val="Normal"/>
    <w:next w:val="Normal"/>
    <w:link w:val="Heading1Char"/>
    <w:uiPriority w:val="9"/>
    <w:qFormat/>
    <w:rsid w:val="000E2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2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28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28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28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28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8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8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8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8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28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28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28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28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2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875"/>
    <w:rPr>
      <w:rFonts w:eastAsiaTheme="majorEastAsia" w:cstheme="majorBidi"/>
      <w:color w:val="272727" w:themeColor="text1" w:themeTint="D8"/>
    </w:rPr>
  </w:style>
  <w:style w:type="paragraph" w:styleId="Title">
    <w:name w:val="Title"/>
    <w:basedOn w:val="Normal"/>
    <w:next w:val="Normal"/>
    <w:link w:val="TitleChar"/>
    <w:uiPriority w:val="10"/>
    <w:qFormat/>
    <w:rsid w:val="000E28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875"/>
    <w:pPr>
      <w:spacing w:before="160"/>
      <w:jc w:val="center"/>
    </w:pPr>
    <w:rPr>
      <w:i/>
      <w:iCs/>
      <w:color w:val="404040" w:themeColor="text1" w:themeTint="BF"/>
    </w:rPr>
  </w:style>
  <w:style w:type="character" w:customStyle="1" w:styleId="QuoteChar">
    <w:name w:val="Quote Char"/>
    <w:basedOn w:val="DefaultParagraphFont"/>
    <w:link w:val="Quote"/>
    <w:uiPriority w:val="29"/>
    <w:rsid w:val="000E2875"/>
    <w:rPr>
      <w:i/>
      <w:iCs/>
      <w:color w:val="404040" w:themeColor="text1" w:themeTint="BF"/>
    </w:rPr>
  </w:style>
  <w:style w:type="paragraph" w:styleId="ListParagraph">
    <w:name w:val="List Paragraph"/>
    <w:basedOn w:val="Normal"/>
    <w:uiPriority w:val="34"/>
    <w:qFormat/>
    <w:rsid w:val="000E2875"/>
    <w:pPr>
      <w:ind w:left="720"/>
      <w:contextualSpacing/>
    </w:pPr>
  </w:style>
  <w:style w:type="character" w:styleId="IntenseEmphasis">
    <w:name w:val="Intense Emphasis"/>
    <w:basedOn w:val="DefaultParagraphFont"/>
    <w:uiPriority w:val="21"/>
    <w:qFormat/>
    <w:rsid w:val="000E2875"/>
    <w:rPr>
      <w:i/>
      <w:iCs/>
      <w:color w:val="2F5496" w:themeColor="accent1" w:themeShade="BF"/>
    </w:rPr>
  </w:style>
  <w:style w:type="paragraph" w:styleId="IntenseQuote">
    <w:name w:val="Intense Quote"/>
    <w:basedOn w:val="Normal"/>
    <w:next w:val="Normal"/>
    <w:link w:val="IntenseQuoteChar"/>
    <w:uiPriority w:val="30"/>
    <w:qFormat/>
    <w:rsid w:val="000E2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2875"/>
    <w:rPr>
      <w:i/>
      <w:iCs/>
      <w:color w:val="2F5496" w:themeColor="accent1" w:themeShade="BF"/>
    </w:rPr>
  </w:style>
  <w:style w:type="character" w:styleId="IntenseReference">
    <w:name w:val="Intense Reference"/>
    <w:basedOn w:val="DefaultParagraphFont"/>
    <w:uiPriority w:val="32"/>
    <w:qFormat/>
    <w:rsid w:val="000E2875"/>
    <w:rPr>
      <w:b/>
      <w:bCs/>
      <w:smallCaps/>
      <w:color w:val="2F5496" w:themeColor="accent1" w:themeShade="BF"/>
      <w:spacing w:val="5"/>
    </w:rPr>
  </w:style>
  <w:style w:type="paragraph" w:styleId="Header">
    <w:name w:val="header"/>
    <w:basedOn w:val="Normal"/>
    <w:link w:val="HeaderChar"/>
    <w:uiPriority w:val="99"/>
    <w:unhideWhenUsed/>
    <w:rsid w:val="000E2875"/>
    <w:pPr>
      <w:tabs>
        <w:tab w:val="center" w:pos="4680"/>
        <w:tab w:val="right" w:pos="9360"/>
      </w:tabs>
    </w:pPr>
  </w:style>
  <w:style w:type="character" w:customStyle="1" w:styleId="HeaderChar">
    <w:name w:val="Header Char"/>
    <w:basedOn w:val="DefaultParagraphFont"/>
    <w:link w:val="Header"/>
    <w:uiPriority w:val="99"/>
    <w:rsid w:val="000E2875"/>
    <w:rPr>
      <w:rFonts w:ascii="Arial" w:eastAsia="Arial" w:hAnsi="Arial" w:cs="Arial"/>
      <w:kern w:val="0"/>
      <w:sz w:val="20"/>
      <w:szCs w:val="20"/>
      <w14:ligatures w14:val="none"/>
    </w:rPr>
  </w:style>
  <w:style w:type="paragraph" w:styleId="Footer">
    <w:name w:val="footer"/>
    <w:basedOn w:val="Normal"/>
    <w:link w:val="FooterChar"/>
    <w:uiPriority w:val="99"/>
    <w:unhideWhenUsed/>
    <w:rsid w:val="000E2875"/>
    <w:pPr>
      <w:tabs>
        <w:tab w:val="center" w:pos="4680"/>
        <w:tab w:val="right" w:pos="9360"/>
      </w:tabs>
    </w:pPr>
  </w:style>
  <w:style w:type="character" w:customStyle="1" w:styleId="FooterChar">
    <w:name w:val="Footer Char"/>
    <w:basedOn w:val="DefaultParagraphFont"/>
    <w:link w:val="Footer"/>
    <w:uiPriority w:val="99"/>
    <w:rsid w:val="000E2875"/>
    <w:rPr>
      <w:rFonts w:ascii="Arial" w:eastAsia="Arial" w:hAnsi="Arial" w:cs="Arial"/>
      <w:kern w:val="0"/>
      <w:sz w:val="20"/>
      <w:szCs w:val="20"/>
      <w14:ligatures w14:val="none"/>
    </w:rPr>
  </w:style>
  <w:style w:type="character" w:styleId="Hyperlink">
    <w:name w:val="Hyperlink"/>
    <w:basedOn w:val="DefaultParagraphFont"/>
    <w:uiPriority w:val="99"/>
    <w:unhideWhenUsed/>
    <w:rsid w:val="000E2875"/>
    <w:rPr>
      <w:color w:val="0563C1" w:themeColor="hyperlink"/>
      <w:u w:val="single"/>
    </w:rPr>
  </w:style>
  <w:style w:type="character" w:styleId="UnresolvedMention">
    <w:name w:val="Unresolved Mention"/>
    <w:basedOn w:val="DefaultParagraphFont"/>
    <w:uiPriority w:val="99"/>
    <w:semiHidden/>
    <w:unhideWhenUsed/>
    <w:rsid w:val="000E2875"/>
    <w:rPr>
      <w:color w:val="605E5C"/>
      <w:shd w:val="clear" w:color="auto" w:fill="E1DFDD"/>
    </w:rPr>
  </w:style>
  <w:style w:type="paragraph" w:styleId="Revision">
    <w:name w:val="Revision"/>
    <w:hidden/>
    <w:uiPriority w:val="99"/>
    <w:semiHidden/>
    <w:rsid w:val="00562351"/>
    <w:pPr>
      <w:spacing w:after="0" w:line="240" w:lineRule="auto"/>
    </w:pPr>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735595">
      <w:bodyDiv w:val="1"/>
      <w:marLeft w:val="0"/>
      <w:marRight w:val="0"/>
      <w:marTop w:val="0"/>
      <w:marBottom w:val="0"/>
      <w:divBdr>
        <w:top w:val="none" w:sz="0" w:space="0" w:color="auto"/>
        <w:left w:val="none" w:sz="0" w:space="0" w:color="auto"/>
        <w:bottom w:val="none" w:sz="0" w:space="0" w:color="auto"/>
        <w:right w:val="none" w:sz="0" w:space="0" w:color="auto"/>
      </w:divBdr>
    </w:div>
    <w:div w:id="1800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9</Pages>
  <Words>5332</Words>
  <Characters>30395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Muriuki</dc:creator>
  <cp:keywords/>
  <dc:description/>
  <cp:lastModifiedBy>SDI 1022</cp:lastModifiedBy>
  <cp:revision>11</cp:revision>
  <dcterms:created xsi:type="dcterms:W3CDTF">2026-04-07T23:37:00Z</dcterms:created>
  <dcterms:modified xsi:type="dcterms:W3CDTF">2026-04-10T08:50:00Z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ff1a5e17-fea7-4ee6-9dee-8c58b783b76b</vt:lpwstr>
  </property>
</Properties>
</file>