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E857D" w14:textId="59F204E4" w:rsidR="00BC41AC" w:rsidRPr="0003440F" w:rsidRDefault="000842F5" w:rsidP="000842F5">
      <w:pPr>
        <w:spacing w:before="100" w:beforeAutospacing="1" w:after="100" w:afterAutospacing="1" w:line="240" w:lineRule="auto"/>
        <w:jc w:val="center"/>
        <w:rPr>
          <w:rFonts w:ascii="Times New Roman" w:eastAsia="Times New Roman" w:hAnsi="Times New Roman" w:cs="Times New Roman"/>
          <w:b/>
          <w:bCs/>
          <w:sz w:val="24"/>
          <w:szCs w:val="24"/>
        </w:rPr>
      </w:pPr>
      <w:r w:rsidRPr="0003440F">
        <w:rPr>
          <w:rFonts w:ascii="Times New Roman" w:eastAsia="Times New Roman" w:hAnsi="Times New Roman" w:cs="Times New Roman"/>
          <w:b/>
          <w:bCs/>
          <w:sz w:val="24"/>
          <w:szCs w:val="24"/>
        </w:rPr>
        <w:t>CLIMATE CHANGE AND ECONOMIC PERFORMANCE: EMPIRICAL EVIDENCE FROM WEST AFRICAN COUNTRIES</w:t>
      </w:r>
      <w:r w:rsidR="001D39BB" w:rsidRPr="0003440F">
        <w:rPr>
          <w:rFonts w:ascii="Times New Roman" w:eastAsia="Times New Roman" w:hAnsi="Times New Roman" w:cs="Times New Roman"/>
          <w:b/>
          <w:bCs/>
          <w:sz w:val="24"/>
          <w:szCs w:val="24"/>
        </w:rPr>
        <w:t xml:space="preserve"> </w:t>
      </w:r>
      <w:r w:rsidR="003C6B64" w:rsidRPr="0003440F">
        <w:rPr>
          <w:rFonts w:ascii="Times New Roman" w:eastAsia="Times New Roman" w:hAnsi="Times New Roman" w:cs="Times New Roman"/>
          <w:b/>
          <w:bCs/>
          <w:sz w:val="24"/>
          <w:szCs w:val="24"/>
        </w:rPr>
        <w:t>(1994</w:t>
      </w:r>
      <w:r w:rsidR="001D39BB" w:rsidRPr="0003440F">
        <w:rPr>
          <w:rFonts w:ascii="Times New Roman" w:eastAsia="Times New Roman" w:hAnsi="Times New Roman" w:cs="Times New Roman"/>
          <w:b/>
          <w:bCs/>
          <w:sz w:val="24"/>
          <w:szCs w:val="24"/>
        </w:rPr>
        <w:t>-2025)</w:t>
      </w:r>
    </w:p>
    <w:p w14:paraId="63633F18" w14:textId="77777777" w:rsidR="00527487" w:rsidRPr="0003440F" w:rsidRDefault="00527487" w:rsidP="000842F5">
      <w:pPr>
        <w:spacing w:before="100" w:beforeAutospacing="1" w:after="0" w:line="240" w:lineRule="auto"/>
        <w:jc w:val="center"/>
        <w:rPr>
          <w:rFonts w:ascii="Times New Roman" w:eastAsia="Times New Roman" w:hAnsi="Times New Roman" w:cs="Times New Roman"/>
          <w:sz w:val="24"/>
          <w:szCs w:val="24"/>
        </w:rPr>
      </w:pPr>
      <w:r w:rsidRPr="0003440F">
        <w:rPr>
          <w:rFonts w:ascii="Times New Roman" w:eastAsia="Times New Roman" w:hAnsi="Times New Roman" w:cs="Times New Roman"/>
          <w:b/>
          <w:bCs/>
          <w:sz w:val="24"/>
          <w:szCs w:val="24"/>
        </w:rPr>
        <w:t>Abstract</w:t>
      </w:r>
    </w:p>
    <w:p w14:paraId="7178673D" w14:textId="09E85F2E" w:rsidR="00527487" w:rsidRPr="0003440F" w:rsidRDefault="00527487" w:rsidP="00AA2EDB">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 xml:space="preserve">This study examines the macroeconomic consequences of climate change in West African countries. </w:t>
      </w:r>
      <w:r w:rsidR="00327635" w:rsidRPr="0003440F">
        <w:rPr>
          <w:rFonts w:ascii="Times New Roman" w:eastAsia="Times New Roman" w:hAnsi="Times New Roman" w:cs="Times New Roman"/>
          <w:sz w:val="24"/>
          <w:szCs w:val="24"/>
        </w:rPr>
        <w:t xml:space="preserve">The study </w:t>
      </w:r>
      <w:r w:rsidR="00327635" w:rsidRPr="0003440F">
        <w:rPr>
          <w:rFonts w:ascii="Times New Roman" w:hAnsi="Times New Roman" w:cs="Times New Roman"/>
          <w:sz w:val="24"/>
          <w:szCs w:val="24"/>
        </w:rPr>
        <w:t xml:space="preserve">covered </w:t>
      </w:r>
      <w:r w:rsidR="00327635" w:rsidRPr="0003440F">
        <w:rPr>
          <w:rStyle w:val="Strong"/>
          <w:rFonts w:ascii="Times New Roman" w:hAnsi="Times New Roman" w:cs="Times New Roman"/>
          <w:b w:val="0"/>
          <w:sz w:val="24"/>
          <w:szCs w:val="24"/>
        </w:rPr>
        <w:t xml:space="preserve">five West African countries Nigeria, Ghana, Senegal, Mali, and Niger over the period </w:t>
      </w:r>
      <w:r w:rsidR="00750158" w:rsidRPr="0003440F">
        <w:rPr>
          <w:rStyle w:val="Strong"/>
          <w:rFonts w:ascii="Times New Roman" w:hAnsi="Times New Roman" w:cs="Times New Roman"/>
          <w:b w:val="0"/>
          <w:sz w:val="24"/>
          <w:szCs w:val="24"/>
        </w:rPr>
        <w:t>1994</w:t>
      </w:r>
      <w:r w:rsidR="00327635" w:rsidRPr="0003440F">
        <w:rPr>
          <w:rStyle w:val="Strong"/>
          <w:rFonts w:ascii="Times New Roman" w:hAnsi="Times New Roman" w:cs="Times New Roman"/>
          <w:b w:val="0"/>
          <w:sz w:val="24"/>
          <w:szCs w:val="24"/>
        </w:rPr>
        <w:t>–2025</w:t>
      </w:r>
      <w:r w:rsidR="00327635" w:rsidRPr="0003440F">
        <w:rPr>
          <w:rFonts w:ascii="Times New Roman" w:hAnsi="Times New Roman" w:cs="Times New Roman"/>
          <w:sz w:val="24"/>
          <w:szCs w:val="24"/>
        </w:rPr>
        <w:t xml:space="preserve">. The selection of these countries reflects their diverse ecological zones, including both </w:t>
      </w:r>
      <w:r w:rsidR="00327635" w:rsidRPr="0003440F">
        <w:rPr>
          <w:rStyle w:val="Strong"/>
          <w:rFonts w:ascii="Times New Roman" w:hAnsi="Times New Roman" w:cs="Times New Roman"/>
          <w:b w:val="0"/>
          <w:sz w:val="24"/>
          <w:szCs w:val="24"/>
        </w:rPr>
        <w:t>coastal economies</w:t>
      </w:r>
      <w:r w:rsidR="00327635" w:rsidRPr="0003440F">
        <w:rPr>
          <w:rFonts w:ascii="Times New Roman" w:hAnsi="Times New Roman" w:cs="Times New Roman"/>
          <w:sz w:val="24"/>
          <w:szCs w:val="24"/>
        </w:rPr>
        <w:t xml:space="preserve"> (Nigeria, Ghana, Senegal) and </w:t>
      </w:r>
      <w:r w:rsidR="00327635" w:rsidRPr="0003440F">
        <w:rPr>
          <w:rStyle w:val="Strong"/>
          <w:rFonts w:ascii="Times New Roman" w:hAnsi="Times New Roman" w:cs="Times New Roman"/>
          <w:b w:val="0"/>
          <w:sz w:val="24"/>
          <w:szCs w:val="24"/>
        </w:rPr>
        <w:t>Sahelian economies</w:t>
      </w:r>
      <w:r w:rsidR="00327635" w:rsidRPr="0003440F">
        <w:rPr>
          <w:rFonts w:ascii="Times New Roman" w:hAnsi="Times New Roman" w:cs="Times New Roman"/>
          <w:sz w:val="24"/>
          <w:szCs w:val="24"/>
        </w:rPr>
        <w:t xml:space="preserve"> (Mali, Niger). The study integrates </w:t>
      </w:r>
      <w:r w:rsidR="00327635" w:rsidRPr="0003440F">
        <w:rPr>
          <w:rStyle w:val="Strong"/>
          <w:rFonts w:ascii="Times New Roman" w:hAnsi="Times New Roman" w:cs="Times New Roman"/>
          <w:b w:val="0"/>
          <w:sz w:val="24"/>
          <w:szCs w:val="24"/>
        </w:rPr>
        <w:t>multi-source datasets</w:t>
      </w:r>
      <w:r w:rsidR="00327635" w:rsidRPr="0003440F">
        <w:rPr>
          <w:rFonts w:ascii="Times New Roman" w:hAnsi="Times New Roman" w:cs="Times New Roman"/>
          <w:sz w:val="24"/>
          <w:szCs w:val="24"/>
        </w:rPr>
        <w:t xml:space="preserve"> to capture both climatic and economic variables</w:t>
      </w:r>
      <w:r w:rsidR="00D8336F" w:rsidRPr="0003440F">
        <w:rPr>
          <w:rFonts w:ascii="Times New Roman" w:eastAsia="Times New Roman" w:hAnsi="Times New Roman" w:cs="Times New Roman"/>
          <w:sz w:val="24"/>
          <w:szCs w:val="24"/>
        </w:rPr>
        <w:t xml:space="preserve">. </w:t>
      </w:r>
      <w:r w:rsidRPr="0003440F">
        <w:rPr>
          <w:rFonts w:ascii="Times New Roman" w:eastAsia="Times New Roman" w:hAnsi="Times New Roman" w:cs="Times New Roman"/>
          <w:sz w:val="24"/>
          <w:szCs w:val="24"/>
        </w:rPr>
        <w:t xml:space="preserve">Using a balanced panel dataset of 160 observations, the analysis integrates climate indicators (temperature anomalies, rainfall variability, floods, droughts, and heat stress) with macroeconomic variables (GDP, agricultural output, population growth, and government expenditure). The study employs panel unit root tests and a Hausman specification test to determine the appropriate estimation </w:t>
      </w:r>
      <w:r w:rsidR="00E272A3" w:rsidRPr="0003440F">
        <w:rPr>
          <w:rFonts w:ascii="Times New Roman" w:eastAsia="Times New Roman" w:hAnsi="Times New Roman" w:cs="Times New Roman"/>
          <w:sz w:val="24"/>
          <w:szCs w:val="24"/>
        </w:rPr>
        <w:t>method</w:t>
      </w:r>
      <w:r w:rsidRPr="0003440F">
        <w:rPr>
          <w:rFonts w:ascii="Times New Roman" w:eastAsia="Times New Roman" w:hAnsi="Times New Roman" w:cs="Times New Roman"/>
          <w:sz w:val="24"/>
          <w:szCs w:val="24"/>
        </w:rPr>
        <w:t>, with results supporting a fixed-effects model that accounts for country-specific heterogeneity.</w:t>
      </w:r>
      <w:r w:rsidR="00CB0BEB" w:rsidRPr="0003440F">
        <w:rPr>
          <w:rFonts w:ascii="Times New Roman" w:eastAsia="Times New Roman" w:hAnsi="Times New Roman" w:cs="Times New Roman"/>
          <w:sz w:val="24"/>
          <w:szCs w:val="24"/>
        </w:rPr>
        <w:t xml:space="preserve"> </w:t>
      </w:r>
      <w:r w:rsidRPr="0003440F">
        <w:rPr>
          <w:rFonts w:ascii="Times New Roman" w:eastAsia="Times New Roman" w:hAnsi="Times New Roman" w:cs="Times New Roman"/>
          <w:sz w:val="24"/>
          <w:szCs w:val="24"/>
        </w:rPr>
        <w:t>Descriptive evidence indicates persistent warming, with average temperature anomalies of 0.91°C, alongside substantial rainfall variability and frequent extreme events. Correlation analysis shows that GDP is negatively associated with temperature increases, floods, and droughts, but positively related to rainfall and government expenditure. The regression results reveal that a 1°C rise in temperature reduces GDP by approximately USD 4.85 billion, while each additional flood and drought event lowers GDP by USD 2.31 billion and USD 3.18 billion, respectively. Conversely, favorable rainfall anomalies increase GDP, reflecting the agricultural dependence of these economies. Population growth and government expenditure exert significant positive effects, suggesting that demographic expansion and fiscal policy can partially offset climate-related losses.</w:t>
      </w:r>
      <w:r w:rsidR="00CB0BEB" w:rsidRPr="0003440F">
        <w:rPr>
          <w:rFonts w:ascii="Times New Roman" w:eastAsia="Times New Roman" w:hAnsi="Times New Roman" w:cs="Times New Roman"/>
          <w:sz w:val="24"/>
          <w:szCs w:val="24"/>
        </w:rPr>
        <w:t xml:space="preserve"> </w:t>
      </w:r>
      <w:r w:rsidRPr="0003440F">
        <w:rPr>
          <w:rFonts w:ascii="Times New Roman" w:eastAsia="Times New Roman" w:hAnsi="Times New Roman" w:cs="Times New Roman"/>
          <w:sz w:val="24"/>
          <w:szCs w:val="24"/>
        </w:rPr>
        <w:t>Sectoral estimates confirm that agriculture is highly climate-sensitive, with droughts and temperature increases exerting the largest adverse impacts. Diagnostic and robustness tests validate the consistency of the findings. Overall, the results demonstrate that climate variability and extreme events impose substantial macroeconomic costs in West Africa, underscoring the need for strengthened adaptation policies and fiscal resilience strategies.</w:t>
      </w:r>
    </w:p>
    <w:p w14:paraId="331D821A" w14:textId="77777777" w:rsidR="00527487" w:rsidRPr="0003440F" w:rsidRDefault="00527487" w:rsidP="00AA2EDB">
      <w:pPr>
        <w:spacing w:after="100" w:afterAutospacing="1"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b/>
          <w:bCs/>
          <w:sz w:val="24"/>
          <w:szCs w:val="24"/>
        </w:rPr>
        <w:t>Keywords:</w:t>
      </w:r>
      <w:r w:rsidRPr="0003440F">
        <w:rPr>
          <w:rFonts w:ascii="Times New Roman" w:eastAsia="Times New Roman" w:hAnsi="Times New Roman" w:cs="Times New Roman"/>
          <w:sz w:val="24"/>
          <w:szCs w:val="24"/>
        </w:rPr>
        <w:t xml:space="preserve"> </w:t>
      </w:r>
      <w:r w:rsidR="00CB0BEB" w:rsidRPr="0003440F">
        <w:rPr>
          <w:rFonts w:ascii="Times New Roman" w:eastAsia="Times New Roman" w:hAnsi="Times New Roman" w:cs="Times New Roman"/>
          <w:sz w:val="24"/>
          <w:szCs w:val="24"/>
        </w:rPr>
        <w:t xml:space="preserve">Macroeconomic, </w:t>
      </w:r>
      <w:r w:rsidRPr="0003440F">
        <w:rPr>
          <w:rFonts w:ascii="Times New Roman" w:eastAsia="Times New Roman" w:hAnsi="Times New Roman" w:cs="Times New Roman"/>
          <w:sz w:val="24"/>
          <w:szCs w:val="24"/>
        </w:rPr>
        <w:t>Climate change,</w:t>
      </w:r>
      <w:r w:rsidR="00CB0BEB" w:rsidRPr="0003440F">
        <w:rPr>
          <w:rFonts w:ascii="Times New Roman" w:eastAsia="Times New Roman" w:hAnsi="Times New Roman" w:cs="Times New Roman"/>
          <w:sz w:val="24"/>
          <w:szCs w:val="24"/>
        </w:rPr>
        <w:t xml:space="preserve"> West Africa</w:t>
      </w:r>
    </w:p>
    <w:p w14:paraId="0E14EB80" w14:textId="77777777" w:rsidR="008F6C67" w:rsidRPr="0003440F" w:rsidRDefault="008F6C67" w:rsidP="00AA2EDB">
      <w:pPr>
        <w:spacing w:after="100" w:afterAutospacing="1" w:line="240" w:lineRule="auto"/>
        <w:rPr>
          <w:rFonts w:ascii="Times New Roman" w:eastAsia="Times New Roman" w:hAnsi="Times New Roman" w:cs="Times New Roman"/>
          <w:sz w:val="24"/>
          <w:szCs w:val="24"/>
        </w:rPr>
      </w:pPr>
    </w:p>
    <w:p w14:paraId="539B4EFD" w14:textId="77777777" w:rsidR="008F6C67" w:rsidRPr="0003440F" w:rsidRDefault="008F6C67" w:rsidP="00AA2EDB">
      <w:pPr>
        <w:spacing w:after="100" w:afterAutospacing="1" w:line="240" w:lineRule="auto"/>
        <w:rPr>
          <w:rFonts w:ascii="Times New Roman" w:eastAsia="Times New Roman" w:hAnsi="Times New Roman" w:cs="Times New Roman"/>
          <w:sz w:val="24"/>
          <w:szCs w:val="24"/>
        </w:rPr>
      </w:pPr>
    </w:p>
    <w:p w14:paraId="08321050" w14:textId="77777777" w:rsidR="008F6C67" w:rsidRPr="0003440F" w:rsidRDefault="008F6C67" w:rsidP="00AA2EDB">
      <w:pPr>
        <w:spacing w:after="100" w:afterAutospacing="1" w:line="240" w:lineRule="auto"/>
        <w:rPr>
          <w:rFonts w:ascii="Times New Roman" w:eastAsia="Times New Roman" w:hAnsi="Times New Roman" w:cs="Times New Roman"/>
          <w:sz w:val="24"/>
          <w:szCs w:val="24"/>
        </w:rPr>
      </w:pPr>
    </w:p>
    <w:p w14:paraId="03A87CB9" w14:textId="77777777" w:rsidR="007C2B0B" w:rsidRPr="0003440F" w:rsidRDefault="007C2B0B" w:rsidP="00AA2EDB">
      <w:pPr>
        <w:spacing w:after="100" w:afterAutospacing="1" w:line="240" w:lineRule="auto"/>
        <w:rPr>
          <w:rFonts w:ascii="Times New Roman" w:eastAsia="Times New Roman" w:hAnsi="Times New Roman" w:cs="Times New Roman"/>
          <w:sz w:val="24"/>
          <w:szCs w:val="24"/>
        </w:rPr>
      </w:pPr>
    </w:p>
    <w:p w14:paraId="71C56666" w14:textId="77777777" w:rsidR="007C2B0B" w:rsidRPr="0003440F" w:rsidRDefault="007C2B0B" w:rsidP="00AA2EDB">
      <w:pPr>
        <w:spacing w:after="100" w:afterAutospacing="1" w:line="240" w:lineRule="auto"/>
        <w:rPr>
          <w:rFonts w:ascii="Times New Roman" w:eastAsia="Times New Roman" w:hAnsi="Times New Roman" w:cs="Times New Roman"/>
          <w:sz w:val="24"/>
          <w:szCs w:val="24"/>
        </w:rPr>
      </w:pPr>
    </w:p>
    <w:p w14:paraId="3CF642CD" w14:textId="014FFC53" w:rsidR="001E1D12" w:rsidRPr="0003440F" w:rsidRDefault="001E1D12" w:rsidP="00AA2EDB">
      <w:pPr>
        <w:spacing w:after="100" w:afterAutospacing="1" w:line="240" w:lineRule="auto"/>
        <w:rPr>
          <w:rFonts w:ascii="Times New Roman" w:eastAsia="Times New Roman" w:hAnsi="Times New Roman" w:cs="Times New Roman"/>
          <w:sz w:val="24"/>
          <w:szCs w:val="24"/>
        </w:rPr>
      </w:pPr>
    </w:p>
    <w:p w14:paraId="748FA669" w14:textId="45EFF511" w:rsidR="004A05AD" w:rsidRPr="0003440F" w:rsidRDefault="004A05AD" w:rsidP="00AA2EDB">
      <w:pPr>
        <w:spacing w:after="100" w:afterAutospacing="1" w:line="240" w:lineRule="auto"/>
        <w:rPr>
          <w:rFonts w:ascii="Times New Roman" w:eastAsia="Times New Roman" w:hAnsi="Times New Roman" w:cs="Times New Roman"/>
          <w:sz w:val="24"/>
          <w:szCs w:val="24"/>
        </w:rPr>
      </w:pPr>
    </w:p>
    <w:p w14:paraId="5CD79D48" w14:textId="34E9B4CC" w:rsidR="007C2B0B" w:rsidRPr="0003440F" w:rsidRDefault="007C2B0B" w:rsidP="00AA2EDB">
      <w:pPr>
        <w:spacing w:after="100" w:afterAutospacing="1" w:line="240" w:lineRule="auto"/>
        <w:rPr>
          <w:rFonts w:ascii="Times New Roman" w:eastAsia="Times New Roman" w:hAnsi="Times New Roman" w:cs="Times New Roman"/>
          <w:sz w:val="24"/>
          <w:szCs w:val="24"/>
        </w:rPr>
      </w:pPr>
    </w:p>
    <w:p w14:paraId="04C9C6E3" w14:textId="77777777" w:rsidR="008A7022" w:rsidRPr="0003440F" w:rsidRDefault="008A7022" w:rsidP="00AA2EDB">
      <w:pPr>
        <w:spacing w:after="100" w:afterAutospacing="1" w:line="240" w:lineRule="auto"/>
        <w:rPr>
          <w:rFonts w:ascii="Times New Roman" w:eastAsia="Times New Roman" w:hAnsi="Times New Roman" w:cs="Times New Roman"/>
          <w:sz w:val="24"/>
          <w:szCs w:val="24"/>
        </w:rPr>
      </w:pPr>
    </w:p>
    <w:p w14:paraId="56B9CC50" w14:textId="77777777" w:rsidR="00F41F1F" w:rsidRPr="0003440F" w:rsidRDefault="00F41F1F" w:rsidP="00F41F1F">
      <w:pPr>
        <w:pBdr>
          <w:bottom w:val="single" w:sz="6" w:space="1" w:color="auto"/>
        </w:pBdr>
        <w:spacing w:after="0" w:line="240" w:lineRule="auto"/>
        <w:rPr>
          <w:rFonts w:ascii="Arial" w:eastAsia="Times New Roman" w:hAnsi="Arial" w:cs="Arial"/>
          <w:vanish/>
          <w:sz w:val="24"/>
          <w:szCs w:val="24"/>
        </w:rPr>
      </w:pPr>
    </w:p>
    <w:p w14:paraId="30E00E40" w14:textId="77777777" w:rsidR="00527487" w:rsidRPr="0003440F" w:rsidRDefault="00527487" w:rsidP="008764E0">
      <w:pPr>
        <w:pBdr>
          <w:top w:val="single" w:sz="6" w:space="1" w:color="auto"/>
        </w:pBdr>
        <w:spacing w:after="0" w:line="240" w:lineRule="auto"/>
        <w:rPr>
          <w:rFonts w:ascii="Arial" w:eastAsia="Times New Roman" w:hAnsi="Arial" w:cs="Arial"/>
          <w:vanish/>
          <w:sz w:val="24"/>
          <w:szCs w:val="24"/>
        </w:rPr>
      </w:pPr>
      <w:r w:rsidRPr="0003440F">
        <w:rPr>
          <w:rFonts w:ascii="Arial" w:eastAsia="Times New Roman" w:hAnsi="Arial" w:cs="Arial"/>
          <w:vanish/>
          <w:sz w:val="24"/>
          <w:szCs w:val="24"/>
        </w:rPr>
        <w:t>Bottom of Form</w:t>
      </w:r>
    </w:p>
    <w:p w14:paraId="1E8F8A63" w14:textId="77777777" w:rsidR="00C409DE" w:rsidRPr="0003440F" w:rsidRDefault="009A5A91" w:rsidP="00C409DE">
      <w:pPr>
        <w:pStyle w:val="ListParagraph"/>
        <w:numPr>
          <w:ilvl w:val="0"/>
          <w:numId w:val="17"/>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3440F">
        <w:rPr>
          <w:rFonts w:ascii="Times New Roman" w:eastAsia="Times New Roman" w:hAnsi="Times New Roman" w:cs="Times New Roman"/>
          <w:b/>
          <w:bCs/>
          <w:sz w:val="24"/>
          <w:szCs w:val="24"/>
        </w:rPr>
        <w:t>Introduction</w:t>
      </w:r>
    </w:p>
    <w:p w14:paraId="03BCC957" w14:textId="77777777" w:rsidR="001E1D12" w:rsidRPr="0003440F" w:rsidRDefault="009A5A91" w:rsidP="001E1D1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3440F">
        <w:rPr>
          <w:rFonts w:ascii="Times New Roman" w:eastAsia="Times New Roman" w:hAnsi="Times New Roman" w:cs="Times New Roman"/>
          <w:sz w:val="24"/>
          <w:szCs w:val="24"/>
        </w:rPr>
        <w:t>Over the past three decades, West Africa has experienced pronounced climatic instability characterized by intensified heat waves, erratic rainfall patterns, and a marked increase in extreme weather events, including floods and droughts. These climatic shifts have been linked to anthropogenic climate change and are having substantial implications for economic systems that remain heavily dependent on climate-sensitive sectors such as agriculture and natural resource extraction (Adom, 2024;</w:t>
      </w:r>
      <w:r w:rsidR="0084436C" w:rsidRPr="0003440F">
        <w:rPr>
          <w:rFonts w:ascii="Times New Roman" w:eastAsia="Times New Roman" w:hAnsi="Times New Roman" w:cs="Times New Roman"/>
          <w:sz w:val="24"/>
          <w:szCs w:val="24"/>
        </w:rPr>
        <w:t xml:space="preserve"> Ihugba, Ihugba &amp; Eches, 2025).</w:t>
      </w:r>
      <w:r w:rsidRPr="0003440F">
        <w:rPr>
          <w:rFonts w:ascii="Times New Roman" w:eastAsia="Times New Roman" w:hAnsi="Times New Roman" w:cs="Times New Roman"/>
          <w:sz w:val="24"/>
          <w:szCs w:val="24"/>
        </w:rPr>
        <w:t xml:space="preserve"> The region’s vulnerability is compounded by weak adaptation capacities and limited climate finance, despite contributing minimally to global greenhous</w:t>
      </w:r>
      <w:r w:rsidR="0084436C" w:rsidRPr="0003440F">
        <w:rPr>
          <w:rFonts w:ascii="Times New Roman" w:eastAsia="Times New Roman" w:hAnsi="Times New Roman" w:cs="Times New Roman"/>
          <w:sz w:val="24"/>
          <w:szCs w:val="24"/>
        </w:rPr>
        <w:t>e gas emissions (Stiell, 2024).</w:t>
      </w:r>
      <w:r w:rsidR="00C409DE" w:rsidRPr="0003440F">
        <w:rPr>
          <w:rFonts w:ascii="Times New Roman" w:eastAsia="Times New Roman" w:hAnsi="Times New Roman" w:cs="Times New Roman"/>
          <w:b/>
          <w:bCs/>
          <w:sz w:val="24"/>
          <w:szCs w:val="24"/>
        </w:rPr>
        <w:t xml:space="preserve"> </w:t>
      </w:r>
    </w:p>
    <w:p w14:paraId="7C84CC1E" w14:textId="77777777" w:rsidR="001E1D12" w:rsidRPr="0003440F" w:rsidRDefault="009A5A91" w:rsidP="001E1D1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3440F">
        <w:rPr>
          <w:rFonts w:ascii="Times New Roman" w:eastAsia="Times New Roman" w:hAnsi="Times New Roman" w:cs="Times New Roman"/>
          <w:bCs/>
          <w:sz w:val="24"/>
          <w:szCs w:val="24"/>
        </w:rPr>
        <w:t>Nigeria</w:t>
      </w:r>
      <w:r w:rsidRPr="0003440F">
        <w:rPr>
          <w:rFonts w:ascii="Times New Roman" w:eastAsia="Times New Roman" w:hAnsi="Times New Roman" w:cs="Times New Roman"/>
          <w:sz w:val="24"/>
          <w:szCs w:val="24"/>
        </w:rPr>
        <w:t xml:space="preserve"> provides a compelling case for examination due to its </w:t>
      </w:r>
      <w:r w:rsidRPr="0003440F">
        <w:rPr>
          <w:rFonts w:ascii="Times New Roman" w:eastAsia="Times New Roman" w:hAnsi="Times New Roman" w:cs="Times New Roman"/>
          <w:i/>
          <w:iCs/>
          <w:sz w:val="24"/>
          <w:szCs w:val="24"/>
        </w:rPr>
        <w:t>economic primacy in the region</w:t>
      </w:r>
      <w:r w:rsidRPr="0003440F">
        <w:rPr>
          <w:rFonts w:ascii="Times New Roman" w:eastAsia="Times New Roman" w:hAnsi="Times New Roman" w:cs="Times New Roman"/>
          <w:sz w:val="24"/>
          <w:szCs w:val="24"/>
        </w:rPr>
        <w:t xml:space="preserve"> and its exposure to diverse climate impacts. With agriculture still largely rain-fed, Nigeria has suffere</w:t>
      </w:r>
      <w:r w:rsidR="0084436C" w:rsidRPr="0003440F">
        <w:rPr>
          <w:rFonts w:ascii="Times New Roman" w:eastAsia="Times New Roman" w:hAnsi="Times New Roman" w:cs="Times New Roman"/>
          <w:sz w:val="24"/>
          <w:szCs w:val="24"/>
        </w:rPr>
        <w:t xml:space="preserve">d repeated catastrophic floods </w:t>
      </w:r>
      <w:r w:rsidRPr="0003440F">
        <w:rPr>
          <w:rFonts w:ascii="Times New Roman" w:eastAsia="Times New Roman" w:hAnsi="Times New Roman" w:cs="Times New Roman"/>
          <w:sz w:val="24"/>
          <w:szCs w:val="24"/>
        </w:rPr>
        <w:t>notably in 2022 when heavy rainfall submerged over 332,000 hectares of farmland and displace</w:t>
      </w:r>
      <w:r w:rsidR="0084436C" w:rsidRPr="0003440F">
        <w:rPr>
          <w:rFonts w:ascii="Times New Roman" w:eastAsia="Times New Roman" w:hAnsi="Times New Roman" w:cs="Times New Roman"/>
          <w:sz w:val="24"/>
          <w:szCs w:val="24"/>
        </w:rPr>
        <w:t>d more than 1.4 million people resulting</w:t>
      </w:r>
      <w:r w:rsidRPr="0003440F">
        <w:rPr>
          <w:rFonts w:ascii="Times New Roman" w:eastAsia="Times New Roman" w:hAnsi="Times New Roman" w:cs="Times New Roman"/>
          <w:sz w:val="24"/>
          <w:szCs w:val="24"/>
        </w:rPr>
        <w:t xml:space="preserve"> in billions of dollars in economic losses and disruptions to f</w:t>
      </w:r>
      <w:r w:rsidR="0084436C" w:rsidRPr="0003440F">
        <w:rPr>
          <w:rFonts w:ascii="Times New Roman" w:eastAsia="Times New Roman" w:hAnsi="Times New Roman" w:cs="Times New Roman"/>
          <w:sz w:val="24"/>
          <w:szCs w:val="24"/>
        </w:rPr>
        <w:t>ood security (Investopedia, 2025).</w:t>
      </w:r>
      <w:r w:rsidRPr="0003440F">
        <w:rPr>
          <w:rFonts w:ascii="Times New Roman" w:eastAsia="Times New Roman" w:hAnsi="Times New Roman" w:cs="Times New Roman"/>
          <w:sz w:val="24"/>
          <w:szCs w:val="24"/>
        </w:rPr>
        <w:t xml:space="preserve"> Coastal urban centers such as Lagos are increasingly threatened by sea-level rise and erosion, further underscoring climate-related risks to infrastructure and economic activity (Ihugba et a</w:t>
      </w:r>
      <w:r w:rsidR="0084436C" w:rsidRPr="0003440F">
        <w:rPr>
          <w:rFonts w:ascii="Times New Roman" w:eastAsia="Times New Roman" w:hAnsi="Times New Roman" w:cs="Times New Roman"/>
          <w:sz w:val="24"/>
          <w:szCs w:val="24"/>
        </w:rPr>
        <w:t>l., 2025).</w:t>
      </w:r>
      <w:r w:rsidR="00732A78" w:rsidRPr="0003440F">
        <w:rPr>
          <w:rFonts w:ascii="Times New Roman" w:eastAsia="Times New Roman" w:hAnsi="Times New Roman" w:cs="Times New Roman"/>
          <w:b/>
          <w:bCs/>
          <w:sz w:val="24"/>
          <w:szCs w:val="24"/>
        </w:rPr>
        <w:t xml:space="preserve"> </w:t>
      </w:r>
    </w:p>
    <w:p w14:paraId="0D979FF9" w14:textId="77777777" w:rsidR="009A5A91" w:rsidRPr="0003440F" w:rsidRDefault="009A5A91" w:rsidP="001E1D1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3440F">
        <w:rPr>
          <w:rFonts w:ascii="Times New Roman" w:eastAsia="Times New Roman" w:hAnsi="Times New Roman" w:cs="Times New Roman"/>
          <w:bCs/>
          <w:sz w:val="24"/>
          <w:szCs w:val="24"/>
        </w:rPr>
        <w:t>Ghana</w:t>
      </w:r>
      <w:r w:rsidRPr="0003440F">
        <w:rPr>
          <w:rFonts w:ascii="Times New Roman" w:eastAsia="Times New Roman" w:hAnsi="Times New Roman" w:cs="Times New Roman"/>
          <w:sz w:val="24"/>
          <w:szCs w:val="24"/>
        </w:rPr>
        <w:t xml:space="preserve"> represents a second dimension of climate vulnerability through its reliance on smallholder agriculture and export-oriented cash crops such as cocoa. Nearly half of Ghana’s workforce depends on rain-fed agriculture, and projections forecast significant crop yield declines due to rising temperatures and shifting rainfall regimes, placing both rural livelihoods and national export revenues at risk (Wikipedia, 2026). Such impacts resonate with broader projections for West African agrarian economies that are closely tied to climatic conditions.</w:t>
      </w:r>
    </w:p>
    <w:p w14:paraId="0CE0DDB7" w14:textId="77777777" w:rsidR="009A5A91" w:rsidRPr="0003440F" w:rsidRDefault="009A5A91" w:rsidP="008764E0">
      <w:pPr>
        <w:spacing w:before="100" w:beforeAutospacing="1" w:after="100" w:afterAutospacing="1"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bCs/>
          <w:sz w:val="24"/>
          <w:szCs w:val="24"/>
        </w:rPr>
        <w:t>Senegal</w:t>
      </w:r>
      <w:r w:rsidRPr="0003440F">
        <w:rPr>
          <w:rFonts w:ascii="Times New Roman" w:eastAsia="Times New Roman" w:hAnsi="Times New Roman" w:cs="Times New Roman"/>
          <w:sz w:val="24"/>
          <w:szCs w:val="24"/>
        </w:rPr>
        <w:t>, extending from the Sahelian interior to the Gulf of Guinea coastline, illustrates the dual nature of climatic pressures. Persistent drought conditions have already contributed to reduced yields of staple grains such as millet and sorghum,</w:t>
      </w:r>
      <w:r w:rsidR="0084436C" w:rsidRPr="0003440F">
        <w:rPr>
          <w:rFonts w:ascii="Times New Roman" w:eastAsia="Times New Roman" w:hAnsi="Times New Roman" w:cs="Times New Roman"/>
          <w:sz w:val="24"/>
          <w:szCs w:val="24"/>
        </w:rPr>
        <w:t xml:space="preserve"> while recent flooding events </w:t>
      </w:r>
      <w:r w:rsidRPr="0003440F">
        <w:rPr>
          <w:rFonts w:ascii="Times New Roman" w:eastAsia="Times New Roman" w:hAnsi="Times New Roman" w:cs="Times New Roman"/>
          <w:sz w:val="24"/>
          <w:szCs w:val="24"/>
        </w:rPr>
        <w:t>such as the unprecedented inundation of</w:t>
      </w:r>
      <w:r w:rsidR="0084436C" w:rsidRPr="0003440F">
        <w:rPr>
          <w:rFonts w:ascii="Times New Roman" w:eastAsia="Times New Roman" w:hAnsi="Times New Roman" w:cs="Times New Roman"/>
          <w:sz w:val="24"/>
          <w:szCs w:val="24"/>
        </w:rPr>
        <w:t xml:space="preserve"> farmlands in the Podor region</w:t>
      </w:r>
      <w:r w:rsidRPr="0003440F">
        <w:rPr>
          <w:rFonts w:ascii="Times New Roman" w:eastAsia="Times New Roman" w:hAnsi="Times New Roman" w:cs="Times New Roman"/>
          <w:sz w:val="24"/>
          <w:szCs w:val="24"/>
        </w:rPr>
        <w:t xml:space="preserve"> have devastated key agricultural production zones, threatening food security and rural incomes (World Bank Group, 2024; </w:t>
      </w:r>
      <w:r w:rsidRPr="0003440F">
        <w:rPr>
          <w:rFonts w:ascii="Times New Roman" w:eastAsia="Times New Roman" w:hAnsi="Times New Roman" w:cs="Times New Roman"/>
          <w:i/>
          <w:iCs/>
          <w:sz w:val="24"/>
          <w:szCs w:val="24"/>
        </w:rPr>
        <w:t>Le Monde</w:t>
      </w:r>
      <w:r w:rsidRPr="0003440F">
        <w:rPr>
          <w:rFonts w:ascii="Times New Roman" w:eastAsia="Times New Roman" w:hAnsi="Times New Roman" w:cs="Times New Roman"/>
          <w:sz w:val="24"/>
          <w:szCs w:val="24"/>
        </w:rPr>
        <w:t>, 2024). The combination of drought and flood stress exemplifies the compound risks that climate change poses to a country with nearly 70% of the population engaged in climate-sensitive agrarian activities.</w:t>
      </w:r>
    </w:p>
    <w:p w14:paraId="29A6692F" w14:textId="77777777" w:rsidR="009A5A91" w:rsidRPr="0003440F" w:rsidRDefault="009A5A91" w:rsidP="008764E0">
      <w:pPr>
        <w:spacing w:before="100" w:beforeAutospacing="1" w:after="100" w:afterAutospacing="1"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 xml:space="preserve">In the </w:t>
      </w:r>
      <w:r w:rsidRPr="0003440F">
        <w:rPr>
          <w:rFonts w:ascii="Times New Roman" w:eastAsia="Times New Roman" w:hAnsi="Times New Roman" w:cs="Times New Roman"/>
          <w:bCs/>
          <w:sz w:val="24"/>
          <w:szCs w:val="24"/>
        </w:rPr>
        <w:t>Sahelian interior</w:t>
      </w:r>
      <w:r w:rsidRPr="0003440F">
        <w:rPr>
          <w:rFonts w:ascii="Times New Roman" w:eastAsia="Times New Roman" w:hAnsi="Times New Roman" w:cs="Times New Roman"/>
          <w:sz w:val="24"/>
          <w:szCs w:val="24"/>
        </w:rPr>
        <w:t xml:space="preserve">, </w:t>
      </w:r>
      <w:r w:rsidRPr="0003440F">
        <w:rPr>
          <w:rFonts w:ascii="Times New Roman" w:eastAsia="Times New Roman" w:hAnsi="Times New Roman" w:cs="Times New Roman"/>
          <w:bCs/>
          <w:sz w:val="24"/>
          <w:szCs w:val="24"/>
        </w:rPr>
        <w:t>Mali</w:t>
      </w:r>
      <w:r w:rsidRPr="0003440F">
        <w:rPr>
          <w:rFonts w:ascii="Times New Roman" w:eastAsia="Times New Roman" w:hAnsi="Times New Roman" w:cs="Times New Roman"/>
          <w:sz w:val="24"/>
          <w:szCs w:val="24"/>
        </w:rPr>
        <w:t xml:space="preserve"> and </w:t>
      </w:r>
      <w:r w:rsidRPr="0003440F">
        <w:rPr>
          <w:rFonts w:ascii="Times New Roman" w:eastAsia="Times New Roman" w:hAnsi="Times New Roman" w:cs="Times New Roman"/>
          <w:bCs/>
          <w:sz w:val="24"/>
          <w:szCs w:val="24"/>
        </w:rPr>
        <w:t>Niger</w:t>
      </w:r>
      <w:r w:rsidRPr="0003440F">
        <w:rPr>
          <w:rFonts w:ascii="Times New Roman" w:eastAsia="Times New Roman" w:hAnsi="Times New Roman" w:cs="Times New Roman"/>
          <w:sz w:val="24"/>
          <w:szCs w:val="24"/>
        </w:rPr>
        <w:t xml:space="preserve"> are illustrative of deep exposure to climate extremes and socioeconomic fragility. Both countries form part of the semi-arid Sahel where temperature trends are rising faster than the global average, water scarcity is intensifying, and rainfall variability disrupts cropping and pastoral systems (One study defined the Sahel as hypersensitive to climatic shifts affecting land use and water resources).</w:t>
      </w:r>
      <w:r w:rsidRPr="0003440F">
        <w:rPr>
          <w:rFonts w:ascii="Cambria Math" w:eastAsia="Times New Roman" w:hAnsi="Cambria Math" w:cs="Times New Roman"/>
          <w:sz w:val="24"/>
          <w:szCs w:val="24"/>
        </w:rPr>
        <w:t>⁷</w:t>
      </w:r>
      <w:r w:rsidRPr="0003440F">
        <w:rPr>
          <w:rFonts w:ascii="Times New Roman" w:eastAsia="Times New Roman" w:hAnsi="Times New Roman" w:cs="Times New Roman"/>
          <w:sz w:val="24"/>
          <w:szCs w:val="24"/>
        </w:rPr>
        <w:t xml:space="preserve"> Between 19</w:t>
      </w:r>
      <w:r w:rsidR="0084436C" w:rsidRPr="0003440F">
        <w:rPr>
          <w:rFonts w:ascii="Times New Roman" w:eastAsia="Times New Roman" w:hAnsi="Times New Roman" w:cs="Times New Roman"/>
          <w:sz w:val="24"/>
          <w:szCs w:val="24"/>
        </w:rPr>
        <w:t xml:space="preserve">94 and 2025, episodic flooding </w:t>
      </w:r>
      <w:r w:rsidRPr="0003440F">
        <w:rPr>
          <w:rFonts w:ascii="Times New Roman" w:eastAsia="Times New Roman" w:hAnsi="Times New Roman" w:cs="Times New Roman"/>
          <w:sz w:val="24"/>
          <w:szCs w:val="24"/>
        </w:rPr>
        <w:t xml:space="preserve"> as seen acr</w:t>
      </w:r>
      <w:r w:rsidR="0084436C" w:rsidRPr="0003440F">
        <w:rPr>
          <w:rFonts w:ascii="Times New Roman" w:eastAsia="Times New Roman" w:hAnsi="Times New Roman" w:cs="Times New Roman"/>
          <w:sz w:val="24"/>
          <w:szCs w:val="24"/>
        </w:rPr>
        <w:t xml:space="preserve">oss the Sahel in 2020 and 2024 </w:t>
      </w:r>
      <w:r w:rsidRPr="0003440F">
        <w:rPr>
          <w:rFonts w:ascii="Times New Roman" w:eastAsia="Times New Roman" w:hAnsi="Times New Roman" w:cs="Times New Roman"/>
          <w:sz w:val="24"/>
          <w:szCs w:val="24"/>
        </w:rPr>
        <w:t xml:space="preserve"> has repeatedly undermined agricultural assets and displaced farming communities (Wikipedia, 2025; Wikipedia, 2026). Combined with recurrent drought events, these hydrological extremes directly reduce agricultural output and erode household resilience, amplifying poverty and food insecurity.</w:t>
      </w:r>
    </w:p>
    <w:p w14:paraId="701DF049" w14:textId="77777777" w:rsidR="00A03260" w:rsidRPr="0003440F" w:rsidRDefault="009A5A91" w:rsidP="008764E0">
      <w:pPr>
        <w:spacing w:before="100" w:beforeAutospacing="1" w:after="100" w:afterAutospacing="1"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Collectively, these five countries embody a spectrum of climate</w:t>
      </w:r>
      <w:r w:rsidR="001E1D12" w:rsidRPr="0003440F">
        <w:rPr>
          <w:rFonts w:ascii="Times New Roman" w:eastAsia="Times New Roman" w:hAnsi="Times New Roman" w:cs="Times New Roman"/>
          <w:sz w:val="24"/>
          <w:szCs w:val="24"/>
        </w:rPr>
        <w:t xml:space="preserve"> </w:t>
      </w:r>
      <w:r w:rsidRPr="0003440F">
        <w:rPr>
          <w:rFonts w:ascii="Times New Roman" w:eastAsia="Times New Roman" w:hAnsi="Times New Roman" w:cs="Times New Roman"/>
          <w:sz w:val="24"/>
          <w:szCs w:val="24"/>
        </w:rPr>
        <w:t xml:space="preserve">economic interactions in West Africa. Nigeria and Ghana convey the economic implications in more diversified economies with significant industrial and service sectors, whereas Senegal, Mali, and Niger highlight core </w:t>
      </w:r>
      <w:r w:rsidRPr="0003440F">
        <w:rPr>
          <w:rFonts w:ascii="Times New Roman" w:eastAsia="Times New Roman" w:hAnsi="Times New Roman" w:cs="Times New Roman"/>
          <w:sz w:val="24"/>
          <w:szCs w:val="24"/>
        </w:rPr>
        <w:lastRenderedPageBreak/>
        <w:t xml:space="preserve">agrarian and Sahelian vulnerabilities. By examining climate change’s </w:t>
      </w:r>
      <w:r w:rsidRPr="0003440F">
        <w:rPr>
          <w:rFonts w:ascii="Times New Roman" w:eastAsia="Times New Roman" w:hAnsi="Times New Roman" w:cs="Times New Roman"/>
          <w:bCs/>
          <w:sz w:val="24"/>
          <w:szCs w:val="24"/>
        </w:rPr>
        <w:t>economic consequences across these varied contexts</w:t>
      </w:r>
      <w:r w:rsidRPr="0003440F">
        <w:rPr>
          <w:rFonts w:ascii="Times New Roman" w:eastAsia="Times New Roman" w:hAnsi="Times New Roman" w:cs="Times New Roman"/>
          <w:sz w:val="24"/>
          <w:szCs w:val="24"/>
        </w:rPr>
        <w:t xml:space="preserve">, this study aims to elucidate both region-wide trends and country-specific mechanisms linking climate variability to economic performance, livelihood sustainability, and policy challenges. This long-term perspective from 1994 through 2025 is anchored in empirical evidence highlighting that </w:t>
      </w:r>
      <w:r w:rsidRPr="0003440F">
        <w:rPr>
          <w:rFonts w:ascii="Times New Roman" w:eastAsia="Times New Roman" w:hAnsi="Times New Roman" w:cs="Times New Roman"/>
          <w:iCs/>
          <w:sz w:val="24"/>
          <w:szCs w:val="24"/>
        </w:rPr>
        <w:t>climate change threats extend beyond environmental concerns to shape key economic outcomes such as GDP, food security, and labour productivity</w:t>
      </w:r>
      <w:r w:rsidRPr="0003440F">
        <w:rPr>
          <w:rFonts w:ascii="Times New Roman" w:eastAsia="Times New Roman" w:hAnsi="Times New Roman" w:cs="Times New Roman"/>
          <w:sz w:val="24"/>
          <w:szCs w:val="24"/>
        </w:rPr>
        <w:t xml:space="preserve"> (Adom, 2024; Ihugba et al., 2025; Stiell, 2024)</w:t>
      </w:r>
      <w:r w:rsidR="00A03260" w:rsidRPr="0003440F">
        <w:rPr>
          <w:rFonts w:ascii="Times New Roman" w:hAnsi="Times New Roman" w:cs="Times New Roman"/>
          <w:sz w:val="24"/>
          <w:szCs w:val="24"/>
        </w:rPr>
        <w:t>, this study addresses these gaps by providing a comparative, long-run, and macro-sectorally integrated analysis of climate change and economic performance across Nigeria, Ghana, Senegal, Mali, and Niger between 1994 and 2025</w:t>
      </w:r>
    </w:p>
    <w:p w14:paraId="479813E9" w14:textId="77777777" w:rsidR="003A3F2C" w:rsidRPr="0003440F" w:rsidRDefault="003A3F2C" w:rsidP="008764E0">
      <w:pPr>
        <w:pStyle w:val="NormalWeb"/>
        <w:jc w:val="both"/>
        <w:rPr>
          <w:b/>
        </w:rPr>
      </w:pPr>
      <w:r w:rsidRPr="0003440F">
        <w:rPr>
          <w:b/>
        </w:rPr>
        <w:t>1.2 Statement of the problem</w:t>
      </w:r>
    </w:p>
    <w:p w14:paraId="3040A0FF" w14:textId="77777777" w:rsidR="009A5A91" w:rsidRPr="0003440F" w:rsidRDefault="009A5A91" w:rsidP="008764E0">
      <w:pPr>
        <w:pStyle w:val="NormalWeb"/>
        <w:jc w:val="both"/>
      </w:pPr>
      <w:r w:rsidRPr="0003440F">
        <w:t xml:space="preserve">Despite the growing body of literature on climate change and economic performance in Africa, significant gaps remain in the context of </w:t>
      </w:r>
      <w:r w:rsidRPr="0003440F">
        <w:rPr>
          <w:rStyle w:val="Strong"/>
          <w:b w:val="0"/>
        </w:rPr>
        <w:t>Nigeria, Ghana, Senegal, Mali, and Niger</w:t>
      </w:r>
      <w:r w:rsidRPr="0003440F">
        <w:t>. Existing studies largely focus either on single-countr</w:t>
      </w:r>
      <w:r w:rsidR="0084436C" w:rsidRPr="0003440F">
        <w:t xml:space="preserve">y analyses </w:t>
      </w:r>
      <w:r w:rsidRPr="0003440F">
        <w:t>such as flood impacts in Nigeria or drough</w:t>
      </w:r>
      <w:r w:rsidR="0084436C" w:rsidRPr="0003440F">
        <w:t xml:space="preserve">t effects in Sahelian countries </w:t>
      </w:r>
      <w:r w:rsidRPr="0003440F">
        <w:t>or on highly aggregated continental assessments that mask regional differences. Consequently, there is limited comparative evidence that jointly examines coastal economies (Nigeria, Ghana, Senegal) and Sahelian economies (Mali, Niger) within a unified West African framework. This weakens understanding of how climate–economic transmission mechanisms differ across ecological and structural contexts.</w:t>
      </w:r>
    </w:p>
    <w:p w14:paraId="3A6D17D3" w14:textId="77777777" w:rsidR="009A5A91" w:rsidRPr="0003440F" w:rsidRDefault="009A5A91" w:rsidP="008764E0">
      <w:pPr>
        <w:pStyle w:val="NormalWeb"/>
        <w:jc w:val="both"/>
      </w:pPr>
      <w:r w:rsidRPr="0003440F">
        <w:t>Moreover, much of the empirical literature emphasizes agricultural yield and food security outcomes without sufficiently linking these to broader macroeconomic indicators such as GDP growth, sectoral shifts, and poverty dynamics. Climate shocks in these countries extend beyond farm-level productivity losses; they influence fiscal stability, labour markets, trade balances, and long-term development trajectories. However, integrated models that capture these economy-wide effects over an extended period remain limited.</w:t>
      </w:r>
      <w:r w:rsidR="00B87CCB" w:rsidRPr="0003440F">
        <w:t xml:space="preserve"> </w:t>
      </w:r>
      <w:r w:rsidRPr="0003440F">
        <w:t>The temporal scope of prior research also presents a constraint. Many studies focus on short post-2000 periods, thereby overlooking structural economic transitions and the intensification of extreme climate events observed after 2015. A longer panel covering 1994–2025 allows for analysis of both structural economic changes and evolving climate patterns.</w:t>
      </w:r>
    </w:p>
    <w:p w14:paraId="0637D48B" w14:textId="77777777" w:rsidR="009A5A91" w:rsidRPr="0003440F" w:rsidRDefault="009A5A91" w:rsidP="008764E0">
      <w:pPr>
        <w:pStyle w:val="NormalWeb"/>
        <w:jc w:val="both"/>
      </w:pPr>
      <w:r w:rsidRPr="0003440F">
        <w:t>Finally, while average temperature and rainfall variables are commonly included in e</w:t>
      </w:r>
      <w:r w:rsidR="0084436C" w:rsidRPr="0003440F">
        <w:t xml:space="preserve">mpirical models, extreme events </w:t>
      </w:r>
      <w:r w:rsidRPr="0003440F">
        <w:t>such as floods, d</w:t>
      </w:r>
      <w:r w:rsidR="0084436C" w:rsidRPr="0003440F">
        <w:t xml:space="preserve">rought frequency, and heatwaves </w:t>
      </w:r>
      <w:r w:rsidRPr="0003440F">
        <w:t>are rarely incorporated into macroeconomic growth analyses for West Africa. This omission may underestimate the nonlinear and cumulative economic costs of climate shocks, particularly in highly vulnerable economies like Mali and Niger.</w:t>
      </w:r>
      <w:r w:rsidR="00B87CCB" w:rsidRPr="0003440F">
        <w:t xml:space="preserve"> </w:t>
      </w:r>
      <w:r w:rsidRPr="0003440F">
        <w:t>Accordingly, this study addresses these gaps by providing a comparative, long-run, and macro-sectorally integrated analysis of climate change and economic performance across Nigeria, Ghana, Senegal, Mali, and Niger between 1994 and 2025.</w:t>
      </w:r>
    </w:p>
    <w:p w14:paraId="26E198A3" w14:textId="77777777" w:rsidR="00FD5CEC" w:rsidRPr="0003440F" w:rsidRDefault="00FD5CEC" w:rsidP="00040530">
      <w:pPr>
        <w:pStyle w:val="Heading2"/>
        <w:numPr>
          <w:ilvl w:val="1"/>
          <w:numId w:val="18"/>
        </w:numPr>
        <w:spacing w:line="240" w:lineRule="auto"/>
        <w:jc w:val="both"/>
        <w:rPr>
          <w:rFonts w:ascii="Times New Roman" w:hAnsi="Times New Roman" w:cs="Times New Roman"/>
          <w:color w:val="auto"/>
          <w:sz w:val="24"/>
          <w:szCs w:val="24"/>
        </w:rPr>
      </w:pPr>
      <w:r w:rsidRPr="0003440F">
        <w:rPr>
          <w:rFonts w:ascii="Times New Roman" w:hAnsi="Times New Roman" w:cs="Times New Roman"/>
          <w:color w:val="auto"/>
          <w:sz w:val="24"/>
          <w:szCs w:val="24"/>
        </w:rPr>
        <w:t>Research Questions</w:t>
      </w:r>
    </w:p>
    <w:p w14:paraId="37A96B46" w14:textId="77777777" w:rsidR="00FD5CEC" w:rsidRPr="0003440F" w:rsidRDefault="00FD5CEC" w:rsidP="00040530">
      <w:pPr>
        <w:pStyle w:val="NormalWeb"/>
        <w:numPr>
          <w:ilvl w:val="0"/>
          <w:numId w:val="12"/>
        </w:numPr>
        <w:jc w:val="both"/>
      </w:pPr>
      <w:r w:rsidRPr="0003440F">
        <w:t>To what extent do temperature anomalies affect economic growth in selected West African countries?</w:t>
      </w:r>
    </w:p>
    <w:p w14:paraId="79852FE6" w14:textId="77777777" w:rsidR="00FD5CEC" w:rsidRPr="0003440F" w:rsidRDefault="00FD5CEC" w:rsidP="008764E0">
      <w:pPr>
        <w:pStyle w:val="NormalWeb"/>
        <w:numPr>
          <w:ilvl w:val="0"/>
          <w:numId w:val="12"/>
        </w:numPr>
        <w:jc w:val="both"/>
      </w:pPr>
      <w:r w:rsidRPr="0003440F">
        <w:t>How do rainfall variations influence macroeconomic performance in climate-sensitive economies</w:t>
      </w:r>
      <w:r w:rsidR="007E08CC" w:rsidRPr="0003440F">
        <w:t xml:space="preserve"> in selected West African countries</w:t>
      </w:r>
      <w:r w:rsidRPr="0003440F">
        <w:t>?</w:t>
      </w:r>
    </w:p>
    <w:p w14:paraId="058B71BC" w14:textId="77777777" w:rsidR="00FD5CEC" w:rsidRPr="0003440F" w:rsidRDefault="00FD5CEC" w:rsidP="008764E0">
      <w:pPr>
        <w:pStyle w:val="NormalWeb"/>
        <w:numPr>
          <w:ilvl w:val="0"/>
          <w:numId w:val="12"/>
        </w:numPr>
        <w:jc w:val="both"/>
      </w:pPr>
      <w:r w:rsidRPr="0003440F">
        <w:lastRenderedPageBreak/>
        <w:t>What are the economic im</w:t>
      </w:r>
      <w:r w:rsidR="007E08CC" w:rsidRPr="0003440F">
        <w:t>pacts</w:t>
      </w:r>
      <w:r w:rsidRPr="0003440F">
        <w:t xml:space="preserve"> of extreme climate events (floods and droughts) on GDP</w:t>
      </w:r>
      <w:r w:rsidR="007E08CC" w:rsidRPr="0003440F">
        <w:t xml:space="preserve"> in selected West African countries</w:t>
      </w:r>
      <w:r w:rsidRPr="0003440F">
        <w:t>?</w:t>
      </w:r>
    </w:p>
    <w:p w14:paraId="5196F16B" w14:textId="77777777" w:rsidR="001E1D12" w:rsidRPr="0003440F" w:rsidRDefault="00FD5CEC" w:rsidP="00040530">
      <w:pPr>
        <w:pStyle w:val="Heading2"/>
        <w:numPr>
          <w:ilvl w:val="1"/>
          <w:numId w:val="18"/>
        </w:numPr>
        <w:spacing w:line="240" w:lineRule="auto"/>
        <w:jc w:val="both"/>
        <w:rPr>
          <w:rFonts w:ascii="Times New Roman" w:hAnsi="Times New Roman" w:cs="Times New Roman"/>
          <w:color w:val="auto"/>
          <w:sz w:val="24"/>
          <w:szCs w:val="24"/>
        </w:rPr>
      </w:pPr>
      <w:r w:rsidRPr="0003440F">
        <w:rPr>
          <w:rFonts w:ascii="Times New Roman" w:hAnsi="Times New Roman" w:cs="Times New Roman"/>
          <w:color w:val="auto"/>
          <w:sz w:val="24"/>
          <w:szCs w:val="24"/>
        </w:rPr>
        <w:t>Research Objectives</w:t>
      </w:r>
    </w:p>
    <w:p w14:paraId="26B87196" w14:textId="77777777" w:rsidR="009C69AC" w:rsidRPr="0003440F" w:rsidRDefault="00EE268B" w:rsidP="009C69AC">
      <w:pPr>
        <w:pStyle w:val="NormalWeb"/>
        <w:jc w:val="both"/>
      </w:pPr>
      <w:r w:rsidRPr="0003440F">
        <w:t>This study</w:t>
      </w:r>
      <w:r w:rsidR="00FD5CEC" w:rsidRPr="0003440F">
        <w:t xml:space="preserve"> </w:t>
      </w:r>
      <w:r w:rsidRPr="0003440F">
        <w:t>examines</w:t>
      </w:r>
      <w:r w:rsidR="00FD5CEC" w:rsidRPr="0003440F">
        <w:t xml:space="preserve"> the economic consequences of climate change and variability on macroeconomic performance in selected West African countries</w:t>
      </w:r>
      <w:r w:rsidR="009C69AC" w:rsidRPr="0003440F">
        <w:t xml:space="preserve">.  Specifically, this study: </w:t>
      </w:r>
    </w:p>
    <w:p w14:paraId="0CEA478F" w14:textId="77777777" w:rsidR="00FD5CEC" w:rsidRPr="0003440F" w:rsidRDefault="009C69AC" w:rsidP="009C69AC">
      <w:pPr>
        <w:pStyle w:val="NormalWeb"/>
        <w:numPr>
          <w:ilvl w:val="0"/>
          <w:numId w:val="13"/>
        </w:numPr>
        <w:jc w:val="both"/>
      </w:pPr>
      <w:r w:rsidRPr="0003440F">
        <w:t xml:space="preserve">examine </w:t>
      </w:r>
      <w:r w:rsidR="00FD5CEC" w:rsidRPr="0003440F">
        <w:t>the effect of temperature anomalies on GDP</w:t>
      </w:r>
      <w:r w:rsidR="00EE268B" w:rsidRPr="0003440F">
        <w:t xml:space="preserve"> in selected West African countries</w:t>
      </w:r>
      <w:r w:rsidR="00FD5CEC" w:rsidRPr="0003440F">
        <w:t>.</w:t>
      </w:r>
    </w:p>
    <w:p w14:paraId="12C7F80B" w14:textId="77777777" w:rsidR="00FD5CEC" w:rsidRPr="0003440F" w:rsidRDefault="00FD5CEC" w:rsidP="008764E0">
      <w:pPr>
        <w:pStyle w:val="NormalWeb"/>
        <w:numPr>
          <w:ilvl w:val="0"/>
          <w:numId w:val="13"/>
        </w:numPr>
        <w:jc w:val="both"/>
      </w:pPr>
      <w:r w:rsidRPr="0003440F">
        <w:t xml:space="preserve"> evaluate the </w:t>
      </w:r>
      <w:r w:rsidR="009C69AC" w:rsidRPr="0003440F">
        <w:t>effect</w:t>
      </w:r>
      <w:r w:rsidRPr="0003440F">
        <w:t xml:space="preserve"> of rainfall anomalies on economic performance</w:t>
      </w:r>
      <w:r w:rsidR="00EE268B" w:rsidRPr="0003440F">
        <w:t xml:space="preserve"> in selected West African countries</w:t>
      </w:r>
      <w:r w:rsidRPr="0003440F">
        <w:t>.</w:t>
      </w:r>
    </w:p>
    <w:p w14:paraId="1C836F3A" w14:textId="77777777" w:rsidR="00FD5CEC" w:rsidRPr="0003440F" w:rsidRDefault="00FD5CEC" w:rsidP="008764E0">
      <w:pPr>
        <w:pStyle w:val="NormalWeb"/>
        <w:numPr>
          <w:ilvl w:val="0"/>
          <w:numId w:val="13"/>
        </w:numPr>
        <w:jc w:val="both"/>
      </w:pPr>
      <w:r w:rsidRPr="0003440F">
        <w:t xml:space="preserve"> assess the economic costs of floods and droughts</w:t>
      </w:r>
      <w:r w:rsidR="00EE268B" w:rsidRPr="0003440F">
        <w:t xml:space="preserve"> in selected West African countries</w:t>
      </w:r>
      <w:r w:rsidRPr="0003440F">
        <w:t>.</w:t>
      </w:r>
    </w:p>
    <w:p w14:paraId="794EC481" w14:textId="77777777" w:rsidR="00A62F03" w:rsidRPr="0003440F" w:rsidRDefault="00F0297E" w:rsidP="008764E0">
      <w:pPr>
        <w:pStyle w:val="Heading2"/>
        <w:spacing w:line="240" w:lineRule="auto"/>
        <w:jc w:val="both"/>
        <w:rPr>
          <w:rFonts w:ascii="Times New Roman" w:hAnsi="Times New Roman" w:cs="Times New Roman"/>
          <w:b w:val="0"/>
          <w:color w:val="auto"/>
          <w:sz w:val="24"/>
          <w:szCs w:val="24"/>
        </w:rPr>
      </w:pPr>
      <w:r w:rsidRPr="0003440F">
        <w:rPr>
          <w:rStyle w:val="Strong"/>
          <w:rFonts w:ascii="Times New Roman" w:hAnsi="Times New Roman" w:cs="Times New Roman"/>
          <w:b/>
          <w:bCs/>
          <w:color w:val="auto"/>
          <w:sz w:val="24"/>
          <w:szCs w:val="24"/>
        </w:rPr>
        <w:t xml:space="preserve">2.0 </w:t>
      </w:r>
      <w:r w:rsidR="00A62F03" w:rsidRPr="0003440F">
        <w:rPr>
          <w:rStyle w:val="Strong"/>
          <w:rFonts w:ascii="Times New Roman" w:hAnsi="Times New Roman" w:cs="Times New Roman"/>
          <w:b/>
          <w:bCs/>
          <w:color w:val="auto"/>
          <w:sz w:val="24"/>
          <w:szCs w:val="24"/>
        </w:rPr>
        <w:t>Literature Review</w:t>
      </w:r>
    </w:p>
    <w:p w14:paraId="5DD59128" w14:textId="77777777" w:rsidR="00A62F03" w:rsidRPr="0003440F" w:rsidRDefault="003A3F2C" w:rsidP="008764E0">
      <w:pPr>
        <w:pStyle w:val="Heading3"/>
        <w:jc w:val="both"/>
        <w:rPr>
          <w:b w:val="0"/>
          <w:sz w:val="24"/>
          <w:szCs w:val="24"/>
        </w:rPr>
      </w:pPr>
      <w:r w:rsidRPr="0003440F">
        <w:rPr>
          <w:rStyle w:val="Strong"/>
          <w:b/>
          <w:bCs/>
          <w:sz w:val="24"/>
          <w:szCs w:val="24"/>
        </w:rPr>
        <w:t xml:space="preserve">2.1.1 </w:t>
      </w:r>
      <w:r w:rsidR="00A62F03" w:rsidRPr="0003440F">
        <w:rPr>
          <w:rStyle w:val="Strong"/>
          <w:b/>
          <w:bCs/>
          <w:sz w:val="24"/>
          <w:szCs w:val="24"/>
        </w:rPr>
        <w:t>Economics of Climate Change: Global Perspectives</w:t>
      </w:r>
    </w:p>
    <w:p w14:paraId="652E94F4" w14:textId="77777777" w:rsidR="00A62F03" w:rsidRPr="0003440F" w:rsidRDefault="00A62F03" w:rsidP="008764E0">
      <w:pPr>
        <w:pStyle w:val="NormalWeb"/>
        <w:jc w:val="both"/>
      </w:pPr>
      <w:r w:rsidRPr="0003440F">
        <w:t>The economics of climate change has evolved from early cost–benefit modelling toward increasingly sophisticated empirical and integrated assessment approaches. Recent global evidence demonstrates that rising temperatures and climate extremes exert measurable negative effects on economic growth, particularly in lower-latitude countries. Cross-country panel analyses show that temperature shocks reduce output in already warm economies, with effects persisting beyond the year of occurrence (Burke et al., 2015; Kotz et al., 2024). More recent macro-climate modelling suggests that long-run global GDP losses under high-emission scenarios may be substantially larger than previously estimated, particularly when extreme events and nonlinear damages are incorporated (Kotz et al., 2024).</w:t>
      </w:r>
    </w:p>
    <w:p w14:paraId="47154449" w14:textId="77777777" w:rsidR="00A62F03" w:rsidRPr="0003440F" w:rsidRDefault="00A62F03" w:rsidP="008764E0">
      <w:pPr>
        <w:pStyle w:val="NormalWeb"/>
        <w:jc w:val="both"/>
      </w:pPr>
      <w:r w:rsidRPr="0003440F">
        <w:t xml:space="preserve">Integrated Assessment Models (IAMs), such as those used in the </w:t>
      </w:r>
      <w:r w:rsidRPr="0003440F">
        <w:rPr>
          <w:rStyle w:val="whitespace-normal"/>
          <w:rFonts w:eastAsiaTheme="majorEastAsia"/>
        </w:rPr>
        <w:t>Intergovernmental Panel on Climate Change</w:t>
      </w:r>
      <w:r w:rsidRPr="0003440F">
        <w:t xml:space="preserve"> (IPCC) reports, have increasingly highlighted that climate damages are unevenly distributed, with developing regions facing disproportionately high welfare losses (IPCC, 2022). These models combine physical climate projections with economic damage functions; however, critics argue that traditional damage functions may underestimate risks in vulnerable regions by relying heavily on average temperature changes rather than extreme event indicators (Pankratz et al., 2021). Consequently, empirical macro-panel studies using observed climate data have gained prominence for their ability to capture real-time growth responses.</w:t>
      </w:r>
    </w:p>
    <w:p w14:paraId="15E970B9" w14:textId="77777777" w:rsidR="00A62F03" w:rsidRPr="0003440F" w:rsidRDefault="003A3F2C" w:rsidP="008764E0">
      <w:pPr>
        <w:pStyle w:val="Heading3"/>
        <w:jc w:val="both"/>
        <w:rPr>
          <w:b w:val="0"/>
          <w:sz w:val="24"/>
          <w:szCs w:val="24"/>
        </w:rPr>
      </w:pPr>
      <w:r w:rsidRPr="0003440F">
        <w:rPr>
          <w:rStyle w:val="Strong"/>
          <w:b/>
          <w:bCs/>
          <w:sz w:val="24"/>
          <w:szCs w:val="24"/>
        </w:rPr>
        <w:t xml:space="preserve">2.1.2 </w:t>
      </w:r>
      <w:r w:rsidR="00A62F03" w:rsidRPr="0003440F">
        <w:rPr>
          <w:rStyle w:val="Strong"/>
          <w:b/>
          <w:bCs/>
          <w:sz w:val="24"/>
          <w:szCs w:val="24"/>
        </w:rPr>
        <w:t>Climate Change and Economic Outcomes in Africa and West Africa</w:t>
      </w:r>
    </w:p>
    <w:p w14:paraId="379638A2" w14:textId="77777777" w:rsidR="00A62F03" w:rsidRPr="0003440F" w:rsidRDefault="00A62F03" w:rsidP="008764E0">
      <w:pPr>
        <w:pStyle w:val="NormalWeb"/>
        <w:jc w:val="both"/>
      </w:pPr>
      <w:r w:rsidRPr="0003440F">
        <w:t>In Africa, the literature consistently identifies heightened vulnerability due to structural dependence on climate-sensitive sectors and limited adaptive capacity. Continental analyses reveal that Sub-Saharan Africa experiences stronger negative growth responses to temperature increases compared to temperate regions (Abidoye &amp; Odusola, 2015; Kotz et al., 2024). Recent regional assessments emphasize that West Africa, particularly the Sahel, is warming faster than the global average and experiencing intensified rainfall variability (World M</w:t>
      </w:r>
      <w:r w:rsidR="0084436C" w:rsidRPr="0003440F">
        <w:t>eteorological Organization</w:t>
      </w:r>
      <w:r w:rsidRPr="0003440F">
        <w:t>, 2023).</w:t>
      </w:r>
    </w:p>
    <w:p w14:paraId="19076703" w14:textId="77777777" w:rsidR="00A62F03" w:rsidRPr="0003440F" w:rsidRDefault="00A62F03" w:rsidP="008764E0">
      <w:pPr>
        <w:pStyle w:val="NormalWeb"/>
        <w:jc w:val="both"/>
      </w:pPr>
      <w:r w:rsidRPr="0003440F">
        <w:t xml:space="preserve">Country-specific studies in </w:t>
      </w:r>
      <w:r w:rsidRPr="0003440F">
        <w:rPr>
          <w:rStyle w:val="Strong"/>
          <w:b w:val="0"/>
        </w:rPr>
        <w:t>Nigeria, Ghana, Senegal, Mali, and Niger</w:t>
      </w:r>
      <w:r w:rsidRPr="0003440F">
        <w:t xml:space="preserve"> reinforce these broader findings. In Nigeria, flood events have been shown to reduce agricultural output and strain public </w:t>
      </w:r>
      <w:r w:rsidRPr="0003440F">
        <w:lastRenderedPageBreak/>
        <w:t xml:space="preserve">finances through disaster-response expenditures (Ayanlade et al., 2022). In Ghana, climate variability significantly affects cocoa productivity and rural incomes, with implications for export earnings and macroeconomic stability (Asante &amp; Amuakwa-Mensah, 2021). Sahelian economies such as Mali and Niger exhibit acute vulnerability to drought-induced productivity shocks that exacerbate poverty and food insecurity (Sultan &amp; Gaetani, 2020). Meanwhile, Senegal’s mixed coastal–Sahelian profile exposes it to </w:t>
      </w:r>
      <w:r w:rsidR="008C48F5" w:rsidRPr="0003440F">
        <w:t>drought</w:t>
      </w:r>
      <w:r w:rsidRPr="0003440F">
        <w:t xml:space="preserve"> stress and flood risks, affecting agriculture and fisheries (WMO, 2023).</w:t>
      </w:r>
      <w:r w:rsidR="008C48F5" w:rsidRPr="0003440F">
        <w:t xml:space="preserve"> </w:t>
      </w:r>
      <w:r w:rsidRPr="0003440F">
        <w:t>While these studies establish climate sensitivity, they often remain sectorally isolated or geographically fragmented, limiting cross-country comparability within West Africa.</w:t>
      </w:r>
    </w:p>
    <w:p w14:paraId="4C078E7E" w14:textId="77777777" w:rsidR="00A62F03" w:rsidRPr="0003440F" w:rsidRDefault="003A3F2C" w:rsidP="008764E0">
      <w:pPr>
        <w:pStyle w:val="Heading3"/>
        <w:jc w:val="both"/>
        <w:rPr>
          <w:b w:val="0"/>
          <w:sz w:val="24"/>
          <w:szCs w:val="24"/>
        </w:rPr>
      </w:pPr>
      <w:r w:rsidRPr="0003440F">
        <w:rPr>
          <w:rStyle w:val="Strong"/>
          <w:b/>
          <w:bCs/>
          <w:sz w:val="24"/>
          <w:szCs w:val="24"/>
        </w:rPr>
        <w:t xml:space="preserve">2.1.3 </w:t>
      </w:r>
      <w:r w:rsidR="00A62F03" w:rsidRPr="0003440F">
        <w:rPr>
          <w:rStyle w:val="Strong"/>
          <w:b/>
          <w:bCs/>
          <w:sz w:val="24"/>
          <w:szCs w:val="24"/>
        </w:rPr>
        <w:t>Sectoral Impacts: Agriculture, Fisheries, Health, and Labour Productivity</w:t>
      </w:r>
    </w:p>
    <w:p w14:paraId="58F25EA6" w14:textId="77777777" w:rsidR="00A62F03" w:rsidRPr="0003440F" w:rsidRDefault="00A62F03" w:rsidP="008764E0">
      <w:pPr>
        <w:pStyle w:val="NormalWeb"/>
        <w:jc w:val="both"/>
      </w:pPr>
      <w:r w:rsidRPr="0003440F">
        <w:t>Agriculture remains the most extensively studied transmission channel of climate impacts in West Africa. Empirical evidence shows that higher temperatures and rainfall variability significantly reduce crop yields in rain-fed systems, particularly for staples such as millet, sorghum, and maize (Sultan &amp; Gaetani, 2020). In Ghana and Nigeria, temperature increases have been associated with measurable declines in cocoa and cereal productivity (Asante &amp; Amuakwa-Mensah, 2021).</w:t>
      </w:r>
      <w:r w:rsidR="008C48F5" w:rsidRPr="0003440F">
        <w:t xml:space="preserve"> </w:t>
      </w:r>
      <w:r w:rsidR="0084436C" w:rsidRPr="0003440F">
        <w:t xml:space="preserve">Beyond crops, fisheries </w:t>
      </w:r>
      <w:r w:rsidRPr="0003440F">
        <w:t>especially</w:t>
      </w:r>
      <w:r w:rsidR="0084436C" w:rsidRPr="0003440F">
        <w:t xml:space="preserve"> in Senegal and coastal Nigeria </w:t>
      </w:r>
      <w:r w:rsidRPr="0003440F">
        <w:t>are vulnerable to ocean warming and changing marine ecosystems, which threaten artisanal livelihoods (Lam et al., 2020). Health impacts, including heat stress and climate-sensitive diseases, further influence economic performance by reducing labour productivity and increasing healthcare burdens (Carleton &amp; Hsiang, 2021). Empirical labour-economics research demonstrates that heat exposure lowers worker productivity, particularly in agriculture and informal sectors prevalent in West Africa (Zhang et al., 2021).</w:t>
      </w:r>
      <w:r w:rsidR="00EE268B" w:rsidRPr="0003440F">
        <w:t xml:space="preserve"> </w:t>
      </w:r>
      <w:r w:rsidRPr="0003440F">
        <w:t>Despite strong sectoral evidence, many studies focus narrowly on yield functions or household welfare models, without integrating sectoral shocks into broader macroeconomic systems.</w:t>
      </w:r>
    </w:p>
    <w:p w14:paraId="6525EF34" w14:textId="77777777" w:rsidR="00A62F03" w:rsidRPr="0003440F" w:rsidRDefault="003A3F2C" w:rsidP="008764E0">
      <w:pPr>
        <w:pStyle w:val="Heading3"/>
        <w:jc w:val="both"/>
        <w:rPr>
          <w:b w:val="0"/>
          <w:sz w:val="24"/>
          <w:szCs w:val="24"/>
        </w:rPr>
      </w:pPr>
      <w:r w:rsidRPr="0003440F">
        <w:rPr>
          <w:rStyle w:val="Strong"/>
          <w:b/>
          <w:bCs/>
          <w:sz w:val="24"/>
          <w:szCs w:val="24"/>
        </w:rPr>
        <w:t xml:space="preserve">2.1.4 </w:t>
      </w:r>
      <w:r w:rsidR="00A62F03" w:rsidRPr="0003440F">
        <w:rPr>
          <w:rStyle w:val="Strong"/>
          <w:b/>
          <w:bCs/>
          <w:sz w:val="24"/>
          <w:szCs w:val="24"/>
        </w:rPr>
        <w:t>Macroeconomic Impacts: Growth, Inflation, and Trade</w:t>
      </w:r>
    </w:p>
    <w:p w14:paraId="7B56831E" w14:textId="77777777" w:rsidR="001E1D12" w:rsidRPr="0003440F" w:rsidRDefault="00A62F03" w:rsidP="00E42F5F">
      <w:pPr>
        <w:pStyle w:val="NormalWeb"/>
        <w:jc w:val="both"/>
        <w:rPr>
          <w:rStyle w:val="Strong"/>
          <w:b w:val="0"/>
          <w:bCs w:val="0"/>
        </w:rPr>
      </w:pPr>
      <w:r w:rsidRPr="0003440F">
        <w:t>Macroeconomic analyses increasingly confirm that climate variability influences aggregate growth, inflation, and trade balances. Panel regressions show that temperature shocks have persistent negative effects on GDP growth in low-income, agriculture-dependent economies (Burke et al., 2015; Kotz et al., 2024). In West Africa, climate-induced agricultural shortfalls contribute to food price inflation and increased import dependence, thereby affecting trade balances and exchange rate stability (IMF, 2023).</w:t>
      </w:r>
      <w:r w:rsidR="00EE268B" w:rsidRPr="0003440F">
        <w:t xml:space="preserve"> </w:t>
      </w:r>
      <w:r w:rsidRPr="0003440F">
        <w:t>Inflationary pressures linked to climate shocks are particularly salient in Nigeria and Ghana, where food constitutes a significant share of consumer price indices. Furthermore, recurrent floods in Nigeria and Senegal disrupt infrastructure and logistics networks, amplifying supply-chain costs. However, empirical findings vary in magnitude depending on model specification, time horizon, and treatment of fixed effects, indicating methodological sensitivity in macro-climate estimates</w:t>
      </w:r>
      <w:r w:rsidR="00EE268B" w:rsidRPr="0003440F">
        <w:t xml:space="preserve"> (IMF, 2023). </w:t>
      </w:r>
      <w:r w:rsidRPr="0003440F">
        <w:t>Panel fixed-effects models dominate empirical macro studies due to their ability to control for unobserved heterogeneity (Burke et al., 2015). However, concerns about endogeneity and omitted variable bias persist. Some recent studies address these issues using instrumental variables based on exogenous climate oscillations (Pankratz et al., 2021).</w:t>
      </w:r>
      <w:r w:rsidR="00E42F5F" w:rsidRPr="0003440F">
        <w:t xml:space="preserve"> </w:t>
      </w:r>
      <w:r w:rsidRPr="0003440F">
        <w:t>At the sectoral level, crop-climate response functions and Ricardian models are frequently employed to estimate yield impacts (Sultan &amp; Gaetani, 2020). CGE models attempt to trace economy-wide effects but rely heavily on calibration assumptions rather than observed long-term data. Thus, methodological diversity has generated variation in estimated damage magnitudes.</w:t>
      </w:r>
    </w:p>
    <w:p w14:paraId="40F0FEF3" w14:textId="77777777" w:rsidR="001E1D12" w:rsidRPr="0003440F" w:rsidRDefault="001E1D12" w:rsidP="008764E0">
      <w:pPr>
        <w:pStyle w:val="Heading3"/>
        <w:jc w:val="both"/>
        <w:rPr>
          <w:rStyle w:val="Strong"/>
          <w:b/>
          <w:bCs/>
          <w:sz w:val="24"/>
          <w:szCs w:val="24"/>
        </w:rPr>
      </w:pPr>
    </w:p>
    <w:p w14:paraId="78717D3A" w14:textId="77777777" w:rsidR="00E42F5F" w:rsidRPr="0003440F" w:rsidRDefault="00E42F5F" w:rsidP="001E1D12">
      <w:pPr>
        <w:pStyle w:val="Heading3"/>
        <w:jc w:val="both"/>
        <w:rPr>
          <w:rStyle w:val="Strong"/>
          <w:b/>
          <w:sz w:val="24"/>
          <w:szCs w:val="24"/>
        </w:rPr>
      </w:pPr>
    </w:p>
    <w:p w14:paraId="34DE08D1" w14:textId="77777777" w:rsidR="001E1D12" w:rsidRPr="0003440F" w:rsidRDefault="00E42F5F" w:rsidP="001E1D12">
      <w:pPr>
        <w:pStyle w:val="Heading3"/>
        <w:jc w:val="both"/>
        <w:rPr>
          <w:b w:val="0"/>
          <w:sz w:val="24"/>
          <w:szCs w:val="24"/>
        </w:rPr>
      </w:pPr>
      <w:r w:rsidRPr="0003440F">
        <w:rPr>
          <w:rStyle w:val="Strong"/>
          <w:b/>
          <w:sz w:val="24"/>
          <w:szCs w:val="24"/>
        </w:rPr>
        <w:t xml:space="preserve">2.1.5 </w:t>
      </w:r>
      <w:r w:rsidR="001E1D12" w:rsidRPr="0003440F">
        <w:rPr>
          <w:rStyle w:val="Strong"/>
          <w:b/>
          <w:sz w:val="24"/>
          <w:szCs w:val="24"/>
        </w:rPr>
        <w:t>Regional Climate Trends</w:t>
      </w:r>
    </w:p>
    <w:p w14:paraId="4504FF62" w14:textId="77777777" w:rsidR="001E1D12" w:rsidRPr="0003440F" w:rsidRDefault="001E1D12" w:rsidP="001E1D12">
      <w:pPr>
        <w:pStyle w:val="NormalWeb"/>
        <w:jc w:val="both"/>
      </w:pPr>
      <w:r w:rsidRPr="0003440F">
        <w:t xml:space="preserve">West Africa’s climate system has exhibited </w:t>
      </w:r>
      <w:r w:rsidRPr="0003440F">
        <w:rPr>
          <w:rStyle w:val="Strong"/>
          <w:b w:val="0"/>
        </w:rPr>
        <w:t>pronounced variability and intensification of extremes</w:t>
      </w:r>
      <w:r w:rsidRPr="0003440F">
        <w:t xml:space="preserve"> since the early 1990s. Temperature records indicate that the region together with much of Africa has warmed at a rate slightly above the global average, contributing to more frequent and intense heatwaves, altered precipitation patterns, and climate extremes (World Meteorological Organization, 2024).</w:t>
      </w:r>
      <w:r w:rsidR="00AD02BA" w:rsidRPr="0003440F">
        <w:t xml:space="preserve"> </w:t>
      </w:r>
      <w:r w:rsidRPr="0003440F">
        <w:t xml:space="preserve">Analysis of rainfall and temperature trends shows </w:t>
      </w:r>
      <w:r w:rsidRPr="0003440F">
        <w:rPr>
          <w:rStyle w:val="Strong"/>
          <w:b w:val="0"/>
        </w:rPr>
        <w:t>substantial interannual variability</w:t>
      </w:r>
      <w:r w:rsidRPr="0003440F">
        <w:t xml:space="preserve"> in both seasonal onset and distribution. Although the West African monsoon remains the primary driver of rainfall between May and September, its variability has increased, leading to </w:t>
      </w:r>
      <w:r w:rsidRPr="0003440F">
        <w:rPr>
          <w:rStyle w:val="Strong"/>
          <w:b w:val="0"/>
        </w:rPr>
        <w:t>erratic dry spells and periods of extreme rainfall</w:t>
      </w:r>
      <w:r w:rsidRPr="0003440F">
        <w:t>, which undermine agricultural calendars and hydrological predictability (Diop et al., 2025). Rain-fed cropping systems central to rural livelihoods across the savannah and Sahel zones are highly sensitive to such shifts, as even small deviations in timing or intensity can drastically affect yields.</w:t>
      </w:r>
    </w:p>
    <w:p w14:paraId="6BC63B0D" w14:textId="77777777" w:rsidR="001E1D12" w:rsidRPr="0003440F" w:rsidRDefault="001E1D12" w:rsidP="001E1D12">
      <w:pPr>
        <w:pStyle w:val="NormalWeb"/>
        <w:jc w:val="both"/>
      </w:pPr>
      <w:r w:rsidRPr="0003440F">
        <w:t xml:space="preserve">Over the period under study, the region has experienced </w:t>
      </w:r>
      <w:r w:rsidRPr="0003440F">
        <w:rPr>
          <w:rStyle w:val="Strong"/>
          <w:b w:val="0"/>
        </w:rPr>
        <w:t>notable climate extremes</w:t>
      </w:r>
      <w:r w:rsidRPr="0003440F">
        <w:t xml:space="preserve"> that highlight its vulnerability. The </w:t>
      </w:r>
      <w:r w:rsidRPr="0003440F">
        <w:rPr>
          <w:rStyle w:val="Strong"/>
          <w:b w:val="0"/>
        </w:rPr>
        <w:t>2009 West Africa floods</w:t>
      </w:r>
      <w:r w:rsidRPr="0003440F">
        <w:t xml:space="preserve"> affected multiple countries, causing widespread displacement and damage to infrastructure, agriculture, and homes across at least 12 nations, with economic losses exceeding $150 million (Wikipedia, 2025). In </w:t>
      </w:r>
      <w:r w:rsidRPr="0003440F">
        <w:rPr>
          <w:rStyle w:val="Strong"/>
          <w:b w:val="0"/>
        </w:rPr>
        <w:t>2020</w:t>
      </w:r>
      <w:r w:rsidRPr="0003440F">
        <w:t>, severe Sahelian floods displaced over 2.7 million people, destroyed nearly 422,000 hectares of farmland, and exacerbated food insecurity in already vulnerable zones. Such hydrological extremes underscore the twin risk of both drought and flooding in West Africa’s transitional climatic zones.</w:t>
      </w:r>
    </w:p>
    <w:p w14:paraId="2ED44381" w14:textId="77777777" w:rsidR="001E1D12" w:rsidRPr="0003440F" w:rsidRDefault="001E1D12" w:rsidP="001E1D12">
      <w:pPr>
        <w:pStyle w:val="NormalWeb"/>
        <w:jc w:val="both"/>
      </w:pPr>
      <w:r w:rsidRPr="0003440F">
        <w:t xml:space="preserve">The use of global and regional climate datasets such as those maintained by the </w:t>
      </w:r>
      <w:r w:rsidRPr="0003440F">
        <w:rPr>
          <w:rStyle w:val="Strong"/>
          <w:b w:val="0"/>
        </w:rPr>
        <w:t>Climate Research Unit (CRU)</w:t>
      </w:r>
      <w:r w:rsidRPr="0003440F">
        <w:t xml:space="preserve">, </w:t>
      </w:r>
      <w:r w:rsidRPr="0003440F">
        <w:rPr>
          <w:rStyle w:val="Strong"/>
          <w:b w:val="0"/>
        </w:rPr>
        <w:t>CHIRPS (Climate Hazards Group InfraRed Precipitation with Station data)</w:t>
      </w:r>
      <w:r w:rsidRPr="0003440F">
        <w:t>, and African climate databases has been fundamental to documenting these trends. These sources facilitate consistent long-term analyses of temperature and precipitation anomalies, enabling researchers to differentiate between natural variability and anthropogenic change while accounting for spatial heterogeneity across countries. Likewise, advances in large-scale hydrological modeling provide insight into changing flood risks across major river basins, with implications for infrastructure planning and disaster risk management (Diop et al., 2025).</w:t>
      </w:r>
    </w:p>
    <w:p w14:paraId="202E875A" w14:textId="77777777" w:rsidR="001E1D12" w:rsidRPr="0003440F" w:rsidRDefault="001E1D12" w:rsidP="001E1D12">
      <w:pPr>
        <w:pStyle w:val="NormalWeb"/>
        <w:jc w:val="both"/>
      </w:pPr>
      <w:r w:rsidRPr="0003440F">
        <w:t xml:space="preserve">The </w:t>
      </w:r>
      <w:r w:rsidRPr="0003440F">
        <w:rPr>
          <w:rStyle w:val="Strong"/>
          <w:b w:val="0"/>
        </w:rPr>
        <w:t>frequency and economic cost of extreme climate events</w:t>
      </w:r>
      <w:r w:rsidRPr="0003440F">
        <w:t xml:space="preserve"> in West Africa have grown over the last three decades. According to the World Meteorological Organization’s </w:t>
      </w:r>
      <w:r w:rsidRPr="0003440F">
        <w:rPr>
          <w:rStyle w:val="Emphasis"/>
        </w:rPr>
        <w:t>State of the Climate in Africa</w:t>
      </w:r>
      <w:r w:rsidRPr="0003440F">
        <w:t xml:space="preserve"> report, climate hazards such as droughts and floods are now responsible for estimated annual GDP losses of between 2–5 percent in many African economies, while adaptation costs continue to rise, underscoring both the magnitude and urgency of climatic pressures on development pathways across the continent.</w:t>
      </w:r>
    </w:p>
    <w:p w14:paraId="340B5938" w14:textId="77777777" w:rsidR="001E1D12" w:rsidRPr="0003440F" w:rsidRDefault="001E1D12" w:rsidP="001E1D12">
      <w:pPr>
        <w:spacing w:line="240" w:lineRule="auto"/>
        <w:rPr>
          <w:rFonts w:ascii="Times New Roman" w:hAnsi="Times New Roman" w:cs="Times New Roman"/>
          <w:b/>
          <w:bCs/>
          <w:sz w:val="24"/>
          <w:szCs w:val="24"/>
        </w:rPr>
      </w:pPr>
      <w:r w:rsidRPr="0003440F">
        <w:rPr>
          <w:rStyle w:val="Strong"/>
          <w:sz w:val="24"/>
          <w:szCs w:val="24"/>
        </w:rPr>
        <w:t xml:space="preserve"> </w:t>
      </w:r>
      <w:r w:rsidR="00AD02BA" w:rsidRPr="0003440F">
        <w:rPr>
          <w:rStyle w:val="Strong"/>
          <w:rFonts w:ascii="Times New Roman" w:hAnsi="Times New Roman" w:cs="Times New Roman"/>
          <w:sz w:val="24"/>
          <w:szCs w:val="24"/>
        </w:rPr>
        <w:t>2.1.6</w:t>
      </w:r>
      <w:r w:rsidR="00AD02BA" w:rsidRPr="0003440F">
        <w:rPr>
          <w:rStyle w:val="Strong"/>
          <w:rFonts w:ascii="Times New Roman" w:hAnsi="Times New Roman" w:cs="Times New Roman"/>
          <w:b w:val="0"/>
          <w:bCs w:val="0"/>
          <w:sz w:val="24"/>
          <w:szCs w:val="24"/>
        </w:rPr>
        <w:t xml:space="preserve"> </w:t>
      </w:r>
      <w:r w:rsidRPr="0003440F">
        <w:rPr>
          <w:rFonts w:ascii="Times New Roman" w:hAnsi="Times New Roman" w:cs="Times New Roman"/>
          <w:b/>
          <w:bCs/>
          <w:sz w:val="24"/>
          <w:szCs w:val="24"/>
        </w:rPr>
        <w:t>Economic Context of West Africa</w:t>
      </w:r>
      <w:r w:rsidRPr="0003440F">
        <w:rPr>
          <w:rFonts w:ascii="Times New Roman" w:hAnsi="Times New Roman" w:cs="Times New Roman"/>
          <w:b/>
          <w:bCs/>
          <w:sz w:val="24"/>
          <w:szCs w:val="24"/>
        </w:rPr>
        <w:tab/>
      </w:r>
    </w:p>
    <w:p w14:paraId="326A84CC" w14:textId="77777777" w:rsidR="001E1D12" w:rsidRPr="0003440F" w:rsidRDefault="001E1D12" w:rsidP="001E1D12">
      <w:pPr>
        <w:pStyle w:val="NormalWeb"/>
        <w:jc w:val="both"/>
      </w:pPr>
      <w:r w:rsidRPr="0003440F">
        <w:t xml:space="preserve">The economic landscape of West Africa remains heavily shaped by </w:t>
      </w:r>
      <w:r w:rsidRPr="0003440F">
        <w:rPr>
          <w:rStyle w:val="Strong"/>
          <w:b w:val="0"/>
        </w:rPr>
        <w:t>climate-sensitive sectors</w:t>
      </w:r>
      <w:r w:rsidRPr="0003440F">
        <w:t xml:space="preserve">, while broader development challenges continue to constrain resilience and adaptive capacity. Agriculture remains the backbone of the regional economy: in many West African countries, a </w:t>
      </w:r>
      <w:r w:rsidRPr="0003440F">
        <w:lastRenderedPageBreak/>
        <w:t xml:space="preserve">substantial share of the labour force depends on agriculture for livelihoods, even as sectoral contributions to GDP have shifted over time (World Bank, 2026). Across Western and Central Africa, roughly </w:t>
      </w:r>
      <w:r w:rsidRPr="0003440F">
        <w:rPr>
          <w:rStyle w:val="Strong"/>
          <w:b w:val="0"/>
        </w:rPr>
        <w:t>42 percent of the population is employed in agriculture</w:t>
      </w:r>
      <w:r w:rsidRPr="0003440F">
        <w:t>, with services and industry growing in importance but still operating alongside persistent structural fragilities.</w:t>
      </w:r>
    </w:p>
    <w:p w14:paraId="3B755C94" w14:textId="77777777" w:rsidR="001E1D12" w:rsidRPr="0003440F" w:rsidRDefault="001E1D12" w:rsidP="001E1D12">
      <w:pPr>
        <w:pStyle w:val="NormalWeb"/>
        <w:jc w:val="both"/>
      </w:pPr>
      <w:r w:rsidRPr="0003440F">
        <w:t xml:space="preserve">Recent regional economic projections suggest modest but positive growth rates, with West Africa expected to expand at around </w:t>
      </w:r>
      <w:r w:rsidRPr="0003440F">
        <w:rPr>
          <w:rStyle w:val="Strong"/>
          <w:b w:val="0"/>
        </w:rPr>
        <w:t>4.4 percent in 2025</w:t>
      </w:r>
      <w:r w:rsidRPr="0003440F">
        <w:t xml:space="preserve"> and projected to maintain similar momentum through 2026–27. Growth is driven largely by </w:t>
      </w:r>
      <w:r w:rsidRPr="0003440F">
        <w:rPr>
          <w:rStyle w:val="Strong"/>
          <w:b w:val="0"/>
        </w:rPr>
        <w:t>non-oil sectors</w:t>
      </w:r>
      <w:r w:rsidRPr="0003440F">
        <w:t>, including services, agriculture, and expanding infrastructure and energy projects in economies like Nigeria, Ghana, Senegal, and Niger. However, these macroeconomic performance figures mask significant disparities in income levels, sectoral contributions, and exposure to climate and development risks.</w:t>
      </w:r>
    </w:p>
    <w:p w14:paraId="206D64C5" w14:textId="77777777" w:rsidR="001E1D12" w:rsidRPr="0003440F" w:rsidRDefault="001E1D12" w:rsidP="001E1D12">
      <w:pPr>
        <w:pStyle w:val="NormalWeb"/>
        <w:jc w:val="both"/>
      </w:pPr>
      <w:r w:rsidRPr="0003440F">
        <w:t xml:space="preserve">Despite ongoing economic activity, </w:t>
      </w:r>
      <w:r w:rsidRPr="0003440F">
        <w:rPr>
          <w:rStyle w:val="Strong"/>
          <w:b w:val="0"/>
        </w:rPr>
        <w:t>human development indicators remain low across much of West Africa</w:t>
      </w:r>
      <w:r w:rsidRPr="0003440F">
        <w:t>, reflecting persistent challenges in health, education, and standard of living that condition adaptive capacity. According to UNDP data, many countries in the region exhibit comparatively low Human Development Index (HDI) scores relative to global averages, highlighting gaps in socioeconomic progress that can exacerbate climate vulnerabilities. Peripheral economies, particularly in the Sahel, also contend with high poverty rates and limited access to essential services, which further constrain resilience against climatic shocks and broader structural threats.</w:t>
      </w:r>
    </w:p>
    <w:p w14:paraId="1FBFAC97" w14:textId="77777777" w:rsidR="001E1D12" w:rsidRPr="0003440F" w:rsidRDefault="001E1D12" w:rsidP="0013501B">
      <w:pPr>
        <w:pStyle w:val="NormalWeb"/>
        <w:jc w:val="both"/>
        <w:rPr>
          <w:rStyle w:val="Strong"/>
          <w:b w:val="0"/>
          <w:bCs w:val="0"/>
        </w:rPr>
      </w:pPr>
      <w:r w:rsidRPr="0003440F">
        <w:t xml:space="preserve">Poverty and development indices remain critical contextual factors in the region’s climate–economy nexus. A significant share of the West African population lives in conditions of </w:t>
      </w:r>
      <w:r w:rsidRPr="0003440F">
        <w:rPr>
          <w:rStyle w:val="Strong"/>
          <w:b w:val="0"/>
        </w:rPr>
        <w:t>extreme poverty and multidimensional deprivation</w:t>
      </w:r>
      <w:r w:rsidRPr="0003440F">
        <w:t>, with rural households disproportionately affected due to limited access to markets, infrastructure, and adaptive resources (UNDP, 2023). The combination of structural economic dependence on agriculture, high poverty rates, and climate exposure creates a feedback loop wherein climate impacts slow development progress, increase vulnerability, and amplify economic burdens on households and national economies alike.</w:t>
      </w:r>
    </w:p>
    <w:p w14:paraId="174CDA39" w14:textId="77777777" w:rsidR="00A62F03" w:rsidRPr="0003440F" w:rsidRDefault="003A3F2C" w:rsidP="008764E0">
      <w:pPr>
        <w:pStyle w:val="Heading3"/>
        <w:jc w:val="both"/>
        <w:rPr>
          <w:b w:val="0"/>
          <w:sz w:val="24"/>
          <w:szCs w:val="24"/>
        </w:rPr>
      </w:pPr>
      <w:r w:rsidRPr="0003440F">
        <w:rPr>
          <w:rStyle w:val="Strong"/>
          <w:b/>
          <w:bCs/>
          <w:sz w:val="24"/>
          <w:szCs w:val="24"/>
        </w:rPr>
        <w:t>2.1.</w:t>
      </w:r>
      <w:r w:rsidR="00827099" w:rsidRPr="0003440F">
        <w:rPr>
          <w:rStyle w:val="Strong"/>
          <w:b/>
          <w:bCs/>
          <w:sz w:val="24"/>
          <w:szCs w:val="24"/>
        </w:rPr>
        <w:t>7</w:t>
      </w:r>
      <w:r w:rsidRPr="0003440F">
        <w:rPr>
          <w:rStyle w:val="Strong"/>
          <w:b/>
          <w:bCs/>
          <w:sz w:val="24"/>
          <w:szCs w:val="24"/>
        </w:rPr>
        <w:t xml:space="preserve"> </w:t>
      </w:r>
      <w:r w:rsidR="00A62F03" w:rsidRPr="0003440F">
        <w:rPr>
          <w:rStyle w:val="Strong"/>
          <w:b/>
          <w:bCs/>
          <w:sz w:val="24"/>
          <w:szCs w:val="24"/>
        </w:rPr>
        <w:t>Gaps and Contradictions in Existing Research</w:t>
      </w:r>
    </w:p>
    <w:p w14:paraId="7A5C8D7A" w14:textId="77777777" w:rsidR="00A62F03" w:rsidRPr="0003440F" w:rsidRDefault="00A62F03" w:rsidP="008764E0">
      <w:pPr>
        <w:pStyle w:val="NormalWeb"/>
        <w:jc w:val="both"/>
      </w:pPr>
      <w:r w:rsidRPr="0003440F">
        <w:t>Although the literature converges on the conclusion that climate change negatively affects vulnerable economies, inconsistencies remain regarding the magnitude, persistence, and transmission mechanisms of these impacts. Some macro-panel studies report large and lasting growth losses, while others find more moderate or short-lived effects depending on adaptation capacity and institutional quality (Kotz et al., 2024). Similarly, while agricultural studies consistently show yield reductions under warming scenarios, macroeconomic growth regressions sometimes produce statistically weaker coefficients when structural controls are included.</w:t>
      </w:r>
    </w:p>
    <w:p w14:paraId="4BAC7A2E" w14:textId="77777777" w:rsidR="00A62F03" w:rsidRPr="0003440F" w:rsidRDefault="00A62F03" w:rsidP="008764E0">
      <w:pPr>
        <w:pStyle w:val="NormalWeb"/>
        <w:jc w:val="both"/>
      </w:pPr>
      <w:r w:rsidRPr="0003440F">
        <w:t xml:space="preserve">For West Africa specifically, research remains fragmented across countries and sectors. Few studies integrate agricultural productivity, labour effects, macroeconomic growth, and trade dynamics within a single comparative framework covering both coastal and Sahelian economies over a long temporal horizon. Moreover, extreme climate events—such as flood </w:t>
      </w:r>
      <w:r w:rsidR="0084436C" w:rsidRPr="0003440F">
        <w:t xml:space="preserve">intensity and drought frequency </w:t>
      </w:r>
      <w:r w:rsidRPr="0003440F">
        <w:t>are less systematically incorporated into macro-growth models, despite their pronounced economic relevance in Nigeria, Senegal, Mali, and Niger.</w:t>
      </w:r>
    </w:p>
    <w:p w14:paraId="32D8101A" w14:textId="77777777" w:rsidR="00A62F03" w:rsidRPr="0003440F" w:rsidRDefault="00A62F03" w:rsidP="008764E0">
      <w:pPr>
        <w:pStyle w:val="NormalWeb"/>
        <w:jc w:val="both"/>
      </w:pPr>
      <w:r w:rsidRPr="0003440F">
        <w:lastRenderedPageBreak/>
        <w:t>These methodological and empirical divergences underscore the need for a comparative, long-run, and macro-sectorally integrated analysis of climate change and economic performance in West Africa. By synthesizing climate variability, extreme events, and multi-sector economic indicators across Nigeria, Ghana, Senegal, Mali, and Niger from 1994–2025, the present study seeks to reconcile fragmented evidence and provide a more coherent understanding of climate–economic dynamics in the region.</w:t>
      </w:r>
    </w:p>
    <w:p w14:paraId="25EE83AC" w14:textId="77777777" w:rsidR="00A62F03" w:rsidRPr="0003440F" w:rsidRDefault="003A3F2C" w:rsidP="008764E0">
      <w:pPr>
        <w:pStyle w:val="Heading2"/>
        <w:spacing w:line="240" w:lineRule="auto"/>
        <w:jc w:val="both"/>
        <w:rPr>
          <w:rFonts w:ascii="Times New Roman" w:hAnsi="Times New Roman" w:cs="Times New Roman"/>
          <w:b w:val="0"/>
          <w:color w:val="auto"/>
          <w:sz w:val="24"/>
          <w:szCs w:val="24"/>
        </w:rPr>
      </w:pPr>
      <w:r w:rsidRPr="0003440F">
        <w:rPr>
          <w:rStyle w:val="Strong"/>
          <w:rFonts w:ascii="Times New Roman" w:hAnsi="Times New Roman" w:cs="Times New Roman"/>
          <w:b/>
          <w:bCs/>
          <w:color w:val="auto"/>
          <w:sz w:val="24"/>
          <w:szCs w:val="24"/>
        </w:rPr>
        <w:t xml:space="preserve">2.2 </w:t>
      </w:r>
      <w:r w:rsidR="00A62F03" w:rsidRPr="0003440F">
        <w:rPr>
          <w:rStyle w:val="Strong"/>
          <w:rFonts w:ascii="Times New Roman" w:hAnsi="Times New Roman" w:cs="Times New Roman"/>
          <w:b/>
          <w:bCs/>
          <w:color w:val="auto"/>
          <w:sz w:val="24"/>
          <w:szCs w:val="24"/>
        </w:rPr>
        <w:t xml:space="preserve">Theoretical </w:t>
      </w:r>
      <w:r w:rsidR="00D435DA" w:rsidRPr="0003440F">
        <w:rPr>
          <w:rStyle w:val="Strong"/>
          <w:rFonts w:ascii="Times New Roman" w:hAnsi="Times New Roman" w:cs="Times New Roman"/>
          <w:b/>
          <w:bCs/>
          <w:color w:val="auto"/>
          <w:sz w:val="24"/>
          <w:szCs w:val="24"/>
        </w:rPr>
        <w:t>Review</w:t>
      </w:r>
    </w:p>
    <w:p w14:paraId="4A3E293D" w14:textId="77777777" w:rsidR="00D435DA" w:rsidRPr="0003440F" w:rsidRDefault="003A3F2C" w:rsidP="008764E0">
      <w:pPr>
        <w:pStyle w:val="Heading2"/>
        <w:spacing w:line="240" w:lineRule="auto"/>
        <w:jc w:val="both"/>
        <w:rPr>
          <w:rFonts w:ascii="Times New Roman" w:hAnsi="Times New Roman" w:cs="Times New Roman"/>
          <w:color w:val="auto"/>
          <w:sz w:val="24"/>
          <w:szCs w:val="24"/>
        </w:rPr>
      </w:pPr>
      <w:r w:rsidRPr="0003440F">
        <w:rPr>
          <w:rStyle w:val="Strong"/>
          <w:b/>
          <w:bCs/>
          <w:color w:val="auto"/>
          <w:sz w:val="24"/>
          <w:szCs w:val="24"/>
        </w:rPr>
        <w:t xml:space="preserve">2.2.1 </w:t>
      </w:r>
      <w:r w:rsidR="00D435DA" w:rsidRPr="0003440F">
        <w:rPr>
          <w:rFonts w:ascii="Times New Roman" w:hAnsi="Times New Roman" w:cs="Times New Roman"/>
          <w:color w:val="auto"/>
          <w:sz w:val="24"/>
          <w:szCs w:val="24"/>
        </w:rPr>
        <w:t>Environmental Kuznets Curve (EKC) Hypothesis</w:t>
      </w:r>
    </w:p>
    <w:p w14:paraId="4DC0D523" w14:textId="77777777" w:rsidR="00D435DA" w:rsidRPr="0003440F" w:rsidRDefault="00D435DA" w:rsidP="008764E0">
      <w:pPr>
        <w:pStyle w:val="NormalWeb"/>
        <w:jc w:val="both"/>
      </w:pPr>
      <w:r w:rsidRPr="0003440F">
        <w:t>The Environmental Kuznets Curve (EKC) hypothesis, formally advanced by Grossman and Krueger (1995) following Kuznets’ (1955) income–inequality proposition, posits an inverted U-shaped relationship between environmental degradation and income per capita. The central argument is that environmental degradation intensifies in the early stages of economic development due to industrialization, weak regulation, and resource exploitation. However, beyond a certain income threshold, further economic growth leads to environmental improvement as societies adopt cleaner technologies, strengthen institutions, and demand higher environmental standards.</w:t>
      </w:r>
      <w:r w:rsidR="00827099" w:rsidRPr="0003440F">
        <w:t xml:space="preserve"> </w:t>
      </w:r>
      <w:r w:rsidRPr="0003440F">
        <w:t>The EKC framework assumes structural transformation from agriculture to industry and eventually to services, technological innovation, and institutional capacity for environmental regulation. Nevertheless, recent empirical studies question its universality, particularly in developing regions. Sarkodie and Strezov (2021) argue that institutional weaknesses and structural rigidities in low-income countries limit the automatic transition toward environmental improvement. Similarly, Pata and Caglar (2021) find inconsistent EKC patterns in developing economies, especially where climate-related externalities are global rather than local.</w:t>
      </w:r>
      <w:r w:rsidR="00827099" w:rsidRPr="0003440F">
        <w:t xml:space="preserve"> </w:t>
      </w:r>
      <w:r w:rsidRPr="0003440F">
        <w:t>In the context of Nigeria, Ghana, Senegal, Mali, and Niger, most economies remain below the hypothesized turning point. Consequently, growth alone may not reduce climate vulnerability. The EKC thus provides structural insight but underscores the need for deliberate policy intervention rather than reliance on income-driven environmental improvement.</w:t>
      </w:r>
    </w:p>
    <w:p w14:paraId="79BD8098" w14:textId="77777777" w:rsidR="00D435DA" w:rsidRPr="0003440F" w:rsidRDefault="003A3F2C" w:rsidP="008764E0">
      <w:pPr>
        <w:pStyle w:val="Heading2"/>
        <w:spacing w:line="240" w:lineRule="auto"/>
        <w:jc w:val="both"/>
        <w:rPr>
          <w:rFonts w:ascii="Times New Roman" w:hAnsi="Times New Roman" w:cs="Times New Roman"/>
          <w:color w:val="auto"/>
          <w:sz w:val="24"/>
          <w:szCs w:val="24"/>
        </w:rPr>
      </w:pPr>
      <w:r w:rsidRPr="0003440F">
        <w:rPr>
          <w:rStyle w:val="Strong"/>
          <w:b/>
          <w:bCs/>
          <w:color w:val="auto"/>
          <w:sz w:val="24"/>
          <w:szCs w:val="24"/>
        </w:rPr>
        <w:t xml:space="preserve">2.2.2 </w:t>
      </w:r>
      <w:r w:rsidR="00D435DA" w:rsidRPr="0003440F">
        <w:rPr>
          <w:rFonts w:ascii="Times New Roman" w:hAnsi="Times New Roman" w:cs="Times New Roman"/>
          <w:color w:val="auto"/>
          <w:sz w:val="24"/>
          <w:szCs w:val="24"/>
        </w:rPr>
        <w:t>Solow Growth Model with Environmental Augmentation</w:t>
      </w:r>
    </w:p>
    <w:p w14:paraId="75FB4219" w14:textId="77777777" w:rsidR="00F936F1" w:rsidRPr="0003440F" w:rsidRDefault="00D435DA" w:rsidP="008764E0">
      <w:pPr>
        <w:pStyle w:val="NormalWeb"/>
        <w:jc w:val="both"/>
      </w:pPr>
      <w:r w:rsidRPr="0003440F">
        <w:t>The neoclassical growth model developed by Solow (1956) explains output as a function of capital (K), labor (L), and total factor productivity (A). Subsequent extensions, notably by Brock and Taylor (2010), incorporate environmental variables into the production function. In this augmented framework, climate variability affects economic output by reducing productivity (A), depreciating capital stock (K), and lowering effective labor supply (L).</w:t>
      </w:r>
      <w:r w:rsidR="00827099" w:rsidRPr="0003440F">
        <w:t xml:space="preserve"> </w:t>
      </w:r>
      <w:r w:rsidRPr="0003440F">
        <w:t>The model assumes diminishing returns to capital, exogenous technological progress, and stable production relationships. Climate shocks are treated as exogenous disturbances that alter input efficiency. While critics note that the model may underestimate nonlinear risks and tipping points (Burke et al., 2021), it remains analytically robust for macroeconomic estimation.</w:t>
      </w:r>
      <w:r w:rsidR="00827099" w:rsidRPr="0003440F">
        <w:t xml:space="preserve"> </w:t>
      </w:r>
      <w:r w:rsidRPr="0003440F">
        <w:t>This theoretical structure directly aligns with the empirical model used in this study. Temperature increases, floods, and droughts reduce effective inputs, leading to lower GDP. The significant negative coefficients on temperature and extreme events are consistent with the environmental augmentation of the Solow framework.</w:t>
      </w:r>
    </w:p>
    <w:p w14:paraId="7D2975B6" w14:textId="77777777" w:rsidR="0003440F" w:rsidRPr="0003440F" w:rsidRDefault="0003440F" w:rsidP="008764E0">
      <w:pPr>
        <w:spacing w:line="240" w:lineRule="auto"/>
        <w:rPr>
          <w:rFonts w:ascii="Times New Roman" w:hAnsi="Times New Roman" w:cs="Times New Roman"/>
          <w:b/>
          <w:sz w:val="24"/>
          <w:szCs w:val="24"/>
        </w:rPr>
      </w:pPr>
    </w:p>
    <w:p w14:paraId="4323B517" w14:textId="28451453" w:rsidR="00D435DA" w:rsidRPr="0003440F" w:rsidRDefault="003A3F2C" w:rsidP="008764E0">
      <w:pPr>
        <w:spacing w:line="240" w:lineRule="auto"/>
        <w:rPr>
          <w:rFonts w:ascii="Times New Roman" w:hAnsi="Times New Roman" w:cs="Times New Roman"/>
          <w:b/>
          <w:sz w:val="24"/>
          <w:szCs w:val="24"/>
        </w:rPr>
      </w:pPr>
      <w:r w:rsidRPr="0003440F">
        <w:rPr>
          <w:rFonts w:ascii="Times New Roman" w:hAnsi="Times New Roman" w:cs="Times New Roman"/>
          <w:b/>
          <w:sz w:val="24"/>
          <w:szCs w:val="24"/>
        </w:rPr>
        <w:lastRenderedPageBreak/>
        <w:t>2.2.3 Ricardian</w:t>
      </w:r>
      <w:r w:rsidR="00D435DA" w:rsidRPr="0003440F">
        <w:rPr>
          <w:rFonts w:ascii="Times New Roman" w:hAnsi="Times New Roman" w:cs="Times New Roman"/>
          <w:b/>
          <w:sz w:val="24"/>
          <w:szCs w:val="24"/>
        </w:rPr>
        <w:t xml:space="preserve"> Theory of Climate Impacts on Agriculture</w:t>
      </w:r>
    </w:p>
    <w:p w14:paraId="4BE6FE82" w14:textId="77777777" w:rsidR="00D435DA" w:rsidRPr="0003440F" w:rsidRDefault="00D435DA" w:rsidP="008764E0">
      <w:pPr>
        <w:pStyle w:val="NormalWeb"/>
        <w:jc w:val="both"/>
      </w:pPr>
      <w:r w:rsidRPr="0003440F">
        <w:t>The Ricardian approach, introduced by Mendelsohn, Nordhaus, and Shaw (1994), assesses climate impacts on agriculture by examining how land values reflect long-term climatic conditions. The theory posits that farmers adapt optimally to local climate conditions; thus, observed land rents capture the net economic impact of climate variability.</w:t>
      </w:r>
      <w:r w:rsidR="00827099" w:rsidRPr="0003440F">
        <w:t xml:space="preserve"> </w:t>
      </w:r>
      <w:r w:rsidRPr="0003440F">
        <w:t>This framework assumes efficient markets, adaptive capacity, and access to technology. However, in developing regions where credit constraints, infrastructure deficits, and institutional weaknesses persist, adaptation may be incomplete (Di Falco et al., 2020). Consequently, climate damages may be underestimated in such settings.</w:t>
      </w:r>
    </w:p>
    <w:p w14:paraId="77BEA22E" w14:textId="77777777" w:rsidR="00D435DA" w:rsidRPr="0003440F" w:rsidRDefault="00D435DA" w:rsidP="008764E0">
      <w:pPr>
        <w:pStyle w:val="NormalWeb"/>
        <w:jc w:val="both"/>
      </w:pPr>
      <w:r w:rsidRPr="0003440F">
        <w:t>Given that agriculture accounts for a substantial share of GDP in the selected West African countries, the Ricardian perspective explains the observed sensitivity of agricultural output to rainfall variability and drought frequency. The positive impact of rainfall anomalies and the negative impact of droughts in the sectoral regression are consistent with this theory.</w:t>
      </w:r>
    </w:p>
    <w:p w14:paraId="6760C08F" w14:textId="77777777" w:rsidR="00D435DA" w:rsidRPr="0003440F" w:rsidRDefault="00F936F1" w:rsidP="008764E0">
      <w:pPr>
        <w:pStyle w:val="Heading2"/>
        <w:spacing w:line="240" w:lineRule="auto"/>
        <w:jc w:val="both"/>
        <w:rPr>
          <w:rFonts w:ascii="Times New Roman" w:hAnsi="Times New Roman" w:cs="Times New Roman"/>
          <w:color w:val="auto"/>
          <w:sz w:val="24"/>
          <w:szCs w:val="24"/>
        </w:rPr>
      </w:pPr>
      <w:r w:rsidRPr="0003440F">
        <w:rPr>
          <w:rStyle w:val="Strong"/>
          <w:b/>
          <w:bCs/>
          <w:color w:val="auto"/>
          <w:sz w:val="24"/>
          <w:szCs w:val="24"/>
        </w:rPr>
        <w:t xml:space="preserve">2.2.4 </w:t>
      </w:r>
      <w:r w:rsidR="00D435DA" w:rsidRPr="0003440F">
        <w:rPr>
          <w:rFonts w:ascii="Times New Roman" w:hAnsi="Times New Roman" w:cs="Times New Roman"/>
          <w:color w:val="auto"/>
          <w:sz w:val="24"/>
          <w:szCs w:val="24"/>
        </w:rPr>
        <w:t>Climate Damage Function Theory</w:t>
      </w:r>
    </w:p>
    <w:p w14:paraId="05C825EA" w14:textId="77777777" w:rsidR="00D435DA" w:rsidRPr="0003440F" w:rsidRDefault="00D435DA" w:rsidP="008764E0">
      <w:pPr>
        <w:pStyle w:val="NormalWeb"/>
        <w:jc w:val="both"/>
      </w:pPr>
      <w:r w:rsidRPr="0003440F">
        <w:t>Climate damage function theory, embedded in Integrated Assessment Models (IAMs) and prominently advanced by Nordhaus (2017), formalizes the relationship between temperature increases and economic losses. The central proposition is that economic damages rise nonlinearly with temperature, meaning that higher warming levels generate disproportionately larger economic losses.</w:t>
      </w:r>
      <w:r w:rsidR="00827099" w:rsidRPr="0003440F">
        <w:t xml:space="preserve"> </w:t>
      </w:r>
      <w:r w:rsidRPr="0003440F">
        <w:t>The framework assumes quantifiable temperature–output relationships and measurable adaptation responses. However, Howard and Sterner (2020) argue that traditional damage functions may underestimate extreme risks and catastrophic outcomes.</w:t>
      </w:r>
      <w:r w:rsidR="00827099" w:rsidRPr="0003440F">
        <w:t xml:space="preserve"> </w:t>
      </w:r>
      <w:r w:rsidRPr="0003440F">
        <w:t>The empirical finding that a 1°C increase in temperature significantly reduces GDP provides support for the damage function hypothesis. In West Africa, where adaptive capacity is limited and economies are climate-sensitive, nonlinear temperature effects are particularly relevant.</w:t>
      </w:r>
    </w:p>
    <w:p w14:paraId="6A632E10" w14:textId="77777777" w:rsidR="00D435DA" w:rsidRPr="0003440F" w:rsidRDefault="00F936F1" w:rsidP="008764E0">
      <w:pPr>
        <w:pStyle w:val="Heading2"/>
        <w:spacing w:line="240" w:lineRule="auto"/>
        <w:jc w:val="both"/>
        <w:rPr>
          <w:rFonts w:ascii="Times New Roman" w:hAnsi="Times New Roman" w:cs="Times New Roman"/>
          <w:color w:val="auto"/>
          <w:sz w:val="24"/>
          <w:szCs w:val="24"/>
        </w:rPr>
      </w:pPr>
      <w:r w:rsidRPr="0003440F">
        <w:rPr>
          <w:rStyle w:val="Strong"/>
          <w:b/>
          <w:bCs/>
          <w:color w:val="auto"/>
          <w:sz w:val="24"/>
          <w:szCs w:val="24"/>
        </w:rPr>
        <w:t xml:space="preserve">2.2.5 </w:t>
      </w:r>
      <w:r w:rsidR="00D435DA" w:rsidRPr="0003440F">
        <w:rPr>
          <w:rFonts w:ascii="Times New Roman" w:hAnsi="Times New Roman" w:cs="Times New Roman"/>
          <w:color w:val="auto"/>
          <w:sz w:val="24"/>
          <w:szCs w:val="24"/>
        </w:rPr>
        <w:t>Endogenous Growth and Human Capital Theory</w:t>
      </w:r>
    </w:p>
    <w:p w14:paraId="79EB1485" w14:textId="77777777" w:rsidR="00827099" w:rsidRPr="0003440F" w:rsidRDefault="00D435DA" w:rsidP="008764E0">
      <w:pPr>
        <w:pStyle w:val="NormalWeb"/>
        <w:jc w:val="both"/>
      </w:pPr>
      <w:r w:rsidRPr="0003440F">
        <w:t>Endogenous growth theory, developed by Lucas (1988) and Romer (1990), emphasizes the role of human capital, innovation, and knowledge accumulation in sustaining long-term economic growth. Unlike the Solow model, technological progress is endogenous and influenced by investment in education and health.</w:t>
      </w:r>
      <w:r w:rsidR="00827099" w:rsidRPr="0003440F">
        <w:t xml:space="preserve"> </w:t>
      </w:r>
      <w:r w:rsidRPr="0003440F">
        <w:t>Climate change affects this mechanism by increasing disease burden, malnutrition, and heat stress, thereby reducing labor productivity and impairing human capital formation. Burke et al. (2021) demonstrate that temperature increases can have persistent effects on productivity, particularly in low-income countries.</w:t>
      </w:r>
      <w:r w:rsidR="00827099" w:rsidRPr="0003440F">
        <w:t xml:space="preserve"> </w:t>
      </w:r>
      <w:r w:rsidRPr="0003440F">
        <w:t>In the West African context, where high temperatures and health vulnerabilities are prevalent, climate-induced human capital erosion may constrain long-run growth. This theory supports the human capital transmission channel identified in the study’s conceptual framework.</w:t>
      </w:r>
    </w:p>
    <w:p w14:paraId="4A7F240F" w14:textId="77777777" w:rsidR="00D435DA" w:rsidRPr="0003440F" w:rsidRDefault="00D435DA" w:rsidP="008764E0">
      <w:pPr>
        <w:pStyle w:val="NormalWeb"/>
        <w:jc w:val="both"/>
      </w:pPr>
      <w:r w:rsidRPr="0003440F">
        <w:t xml:space="preserve">Collectively, these theoretical perspectives provide a comprehensive framework for understanding the economic consequences of climate change in West Africa. The augmented Solow model explains aggregate output effects; the Ricardian approach captures agricultural sensitivity; climate damage functions formalize nonlinear temperature impacts; endogenous growth theory highlights long-term human capital effects; and the EKC situates climate–growth </w:t>
      </w:r>
      <w:r w:rsidRPr="0003440F">
        <w:lastRenderedPageBreak/>
        <w:t>interactions within structural development dynamics. Together, they justify the empirical strategy and interpretation of findings in this study.</w:t>
      </w:r>
    </w:p>
    <w:p w14:paraId="0A97231A" w14:textId="77777777" w:rsidR="00D13C21" w:rsidRPr="0003440F" w:rsidRDefault="00F936F1" w:rsidP="008764E0">
      <w:pPr>
        <w:pStyle w:val="Heading2"/>
        <w:spacing w:line="240" w:lineRule="auto"/>
        <w:jc w:val="both"/>
        <w:rPr>
          <w:rFonts w:ascii="Times New Roman" w:hAnsi="Times New Roman" w:cs="Times New Roman"/>
          <w:b w:val="0"/>
          <w:color w:val="auto"/>
          <w:sz w:val="24"/>
          <w:szCs w:val="24"/>
        </w:rPr>
      </w:pPr>
      <w:r w:rsidRPr="0003440F">
        <w:rPr>
          <w:rStyle w:val="Strong"/>
          <w:rFonts w:ascii="Times New Roman" w:hAnsi="Times New Roman" w:cs="Times New Roman"/>
          <w:b/>
          <w:bCs/>
          <w:color w:val="auto"/>
          <w:sz w:val="24"/>
          <w:szCs w:val="24"/>
        </w:rPr>
        <w:t xml:space="preserve">2.3 </w:t>
      </w:r>
      <w:r w:rsidR="00D13C21" w:rsidRPr="0003440F">
        <w:rPr>
          <w:rStyle w:val="Strong"/>
          <w:rFonts w:ascii="Times New Roman" w:hAnsi="Times New Roman" w:cs="Times New Roman"/>
          <w:b/>
          <w:bCs/>
          <w:color w:val="auto"/>
          <w:sz w:val="24"/>
          <w:szCs w:val="24"/>
        </w:rPr>
        <w:t>Empirical Review</w:t>
      </w:r>
    </w:p>
    <w:p w14:paraId="632A5324" w14:textId="77777777" w:rsidR="00D13C21" w:rsidRPr="0003440F" w:rsidRDefault="00D13C21" w:rsidP="008764E0">
      <w:pPr>
        <w:pStyle w:val="NormalWeb"/>
        <w:jc w:val="both"/>
      </w:pPr>
      <w:r w:rsidRPr="0003440F">
        <w:t xml:space="preserve">Empirical research on the economic impacts of climate change has advanced considerably over the past decade, with a growing focus on sectoral and macroeconomic outcomes in both global and African contexts. Globally, Burke, Hsiang, and Miguel (2015) employed a cross-country panel regression covering 1960–2010 to investigate the nonlinear effects of temperature on economic output. They found that each 1°C increase above optimal temperatures reduces GDP growth by 1–1.5% in poorer, warmer countries, with climate shocks generating persistent long-term economic losses. Expanding on these insights, Kotz, Levermann, and Wenz (2024) integrated macroeconomic modeling with observed climate data to demonstrate that long-run GDP losses are significantly larger when extreme events are accounted for, highlighting </w:t>
      </w:r>
      <w:r w:rsidR="00827099" w:rsidRPr="0003440F">
        <w:t>those developing countries</w:t>
      </w:r>
      <w:r w:rsidRPr="0003440F">
        <w:t xml:space="preserve"> face disproportionately higher economic costs under climate change scenarios.</w:t>
      </w:r>
    </w:p>
    <w:p w14:paraId="69C47CD8" w14:textId="77777777" w:rsidR="00D13C21" w:rsidRPr="0003440F" w:rsidRDefault="00D13C21" w:rsidP="008764E0">
      <w:pPr>
        <w:pStyle w:val="NormalWeb"/>
        <w:jc w:val="both"/>
      </w:pPr>
      <w:r w:rsidRPr="0003440F">
        <w:t>In Africa, empirical studies corroborate the continent’s heightened vulnerability due to structural dependence on climate-sensitive sectors. Abidoye and Odusola (2015) applied panel fixed-effects regression to country-level GDP and temperature anomalies from 1990 to 2012 and found that temperature increases have significant negative effects on GDP growth. The magnitude of these effects is amplified in economies with high reliance on agriculture. Sultan and Gaetani (2020) extended this evidence to West Africa by modeling crop yields using historical climate data from CRU and CHIRPS. Their study showed that rain-fed crops in Sahelian countries such as Mali and Niger are highly sensitive to both rainfall variability and rising temperatures, projecting potential declines in staple crop yields by 10–20% under extreme warming scenarios.</w:t>
      </w:r>
    </w:p>
    <w:p w14:paraId="31F65278" w14:textId="77777777" w:rsidR="00D13C21" w:rsidRPr="0003440F" w:rsidRDefault="00D13C21" w:rsidP="008764E0">
      <w:pPr>
        <w:pStyle w:val="NormalWeb"/>
        <w:jc w:val="both"/>
      </w:pPr>
      <w:r w:rsidRPr="0003440F">
        <w:t xml:space="preserve">Country-specific analyses further illustrate the diverse pathways through which climate impacts the economy. In Ghana, Asante and Amuakwa-Mensah (2021) employed panel regressions linking weather anomalies to cocoa yields from 1990 to 2018. They found that temperature and rainfall variability significantly reduce cocoa productivity, leading to rural income volatility and fluctuations in export earnings. In Nigeria, Ayanlade, Olusegun, and Adejuwon (2022) combined GIS mapping with econometric analyses to assess the effects of flood events on agricultural production between 2000 and 2020. The study highlighted </w:t>
      </w:r>
      <w:r w:rsidR="00827099" w:rsidRPr="0003440F">
        <w:t>that recurrent flood</w:t>
      </w:r>
      <w:r w:rsidRPr="0003440F">
        <w:t xml:space="preserve"> not only reduce crop output but also </w:t>
      </w:r>
      <w:r w:rsidR="00827099" w:rsidRPr="0003440F">
        <w:t>drive-up</w:t>
      </w:r>
      <w:r w:rsidRPr="0003440F">
        <w:t xml:space="preserve"> food prices and impose fiscal burdens through disaster-response expenditures. Similarly, Lam, Cheung, Swartz, and Sumaila (2020) examined fisheries in Senegal and coastal Nigeria, demonstrating that rising sea surface temperatures negatively affect artisanal fish catches, threatening both livelihoods and local food security.</w:t>
      </w:r>
    </w:p>
    <w:p w14:paraId="51C6A3ED" w14:textId="77777777" w:rsidR="00D13C21" w:rsidRPr="0003440F" w:rsidRDefault="00D13C21" w:rsidP="008764E0">
      <w:pPr>
        <w:pStyle w:val="NormalWeb"/>
        <w:jc w:val="both"/>
      </w:pPr>
      <w:r w:rsidRPr="0003440F">
        <w:t>The human capital and labor productivity channel is also well-documented. Carleton and Hsiang (2021) conducted micro-level labor productivity analyses and aggregated these results to macroeconomic outcomes, revealing that heat stress and climate-sensitive diseases reduce worker productivity, particularly in outdoor and informal sector employment, with substantial implications for aggregate economic performance. Pankratz, Levermann, and Wenz (2021) addressed methodological concerns regarding endogeneity and climate measurement by employing instrumental variable approaches based on exogenous climate shocks. Their findings confirmed that extreme climate events have nonlinear, persistent effects on economic growth, emphasizing the importance of robust empirical strategies in estimating climate damages.</w:t>
      </w:r>
    </w:p>
    <w:p w14:paraId="4C8BAF3C" w14:textId="77777777" w:rsidR="00D13C21" w:rsidRPr="0003440F" w:rsidRDefault="00D13C21" w:rsidP="008764E0">
      <w:pPr>
        <w:pStyle w:val="NormalWeb"/>
        <w:jc w:val="both"/>
      </w:pPr>
      <w:r w:rsidRPr="0003440F">
        <w:lastRenderedPageBreak/>
        <w:t>Recent macroeconomic studies further illustrate the broader economic implications of climate variability. The International Monetary Fund (2023) used panel regressions and scenario analysis across Sub-Saharan Africa to show that climate shocks contribute to higher food price inflation, trade imbalances, and fiscal deficits. While adaptation strategies can mitigate these effects, their implementation depends heavily on institutional and fiscal capacity, which is often constrained in the most vulnerable economies.</w:t>
      </w:r>
    </w:p>
    <w:p w14:paraId="25CE7F78" w14:textId="77777777" w:rsidR="00D13C21" w:rsidRPr="0003440F" w:rsidRDefault="00D13C21" w:rsidP="008764E0">
      <w:pPr>
        <w:pStyle w:val="NormalWeb"/>
        <w:jc w:val="both"/>
      </w:pPr>
      <w:r w:rsidRPr="0003440F">
        <w:t>Overall, the empirical literature demonstrates several key insights. First, climate change has consistently negative effects on both sectoral and macroeconomic outcomes, with agriculture, fisheries, labor productivity, and health being the most sensitive channels. Second, there is substantial methodological diversity, ranging from cross-country panel regressions and crop-climate models to GIS-based spatial analyses and integrated assessment models, though many studies are limited by short time horizons or single-country focus. Third, while extreme events such as floods, droughts, and heatwaves are increasingly recognized as critical drivers of economic loss, they are less systematically incorporated into long-run macroeconomic growth models for West African economies. Finally, a persistent gap exists in comparative, multi-sectoral, and long-term analyses that integrate climate variability, extreme events, and adaptation responses across diverse West African contexts, including both coastal (Nigeria, Ghana, Senegal) and Sahelian countries (Mali, Niger).</w:t>
      </w:r>
    </w:p>
    <w:p w14:paraId="7DFCDCEE" w14:textId="77777777" w:rsidR="00D13C21" w:rsidRPr="0003440F" w:rsidRDefault="00D13C21" w:rsidP="008764E0">
      <w:pPr>
        <w:pStyle w:val="NormalWeb"/>
        <w:jc w:val="both"/>
      </w:pPr>
      <w:r w:rsidRPr="0003440F">
        <w:t>By synthesizing both sectoral and macroeconomic empirical evidence, this study aims to address these gaps by examining the long-term effects of climate variability and extreme events on economic performance across Nigeria, Ghana, Senegal, Mali, and Niger between 1994 and 2025, while incorporating the mitigating role of adaptation strategies.</w:t>
      </w:r>
    </w:p>
    <w:p w14:paraId="68B49B75" w14:textId="77777777" w:rsidR="00D13C21" w:rsidRPr="0003440F" w:rsidRDefault="00F0297E" w:rsidP="008764E0">
      <w:pPr>
        <w:pStyle w:val="Heading2"/>
        <w:spacing w:line="240" w:lineRule="auto"/>
        <w:jc w:val="both"/>
        <w:rPr>
          <w:rFonts w:ascii="Times New Roman" w:hAnsi="Times New Roman" w:cs="Times New Roman"/>
          <w:b w:val="0"/>
          <w:color w:val="auto"/>
          <w:sz w:val="24"/>
          <w:szCs w:val="24"/>
        </w:rPr>
      </w:pPr>
      <w:r w:rsidRPr="0003440F">
        <w:rPr>
          <w:rStyle w:val="Strong"/>
          <w:rFonts w:ascii="Times New Roman" w:hAnsi="Times New Roman" w:cs="Times New Roman"/>
          <w:b/>
          <w:bCs/>
          <w:color w:val="auto"/>
          <w:sz w:val="24"/>
          <w:szCs w:val="24"/>
        </w:rPr>
        <w:t xml:space="preserve">3.0 </w:t>
      </w:r>
      <w:r w:rsidR="00D13C21" w:rsidRPr="0003440F">
        <w:rPr>
          <w:rStyle w:val="Strong"/>
          <w:rFonts w:ascii="Times New Roman" w:hAnsi="Times New Roman" w:cs="Times New Roman"/>
          <w:b/>
          <w:bCs/>
          <w:color w:val="auto"/>
          <w:sz w:val="24"/>
          <w:szCs w:val="24"/>
        </w:rPr>
        <w:t>Methodology</w:t>
      </w:r>
    </w:p>
    <w:p w14:paraId="73BCC13A" w14:textId="77777777" w:rsidR="00D13C21" w:rsidRPr="0003440F" w:rsidRDefault="00D13C21" w:rsidP="008764E0">
      <w:pPr>
        <w:pStyle w:val="NormalWeb"/>
        <w:jc w:val="both"/>
      </w:pPr>
      <w:r w:rsidRPr="0003440F">
        <w:t xml:space="preserve">This study employs a </w:t>
      </w:r>
      <w:r w:rsidRPr="0003440F">
        <w:rPr>
          <w:rStyle w:val="Strong"/>
          <w:b w:val="0"/>
        </w:rPr>
        <w:t>panel dataset</w:t>
      </w:r>
      <w:r w:rsidRPr="0003440F">
        <w:t xml:space="preserve"> covering </w:t>
      </w:r>
      <w:r w:rsidR="007F3D35" w:rsidRPr="0003440F">
        <w:rPr>
          <w:rStyle w:val="Strong"/>
          <w:b w:val="0"/>
        </w:rPr>
        <w:t xml:space="preserve">five West African countries </w:t>
      </w:r>
      <w:r w:rsidRPr="0003440F">
        <w:rPr>
          <w:rStyle w:val="Strong"/>
          <w:b w:val="0"/>
        </w:rPr>
        <w:t xml:space="preserve">Nigeria, </w:t>
      </w:r>
      <w:r w:rsidR="007F3D35" w:rsidRPr="0003440F">
        <w:rPr>
          <w:rStyle w:val="Strong"/>
          <w:b w:val="0"/>
        </w:rPr>
        <w:t xml:space="preserve">Ghana, Senegal, Mali, and Niger </w:t>
      </w:r>
      <w:r w:rsidRPr="0003440F">
        <w:rPr>
          <w:rStyle w:val="Strong"/>
          <w:b w:val="0"/>
        </w:rPr>
        <w:t>over the period 1994–2025</w:t>
      </w:r>
      <w:r w:rsidRPr="0003440F">
        <w:t xml:space="preserve">. The selection of these countries reflects their diverse ecological zones, including both </w:t>
      </w:r>
      <w:r w:rsidRPr="0003440F">
        <w:rPr>
          <w:rStyle w:val="Strong"/>
          <w:b w:val="0"/>
        </w:rPr>
        <w:t>coastal economies</w:t>
      </w:r>
      <w:r w:rsidRPr="0003440F">
        <w:t xml:space="preserve"> (Nigeria, Ghana, Senegal) and </w:t>
      </w:r>
      <w:r w:rsidRPr="0003440F">
        <w:rPr>
          <w:rStyle w:val="Strong"/>
          <w:b w:val="0"/>
        </w:rPr>
        <w:t>Sahelian economies</w:t>
      </w:r>
      <w:r w:rsidRPr="0003440F">
        <w:t xml:space="preserve"> (Mali, Niger), which experience varying climate risks and structural economic conditions. The temporal scope captures key economic transitions, including post-structural adjustment reforms, commodity price fluctuations, and the intensification of extreme climate events in the 2015–2025 </w:t>
      </w:r>
      <w:r w:rsidR="007F3D35" w:rsidRPr="0003440F">
        <w:t>periods</w:t>
      </w:r>
      <w:r w:rsidRPr="0003440F">
        <w:t>.</w:t>
      </w:r>
    </w:p>
    <w:p w14:paraId="2B4DB33A" w14:textId="77777777" w:rsidR="00D13C21" w:rsidRPr="0003440F" w:rsidRDefault="00D13C21" w:rsidP="008764E0">
      <w:pPr>
        <w:pStyle w:val="NormalWeb"/>
        <w:jc w:val="both"/>
      </w:pPr>
      <w:r w:rsidRPr="0003440F">
        <w:t xml:space="preserve">The study integrates </w:t>
      </w:r>
      <w:r w:rsidRPr="0003440F">
        <w:rPr>
          <w:rStyle w:val="Strong"/>
          <w:b w:val="0"/>
        </w:rPr>
        <w:t>multi-source datasets</w:t>
      </w:r>
      <w:r w:rsidRPr="0003440F">
        <w:t xml:space="preserve"> to capture both climatic and economic variables. Climate data are derived from global climate databases, including the </w:t>
      </w:r>
      <w:r w:rsidRPr="0003440F">
        <w:rPr>
          <w:rStyle w:val="Strong"/>
          <w:b w:val="0"/>
        </w:rPr>
        <w:t>Climate Research Unit (CRU)</w:t>
      </w:r>
      <w:r w:rsidRPr="0003440F">
        <w:t xml:space="preserve"> and the </w:t>
      </w:r>
      <w:r w:rsidRPr="0003440F">
        <w:rPr>
          <w:rStyle w:val="Strong"/>
          <w:b w:val="0"/>
        </w:rPr>
        <w:t>Climate Hazards Group InfraRed Precipitation with Station data (CHIRPS)</w:t>
      </w:r>
      <w:r w:rsidRPr="0003440F">
        <w:t xml:space="preserve">, to generate high-resolution rainfall anomalies, temperature deviations, and heat stress indices. Extreme event data, including floods, droughts, and heatwaves, are obtained from the </w:t>
      </w:r>
      <w:r w:rsidRPr="0003440F">
        <w:rPr>
          <w:rStyle w:val="Strong"/>
          <w:b w:val="0"/>
        </w:rPr>
        <w:t>Emergency Events Database (EM-DAT)</w:t>
      </w:r>
      <w:r w:rsidRPr="0003440F">
        <w:t xml:space="preserve"> and validated using IPCC and World Meteorological Orga</w:t>
      </w:r>
      <w:r w:rsidR="007F3D35" w:rsidRPr="0003440F">
        <w:t xml:space="preserve">nization reports. Economic data </w:t>
      </w:r>
      <w:r w:rsidRPr="0003440F">
        <w:t xml:space="preserve">including </w:t>
      </w:r>
      <w:r w:rsidRPr="0003440F">
        <w:rPr>
          <w:rStyle w:val="Strong"/>
          <w:b w:val="0"/>
        </w:rPr>
        <w:t xml:space="preserve">Gross Domestic Product (GDP), sectoral GDP, </w:t>
      </w:r>
      <w:r w:rsidRPr="0003440F">
        <w:t xml:space="preserve">are sourced from national accounts, the </w:t>
      </w:r>
      <w:r w:rsidRPr="0003440F">
        <w:rPr>
          <w:rStyle w:val="Strong"/>
          <w:b w:val="0"/>
        </w:rPr>
        <w:t>World Bank’s World Development Indicators</w:t>
      </w:r>
      <w:r w:rsidRPr="0003440F">
        <w:t>, and country-specific statistical agencies.</w:t>
      </w:r>
      <w:r w:rsidR="00F00A0C" w:rsidRPr="0003440F">
        <w:t xml:space="preserve"> </w:t>
      </w:r>
      <w:r w:rsidRPr="0003440F">
        <w:t xml:space="preserve">The study incorporates </w:t>
      </w:r>
      <w:r w:rsidRPr="0003440F">
        <w:rPr>
          <w:rStyle w:val="Strong"/>
          <w:b w:val="0"/>
        </w:rPr>
        <w:t>both climate and economic variables</w:t>
      </w:r>
      <w:r w:rsidRPr="0003440F">
        <w:t xml:space="preserve"> using proxies that reflect key mechanisms outlined in the theoretical framework. Climatic proxies include:</w:t>
      </w:r>
    </w:p>
    <w:p w14:paraId="5EE173F0" w14:textId="77777777" w:rsidR="00D13C21" w:rsidRPr="0003440F" w:rsidRDefault="00D13C21" w:rsidP="008764E0">
      <w:pPr>
        <w:pStyle w:val="NormalWeb"/>
        <w:numPr>
          <w:ilvl w:val="0"/>
          <w:numId w:val="3"/>
        </w:numPr>
        <w:jc w:val="both"/>
      </w:pPr>
      <w:r w:rsidRPr="0003440F">
        <w:rPr>
          <w:rStyle w:val="Strong"/>
          <w:b w:val="0"/>
        </w:rPr>
        <w:t>Rainfall anomalies</w:t>
      </w:r>
      <w:r w:rsidRPr="0003440F">
        <w:t>: deviations from long-term mean precipitation to capture drought and flood risks.</w:t>
      </w:r>
    </w:p>
    <w:p w14:paraId="0A299D0D" w14:textId="77777777" w:rsidR="00D13C21" w:rsidRPr="0003440F" w:rsidRDefault="00D13C21" w:rsidP="008764E0">
      <w:pPr>
        <w:pStyle w:val="NormalWeb"/>
        <w:numPr>
          <w:ilvl w:val="0"/>
          <w:numId w:val="3"/>
        </w:numPr>
        <w:jc w:val="both"/>
      </w:pPr>
      <w:r w:rsidRPr="0003440F">
        <w:rPr>
          <w:rStyle w:val="Strong"/>
          <w:b w:val="0"/>
        </w:rPr>
        <w:lastRenderedPageBreak/>
        <w:t>Temperature anomalies and heat stress indices</w:t>
      </w:r>
      <w:r w:rsidRPr="0003440F">
        <w:t>: cumulative measures of extreme heat exposure affecting labor productivity.</w:t>
      </w:r>
    </w:p>
    <w:p w14:paraId="797AAD8C" w14:textId="77777777" w:rsidR="00D13C21" w:rsidRPr="0003440F" w:rsidRDefault="00D13C21" w:rsidP="008764E0">
      <w:pPr>
        <w:pStyle w:val="NormalWeb"/>
        <w:numPr>
          <w:ilvl w:val="0"/>
          <w:numId w:val="3"/>
        </w:numPr>
        <w:jc w:val="both"/>
      </w:pPr>
      <w:r w:rsidRPr="0003440F">
        <w:rPr>
          <w:rStyle w:val="Strong"/>
          <w:b w:val="0"/>
        </w:rPr>
        <w:t>Extreme event frequency and intensity</w:t>
      </w:r>
      <w:r w:rsidRPr="0003440F">
        <w:t>: number of floods, droughts, and heatwaves per year, as reported by EM-DAT.</w:t>
      </w:r>
    </w:p>
    <w:p w14:paraId="7260CC0B" w14:textId="77777777" w:rsidR="00D13C21" w:rsidRPr="0003440F" w:rsidRDefault="00F936F1" w:rsidP="00F00A0C">
      <w:pPr>
        <w:pStyle w:val="Heading3"/>
        <w:spacing w:before="0" w:beforeAutospacing="0" w:after="0" w:afterAutospacing="0"/>
        <w:jc w:val="both"/>
        <w:rPr>
          <w:b w:val="0"/>
          <w:sz w:val="24"/>
          <w:szCs w:val="24"/>
        </w:rPr>
      </w:pPr>
      <w:r w:rsidRPr="0003440F">
        <w:rPr>
          <w:rStyle w:val="Strong"/>
          <w:b/>
          <w:bCs/>
          <w:sz w:val="24"/>
          <w:szCs w:val="24"/>
        </w:rPr>
        <w:t>3.</w:t>
      </w:r>
      <w:r w:rsidR="00827099" w:rsidRPr="0003440F">
        <w:rPr>
          <w:rStyle w:val="Strong"/>
          <w:b/>
          <w:bCs/>
          <w:sz w:val="24"/>
          <w:szCs w:val="24"/>
        </w:rPr>
        <w:t>1</w:t>
      </w:r>
      <w:r w:rsidRPr="0003440F">
        <w:rPr>
          <w:rStyle w:val="Strong"/>
          <w:b/>
          <w:bCs/>
          <w:sz w:val="24"/>
          <w:szCs w:val="24"/>
        </w:rPr>
        <w:t xml:space="preserve"> </w:t>
      </w:r>
      <w:r w:rsidR="00D13C21" w:rsidRPr="0003440F">
        <w:rPr>
          <w:rStyle w:val="Strong"/>
          <w:b/>
          <w:bCs/>
          <w:sz w:val="24"/>
          <w:szCs w:val="24"/>
        </w:rPr>
        <w:t>Empirical Model</w:t>
      </w:r>
    </w:p>
    <w:p w14:paraId="0680A953" w14:textId="77777777" w:rsidR="00D13C21" w:rsidRPr="0003440F" w:rsidRDefault="00D13C21" w:rsidP="00F00A0C">
      <w:pPr>
        <w:pStyle w:val="NormalWeb"/>
        <w:spacing w:before="0" w:beforeAutospacing="0" w:after="0" w:afterAutospacing="0"/>
        <w:jc w:val="both"/>
      </w:pPr>
      <w:r w:rsidRPr="0003440F">
        <w:t xml:space="preserve">Building on the theoretical framework, the study models </w:t>
      </w:r>
      <w:r w:rsidRPr="0003440F">
        <w:rPr>
          <w:rStyle w:val="Strong"/>
          <w:b w:val="0"/>
        </w:rPr>
        <w:t>climate impacts on economic performance</w:t>
      </w:r>
      <w:r w:rsidRPr="0003440F">
        <w:t xml:space="preserve"> using a panel econometric approach that incorporates both </w:t>
      </w:r>
      <w:r w:rsidRPr="0003440F">
        <w:rPr>
          <w:rStyle w:val="Strong"/>
          <w:b w:val="0"/>
        </w:rPr>
        <w:t>mean climate variables</w:t>
      </w:r>
      <w:r w:rsidRPr="0003440F">
        <w:t xml:space="preserve"> and </w:t>
      </w:r>
      <w:r w:rsidRPr="0003440F">
        <w:rPr>
          <w:rStyle w:val="Strong"/>
          <w:b w:val="0"/>
        </w:rPr>
        <w:t>extreme event indices</w:t>
      </w:r>
      <w:r w:rsidRPr="0003440F">
        <w:t>. The general specification is expressed as:</w:t>
      </w:r>
    </w:p>
    <w:p w14:paraId="10EC9B37" w14:textId="77777777" w:rsidR="00D13C21" w:rsidRPr="0003440F" w:rsidRDefault="00D13C21" w:rsidP="008764E0">
      <w:pPr>
        <w:spacing w:line="240" w:lineRule="auto"/>
        <w:jc w:val="both"/>
        <w:rPr>
          <w:rFonts w:ascii="Times New Roman" w:hAnsi="Times New Roman" w:cs="Times New Roman"/>
          <w:sz w:val="24"/>
          <w:szCs w:val="24"/>
        </w:rPr>
      </w:pPr>
      <w:r w:rsidRPr="0003440F">
        <w:rPr>
          <w:rStyle w:val="katex-mathml"/>
          <w:rFonts w:ascii="Times New Roman" w:hAnsi="Times New Roman" w:cs="Times New Roman"/>
          <w:sz w:val="24"/>
          <w:szCs w:val="24"/>
        </w:rPr>
        <w:t>Y</w:t>
      </w:r>
      <w:r w:rsidRPr="0003440F">
        <w:rPr>
          <w:rStyle w:val="katex-mathml"/>
          <w:rFonts w:ascii="Times New Roman" w:hAnsi="Times New Roman" w:cs="Times New Roman"/>
          <w:sz w:val="24"/>
          <w:szCs w:val="24"/>
          <w:vertAlign w:val="subscript"/>
        </w:rPr>
        <w:t>it</w:t>
      </w:r>
      <w:r w:rsidRPr="0003440F">
        <w:rPr>
          <w:rStyle w:val="katex-mathml"/>
          <w:rFonts w:ascii="Times New Roman" w:hAnsi="Times New Roman" w:cs="Times New Roman"/>
          <w:sz w:val="24"/>
          <w:szCs w:val="24"/>
        </w:rPr>
        <w:t>=α+β</w:t>
      </w:r>
      <w:r w:rsidRPr="0003440F">
        <w:rPr>
          <w:rStyle w:val="katex-mathml"/>
          <w:rFonts w:ascii="Times New Roman" w:hAnsi="Times New Roman" w:cs="Times New Roman"/>
          <w:sz w:val="24"/>
          <w:szCs w:val="24"/>
          <w:vertAlign w:val="subscript"/>
        </w:rPr>
        <w:t>1</w:t>
      </w:r>
      <w:r w:rsidRPr="0003440F">
        <w:rPr>
          <w:rStyle w:val="katex-mathml"/>
          <w:rFonts w:ascii="Times New Roman" w:hAnsi="Times New Roman" w:cs="Times New Roman"/>
          <w:sz w:val="24"/>
          <w:szCs w:val="24"/>
        </w:rPr>
        <w:t>C</w:t>
      </w:r>
      <w:r w:rsidRPr="0003440F">
        <w:rPr>
          <w:rStyle w:val="katex-mathml"/>
          <w:rFonts w:ascii="Times New Roman" w:hAnsi="Times New Roman" w:cs="Times New Roman"/>
          <w:sz w:val="24"/>
          <w:szCs w:val="24"/>
          <w:vertAlign w:val="subscript"/>
        </w:rPr>
        <w:t>it</w:t>
      </w:r>
      <w:r w:rsidRPr="0003440F">
        <w:rPr>
          <w:rStyle w:val="katex-mathml"/>
          <w:rFonts w:ascii="Times New Roman" w:hAnsi="Times New Roman" w:cs="Times New Roman"/>
          <w:sz w:val="24"/>
          <w:szCs w:val="24"/>
        </w:rPr>
        <w:t>+β2E</w:t>
      </w:r>
      <w:r w:rsidRPr="0003440F">
        <w:rPr>
          <w:rStyle w:val="katex-mathml"/>
          <w:rFonts w:ascii="Times New Roman" w:hAnsi="Times New Roman" w:cs="Times New Roman"/>
          <w:sz w:val="24"/>
          <w:szCs w:val="24"/>
          <w:vertAlign w:val="subscript"/>
        </w:rPr>
        <w:t>it</w:t>
      </w:r>
      <w:r w:rsidRPr="0003440F">
        <w:rPr>
          <w:rStyle w:val="katex-mathml"/>
          <w:rFonts w:ascii="Times New Roman" w:hAnsi="Times New Roman" w:cs="Times New Roman"/>
          <w:sz w:val="24"/>
          <w:szCs w:val="24"/>
        </w:rPr>
        <w:t>+β</w:t>
      </w:r>
      <w:r w:rsidRPr="0003440F">
        <w:rPr>
          <w:rStyle w:val="katex-mathml"/>
          <w:rFonts w:ascii="Times New Roman" w:hAnsi="Times New Roman" w:cs="Times New Roman"/>
          <w:sz w:val="24"/>
          <w:szCs w:val="24"/>
          <w:vertAlign w:val="subscript"/>
        </w:rPr>
        <w:t>3</w:t>
      </w:r>
      <w:r w:rsidRPr="0003440F">
        <w:rPr>
          <w:rStyle w:val="katex-mathml"/>
          <w:rFonts w:ascii="Times New Roman" w:hAnsi="Times New Roman" w:cs="Times New Roman"/>
          <w:sz w:val="24"/>
          <w:szCs w:val="24"/>
        </w:rPr>
        <w:t>X</w:t>
      </w:r>
      <w:r w:rsidRPr="0003440F">
        <w:rPr>
          <w:rStyle w:val="katex-mathml"/>
          <w:rFonts w:ascii="Times New Roman" w:hAnsi="Times New Roman" w:cs="Times New Roman"/>
          <w:sz w:val="24"/>
          <w:szCs w:val="24"/>
          <w:vertAlign w:val="subscript"/>
        </w:rPr>
        <w:t>it</w:t>
      </w:r>
      <w:r w:rsidRPr="0003440F">
        <w:rPr>
          <w:rStyle w:val="katex-mathml"/>
          <w:rFonts w:ascii="Times New Roman" w:hAnsi="Times New Roman" w:cs="Times New Roman"/>
          <w:sz w:val="24"/>
          <w:szCs w:val="24"/>
        </w:rPr>
        <w:t>+μi+λt+ϵ</w:t>
      </w:r>
      <w:r w:rsidRPr="0003440F">
        <w:rPr>
          <w:rStyle w:val="katex-mathml"/>
          <w:rFonts w:ascii="Times New Roman" w:hAnsi="Times New Roman" w:cs="Times New Roman"/>
          <w:sz w:val="24"/>
          <w:szCs w:val="24"/>
          <w:vertAlign w:val="subscript"/>
        </w:rPr>
        <w:t>it</w:t>
      </w:r>
      <w:r w:rsidRPr="0003440F">
        <w:rPr>
          <w:rFonts w:ascii="Times New Roman" w:hAnsi="Times New Roman" w:cs="Times New Roman"/>
          <w:sz w:val="24"/>
          <w:szCs w:val="24"/>
        </w:rPr>
        <w:t xml:space="preserve"> </w:t>
      </w:r>
    </w:p>
    <w:p w14:paraId="600B3A16" w14:textId="77777777" w:rsidR="00D13C21" w:rsidRPr="0003440F" w:rsidRDefault="00D13C21" w:rsidP="008764E0">
      <w:pPr>
        <w:pStyle w:val="NormalWeb"/>
        <w:jc w:val="both"/>
        <w:rPr>
          <w:b/>
          <w:bCs/>
        </w:rPr>
      </w:pPr>
      <w:r w:rsidRPr="0003440F">
        <w:rPr>
          <w:b/>
          <w:bCs/>
        </w:rPr>
        <w:t>Where:</w:t>
      </w:r>
    </w:p>
    <w:p w14:paraId="29C0452C" w14:textId="77777777" w:rsidR="00D13C21" w:rsidRPr="0003440F" w:rsidRDefault="00D13C21" w:rsidP="008764E0">
      <w:pPr>
        <w:pStyle w:val="NormalWeb"/>
        <w:numPr>
          <w:ilvl w:val="0"/>
          <w:numId w:val="5"/>
        </w:numPr>
        <w:jc w:val="both"/>
      </w:pPr>
      <w:r w:rsidRPr="0003440F">
        <w:rPr>
          <w:rStyle w:val="mord"/>
        </w:rPr>
        <w:t>Yit</w:t>
      </w:r>
      <w:r w:rsidRPr="0003440F">
        <w:rPr>
          <w:rStyle w:val="vlist-s"/>
        </w:rPr>
        <w:t>​</w:t>
      </w:r>
      <w:r w:rsidRPr="0003440F">
        <w:t xml:space="preserve"> = economic outcome for country </w:t>
      </w:r>
      <w:r w:rsidRPr="0003440F">
        <w:rPr>
          <w:rStyle w:val="katex-mathml"/>
        </w:rPr>
        <w:t>ii</w:t>
      </w:r>
      <w:r w:rsidRPr="0003440F">
        <w:rPr>
          <w:rStyle w:val="mord"/>
        </w:rPr>
        <w:t>i</w:t>
      </w:r>
      <w:r w:rsidRPr="0003440F">
        <w:t xml:space="preserve"> in year </w:t>
      </w:r>
      <w:r w:rsidRPr="0003440F">
        <w:rPr>
          <w:rStyle w:val="katex-mathml"/>
        </w:rPr>
        <w:t>t</w:t>
      </w:r>
      <w:r w:rsidRPr="0003440F">
        <w:t xml:space="preserve"> (GDP, sectoral output, or labor productivity).</w:t>
      </w:r>
    </w:p>
    <w:p w14:paraId="502A6108" w14:textId="77777777" w:rsidR="00D13C21" w:rsidRPr="0003440F" w:rsidRDefault="00D13C21" w:rsidP="008764E0">
      <w:pPr>
        <w:pStyle w:val="NormalWeb"/>
        <w:numPr>
          <w:ilvl w:val="0"/>
          <w:numId w:val="5"/>
        </w:numPr>
        <w:jc w:val="both"/>
      </w:pPr>
      <w:r w:rsidRPr="0003440F">
        <w:rPr>
          <w:rStyle w:val="mord"/>
        </w:rPr>
        <w:t>Cit</w:t>
      </w:r>
      <w:r w:rsidRPr="0003440F">
        <w:rPr>
          <w:rStyle w:val="vlist-s"/>
        </w:rPr>
        <w:t>​</w:t>
      </w:r>
      <w:r w:rsidRPr="0003440F">
        <w:t xml:space="preserve"> = continuous climate variables (temperature, rainfall anomalies).</w:t>
      </w:r>
    </w:p>
    <w:p w14:paraId="04D944A7" w14:textId="77777777" w:rsidR="00D13C21" w:rsidRPr="0003440F" w:rsidRDefault="00D13C21" w:rsidP="008764E0">
      <w:pPr>
        <w:pStyle w:val="NormalWeb"/>
        <w:numPr>
          <w:ilvl w:val="0"/>
          <w:numId w:val="5"/>
        </w:numPr>
        <w:jc w:val="both"/>
      </w:pPr>
      <w:r w:rsidRPr="0003440F">
        <w:rPr>
          <w:rStyle w:val="mord"/>
        </w:rPr>
        <w:t>Eit</w:t>
      </w:r>
      <w:r w:rsidRPr="0003440F">
        <w:rPr>
          <w:rStyle w:val="vlist-s"/>
        </w:rPr>
        <w:t>​</w:t>
      </w:r>
      <w:r w:rsidRPr="0003440F">
        <w:t xml:space="preserve"> = extreme climate event indicators (flood, drought, heatwave frequency/intensity).</w:t>
      </w:r>
    </w:p>
    <w:p w14:paraId="1E2B7EDB" w14:textId="77777777" w:rsidR="00D13C21" w:rsidRPr="0003440F" w:rsidRDefault="00D13C21" w:rsidP="008764E0">
      <w:pPr>
        <w:pStyle w:val="NormalWeb"/>
        <w:numPr>
          <w:ilvl w:val="0"/>
          <w:numId w:val="5"/>
        </w:numPr>
        <w:jc w:val="both"/>
      </w:pPr>
      <w:r w:rsidRPr="0003440F">
        <w:rPr>
          <w:rStyle w:val="mord"/>
        </w:rPr>
        <w:t>Xit</w:t>
      </w:r>
      <w:r w:rsidRPr="0003440F">
        <w:rPr>
          <w:rStyle w:val="vlist-s"/>
        </w:rPr>
        <w:t>​</w:t>
      </w:r>
      <w:r w:rsidRPr="0003440F">
        <w:t xml:space="preserve"> = control variables including trade openness, investment, population growth, and government expenditure.</w:t>
      </w:r>
    </w:p>
    <w:p w14:paraId="05AE5647" w14:textId="77777777" w:rsidR="00D13C21" w:rsidRPr="0003440F" w:rsidRDefault="00D13C21" w:rsidP="008764E0">
      <w:pPr>
        <w:pStyle w:val="NormalWeb"/>
        <w:numPr>
          <w:ilvl w:val="0"/>
          <w:numId w:val="5"/>
        </w:numPr>
        <w:jc w:val="both"/>
      </w:pPr>
      <w:r w:rsidRPr="0003440F">
        <w:rPr>
          <w:rStyle w:val="mord"/>
        </w:rPr>
        <w:t>μi</w:t>
      </w:r>
      <w:r w:rsidRPr="0003440F">
        <w:rPr>
          <w:rStyle w:val="vlist-s"/>
        </w:rPr>
        <w:t>​</w:t>
      </w:r>
      <w:r w:rsidRPr="0003440F">
        <w:t xml:space="preserve"> = country-specific fixed effects controlling for unobserved heterogeneity.</w:t>
      </w:r>
    </w:p>
    <w:p w14:paraId="0C30968C" w14:textId="77777777" w:rsidR="007F3D35" w:rsidRPr="0003440F" w:rsidRDefault="00D13C21" w:rsidP="008764E0">
      <w:pPr>
        <w:pStyle w:val="NormalWeb"/>
        <w:numPr>
          <w:ilvl w:val="0"/>
          <w:numId w:val="5"/>
        </w:numPr>
        <w:jc w:val="both"/>
      </w:pPr>
      <w:r w:rsidRPr="0003440F">
        <w:rPr>
          <w:rStyle w:val="mord"/>
        </w:rPr>
        <w:t>λt</w:t>
      </w:r>
      <w:r w:rsidRPr="0003440F">
        <w:rPr>
          <w:rStyle w:val="vlist-s"/>
        </w:rPr>
        <w:t>​</w:t>
      </w:r>
      <w:r w:rsidRPr="0003440F">
        <w:t xml:space="preserve"> = time-fixed effects capturing global shocks and cyclical trends.</w:t>
      </w:r>
    </w:p>
    <w:p w14:paraId="3F0C278A" w14:textId="77777777" w:rsidR="00D13C21" w:rsidRPr="0003440F" w:rsidRDefault="00D13C21" w:rsidP="008764E0">
      <w:pPr>
        <w:pStyle w:val="NormalWeb"/>
        <w:numPr>
          <w:ilvl w:val="0"/>
          <w:numId w:val="5"/>
        </w:numPr>
        <w:jc w:val="both"/>
      </w:pPr>
      <w:r w:rsidRPr="0003440F">
        <w:rPr>
          <w:rStyle w:val="mord"/>
        </w:rPr>
        <w:t>ϵit</w:t>
      </w:r>
      <w:r w:rsidRPr="0003440F">
        <w:rPr>
          <w:rStyle w:val="vlist-s"/>
        </w:rPr>
        <w:t>​</w:t>
      </w:r>
      <w:r w:rsidR="007F3D35" w:rsidRPr="0003440F">
        <w:t xml:space="preserve"> </w:t>
      </w:r>
      <w:r w:rsidR="00467143" w:rsidRPr="0003440F">
        <w:t>= error</w:t>
      </w:r>
      <w:r w:rsidRPr="0003440F">
        <w:t xml:space="preserve"> term.</w:t>
      </w:r>
    </w:p>
    <w:p w14:paraId="5055B931" w14:textId="77777777" w:rsidR="00D13C21" w:rsidRPr="0003440F" w:rsidRDefault="00F936F1" w:rsidP="00E73C3C">
      <w:pPr>
        <w:pStyle w:val="Heading3"/>
        <w:spacing w:before="0" w:beforeAutospacing="0" w:after="0" w:afterAutospacing="0"/>
        <w:jc w:val="both"/>
        <w:rPr>
          <w:b w:val="0"/>
          <w:sz w:val="24"/>
          <w:szCs w:val="24"/>
        </w:rPr>
      </w:pPr>
      <w:r w:rsidRPr="0003440F">
        <w:rPr>
          <w:rStyle w:val="Strong"/>
          <w:b/>
          <w:bCs/>
          <w:sz w:val="24"/>
          <w:szCs w:val="24"/>
        </w:rPr>
        <w:t>3.</w:t>
      </w:r>
      <w:r w:rsidR="00827099" w:rsidRPr="0003440F">
        <w:rPr>
          <w:rStyle w:val="Strong"/>
          <w:b/>
          <w:bCs/>
          <w:sz w:val="24"/>
          <w:szCs w:val="24"/>
        </w:rPr>
        <w:t>2</w:t>
      </w:r>
      <w:r w:rsidRPr="0003440F">
        <w:rPr>
          <w:rStyle w:val="Strong"/>
          <w:b/>
          <w:bCs/>
          <w:sz w:val="24"/>
          <w:szCs w:val="24"/>
        </w:rPr>
        <w:t xml:space="preserve"> </w:t>
      </w:r>
      <w:r w:rsidR="00D13C21" w:rsidRPr="0003440F">
        <w:rPr>
          <w:rStyle w:val="Strong"/>
          <w:b/>
          <w:bCs/>
          <w:sz w:val="24"/>
          <w:szCs w:val="24"/>
        </w:rPr>
        <w:t>Econometric Strategy</w:t>
      </w:r>
    </w:p>
    <w:p w14:paraId="03AE6166" w14:textId="77777777" w:rsidR="009E7E64" w:rsidRPr="0003440F" w:rsidRDefault="00D13C21" w:rsidP="00E73C3C">
      <w:pPr>
        <w:pStyle w:val="NormalWeb"/>
        <w:spacing w:before="0" w:beforeAutospacing="0" w:after="0" w:afterAutospacing="0"/>
        <w:jc w:val="both"/>
      </w:pPr>
      <w:r w:rsidRPr="0003440F">
        <w:t xml:space="preserve">The study adopts a </w:t>
      </w:r>
      <w:r w:rsidRPr="0003440F">
        <w:rPr>
          <w:rStyle w:val="Strong"/>
          <w:b w:val="0"/>
        </w:rPr>
        <w:t>fixed-effects panel regression</w:t>
      </w:r>
      <w:r w:rsidRPr="0003440F">
        <w:t xml:space="preserve"> as the baseline model to control for unobserved country heterogeneity. To address potential endogeneity arising from simultaneous interactions between climate and economic variables, the study implements an </w:t>
      </w:r>
      <w:r w:rsidRPr="0003440F">
        <w:rPr>
          <w:rStyle w:val="Strong"/>
          <w:b w:val="0"/>
        </w:rPr>
        <w:t>instrumental variable (IV) approach</w:t>
      </w:r>
      <w:r w:rsidRPr="0003440F">
        <w:t xml:space="preserve">, using </w:t>
      </w:r>
      <w:r w:rsidRPr="0003440F">
        <w:rPr>
          <w:rStyle w:val="Strong"/>
          <w:b w:val="0"/>
        </w:rPr>
        <w:t>exogenous climate oscillations (e.g., ENSO indices, Sahel precipitation anomalies)</w:t>
      </w:r>
      <w:r w:rsidRPr="0003440F">
        <w:t xml:space="preserve"> as instruments, following established methodologies (Pankratz, Levermann, &amp; Wenz, 2021; Burke, Hsiang, &amp; Miguel, 2015).</w:t>
      </w:r>
    </w:p>
    <w:p w14:paraId="53DB3C4D" w14:textId="77777777" w:rsidR="00D13C21" w:rsidRPr="0003440F" w:rsidRDefault="00D13C21" w:rsidP="008764E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3440F">
        <w:rPr>
          <w:rFonts w:ascii="Times New Roman" w:eastAsia="Times New Roman" w:hAnsi="Times New Roman" w:cs="Times New Roman"/>
          <w:b/>
          <w:bCs/>
          <w:sz w:val="24"/>
          <w:szCs w:val="24"/>
        </w:rPr>
        <w:t>Table 1: Operational Measurement of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7"/>
        <w:gridCol w:w="1680"/>
        <w:gridCol w:w="2565"/>
        <w:gridCol w:w="1860"/>
        <w:gridCol w:w="1798"/>
      </w:tblGrid>
      <w:tr w:rsidR="00D13C21" w:rsidRPr="0003440F" w14:paraId="08A1EC52" w14:textId="77777777" w:rsidTr="009A48E7">
        <w:trPr>
          <w:tblHeader/>
          <w:tblCellSpacing w:w="15" w:type="dxa"/>
        </w:trPr>
        <w:tc>
          <w:tcPr>
            <w:tcW w:w="0" w:type="auto"/>
            <w:vAlign w:val="center"/>
            <w:hideMark/>
          </w:tcPr>
          <w:p w14:paraId="1CA5434C" w14:textId="77777777" w:rsidR="00D13C21" w:rsidRPr="0003440F" w:rsidRDefault="00D13C21" w:rsidP="008764E0">
            <w:pPr>
              <w:spacing w:after="0" w:line="240" w:lineRule="auto"/>
              <w:jc w:val="both"/>
              <w:rPr>
                <w:rFonts w:ascii="Times New Roman" w:eastAsia="Times New Roman" w:hAnsi="Times New Roman" w:cs="Times New Roman"/>
                <w:bCs/>
                <w:sz w:val="24"/>
                <w:szCs w:val="24"/>
              </w:rPr>
            </w:pPr>
            <w:r w:rsidRPr="0003440F">
              <w:rPr>
                <w:rFonts w:ascii="Times New Roman" w:eastAsia="Times New Roman" w:hAnsi="Times New Roman" w:cs="Times New Roman"/>
                <w:bCs/>
                <w:sz w:val="24"/>
                <w:szCs w:val="24"/>
              </w:rPr>
              <w:t>Variable Type</w:t>
            </w:r>
          </w:p>
        </w:tc>
        <w:tc>
          <w:tcPr>
            <w:tcW w:w="0" w:type="auto"/>
            <w:vAlign w:val="center"/>
            <w:hideMark/>
          </w:tcPr>
          <w:p w14:paraId="0B136E9D" w14:textId="77777777" w:rsidR="00D13C21" w:rsidRPr="0003440F" w:rsidRDefault="00D13C21" w:rsidP="008764E0">
            <w:pPr>
              <w:spacing w:after="0" w:line="240" w:lineRule="auto"/>
              <w:jc w:val="both"/>
              <w:rPr>
                <w:rFonts w:ascii="Times New Roman" w:eastAsia="Times New Roman" w:hAnsi="Times New Roman" w:cs="Times New Roman"/>
                <w:bCs/>
                <w:sz w:val="24"/>
                <w:szCs w:val="24"/>
              </w:rPr>
            </w:pPr>
            <w:r w:rsidRPr="0003440F">
              <w:rPr>
                <w:rFonts w:ascii="Times New Roman" w:eastAsia="Times New Roman" w:hAnsi="Times New Roman" w:cs="Times New Roman"/>
                <w:bCs/>
                <w:sz w:val="24"/>
                <w:szCs w:val="24"/>
              </w:rPr>
              <w:t>Variable</w:t>
            </w:r>
          </w:p>
        </w:tc>
        <w:tc>
          <w:tcPr>
            <w:tcW w:w="0" w:type="auto"/>
            <w:vAlign w:val="center"/>
            <w:hideMark/>
          </w:tcPr>
          <w:p w14:paraId="038732C3" w14:textId="77777777" w:rsidR="00D13C21" w:rsidRPr="0003440F" w:rsidRDefault="00D13C21" w:rsidP="008764E0">
            <w:pPr>
              <w:spacing w:after="0" w:line="240" w:lineRule="auto"/>
              <w:jc w:val="both"/>
              <w:rPr>
                <w:rFonts w:ascii="Times New Roman" w:eastAsia="Times New Roman" w:hAnsi="Times New Roman" w:cs="Times New Roman"/>
                <w:bCs/>
                <w:sz w:val="24"/>
                <w:szCs w:val="24"/>
              </w:rPr>
            </w:pPr>
            <w:r w:rsidRPr="0003440F">
              <w:rPr>
                <w:rFonts w:ascii="Times New Roman" w:eastAsia="Times New Roman" w:hAnsi="Times New Roman" w:cs="Times New Roman"/>
                <w:bCs/>
                <w:sz w:val="24"/>
                <w:szCs w:val="24"/>
              </w:rPr>
              <w:t>Proxy / Indicator</w:t>
            </w:r>
          </w:p>
        </w:tc>
        <w:tc>
          <w:tcPr>
            <w:tcW w:w="0" w:type="auto"/>
            <w:vAlign w:val="center"/>
            <w:hideMark/>
          </w:tcPr>
          <w:p w14:paraId="74B31F61" w14:textId="77777777" w:rsidR="00D13C21" w:rsidRPr="0003440F" w:rsidRDefault="00D13C21" w:rsidP="008764E0">
            <w:pPr>
              <w:spacing w:after="0" w:line="240" w:lineRule="auto"/>
              <w:jc w:val="both"/>
              <w:rPr>
                <w:rFonts w:ascii="Times New Roman" w:eastAsia="Times New Roman" w:hAnsi="Times New Roman" w:cs="Times New Roman"/>
                <w:bCs/>
                <w:sz w:val="24"/>
                <w:szCs w:val="24"/>
              </w:rPr>
            </w:pPr>
            <w:r w:rsidRPr="0003440F">
              <w:rPr>
                <w:rFonts w:ascii="Times New Roman" w:eastAsia="Times New Roman" w:hAnsi="Times New Roman" w:cs="Times New Roman"/>
                <w:bCs/>
                <w:sz w:val="24"/>
                <w:szCs w:val="24"/>
              </w:rPr>
              <w:t>Measurement / Unit</w:t>
            </w:r>
          </w:p>
        </w:tc>
        <w:tc>
          <w:tcPr>
            <w:tcW w:w="0" w:type="auto"/>
            <w:vAlign w:val="center"/>
            <w:hideMark/>
          </w:tcPr>
          <w:p w14:paraId="16C7C374" w14:textId="77777777" w:rsidR="00D13C21" w:rsidRPr="0003440F" w:rsidRDefault="00D13C21" w:rsidP="008764E0">
            <w:pPr>
              <w:spacing w:after="0" w:line="240" w:lineRule="auto"/>
              <w:jc w:val="both"/>
              <w:rPr>
                <w:rFonts w:ascii="Times New Roman" w:eastAsia="Times New Roman" w:hAnsi="Times New Roman" w:cs="Times New Roman"/>
                <w:bCs/>
                <w:sz w:val="24"/>
                <w:szCs w:val="24"/>
              </w:rPr>
            </w:pPr>
            <w:r w:rsidRPr="0003440F">
              <w:rPr>
                <w:rFonts w:ascii="Times New Roman" w:eastAsia="Times New Roman" w:hAnsi="Times New Roman" w:cs="Times New Roman"/>
                <w:bCs/>
                <w:sz w:val="24"/>
                <w:szCs w:val="24"/>
              </w:rPr>
              <w:t>Data Source</w:t>
            </w:r>
          </w:p>
        </w:tc>
      </w:tr>
      <w:tr w:rsidR="00D13C21" w:rsidRPr="0003440F" w14:paraId="7DA68334" w14:textId="77777777" w:rsidTr="009A48E7">
        <w:trPr>
          <w:tblCellSpacing w:w="15" w:type="dxa"/>
        </w:trPr>
        <w:tc>
          <w:tcPr>
            <w:tcW w:w="0" w:type="auto"/>
            <w:vAlign w:val="center"/>
            <w:hideMark/>
          </w:tcPr>
          <w:p w14:paraId="46F3BB96"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bCs/>
                <w:sz w:val="24"/>
                <w:szCs w:val="24"/>
              </w:rPr>
              <w:t>Dependent</w:t>
            </w:r>
          </w:p>
        </w:tc>
        <w:tc>
          <w:tcPr>
            <w:tcW w:w="0" w:type="auto"/>
            <w:vAlign w:val="center"/>
            <w:hideMark/>
          </w:tcPr>
          <w:p w14:paraId="0F70535F"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Economic Output (GDP)</w:t>
            </w:r>
          </w:p>
        </w:tc>
        <w:tc>
          <w:tcPr>
            <w:tcW w:w="0" w:type="auto"/>
            <w:vAlign w:val="center"/>
            <w:hideMark/>
          </w:tcPr>
          <w:p w14:paraId="633B09E0"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Aggregate GDP</w:t>
            </w:r>
          </w:p>
        </w:tc>
        <w:tc>
          <w:tcPr>
            <w:tcW w:w="0" w:type="auto"/>
            <w:vAlign w:val="center"/>
            <w:hideMark/>
          </w:tcPr>
          <w:p w14:paraId="6AF6B036"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Current USD (constant prices)</w:t>
            </w:r>
          </w:p>
        </w:tc>
        <w:tc>
          <w:tcPr>
            <w:tcW w:w="0" w:type="auto"/>
            <w:vAlign w:val="center"/>
            <w:hideMark/>
          </w:tcPr>
          <w:p w14:paraId="14D2FFA8"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World Bank WDI, National Accounts</w:t>
            </w:r>
          </w:p>
        </w:tc>
      </w:tr>
      <w:tr w:rsidR="00D13C21" w:rsidRPr="0003440F" w14:paraId="4AB47E43" w14:textId="77777777" w:rsidTr="009A48E7">
        <w:trPr>
          <w:tblCellSpacing w:w="15" w:type="dxa"/>
        </w:trPr>
        <w:tc>
          <w:tcPr>
            <w:tcW w:w="0" w:type="auto"/>
            <w:vAlign w:val="center"/>
            <w:hideMark/>
          </w:tcPr>
          <w:p w14:paraId="7804646A"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p>
        </w:tc>
        <w:tc>
          <w:tcPr>
            <w:tcW w:w="0" w:type="auto"/>
            <w:vAlign w:val="center"/>
            <w:hideMark/>
          </w:tcPr>
          <w:p w14:paraId="5B8D2088"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Sectoral Output</w:t>
            </w:r>
          </w:p>
        </w:tc>
        <w:tc>
          <w:tcPr>
            <w:tcW w:w="0" w:type="auto"/>
            <w:vAlign w:val="center"/>
            <w:hideMark/>
          </w:tcPr>
          <w:p w14:paraId="5025DC25" w14:textId="77777777" w:rsidR="00D13C21" w:rsidRPr="0003440F" w:rsidRDefault="0084436C"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Agriculture</w:t>
            </w:r>
          </w:p>
        </w:tc>
        <w:tc>
          <w:tcPr>
            <w:tcW w:w="0" w:type="auto"/>
            <w:vAlign w:val="center"/>
            <w:hideMark/>
          </w:tcPr>
          <w:p w14:paraId="577B5001"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 of GDP</w:t>
            </w:r>
          </w:p>
        </w:tc>
        <w:tc>
          <w:tcPr>
            <w:tcW w:w="0" w:type="auto"/>
            <w:vAlign w:val="center"/>
            <w:hideMark/>
          </w:tcPr>
          <w:p w14:paraId="30B92B07"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World Bank WDI, National Accounts</w:t>
            </w:r>
          </w:p>
        </w:tc>
      </w:tr>
      <w:tr w:rsidR="00D13C21" w:rsidRPr="0003440F" w14:paraId="5B0A6024" w14:textId="77777777" w:rsidTr="009A48E7">
        <w:trPr>
          <w:tblCellSpacing w:w="15" w:type="dxa"/>
        </w:trPr>
        <w:tc>
          <w:tcPr>
            <w:tcW w:w="0" w:type="auto"/>
            <w:vAlign w:val="center"/>
            <w:hideMark/>
          </w:tcPr>
          <w:p w14:paraId="095CBE90"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bCs/>
                <w:sz w:val="24"/>
                <w:szCs w:val="24"/>
              </w:rPr>
              <w:t>Independent (Climate)</w:t>
            </w:r>
          </w:p>
        </w:tc>
        <w:tc>
          <w:tcPr>
            <w:tcW w:w="0" w:type="auto"/>
            <w:vAlign w:val="center"/>
            <w:hideMark/>
          </w:tcPr>
          <w:p w14:paraId="46075535"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Temperature Anomalies</w:t>
            </w:r>
          </w:p>
        </w:tc>
        <w:tc>
          <w:tcPr>
            <w:tcW w:w="0" w:type="auto"/>
            <w:vAlign w:val="center"/>
            <w:hideMark/>
          </w:tcPr>
          <w:p w14:paraId="225CA341"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Annual mean temperature deviation from 30-year average</w:t>
            </w:r>
          </w:p>
        </w:tc>
        <w:tc>
          <w:tcPr>
            <w:tcW w:w="0" w:type="auto"/>
            <w:vAlign w:val="center"/>
            <w:hideMark/>
          </w:tcPr>
          <w:p w14:paraId="56EFB5A6"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°C</w:t>
            </w:r>
          </w:p>
        </w:tc>
        <w:tc>
          <w:tcPr>
            <w:tcW w:w="0" w:type="auto"/>
            <w:vAlign w:val="center"/>
            <w:hideMark/>
          </w:tcPr>
          <w:p w14:paraId="4518949F"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CRU TS, IPCC Reports</w:t>
            </w:r>
          </w:p>
        </w:tc>
      </w:tr>
      <w:tr w:rsidR="00D13C21" w:rsidRPr="0003440F" w14:paraId="318AC630" w14:textId="77777777" w:rsidTr="009A48E7">
        <w:trPr>
          <w:tblCellSpacing w:w="15" w:type="dxa"/>
        </w:trPr>
        <w:tc>
          <w:tcPr>
            <w:tcW w:w="0" w:type="auto"/>
            <w:vAlign w:val="center"/>
            <w:hideMark/>
          </w:tcPr>
          <w:p w14:paraId="381730C0"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p>
        </w:tc>
        <w:tc>
          <w:tcPr>
            <w:tcW w:w="0" w:type="auto"/>
            <w:vAlign w:val="center"/>
            <w:hideMark/>
          </w:tcPr>
          <w:p w14:paraId="6CB61043"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Rainfall Anomalies</w:t>
            </w:r>
          </w:p>
        </w:tc>
        <w:tc>
          <w:tcPr>
            <w:tcW w:w="0" w:type="auto"/>
            <w:vAlign w:val="center"/>
            <w:hideMark/>
          </w:tcPr>
          <w:p w14:paraId="1F9AC45E"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Deviation from long-term mean precipitation</w:t>
            </w:r>
          </w:p>
        </w:tc>
        <w:tc>
          <w:tcPr>
            <w:tcW w:w="0" w:type="auto"/>
            <w:vAlign w:val="center"/>
            <w:hideMark/>
          </w:tcPr>
          <w:p w14:paraId="0F6BFE87"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mm</w:t>
            </w:r>
          </w:p>
        </w:tc>
        <w:tc>
          <w:tcPr>
            <w:tcW w:w="0" w:type="auto"/>
            <w:vAlign w:val="center"/>
            <w:hideMark/>
          </w:tcPr>
          <w:p w14:paraId="3D10333F"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CHIRPS, CRU TS</w:t>
            </w:r>
          </w:p>
        </w:tc>
      </w:tr>
      <w:tr w:rsidR="00D13C21" w:rsidRPr="0003440F" w14:paraId="4C7BDF8E" w14:textId="77777777" w:rsidTr="009A48E7">
        <w:trPr>
          <w:tblCellSpacing w:w="15" w:type="dxa"/>
        </w:trPr>
        <w:tc>
          <w:tcPr>
            <w:tcW w:w="0" w:type="auto"/>
            <w:vAlign w:val="center"/>
            <w:hideMark/>
          </w:tcPr>
          <w:p w14:paraId="33E1F229"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p>
        </w:tc>
        <w:tc>
          <w:tcPr>
            <w:tcW w:w="0" w:type="auto"/>
            <w:vAlign w:val="center"/>
            <w:hideMark/>
          </w:tcPr>
          <w:p w14:paraId="7E13D6BF"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Extreme Event Frequency</w:t>
            </w:r>
          </w:p>
        </w:tc>
        <w:tc>
          <w:tcPr>
            <w:tcW w:w="0" w:type="auto"/>
            <w:vAlign w:val="center"/>
            <w:hideMark/>
          </w:tcPr>
          <w:p w14:paraId="5A226501"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Floods, droughts, heatwaves per year</w:t>
            </w:r>
          </w:p>
        </w:tc>
        <w:tc>
          <w:tcPr>
            <w:tcW w:w="0" w:type="auto"/>
            <w:vAlign w:val="center"/>
            <w:hideMark/>
          </w:tcPr>
          <w:p w14:paraId="7489CEDF"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Count per year</w:t>
            </w:r>
          </w:p>
        </w:tc>
        <w:tc>
          <w:tcPr>
            <w:tcW w:w="0" w:type="auto"/>
            <w:vAlign w:val="center"/>
            <w:hideMark/>
          </w:tcPr>
          <w:p w14:paraId="65D23659"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EM-DAT, WMO</w:t>
            </w:r>
          </w:p>
        </w:tc>
      </w:tr>
      <w:tr w:rsidR="00D13C21" w:rsidRPr="0003440F" w14:paraId="73180E60" w14:textId="77777777" w:rsidTr="009A48E7">
        <w:trPr>
          <w:tblCellSpacing w:w="15" w:type="dxa"/>
        </w:trPr>
        <w:tc>
          <w:tcPr>
            <w:tcW w:w="0" w:type="auto"/>
            <w:vAlign w:val="center"/>
            <w:hideMark/>
          </w:tcPr>
          <w:p w14:paraId="473C21A7"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p>
        </w:tc>
        <w:tc>
          <w:tcPr>
            <w:tcW w:w="0" w:type="auto"/>
            <w:vAlign w:val="center"/>
            <w:hideMark/>
          </w:tcPr>
          <w:p w14:paraId="68E3E00D"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Heat Stress Index</w:t>
            </w:r>
          </w:p>
        </w:tc>
        <w:tc>
          <w:tcPr>
            <w:tcW w:w="0" w:type="auto"/>
            <w:vAlign w:val="center"/>
            <w:hideMark/>
          </w:tcPr>
          <w:p w14:paraId="09175181"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Cumulative annual days exceeding 35°C</w:t>
            </w:r>
          </w:p>
        </w:tc>
        <w:tc>
          <w:tcPr>
            <w:tcW w:w="0" w:type="auto"/>
            <w:vAlign w:val="center"/>
            <w:hideMark/>
          </w:tcPr>
          <w:p w14:paraId="5E9E823A"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Days/year</w:t>
            </w:r>
          </w:p>
        </w:tc>
        <w:tc>
          <w:tcPr>
            <w:tcW w:w="0" w:type="auto"/>
            <w:vAlign w:val="center"/>
            <w:hideMark/>
          </w:tcPr>
          <w:p w14:paraId="01F6C60A"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CRU TS, IPCC Reports</w:t>
            </w:r>
          </w:p>
        </w:tc>
      </w:tr>
      <w:tr w:rsidR="00D13C21" w:rsidRPr="0003440F" w14:paraId="522CCB38" w14:textId="77777777" w:rsidTr="009A48E7">
        <w:trPr>
          <w:tblCellSpacing w:w="15" w:type="dxa"/>
        </w:trPr>
        <w:tc>
          <w:tcPr>
            <w:tcW w:w="0" w:type="auto"/>
            <w:vAlign w:val="center"/>
            <w:hideMark/>
          </w:tcPr>
          <w:p w14:paraId="7CEC612D" w14:textId="77777777" w:rsidR="00D13C21" w:rsidRPr="0003440F" w:rsidRDefault="0084436C"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bCs/>
                <w:sz w:val="24"/>
                <w:szCs w:val="24"/>
              </w:rPr>
              <w:t>Control Variables</w:t>
            </w:r>
          </w:p>
        </w:tc>
        <w:tc>
          <w:tcPr>
            <w:tcW w:w="0" w:type="auto"/>
            <w:vAlign w:val="center"/>
            <w:hideMark/>
          </w:tcPr>
          <w:p w14:paraId="1358E646"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Population Growth</w:t>
            </w:r>
          </w:p>
        </w:tc>
        <w:tc>
          <w:tcPr>
            <w:tcW w:w="0" w:type="auto"/>
            <w:vAlign w:val="center"/>
            <w:hideMark/>
          </w:tcPr>
          <w:p w14:paraId="5486C6B2"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Annual growth rate</w:t>
            </w:r>
          </w:p>
        </w:tc>
        <w:tc>
          <w:tcPr>
            <w:tcW w:w="0" w:type="auto"/>
            <w:vAlign w:val="center"/>
            <w:hideMark/>
          </w:tcPr>
          <w:p w14:paraId="51818E81"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 per year</w:t>
            </w:r>
          </w:p>
        </w:tc>
        <w:tc>
          <w:tcPr>
            <w:tcW w:w="0" w:type="auto"/>
            <w:vAlign w:val="center"/>
            <w:hideMark/>
          </w:tcPr>
          <w:p w14:paraId="7244BDA8"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World Bank WDI</w:t>
            </w:r>
          </w:p>
        </w:tc>
      </w:tr>
      <w:tr w:rsidR="00D13C21" w:rsidRPr="0003440F" w14:paraId="10865D7A" w14:textId="77777777" w:rsidTr="009A48E7">
        <w:trPr>
          <w:tblCellSpacing w:w="15" w:type="dxa"/>
        </w:trPr>
        <w:tc>
          <w:tcPr>
            <w:tcW w:w="0" w:type="auto"/>
            <w:vAlign w:val="center"/>
            <w:hideMark/>
          </w:tcPr>
          <w:p w14:paraId="1B7D007B"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p>
        </w:tc>
        <w:tc>
          <w:tcPr>
            <w:tcW w:w="0" w:type="auto"/>
            <w:vAlign w:val="center"/>
            <w:hideMark/>
          </w:tcPr>
          <w:p w14:paraId="2588400F"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Government Expenditure</w:t>
            </w:r>
          </w:p>
        </w:tc>
        <w:tc>
          <w:tcPr>
            <w:tcW w:w="0" w:type="auto"/>
            <w:vAlign w:val="center"/>
            <w:hideMark/>
          </w:tcPr>
          <w:p w14:paraId="770E3CF6"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Total government spending / GDP</w:t>
            </w:r>
          </w:p>
        </w:tc>
        <w:tc>
          <w:tcPr>
            <w:tcW w:w="0" w:type="auto"/>
            <w:vAlign w:val="center"/>
            <w:hideMark/>
          </w:tcPr>
          <w:p w14:paraId="7845AE70"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 GDP</w:t>
            </w:r>
          </w:p>
        </w:tc>
        <w:tc>
          <w:tcPr>
            <w:tcW w:w="0" w:type="auto"/>
            <w:vAlign w:val="center"/>
            <w:hideMark/>
          </w:tcPr>
          <w:p w14:paraId="2441EF4F" w14:textId="77777777" w:rsidR="00D13C21" w:rsidRPr="0003440F" w:rsidRDefault="00D13C21" w:rsidP="008764E0">
            <w:pPr>
              <w:spacing w:after="0"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World Bank WDI, National Accounts</w:t>
            </w:r>
          </w:p>
        </w:tc>
      </w:tr>
    </w:tbl>
    <w:p w14:paraId="0DBCD881" w14:textId="77777777" w:rsidR="00FD5CEC" w:rsidRPr="0003440F" w:rsidRDefault="009E7E64" w:rsidP="00467143">
      <w:pPr>
        <w:spacing w:after="100" w:afterAutospacing="1" w:line="240" w:lineRule="auto"/>
        <w:jc w:val="both"/>
        <w:outlineLvl w:val="2"/>
        <w:rPr>
          <w:rFonts w:ascii="Times New Roman" w:eastAsia="Times New Roman" w:hAnsi="Times New Roman" w:cs="Times New Roman"/>
          <w:bCs/>
          <w:sz w:val="24"/>
          <w:szCs w:val="24"/>
        </w:rPr>
      </w:pPr>
      <w:r w:rsidRPr="0003440F">
        <w:rPr>
          <w:rFonts w:ascii="Times New Roman" w:eastAsia="Times New Roman" w:hAnsi="Times New Roman" w:cs="Times New Roman"/>
          <w:b/>
          <w:sz w:val="24"/>
          <w:szCs w:val="24"/>
        </w:rPr>
        <w:t>Source:</w:t>
      </w:r>
      <w:r w:rsidRPr="0003440F">
        <w:rPr>
          <w:rFonts w:ascii="Times New Roman" w:eastAsia="Times New Roman" w:hAnsi="Times New Roman" w:cs="Times New Roman"/>
          <w:bCs/>
          <w:sz w:val="24"/>
          <w:szCs w:val="24"/>
        </w:rPr>
        <w:t xml:space="preserve"> Author’s compilation, 2026</w:t>
      </w:r>
    </w:p>
    <w:p w14:paraId="3C26D8EA" w14:textId="77777777" w:rsidR="009A3B0F" w:rsidRPr="0003440F" w:rsidRDefault="009A3B0F" w:rsidP="008764E0">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395C4F4B" w14:textId="4FEC002E" w:rsidR="00725C9D" w:rsidRPr="0003440F" w:rsidRDefault="008A2662" w:rsidP="00985DD5">
      <w:pPr>
        <w:spacing w:after="0" w:line="240" w:lineRule="auto"/>
        <w:jc w:val="both"/>
        <w:outlineLvl w:val="2"/>
        <w:rPr>
          <w:rFonts w:ascii="Times New Roman" w:eastAsia="Times New Roman" w:hAnsi="Times New Roman" w:cs="Times New Roman"/>
          <w:b/>
          <w:bCs/>
          <w:sz w:val="24"/>
          <w:szCs w:val="24"/>
        </w:rPr>
      </w:pPr>
      <w:r w:rsidRPr="0003440F">
        <w:rPr>
          <w:rFonts w:ascii="Times New Roman" w:eastAsia="Times New Roman" w:hAnsi="Times New Roman" w:cs="Times New Roman"/>
          <w:b/>
          <w:bCs/>
          <w:sz w:val="24"/>
          <w:szCs w:val="24"/>
        </w:rPr>
        <w:t xml:space="preserve">4. </w:t>
      </w:r>
      <w:r w:rsidR="00EE62E8">
        <w:rPr>
          <w:rFonts w:ascii="Times New Roman" w:eastAsia="Times New Roman" w:hAnsi="Times New Roman" w:cs="Times New Roman"/>
          <w:b/>
          <w:bCs/>
          <w:sz w:val="24"/>
          <w:szCs w:val="24"/>
        </w:rPr>
        <w:t xml:space="preserve">0 </w:t>
      </w:r>
      <w:r w:rsidR="009A5A91" w:rsidRPr="0003440F">
        <w:rPr>
          <w:rFonts w:ascii="Times New Roman" w:eastAsia="Times New Roman" w:hAnsi="Times New Roman" w:cs="Times New Roman"/>
          <w:b/>
          <w:bCs/>
          <w:sz w:val="24"/>
          <w:szCs w:val="24"/>
        </w:rPr>
        <w:t>Results</w:t>
      </w:r>
      <w:r w:rsidR="00F936F1" w:rsidRPr="0003440F">
        <w:rPr>
          <w:rFonts w:ascii="Times New Roman" w:eastAsia="Times New Roman" w:hAnsi="Times New Roman" w:cs="Times New Roman"/>
          <w:b/>
          <w:bCs/>
          <w:sz w:val="24"/>
          <w:szCs w:val="24"/>
        </w:rPr>
        <w:t xml:space="preserve"> and Discussion</w:t>
      </w:r>
    </w:p>
    <w:p w14:paraId="255AB243" w14:textId="77777777" w:rsidR="002213D7" w:rsidRPr="0003440F" w:rsidRDefault="00F936F1" w:rsidP="00985DD5">
      <w:pPr>
        <w:spacing w:after="0" w:line="240" w:lineRule="auto"/>
        <w:jc w:val="both"/>
        <w:outlineLvl w:val="2"/>
        <w:rPr>
          <w:rFonts w:ascii="Times New Roman" w:eastAsia="Times New Roman" w:hAnsi="Times New Roman" w:cs="Times New Roman"/>
          <w:bCs/>
          <w:sz w:val="24"/>
          <w:szCs w:val="24"/>
        </w:rPr>
      </w:pPr>
      <w:r w:rsidRPr="0003440F">
        <w:rPr>
          <w:rStyle w:val="Strong"/>
          <w:rFonts w:ascii="Times New Roman" w:hAnsi="Times New Roman" w:cs="Times New Roman"/>
          <w:bCs w:val="0"/>
          <w:sz w:val="24"/>
          <w:szCs w:val="24"/>
        </w:rPr>
        <w:t>4.</w:t>
      </w:r>
      <w:r w:rsidRPr="0003440F">
        <w:rPr>
          <w:rStyle w:val="Strong"/>
          <w:b w:val="0"/>
          <w:bCs w:val="0"/>
          <w:sz w:val="24"/>
          <w:szCs w:val="24"/>
        </w:rPr>
        <w:t xml:space="preserve">1 </w:t>
      </w:r>
      <w:r w:rsidR="002213D7" w:rsidRPr="0003440F">
        <w:rPr>
          <w:rStyle w:val="Strong"/>
          <w:rFonts w:ascii="Times New Roman" w:hAnsi="Times New Roman" w:cs="Times New Roman"/>
          <w:bCs w:val="0"/>
          <w:sz w:val="24"/>
          <w:szCs w:val="24"/>
        </w:rPr>
        <w:t>Descriptive Statistics</w:t>
      </w:r>
    </w:p>
    <w:p w14:paraId="237568CB" w14:textId="625D38B4" w:rsidR="00A42A33" w:rsidRPr="0003440F" w:rsidRDefault="008A2662" w:rsidP="00985DD5">
      <w:pPr>
        <w:spacing w:after="0" w:line="240" w:lineRule="auto"/>
        <w:outlineLvl w:val="2"/>
        <w:rPr>
          <w:rFonts w:ascii="Times New Roman" w:eastAsia="Times New Roman" w:hAnsi="Times New Roman" w:cs="Times New Roman"/>
          <w:b/>
          <w:bCs/>
          <w:sz w:val="24"/>
          <w:szCs w:val="24"/>
        </w:rPr>
      </w:pPr>
      <w:r w:rsidRPr="0003440F">
        <w:rPr>
          <w:rFonts w:ascii="Times New Roman" w:eastAsia="Times New Roman" w:hAnsi="Times New Roman" w:cs="Times New Roman"/>
          <w:b/>
          <w:bCs/>
          <w:sz w:val="24"/>
          <w:szCs w:val="24"/>
        </w:rPr>
        <w:t xml:space="preserve">Table </w:t>
      </w:r>
      <w:r w:rsidR="00BC41AC" w:rsidRPr="0003440F">
        <w:rPr>
          <w:rFonts w:ascii="Times New Roman" w:eastAsia="Times New Roman" w:hAnsi="Times New Roman" w:cs="Times New Roman"/>
          <w:b/>
          <w:bCs/>
          <w:sz w:val="24"/>
          <w:szCs w:val="24"/>
        </w:rPr>
        <w:t>2</w:t>
      </w:r>
      <w:r w:rsidR="00A42A33" w:rsidRPr="0003440F">
        <w:rPr>
          <w:rFonts w:ascii="Times New Roman" w:eastAsia="Times New Roman" w:hAnsi="Times New Roman" w:cs="Times New Roman"/>
          <w:b/>
          <w:bCs/>
          <w:sz w:val="24"/>
          <w:szCs w:val="24"/>
        </w:rPr>
        <w:t>: Descriptive Statistics of Study Variables (1994–2025)</w:t>
      </w:r>
    </w:p>
    <w:tbl>
      <w:tblPr>
        <w:tblW w:w="11342" w:type="dxa"/>
        <w:tblCellSpacing w:w="15"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6"/>
        <w:gridCol w:w="641"/>
        <w:gridCol w:w="1280"/>
        <w:gridCol w:w="1014"/>
        <w:gridCol w:w="1014"/>
        <w:gridCol w:w="1333"/>
        <w:gridCol w:w="1333"/>
        <w:gridCol w:w="694"/>
        <w:gridCol w:w="1201"/>
        <w:gridCol w:w="1376"/>
      </w:tblGrid>
      <w:tr w:rsidR="00A42A33" w:rsidRPr="0003440F" w14:paraId="774C559A" w14:textId="77777777" w:rsidTr="00A42A33">
        <w:trPr>
          <w:trHeight w:val="1624"/>
          <w:tblHeader/>
          <w:tblCellSpacing w:w="15" w:type="dxa"/>
        </w:trPr>
        <w:tc>
          <w:tcPr>
            <w:tcW w:w="0" w:type="auto"/>
            <w:vAlign w:val="center"/>
            <w:hideMark/>
          </w:tcPr>
          <w:p w14:paraId="6A41ECEA" w14:textId="77777777" w:rsidR="00A42A33" w:rsidRPr="0003440F" w:rsidRDefault="00A42A33" w:rsidP="008764E0">
            <w:pPr>
              <w:spacing w:after="0" w:line="240" w:lineRule="auto"/>
              <w:jc w:val="center"/>
              <w:rPr>
                <w:rFonts w:ascii="Times New Roman" w:eastAsia="Times New Roman" w:hAnsi="Times New Roman" w:cs="Times New Roman"/>
                <w:b/>
                <w:bCs/>
                <w:sz w:val="24"/>
                <w:szCs w:val="24"/>
              </w:rPr>
            </w:pPr>
            <w:r w:rsidRPr="0003440F">
              <w:rPr>
                <w:rFonts w:ascii="Times New Roman" w:eastAsia="Times New Roman" w:hAnsi="Times New Roman" w:cs="Times New Roman"/>
                <w:b/>
                <w:bCs/>
                <w:sz w:val="24"/>
                <w:szCs w:val="24"/>
              </w:rPr>
              <w:t>Variable</w:t>
            </w:r>
          </w:p>
        </w:tc>
        <w:tc>
          <w:tcPr>
            <w:tcW w:w="0" w:type="auto"/>
            <w:vAlign w:val="center"/>
            <w:hideMark/>
          </w:tcPr>
          <w:p w14:paraId="7E2ABD8C" w14:textId="77777777" w:rsidR="00A42A33" w:rsidRPr="0003440F" w:rsidRDefault="00693CAB" w:rsidP="008764E0">
            <w:pPr>
              <w:spacing w:after="0" w:line="240" w:lineRule="auto"/>
              <w:jc w:val="center"/>
              <w:rPr>
                <w:rFonts w:ascii="Times New Roman" w:eastAsia="Times New Roman" w:hAnsi="Times New Roman" w:cs="Times New Roman"/>
                <w:b/>
                <w:bCs/>
                <w:sz w:val="24"/>
                <w:szCs w:val="24"/>
              </w:rPr>
            </w:pPr>
            <w:r w:rsidRPr="0003440F">
              <w:rPr>
                <w:rFonts w:ascii="Times New Roman" w:eastAsia="Times New Roman" w:hAnsi="Times New Roman" w:cs="Times New Roman"/>
                <w:b/>
                <w:bCs/>
                <w:sz w:val="24"/>
                <w:szCs w:val="24"/>
              </w:rPr>
              <w:t xml:space="preserve">GDP (USD </w:t>
            </w:r>
            <w:r w:rsidR="00A42A33" w:rsidRPr="0003440F">
              <w:rPr>
                <w:rFonts w:ascii="Times New Roman" w:eastAsia="Times New Roman" w:hAnsi="Times New Roman" w:cs="Times New Roman"/>
                <w:b/>
                <w:bCs/>
                <w:sz w:val="24"/>
                <w:szCs w:val="24"/>
              </w:rPr>
              <w:t>)</w:t>
            </w:r>
          </w:p>
        </w:tc>
        <w:tc>
          <w:tcPr>
            <w:tcW w:w="0" w:type="auto"/>
            <w:vAlign w:val="center"/>
            <w:hideMark/>
          </w:tcPr>
          <w:p w14:paraId="48B69D51" w14:textId="77777777" w:rsidR="00A42A33" w:rsidRPr="0003440F" w:rsidRDefault="00A42A33" w:rsidP="008764E0">
            <w:pPr>
              <w:spacing w:after="0" w:line="240" w:lineRule="auto"/>
              <w:jc w:val="center"/>
              <w:rPr>
                <w:rFonts w:ascii="Times New Roman" w:eastAsia="Times New Roman" w:hAnsi="Times New Roman" w:cs="Times New Roman"/>
                <w:b/>
                <w:bCs/>
                <w:sz w:val="24"/>
                <w:szCs w:val="24"/>
              </w:rPr>
            </w:pPr>
            <w:r w:rsidRPr="0003440F">
              <w:rPr>
                <w:rFonts w:ascii="Times New Roman" w:eastAsia="Times New Roman" w:hAnsi="Times New Roman" w:cs="Times New Roman"/>
                <w:b/>
                <w:bCs/>
                <w:sz w:val="24"/>
                <w:szCs w:val="24"/>
              </w:rPr>
              <w:t>Agriculture GDP (%)</w:t>
            </w:r>
          </w:p>
        </w:tc>
        <w:tc>
          <w:tcPr>
            <w:tcW w:w="0" w:type="auto"/>
            <w:vAlign w:val="center"/>
            <w:hideMark/>
          </w:tcPr>
          <w:p w14:paraId="20BE1733" w14:textId="77777777" w:rsidR="00A42A33" w:rsidRPr="0003440F" w:rsidRDefault="00A42A33" w:rsidP="008764E0">
            <w:pPr>
              <w:spacing w:after="0" w:line="240" w:lineRule="auto"/>
              <w:jc w:val="center"/>
              <w:rPr>
                <w:rFonts w:ascii="Times New Roman" w:eastAsia="Times New Roman" w:hAnsi="Times New Roman" w:cs="Times New Roman"/>
                <w:b/>
                <w:bCs/>
                <w:sz w:val="24"/>
                <w:szCs w:val="24"/>
              </w:rPr>
            </w:pPr>
            <w:r w:rsidRPr="0003440F">
              <w:rPr>
                <w:rFonts w:ascii="Times New Roman" w:eastAsia="Times New Roman" w:hAnsi="Times New Roman" w:cs="Times New Roman"/>
                <w:b/>
                <w:bCs/>
                <w:sz w:val="24"/>
                <w:szCs w:val="24"/>
              </w:rPr>
              <w:t>Temp Anomaly (°C)</w:t>
            </w:r>
          </w:p>
        </w:tc>
        <w:tc>
          <w:tcPr>
            <w:tcW w:w="0" w:type="auto"/>
            <w:vAlign w:val="center"/>
            <w:hideMark/>
          </w:tcPr>
          <w:p w14:paraId="378CD326" w14:textId="77777777" w:rsidR="00A42A33" w:rsidRPr="0003440F" w:rsidRDefault="00A42A33" w:rsidP="008764E0">
            <w:pPr>
              <w:spacing w:after="0" w:line="240" w:lineRule="auto"/>
              <w:jc w:val="center"/>
              <w:rPr>
                <w:rFonts w:ascii="Times New Roman" w:eastAsia="Times New Roman" w:hAnsi="Times New Roman" w:cs="Times New Roman"/>
                <w:b/>
                <w:bCs/>
                <w:sz w:val="24"/>
                <w:szCs w:val="24"/>
              </w:rPr>
            </w:pPr>
            <w:r w:rsidRPr="0003440F">
              <w:rPr>
                <w:rFonts w:ascii="Times New Roman" w:eastAsia="Times New Roman" w:hAnsi="Times New Roman" w:cs="Times New Roman"/>
                <w:b/>
                <w:bCs/>
                <w:sz w:val="24"/>
                <w:szCs w:val="24"/>
              </w:rPr>
              <w:t>Rainfall Anomaly (mm)</w:t>
            </w:r>
          </w:p>
        </w:tc>
        <w:tc>
          <w:tcPr>
            <w:tcW w:w="0" w:type="auto"/>
            <w:vAlign w:val="center"/>
            <w:hideMark/>
          </w:tcPr>
          <w:p w14:paraId="308D278E" w14:textId="77777777" w:rsidR="00A42A33" w:rsidRPr="0003440F" w:rsidRDefault="00A42A33" w:rsidP="008764E0">
            <w:pPr>
              <w:spacing w:after="0" w:line="240" w:lineRule="auto"/>
              <w:jc w:val="center"/>
              <w:rPr>
                <w:rFonts w:ascii="Times New Roman" w:eastAsia="Times New Roman" w:hAnsi="Times New Roman" w:cs="Times New Roman"/>
                <w:b/>
                <w:bCs/>
                <w:sz w:val="24"/>
                <w:szCs w:val="24"/>
              </w:rPr>
            </w:pPr>
            <w:r w:rsidRPr="0003440F">
              <w:rPr>
                <w:rFonts w:ascii="Times New Roman" w:eastAsia="Times New Roman" w:hAnsi="Times New Roman" w:cs="Times New Roman"/>
                <w:b/>
                <w:bCs/>
                <w:sz w:val="24"/>
                <w:szCs w:val="24"/>
              </w:rPr>
              <w:t>Floods (count/year)</w:t>
            </w:r>
          </w:p>
        </w:tc>
        <w:tc>
          <w:tcPr>
            <w:tcW w:w="0" w:type="auto"/>
            <w:vAlign w:val="center"/>
            <w:hideMark/>
          </w:tcPr>
          <w:p w14:paraId="323348C1" w14:textId="77777777" w:rsidR="00A42A33" w:rsidRPr="0003440F" w:rsidRDefault="00A42A33" w:rsidP="008764E0">
            <w:pPr>
              <w:spacing w:after="0" w:line="240" w:lineRule="auto"/>
              <w:jc w:val="center"/>
              <w:rPr>
                <w:rFonts w:ascii="Times New Roman" w:eastAsia="Times New Roman" w:hAnsi="Times New Roman" w:cs="Times New Roman"/>
                <w:b/>
                <w:bCs/>
                <w:sz w:val="24"/>
                <w:szCs w:val="24"/>
              </w:rPr>
            </w:pPr>
            <w:r w:rsidRPr="0003440F">
              <w:rPr>
                <w:rFonts w:ascii="Times New Roman" w:eastAsia="Times New Roman" w:hAnsi="Times New Roman" w:cs="Times New Roman"/>
                <w:b/>
                <w:bCs/>
                <w:sz w:val="24"/>
                <w:szCs w:val="24"/>
              </w:rPr>
              <w:t>Droughts (count/year)</w:t>
            </w:r>
          </w:p>
        </w:tc>
        <w:tc>
          <w:tcPr>
            <w:tcW w:w="0" w:type="auto"/>
            <w:vAlign w:val="center"/>
            <w:hideMark/>
          </w:tcPr>
          <w:p w14:paraId="747AE99B" w14:textId="77777777" w:rsidR="00A42A33" w:rsidRPr="0003440F" w:rsidRDefault="00A42A33" w:rsidP="008764E0">
            <w:pPr>
              <w:spacing w:after="0" w:line="240" w:lineRule="auto"/>
              <w:jc w:val="center"/>
              <w:rPr>
                <w:rFonts w:ascii="Times New Roman" w:eastAsia="Times New Roman" w:hAnsi="Times New Roman" w:cs="Times New Roman"/>
                <w:b/>
                <w:bCs/>
                <w:sz w:val="24"/>
                <w:szCs w:val="24"/>
              </w:rPr>
            </w:pPr>
            <w:r w:rsidRPr="0003440F">
              <w:rPr>
                <w:rFonts w:ascii="Times New Roman" w:eastAsia="Times New Roman" w:hAnsi="Times New Roman" w:cs="Times New Roman"/>
                <w:b/>
                <w:bCs/>
                <w:sz w:val="24"/>
                <w:szCs w:val="24"/>
              </w:rPr>
              <w:t>Heat Stress Days</w:t>
            </w:r>
          </w:p>
        </w:tc>
        <w:tc>
          <w:tcPr>
            <w:tcW w:w="0" w:type="auto"/>
            <w:vAlign w:val="center"/>
            <w:hideMark/>
          </w:tcPr>
          <w:p w14:paraId="2A60C2D1" w14:textId="77777777" w:rsidR="00A42A33" w:rsidRPr="0003440F" w:rsidRDefault="00A42A33" w:rsidP="008764E0">
            <w:pPr>
              <w:spacing w:after="0" w:line="240" w:lineRule="auto"/>
              <w:jc w:val="center"/>
              <w:rPr>
                <w:rFonts w:ascii="Times New Roman" w:eastAsia="Times New Roman" w:hAnsi="Times New Roman" w:cs="Times New Roman"/>
                <w:b/>
                <w:bCs/>
                <w:sz w:val="24"/>
                <w:szCs w:val="24"/>
              </w:rPr>
            </w:pPr>
            <w:r w:rsidRPr="0003440F">
              <w:rPr>
                <w:rFonts w:ascii="Times New Roman" w:eastAsia="Times New Roman" w:hAnsi="Times New Roman" w:cs="Times New Roman"/>
                <w:b/>
                <w:bCs/>
                <w:sz w:val="24"/>
                <w:szCs w:val="24"/>
              </w:rPr>
              <w:t>Population Growth (%)</w:t>
            </w:r>
          </w:p>
        </w:tc>
        <w:tc>
          <w:tcPr>
            <w:tcW w:w="0" w:type="auto"/>
            <w:vAlign w:val="center"/>
            <w:hideMark/>
          </w:tcPr>
          <w:p w14:paraId="5D1E87CB" w14:textId="77777777" w:rsidR="00A42A33" w:rsidRPr="0003440F" w:rsidRDefault="00A42A33" w:rsidP="008764E0">
            <w:pPr>
              <w:spacing w:after="0" w:line="240" w:lineRule="auto"/>
              <w:jc w:val="center"/>
              <w:rPr>
                <w:rFonts w:ascii="Times New Roman" w:eastAsia="Times New Roman" w:hAnsi="Times New Roman" w:cs="Times New Roman"/>
                <w:b/>
                <w:bCs/>
                <w:sz w:val="24"/>
                <w:szCs w:val="24"/>
              </w:rPr>
            </w:pPr>
            <w:r w:rsidRPr="0003440F">
              <w:rPr>
                <w:rFonts w:ascii="Times New Roman" w:eastAsia="Times New Roman" w:hAnsi="Times New Roman" w:cs="Times New Roman"/>
                <w:b/>
                <w:bCs/>
                <w:sz w:val="24"/>
                <w:szCs w:val="24"/>
              </w:rPr>
              <w:t>Govt. Expenditure (% GDP)</w:t>
            </w:r>
          </w:p>
        </w:tc>
      </w:tr>
      <w:tr w:rsidR="00A42A33" w:rsidRPr="0003440F" w14:paraId="4EDF79A7" w14:textId="77777777" w:rsidTr="00A42A33">
        <w:trPr>
          <w:trHeight w:val="318"/>
          <w:tblCellSpacing w:w="15" w:type="dxa"/>
        </w:trPr>
        <w:tc>
          <w:tcPr>
            <w:tcW w:w="0" w:type="auto"/>
            <w:vAlign w:val="center"/>
            <w:hideMark/>
          </w:tcPr>
          <w:p w14:paraId="467CF380"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b/>
                <w:bCs/>
                <w:sz w:val="24"/>
                <w:szCs w:val="24"/>
              </w:rPr>
              <w:t>Mean</w:t>
            </w:r>
          </w:p>
        </w:tc>
        <w:tc>
          <w:tcPr>
            <w:tcW w:w="0" w:type="auto"/>
            <w:vAlign w:val="center"/>
            <w:hideMark/>
          </w:tcPr>
          <w:p w14:paraId="42964766"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85.4</w:t>
            </w:r>
          </w:p>
        </w:tc>
        <w:tc>
          <w:tcPr>
            <w:tcW w:w="0" w:type="auto"/>
            <w:vAlign w:val="center"/>
            <w:hideMark/>
          </w:tcPr>
          <w:p w14:paraId="1A3DDBFD"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33.2</w:t>
            </w:r>
          </w:p>
        </w:tc>
        <w:tc>
          <w:tcPr>
            <w:tcW w:w="0" w:type="auto"/>
            <w:vAlign w:val="center"/>
            <w:hideMark/>
          </w:tcPr>
          <w:p w14:paraId="522D3AC5"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0.91</w:t>
            </w:r>
          </w:p>
        </w:tc>
        <w:tc>
          <w:tcPr>
            <w:tcW w:w="0" w:type="auto"/>
            <w:vAlign w:val="center"/>
            <w:hideMark/>
          </w:tcPr>
          <w:p w14:paraId="2C348ACF"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14.2</w:t>
            </w:r>
          </w:p>
        </w:tc>
        <w:tc>
          <w:tcPr>
            <w:tcW w:w="0" w:type="auto"/>
            <w:vAlign w:val="center"/>
            <w:hideMark/>
          </w:tcPr>
          <w:p w14:paraId="76BDE89C"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1.8</w:t>
            </w:r>
          </w:p>
        </w:tc>
        <w:tc>
          <w:tcPr>
            <w:tcW w:w="0" w:type="auto"/>
            <w:vAlign w:val="center"/>
            <w:hideMark/>
          </w:tcPr>
          <w:p w14:paraId="6E919876"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1.3</w:t>
            </w:r>
          </w:p>
        </w:tc>
        <w:tc>
          <w:tcPr>
            <w:tcW w:w="0" w:type="auto"/>
            <w:vAlign w:val="center"/>
            <w:hideMark/>
          </w:tcPr>
          <w:p w14:paraId="6292E75E"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25</w:t>
            </w:r>
          </w:p>
        </w:tc>
        <w:tc>
          <w:tcPr>
            <w:tcW w:w="0" w:type="auto"/>
            <w:vAlign w:val="center"/>
            <w:hideMark/>
          </w:tcPr>
          <w:p w14:paraId="38C2EEC5"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2.7</w:t>
            </w:r>
          </w:p>
        </w:tc>
        <w:tc>
          <w:tcPr>
            <w:tcW w:w="0" w:type="auto"/>
            <w:vAlign w:val="center"/>
            <w:hideMark/>
          </w:tcPr>
          <w:p w14:paraId="294ECB71"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15.4</w:t>
            </w:r>
          </w:p>
        </w:tc>
      </w:tr>
      <w:tr w:rsidR="00A42A33" w:rsidRPr="0003440F" w14:paraId="08207F07" w14:textId="77777777" w:rsidTr="00A42A33">
        <w:trPr>
          <w:trHeight w:val="336"/>
          <w:tblCellSpacing w:w="15" w:type="dxa"/>
        </w:trPr>
        <w:tc>
          <w:tcPr>
            <w:tcW w:w="0" w:type="auto"/>
            <w:vAlign w:val="center"/>
            <w:hideMark/>
          </w:tcPr>
          <w:p w14:paraId="6E4AE012"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b/>
                <w:bCs/>
                <w:sz w:val="24"/>
                <w:szCs w:val="24"/>
              </w:rPr>
              <w:t>Median</w:t>
            </w:r>
          </w:p>
        </w:tc>
        <w:tc>
          <w:tcPr>
            <w:tcW w:w="0" w:type="auto"/>
            <w:vAlign w:val="center"/>
            <w:hideMark/>
          </w:tcPr>
          <w:p w14:paraId="4982FBAA"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42.4</w:t>
            </w:r>
          </w:p>
        </w:tc>
        <w:tc>
          <w:tcPr>
            <w:tcW w:w="0" w:type="auto"/>
            <w:vAlign w:val="center"/>
            <w:hideMark/>
          </w:tcPr>
          <w:p w14:paraId="40FD7C9A"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32.5</w:t>
            </w:r>
          </w:p>
        </w:tc>
        <w:tc>
          <w:tcPr>
            <w:tcW w:w="0" w:type="auto"/>
            <w:vAlign w:val="center"/>
            <w:hideMark/>
          </w:tcPr>
          <w:p w14:paraId="57A20399"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0.88</w:t>
            </w:r>
          </w:p>
        </w:tc>
        <w:tc>
          <w:tcPr>
            <w:tcW w:w="0" w:type="auto"/>
            <w:vAlign w:val="center"/>
            <w:hideMark/>
          </w:tcPr>
          <w:p w14:paraId="7D70F4BF"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13.6</w:t>
            </w:r>
          </w:p>
        </w:tc>
        <w:tc>
          <w:tcPr>
            <w:tcW w:w="0" w:type="auto"/>
            <w:vAlign w:val="center"/>
            <w:hideMark/>
          </w:tcPr>
          <w:p w14:paraId="716A405D"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2.0</w:t>
            </w:r>
          </w:p>
        </w:tc>
        <w:tc>
          <w:tcPr>
            <w:tcW w:w="0" w:type="auto"/>
            <w:vAlign w:val="center"/>
            <w:hideMark/>
          </w:tcPr>
          <w:p w14:paraId="14342F17"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1.0</w:t>
            </w:r>
          </w:p>
        </w:tc>
        <w:tc>
          <w:tcPr>
            <w:tcW w:w="0" w:type="auto"/>
            <w:vAlign w:val="center"/>
            <w:hideMark/>
          </w:tcPr>
          <w:p w14:paraId="30FF5036"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24</w:t>
            </w:r>
          </w:p>
        </w:tc>
        <w:tc>
          <w:tcPr>
            <w:tcW w:w="0" w:type="auto"/>
            <w:vAlign w:val="center"/>
            <w:hideMark/>
          </w:tcPr>
          <w:p w14:paraId="4DB4ECB3"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2.6</w:t>
            </w:r>
          </w:p>
        </w:tc>
        <w:tc>
          <w:tcPr>
            <w:tcW w:w="0" w:type="auto"/>
            <w:vAlign w:val="center"/>
            <w:hideMark/>
          </w:tcPr>
          <w:p w14:paraId="30E97B00"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15.2</w:t>
            </w:r>
          </w:p>
        </w:tc>
      </w:tr>
      <w:tr w:rsidR="00A42A33" w:rsidRPr="0003440F" w14:paraId="5A0DAA2E" w14:textId="77777777" w:rsidTr="00A42A33">
        <w:trPr>
          <w:trHeight w:val="654"/>
          <w:tblCellSpacing w:w="15" w:type="dxa"/>
        </w:trPr>
        <w:tc>
          <w:tcPr>
            <w:tcW w:w="0" w:type="auto"/>
            <w:vAlign w:val="center"/>
            <w:hideMark/>
          </w:tcPr>
          <w:p w14:paraId="61B5E2B8"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b/>
                <w:bCs/>
                <w:sz w:val="24"/>
                <w:szCs w:val="24"/>
              </w:rPr>
              <w:t>Maximum</w:t>
            </w:r>
          </w:p>
        </w:tc>
        <w:tc>
          <w:tcPr>
            <w:tcW w:w="0" w:type="auto"/>
            <w:vAlign w:val="center"/>
            <w:hideMark/>
          </w:tcPr>
          <w:p w14:paraId="19C78902"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480.0</w:t>
            </w:r>
          </w:p>
        </w:tc>
        <w:tc>
          <w:tcPr>
            <w:tcW w:w="0" w:type="auto"/>
            <w:vAlign w:val="center"/>
            <w:hideMark/>
          </w:tcPr>
          <w:p w14:paraId="16DFD53D"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48.0</w:t>
            </w:r>
          </w:p>
        </w:tc>
        <w:tc>
          <w:tcPr>
            <w:tcW w:w="0" w:type="auto"/>
            <w:vAlign w:val="center"/>
            <w:hideMark/>
          </w:tcPr>
          <w:p w14:paraId="240451E4"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2.3</w:t>
            </w:r>
          </w:p>
        </w:tc>
        <w:tc>
          <w:tcPr>
            <w:tcW w:w="0" w:type="auto"/>
            <w:vAlign w:val="center"/>
            <w:hideMark/>
          </w:tcPr>
          <w:p w14:paraId="54C64B4E"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65.0</w:t>
            </w:r>
          </w:p>
        </w:tc>
        <w:tc>
          <w:tcPr>
            <w:tcW w:w="0" w:type="auto"/>
            <w:vAlign w:val="center"/>
            <w:hideMark/>
          </w:tcPr>
          <w:p w14:paraId="5643C102"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6</w:t>
            </w:r>
          </w:p>
        </w:tc>
        <w:tc>
          <w:tcPr>
            <w:tcW w:w="0" w:type="auto"/>
            <w:vAlign w:val="center"/>
            <w:hideMark/>
          </w:tcPr>
          <w:p w14:paraId="0050431F"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4</w:t>
            </w:r>
          </w:p>
        </w:tc>
        <w:tc>
          <w:tcPr>
            <w:tcW w:w="0" w:type="auto"/>
            <w:vAlign w:val="center"/>
            <w:hideMark/>
          </w:tcPr>
          <w:p w14:paraId="222BA420"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60</w:t>
            </w:r>
          </w:p>
        </w:tc>
        <w:tc>
          <w:tcPr>
            <w:tcW w:w="0" w:type="auto"/>
            <w:vAlign w:val="center"/>
            <w:hideMark/>
          </w:tcPr>
          <w:p w14:paraId="7F442B60"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3.8</w:t>
            </w:r>
          </w:p>
        </w:tc>
        <w:tc>
          <w:tcPr>
            <w:tcW w:w="0" w:type="auto"/>
            <w:vAlign w:val="center"/>
            <w:hideMark/>
          </w:tcPr>
          <w:p w14:paraId="75410299"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22.0</w:t>
            </w:r>
          </w:p>
        </w:tc>
      </w:tr>
      <w:tr w:rsidR="00A42A33" w:rsidRPr="0003440F" w14:paraId="2F12F190" w14:textId="77777777" w:rsidTr="00A42A33">
        <w:trPr>
          <w:trHeight w:val="336"/>
          <w:tblCellSpacing w:w="15" w:type="dxa"/>
        </w:trPr>
        <w:tc>
          <w:tcPr>
            <w:tcW w:w="0" w:type="auto"/>
            <w:vAlign w:val="center"/>
            <w:hideMark/>
          </w:tcPr>
          <w:p w14:paraId="594697A0"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b/>
                <w:bCs/>
                <w:sz w:val="24"/>
                <w:szCs w:val="24"/>
              </w:rPr>
              <w:t>Minimum</w:t>
            </w:r>
          </w:p>
        </w:tc>
        <w:tc>
          <w:tcPr>
            <w:tcW w:w="0" w:type="auto"/>
            <w:vAlign w:val="center"/>
            <w:hideMark/>
          </w:tcPr>
          <w:p w14:paraId="0433CB11"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4.5</w:t>
            </w:r>
          </w:p>
        </w:tc>
        <w:tc>
          <w:tcPr>
            <w:tcW w:w="0" w:type="auto"/>
            <w:vAlign w:val="center"/>
            <w:hideMark/>
          </w:tcPr>
          <w:p w14:paraId="5201FAE8"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15.0</w:t>
            </w:r>
          </w:p>
        </w:tc>
        <w:tc>
          <w:tcPr>
            <w:tcW w:w="0" w:type="auto"/>
            <w:vAlign w:val="center"/>
            <w:hideMark/>
          </w:tcPr>
          <w:p w14:paraId="310364CF"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-0.5</w:t>
            </w:r>
          </w:p>
        </w:tc>
        <w:tc>
          <w:tcPr>
            <w:tcW w:w="0" w:type="auto"/>
            <w:vAlign w:val="center"/>
            <w:hideMark/>
          </w:tcPr>
          <w:p w14:paraId="6A3F1A76"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-40.0</w:t>
            </w:r>
          </w:p>
        </w:tc>
        <w:tc>
          <w:tcPr>
            <w:tcW w:w="0" w:type="auto"/>
            <w:vAlign w:val="center"/>
            <w:hideMark/>
          </w:tcPr>
          <w:p w14:paraId="11E702BA"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w:t>
            </w:r>
          </w:p>
        </w:tc>
        <w:tc>
          <w:tcPr>
            <w:tcW w:w="0" w:type="auto"/>
            <w:vAlign w:val="center"/>
            <w:hideMark/>
          </w:tcPr>
          <w:p w14:paraId="66605596"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w:t>
            </w:r>
          </w:p>
        </w:tc>
        <w:tc>
          <w:tcPr>
            <w:tcW w:w="0" w:type="auto"/>
            <w:vAlign w:val="center"/>
            <w:hideMark/>
          </w:tcPr>
          <w:p w14:paraId="18C0484A"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w:t>
            </w:r>
          </w:p>
        </w:tc>
        <w:tc>
          <w:tcPr>
            <w:tcW w:w="0" w:type="auto"/>
            <w:vAlign w:val="center"/>
            <w:hideMark/>
          </w:tcPr>
          <w:p w14:paraId="23A20ED5"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1.7</w:t>
            </w:r>
          </w:p>
        </w:tc>
        <w:tc>
          <w:tcPr>
            <w:tcW w:w="0" w:type="auto"/>
            <w:vAlign w:val="center"/>
            <w:hideMark/>
          </w:tcPr>
          <w:p w14:paraId="1B1FD3F4"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9.0</w:t>
            </w:r>
          </w:p>
        </w:tc>
      </w:tr>
      <w:tr w:rsidR="00A42A33" w:rsidRPr="0003440F" w14:paraId="2742F9F9" w14:textId="77777777" w:rsidTr="00A42A33">
        <w:trPr>
          <w:trHeight w:val="654"/>
          <w:tblCellSpacing w:w="15" w:type="dxa"/>
        </w:trPr>
        <w:tc>
          <w:tcPr>
            <w:tcW w:w="0" w:type="auto"/>
            <w:vAlign w:val="center"/>
            <w:hideMark/>
          </w:tcPr>
          <w:p w14:paraId="04C9E474"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b/>
                <w:bCs/>
                <w:sz w:val="24"/>
                <w:szCs w:val="24"/>
              </w:rPr>
              <w:t>Std. Dev.</w:t>
            </w:r>
          </w:p>
        </w:tc>
        <w:tc>
          <w:tcPr>
            <w:tcW w:w="0" w:type="auto"/>
            <w:vAlign w:val="center"/>
            <w:hideMark/>
          </w:tcPr>
          <w:p w14:paraId="504DE006"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120.2</w:t>
            </w:r>
          </w:p>
        </w:tc>
        <w:tc>
          <w:tcPr>
            <w:tcW w:w="0" w:type="auto"/>
            <w:vAlign w:val="center"/>
            <w:hideMark/>
          </w:tcPr>
          <w:p w14:paraId="5698349F"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8.5</w:t>
            </w:r>
          </w:p>
        </w:tc>
        <w:tc>
          <w:tcPr>
            <w:tcW w:w="0" w:type="auto"/>
            <w:vAlign w:val="center"/>
            <w:hideMark/>
          </w:tcPr>
          <w:p w14:paraId="2827ADED"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0.48</w:t>
            </w:r>
          </w:p>
        </w:tc>
        <w:tc>
          <w:tcPr>
            <w:tcW w:w="0" w:type="auto"/>
            <w:vAlign w:val="center"/>
            <w:hideMark/>
          </w:tcPr>
          <w:p w14:paraId="154821BC"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22.5</w:t>
            </w:r>
          </w:p>
        </w:tc>
        <w:tc>
          <w:tcPr>
            <w:tcW w:w="0" w:type="auto"/>
            <w:vAlign w:val="center"/>
            <w:hideMark/>
          </w:tcPr>
          <w:p w14:paraId="0B42EB76"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1.3</w:t>
            </w:r>
          </w:p>
        </w:tc>
        <w:tc>
          <w:tcPr>
            <w:tcW w:w="0" w:type="auto"/>
            <w:vAlign w:val="center"/>
            <w:hideMark/>
          </w:tcPr>
          <w:p w14:paraId="214FD041"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1.0</w:t>
            </w:r>
          </w:p>
        </w:tc>
        <w:tc>
          <w:tcPr>
            <w:tcW w:w="0" w:type="auto"/>
            <w:vAlign w:val="center"/>
            <w:hideMark/>
          </w:tcPr>
          <w:p w14:paraId="0DF524E8"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15</w:t>
            </w:r>
          </w:p>
        </w:tc>
        <w:tc>
          <w:tcPr>
            <w:tcW w:w="0" w:type="auto"/>
            <w:vAlign w:val="center"/>
            <w:hideMark/>
          </w:tcPr>
          <w:p w14:paraId="1095A336"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0.5</w:t>
            </w:r>
          </w:p>
        </w:tc>
        <w:tc>
          <w:tcPr>
            <w:tcW w:w="0" w:type="auto"/>
            <w:vAlign w:val="center"/>
            <w:hideMark/>
          </w:tcPr>
          <w:p w14:paraId="57A31AAB"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3.2</w:t>
            </w:r>
          </w:p>
        </w:tc>
      </w:tr>
      <w:tr w:rsidR="00A42A33" w:rsidRPr="0003440F" w14:paraId="29F292DD" w14:textId="77777777" w:rsidTr="00A42A33">
        <w:trPr>
          <w:trHeight w:val="336"/>
          <w:tblCellSpacing w:w="15" w:type="dxa"/>
        </w:trPr>
        <w:tc>
          <w:tcPr>
            <w:tcW w:w="0" w:type="auto"/>
            <w:vAlign w:val="center"/>
            <w:hideMark/>
          </w:tcPr>
          <w:p w14:paraId="4F7C95DB"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b/>
                <w:bCs/>
                <w:sz w:val="24"/>
                <w:szCs w:val="24"/>
              </w:rPr>
              <w:t>Skewness</w:t>
            </w:r>
          </w:p>
        </w:tc>
        <w:tc>
          <w:tcPr>
            <w:tcW w:w="0" w:type="auto"/>
            <w:vAlign w:val="center"/>
            <w:hideMark/>
          </w:tcPr>
          <w:p w14:paraId="798DC893"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1.21</w:t>
            </w:r>
          </w:p>
        </w:tc>
        <w:tc>
          <w:tcPr>
            <w:tcW w:w="0" w:type="auto"/>
            <w:vAlign w:val="center"/>
            <w:hideMark/>
          </w:tcPr>
          <w:p w14:paraId="4F549D52"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0.45</w:t>
            </w:r>
          </w:p>
        </w:tc>
        <w:tc>
          <w:tcPr>
            <w:tcW w:w="0" w:type="auto"/>
            <w:vAlign w:val="center"/>
            <w:hideMark/>
          </w:tcPr>
          <w:p w14:paraId="7C243E9C"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0.78</w:t>
            </w:r>
          </w:p>
        </w:tc>
        <w:tc>
          <w:tcPr>
            <w:tcW w:w="0" w:type="auto"/>
            <w:vAlign w:val="center"/>
            <w:hideMark/>
          </w:tcPr>
          <w:p w14:paraId="1582CF20"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0.94</w:t>
            </w:r>
          </w:p>
        </w:tc>
        <w:tc>
          <w:tcPr>
            <w:tcW w:w="0" w:type="auto"/>
            <w:vAlign w:val="center"/>
            <w:hideMark/>
          </w:tcPr>
          <w:p w14:paraId="5650BA31"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0.65</w:t>
            </w:r>
          </w:p>
        </w:tc>
        <w:tc>
          <w:tcPr>
            <w:tcW w:w="0" w:type="auto"/>
            <w:vAlign w:val="center"/>
            <w:hideMark/>
          </w:tcPr>
          <w:p w14:paraId="7203D326"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0.88</w:t>
            </w:r>
          </w:p>
        </w:tc>
        <w:tc>
          <w:tcPr>
            <w:tcW w:w="0" w:type="auto"/>
            <w:vAlign w:val="center"/>
            <w:hideMark/>
          </w:tcPr>
          <w:p w14:paraId="17C8417B"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0.90</w:t>
            </w:r>
          </w:p>
        </w:tc>
        <w:tc>
          <w:tcPr>
            <w:tcW w:w="0" w:type="auto"/>
            <w:vAlign w:val="center"/>
            <w:hideMark/>
          </w:tcPr>
          <w:p w14:paraId="7884DC14"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0.12</w:t>
            </w:r>
          </w:p>
        </w:tc>
        <w:tc>
          <w:tcPr>
            <w:tcW w:w="0" w:type="auto"/>
            <w:vAlign w:val="center"/>
            <w:hideMark/>
          </w:tcPr>
          <w:p w14:paraId="1BFBE7A6"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0.80</w:t>
            </w:r>
          </w:p>
        </w:tc>
      </w:tr>
      <w:tr w:rsidR="00A42A33" w:rsidRPr="0003440F" w14:paraId="711C5F70" w14:textId="77777777" w:rsidTr="00A42A33">
        <w:trPr>
          <w:trHeight w:val="336"/>
          <w:tblCellSpacing w:w="15" w:type="dxa"/>
        </w:trPr>
        <w:tc>
          <w:tcPr>
            <w:tcW w:w="0" w:type="auto"/>
            <w:vAlign w:val="center"/>
            <w:hideMark/>
          </w:tcPr>
          <w:p w14:paraId="59F8EDAB"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b/>
                <w:bCs/>
                <w:sz w:val="24"/>
                <w:szCs w:val="24"/>
              </w:rPr>
              <w:t>Kurtosis</w:t>
            </w:r>
          </w:p>
        </w:tc>
        <w:tc>
          <w:tcPr>
            <w:tcW w:w="0" w:type="auto"/>
            <w:vAlign w:val="center"/>
            <w:hideMark/>
          </w:tcPr>
          <w:p w14:paraId="3DC29A9A"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3.42</w:t>
            </w:r>
          </w:p>
        </w:tc>
        <w:tc>
          <w:tcPr>
            <w:tcW w:w="0" w:type="auto"/>
            <w:vAlign w:val="center"/>
            <w:hideMark/>
          </w:tcPr>
          <w:p w14:paraId="6DB1EBD8"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2.71</w:t>
            </w:r>
          </w:p>
        </w:tc>
        <w:tc>
          <w:tcPr>
            <w:tcW w:w="0" w:type="auto"/>
            <w:vAlign w:val="center"/>
            <w:hideMark/>
          </w:tcPr>
          <w:p w14:paraId="5DB1BEDE"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2.15</w:t>
            </w:r>
          </w:p>
        </w:tc>
        <w:tc>
          <w:tcPr>
            <w:tcW w:w="0" w:type="auto"/>
            <w:vAlign w:val="center"/>
            <w:hideMark/>
          </w:tcPr>
          <w:p w14:paraId="06F43F2A"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3.02</w:t>
            </w:r>
          </w:p>
        </w:tc>
        <w:tc>
          <w:tcPr>
            <w:tcW w:w="0" w:type="auto"/>
            <w:vAlign w:val="center"/>
            <w:hideMark/>
          </w:tcPr>
          <w:p w14:paraId="6327F30A"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1.87</w:t>
            </w:r>
          </w:p>
        </w:tc>
        <w:tc>
          <w:tcPr>
            <w:tcW w:w="0" w:type="auto"/>
            <w:vAlign w:val="center"/>
            <w:hideMark/>
          </w:tcPr>
          <w:p w14:paraId="0EA3BD19"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2.40</w:t>
            </w:r>
          </w:p>
        </w:tc>
        <w:tc>
          <w:tcPr>
            <w:tcW w:w="0" w:type="auto"/>
            <w:vAlign w:val="center"/>
            <w:hideMark/>
          </w:tcPr>
          <w:p w14:paraId="3A9A223A"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2.90</w:t>
            </w:r>
          </w:p>
        </w:tc>
        <w:tc>
          <w:tcPr>
            <w:tcW w:w="0" w:type="auto"/>
            <w:vAlign w:val="center"/>
            <w:hideMark/>
          </w:tcPr>
          <w:p w14:paraId="461FE31C"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2.00</w:t>
            </w:r>
          </w:p>
        </w:tc>
        <w:tc>
          <w:tcPr>
            <w:tcW w:w="0" w:type="auto"/>
            <w:vAlign w:val="center"/>
            <w:hideMark/>
          </w:tcPr>
          <w:p w14:paraId="5058936B"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2.50</w:t>
            </w:r>
          </w:p>
        </w:tc>
      </w:tr>
      <w:tr w:rsidR="00A42A33" w:rsidRPr="0003440F" w14:paraId="4CA57BAB" w14:textId="77777777" w:rsidTr="00A42A33">
        <w:trPr>
          <w:trHeight w:val="654"/>
          <w:tblCellSpacing w:w="15" w:type="dxa"/>
        </w:trPr>
        <w:tc>
          <w:tcPr>
            <w:tcW w:w="0" w:type="auto"/>
            <w:vAlign w:val="center"/>
            <w:hideMark/>
          </w:tcPr>
          <w:p w14:paraId="68863748"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b/>
                <w:bCs/>
                <w:sz w:val="24"/>
                <w:szCs w:val="24"/>
              </w:rPr>
              <w:t>Jarque-Bera</w:t>
            </w:r>
          </w:p>
        </w:tc>
        <w:tc>
          <w:tcPr>
            <w:tcW w:w="0" w:type="auto"/>
            <w:vAlign w:val="center"/>
            <w:hideMark/>
          </w:tcPr>
          <w:p w14:paraId="0003BF12"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6.87</w:t>
            </w:r>
          </w:p>
        </w:tc>
        <w:tc>
          <w:tcPr>
            <w:tcW w:w="0" w:type="auto"/>
            <w:vAlign w:val="center"/>
            <w:hideMark/>
          </w:tcPr>
          <w:p w14:paraId="2AC5B6F5"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1.28</w:t>
            </w:r>
          </w:p>
        </w:tc>
        <w:tc>
          <w:tcPr>
            <w:tcW w:w="0" w:type="auto"/>
            <w:vAlign w:val="center"/>
            <w:hideMark/>
          </w:tcPr>
          <w:p w14:paraId="7E08AF4A"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2.91</w:t>
            </w:r>
          </w:p>
        </w:tc>
        <w:tc>
          <w:tcPr>
            <w:tcW w:w="0" w:type="auto"/>
            <w:vAlign w:val="center"/>
            <w:hideMark/>
          </w:tcPr>
          <w:p w14:paraId="2E39B331"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3.44</w:t>
            </w:r>
          </w:p>
        </w:tc>
        <w:tc>
          <w:tcPr>
            <w:tcW w:w="0" w:type="auto"/>
            <w:vAlign w:val="center"/>
            <w:hideMark/>
          </w:tcPr>
          <w:p w14:paraId="769C200F"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0.87</w:t>
            </w:r>
          </w:p>
        </w:tc>
        <w:tc>
          <w:tcPr>
            <w:tcW w:w="0" w:type="auto"/>
            <w:vAlign w:val="center"/>
            <w:hideMark/>
          </w:tcPr>
          <w:p w14:paraId="5E86E7AB"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1.54</w:t>
            </w:r>
          </w:p>
        </w:tc>
        <w:tc>
          <w:tcPr>
            <w:tcW w:w="0" w:type="auto"/>
            <w:vAlign w:val="center"/>
            <w:hideMark/>
          </w:tcPr>
          <w:p w14:paraId="78726DA6"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2.77</w:t>
            </w:r>
          </w:p>
        </w:tc>
        <w:tc>
          <w:tcPr>
            <w:tcW w:w="0" w:type="auto"/>
            <w:vAlign w:val="center"/>
            <w:hideMark/>
          </w:tcPr>
          <w:p w14:paraId="58E57409"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0.42</w:t>
            </w:r>
          </w:p>
        </w:tc>
        <w:tc>
          <w:tcPr>
            <w:tcW w:w="0" w:type="auto"/>
            <w:vAlign w:val="center"/>
            <w:hideMark/>
          </w:tcPr>
          <w:p w14:paraId="75A16B7C"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1.91</w:t>
            </w:r>
          </w:p>
        </w:tc>
      </w:tr>
      <w:tr w:rsidR="00A42A33" w:rsidRPr="0003440F" w14:paraId="10574507" w14:textId="77777777" w:rsidTr="00A42A33">
        <w:trPr>
          <w:trHeight w:val="654"/>
          <w:tblCellSpacing w:w="15" w:type="dxa"/>
        </w:trPr>
        <w:tc>
          <w:tcPr>
            <w:tcW w:w="0" w:type="auto"/>
            <w:vAlign w:val="center"/>
            <w:hideMark/>
          </w:tcPr>
          <w:p w14:paraId="03862046"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b/>
                <w:bCs/>
                <w:sz w:val="24"/>
                <w:szCs w:val="24"/>
              </w:rPr>
              <w:t>Probability</w:t>
            </w:r>
          </w:p>
        </w:tc>
        <w:tc>
          <w:tcPr>
            <w:tcW w:w="0" w:type="auto"/>
            <w:vAlign w:val="center"/>
            <w:hideMark/>
          </w:tcPr>
          <w:p w14:paraId="4B90C60A"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0.032</w:t>
            </w:r>
          </w:p>
        </w:tc>
        <w:tc>
          <w:tcPr>
            <w:tcW w:w="0" w:type="auto"/>
            <w:vAlign w:val="center"/>
            <w:hideMark/>
          </w:tcPr>
          <w:p w14:paraId="0C0A58B5"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0.528</w:t>
            </w:r>
          </w:p>
        </w:tc>
        <w:tc>
          <w:tcPr>
            <w:tcW w:w="0" w:type="auto"/>
            <w:vAlign w:val="center"/>
            <w:hideMark/>
          </w:tcPr>
          <w:p w14:paraId="03F9E0E3"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0.233</w:t>
            </w:r>
          </w:p>
        </w:tc>
        <w:tc>
          <w:tcPr>
            <w:tcW w:w="0" w:type="auto"/>
            <w:vAlign w:val="center"/>
            <w:hideMark/>
          </w:tcPr>
          <w:p w14:paraId="243522BB"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0.179</w:t>
            </w:r>
          </w:p>
        </w:tc>
        <w:tc>
          <w:tcPr>
            <w:tcW w:w="0" w:type="auto"/>
            <w:vAlign w:val="center"/>
            <w:hideMark/>
          </w:tcPr>
          <w:p w14:paraId="2582379A"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0.646</w:t>
            </w:r>
          </w:p>
        </w:tc>
        <w:tc>
          <w:tcPr>
            <w:tcW w:w="0" w:type="auto"/>
            <w:vAlign w:val="center"/>
            <w:hideMark/>
          </w:tcPr>
          <w:p w14:paraId="0F9BD65B"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0.462</w:t>
            </w:r>
          </w:p>
        </w:tc>
        <w:tc>
          <w:tcPr>
            <w:tcW w:w="0" w:type="auto"/>
            <w:vAlign w:val="center"/>
            <w:hideMark/>
          </w:tcPr>
          <w:p w14:paraId="687B1881"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0.25</w:t>
            </w:r>
          </w:p>
        </w:tc>
        <w:tc>
          <w:tcPr>
            <w:tcW w:w="0" w:type="auto"/>
            <w:vAlign w:val="center"/>
            <w:hideMark/>
          </w:tcPr>
          <w:p w14:paraId="5567F696"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0.809</w:t>
            </w:r>
          </w:p>
        </w:tc>
        <w:tc>
          <w:tcPr>
            <w:tcW w:w="0" w:type="auto"/>
            <w:vAlign w:val="center"/>
            <w:hideMark/>
          </w:tcPr>
          <w:p w14:paraId="106BBDA6"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0.384</w:t>
            </w:r>
          </w:p>
        </w:tc>
      </w:tr>
      <w:tr w:rsidR="00A42A33" w:rsidRPr="0003440F" w14:paraId="57BA9B28" w14:textId="77777777" w:rsidTr="00A42A33">
        <w:trPr>
          <w:trHeight w:val="654"/>
          <w:tblCellSpacing w:w="15" w:type="dxa"/>
        </w:trPr>
        <w:tc>
          <w:tcPr>
            <w:tcW w:w="0" w:type="auto"/>
            <w:vAlign w:val="center"/>
            <w:hideMark/>
          </w:tcPr>
          <w:p w14:paraId="7EFFC819"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b/>
                <w:bCs/>
                <w:sz w:val="24"/>
                <w:szCs w:val="24"/>
              </w:rPr>
              <w:t>Observations</w:t>
            </w:r>
          </w:p>
        </w:tc>
        <w:tc>
          <w:tcPr>
            <w:tcW w:w="0" w:type="auto"/>
            <w:vAlign w:val="center"/>
            <w:hideMark/>
          </w:tcPr>
          <w:p w14:paraId="35AC6DE1"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160</w:t>
            </w:r>
          </w:p>
        </w:tc>
        <w:tc>
          <w:tcPr>
            <w:tcW w:w="0" w:type="auto"/>
            <w:vAlign w:val="center"/>
            <w:hideMark/>
          </w:tcPr>
          <w:p w14:paraId="330021E3" w14:textId="77777777" w:rsidR="00A42A33" w:rsidRPr="0003440F" w:rsidRDefault="00A42A33" w:rsidP="008764E0">
            <w:pPr>
              <w:spacing w:after="0" w:line="240" w:lineRule="auto"/>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t>160</w:t>
            </w:r>
          </w:p>
        </w:tc>
        <w:tc>
          <w:tcPr>
            <w:tcW w:w="0" w:type="auto"/>
            <w:hideMark/>
          </w:tcPr>
          <w:p w14:paraId="2720D071" w14:textId="77777777" w:rsidR="00A42A33" w:rsidRPr="0003440F" w:rsidRDefault="00A42A33" w:rsidP="008764E0">
            <w:pPr>
              <w:spacing w:line="240" w:lineRule="auto"/>
              <w:rPr>
                <w:sz w:val="24"/>
                <w:szCs w:val="24"/>
              </w:rPr>
            </w:pPr>
            <w:r w:rsidRPr="0003440F">
              <w:rPr>
                <w:rFonts w:ascii="Times New Roman" w:eastAsia="Times New Roman" w:hAnsi="Times New Roman" w:cs="Times New Roman"/>
                <w:sz w:val="24"/>
                <w:szCs w:val="24"/>
              </w:rPr>
              <w:t>160</w:t>
            </w:r>
          </w:p>
        </w:tc>
        <w:tc>
          <w:tcPr>
            <w:tcW w:w="0" w:type="auto"/>
            <w:hideMark/>
          </w:tcPr>
          <w:p w14:paraId="30E943C3" w14:textId="77777777" w:rsidR="00A42A33" w:rsidRPr="0003440F" w:rsidRDefault="00A42A33" w:rsidP="008764E0">
            <w:pPr>
              <w:spacing w:line="240" w:lineRule="auto"/>
              <w:rPr>
                <w:sz w:val="24"/>
                <w:szCs w:val="24"/>
              </w:rPr>
            </w:pPr>
            <w:r w:rsidRPr="0003440F">
              <w:rPr>
                <w:rFonts w:ascii="Times New Roman" w:eastAsia="Times New Roman" w:hAnsi="Times New Roman" w:cs="Times New Roman"/>
                <w:sz w:val="24"/>
                <w:szCs w:val="24"/>
              </w:rPr>
              <w:t>160</w:t>
            </w:r>
          </w:p>
        </w:tc>
        <w:tc>
          <w:tcPr>
            <w:tcW w:w="0" w:type="auto"/>
            <w:hideMark/>
          </w:tcPr>
          <w:p w14:paraId="7FD958F7" w14:textId="77777777" w:rsidR="00A42A33" w:rsidRPr="0003440F" w:rsidRDefault="00A42A33" w:rsidP="008764E0">
            <w:pPr>
              <w:spacing w:line="240" w:lineRule="auto"/>
              <w:rPr>
                <w:sz w:val="24"/>
                <w:szCs w:val="24"/>
              </w:rPr>
            </w:pPr>
            <w:r w:rsidRPr="0003440F">
              <w:rPr>
                <w:rFonts w:ascii="Times New Roman" w:eastAsia="Times New Roman" w:hAnsi="Times New Roman" w:cs="Times New Roman"/>
                <w:sz w:val="24"/>
                <w:szCs w:val="24"/>
              </w:rPr>
              <w:t>160</w:t>
            </w:r>
          </w:p>
        </w:tc>
        <w:tc>
          <w:tcPr>
            <w:tcW w:w="0" w:type="auto"/>
            <w:hideMark/>
          </w:tcPr>
          <w:p w14:paraId="503706B9" w14:textId="77777777" w:rsidR="00A42A33" w:rsidRPr="0003440F" w:rsidRDefault="00A42A33" w:rsidP="008764E0">
            <w:pPr>
              <w:spacing w:line="240" w:lineRule="auto"/>
              <w:rPr>
                <w:sz w:val="24"/>
                <w:szCs w:val="24"/>
              </w:rPr>
            </w:pPr>
            <w:r w:rsidRPr="0003440F">
              <w:rPr>
                <w:rFonts w:ascii="Times New Roman" w:eastAsia="Times New Roman" w:hAnsi="Times New Roman" w:cs="Times New Roman"/>
                <w:sz w:val="24"/>
                <w:szCs w:val="24"/>
              </w:rPr>
              <w:t>160</w:t>
            </w:r>
          </w:p>
        </w:tc>
        <w:tc>
          <w:tcPr>
            <w:tcW w:w="0" w:type="auto"/>
            <w:hideMark/>
          </w:tcPr>
          <w:p w14:paraId="6A09BEF2" w14:textId="77777777" w:rsidR="00A42A33" w:rsidRPr="0003440F" w:rsidRDefault="00A42A33" w:rsidP="008764E0">
            <w:pPr>
              <w:spacing w:line="240" w:lineRule="auto"/>
              <w:rPr>
                <w:sz w:val="24"/>
                <w:szCs w:val="24"/>
              </w:rPr>
            </w:pPr>
            <w:r w:rsidRPr="0003440F">
              <w:rPr>
                <w:rFonts w:ascii="Times New Roman" w:eastAsia="Times New Roman" w:hAnsi="Times New Roman" w:cs="Times New Roman"/>
                <w:sz w:val="24"/>
                <w:szCs w:val="24"/>
              </w:rPr>
              <w:t>160</w:t>
            </w:r>
          </w:p>
        </w:tc>
        <w:tc>
          <w:tcPr>
            <w:tcW w:w="0" w:type="auto"/>
            <w:hideMark/>
          </w:tcPr>
          <w:p w14:paraId="12EF3EA8" w14:textId="77777777" w:rsidR="00A42A33" w:rsidRPr="0003440F" w:rsidRDefault="00A42A33" w:rsidP="008764E0">
            <w:pPr>
              <w:spacing w:line="240" w:lineRule="auto"/>
              <w:rPr>
                <w:sz w:val="24"/>
                <w:szCs w:val="24"/>
              </w:rPr>
            </w:pPr>
            <w:r w:rsidRPr="0003440F">
              <w:rPr>
                <w:rFonts w:ascii="Times New Roman" w:eastAsia="Times New Roman" w:hAnsi="Times New Roman" w:cs="Times New Roman"/>
                <w:sz w:val="24"/>
                <w:szCs w:val="24"/>
              </w:rPr>
              <w:t>160</w:t>
            </w:r>
          </w:p>
        </w:tc>
        <w:tc>
          <w:tcPr>
            <w:tcW w:w="0" w:type="auto"/>
            <w:hideMark/>
          </w:tcPr>
          <w:p w14:paraId="7F43665B" w14:textId="77777777" w:rsidR="00A42A33" w:rsidRPr="0003440F" w:rsidRDefault="00A42A33" w:rsidP="008764E0">
            <w:pPr>
              <w:spacing w:line="240" w:lineRule="auto"/>
              <w:rPr>
                <w:sz w:val="24"/>
                <w:szCs w:val="24"/>
              </w:rPr>
            </w:pPr>
            <w:r w:rsidRPr="0003440F">
              <w:rPr>
                <w:rFonts w:ascii="Times New Roman" w:eastAsia="Times New Roman" w:hAnsi="Times New Roman" w:cs="Times New Roman"/>
                <w:sz w:val="24"/>
                <w:szCs w:val="24"/>
              </w:rPr>
              <w:t>160</w:t>
            </w:r>
          </w:p>
        </w:tc>
      </w:tr>
    </w:tbl>
    <w:p w14:paraId="2CDF2F2A" w14:textId="77777777" w:rsidR="009E7E64" w:rsidRPr="0003440F" w:rsidRDefault="009E7E64" w:rsidP="00874DF4">
      <w:pPr>
        <w:pStyle w:val="NormalWeb"/>
        <w:spacing w:before="0" w:beforeAutospacing="0"/>
        <w:jc w:val="both"/>
      </w:pPr>
      <w:r w:rsidRPr="0003440F">
        <w:rPr>
          <w:b/>
          <w:bCs/>
        </w:rPr>
        <w:t>Source:</w:t>
      </w:r>
      <w:r w:rsidRPr="0003440F">
        <w:t xml:space="preserve"> Data Analysis, 2026</w:t>
      </w:r>
    </w:p>
    <w:p w14:paraId="09212BBD" w14:textId="3C9B2C3A" w:rsidR="00A42A33" w:rsidRPr="0003440F" w:rsidRDefault="009E7E64" w:rsidP="008764E0">
      <w:pPr>
        <w:pStyle w:val="NormalWeb"/>
        <w:jc w:val="both"/>
      </w:pPr>
      <w:r w:rsidRPr="0003440F">
        <w:lastRenderedPageBreak/>
        <w:t xml:space="preserve">Table </w:t>
      </w:r>
      <w:r w:rsidR="00BC41AC" w:rsidRPr="0003440F">
        <w:t>2</w:t>
      </w:r>
      <w:r w:rsidR="00A42A33" w:rsidRPr="0003440F">
        <w:t xml:space="preserve"> reveal</w:t>
      </w:r>
      <w:r w:rsidR="005249B7" w:rsidRPr="0003440F">
        <w:t>ed</w:t>
      </w:r>
      <w:r w:rsidR="00A42A33" w:rsidRPr="0003440F">
        <w:t xml:space="preserve"> significant variability in both economic and climatic variables across Nigeria, Ghana, Senegal, Mali, and Niger over the period 1994–2025. </w:t>
      </w:r>
      <w:r w:rsidR="00A42A33" w:rsidRPr="0003440F">
        <w:rPr>
          <w:rStyle w:val="Strong"/>
          <w:b w:val="0"/>
          <w:bCs w:val="0"/>
        </w:rPr>
        <w:t>GDP</w:t>
      </w:r>
      <w:r w:rsidR="00A42A33" w:rsidRPr="0003440F">
        <w:t xml:space="preserve"> exhibits a wide range, from USD 4.5 billion to USD 480 billion, with a mean of USD 85.4 billion and a positive skew of 1.21, indicating occasional exceptionally high-output years, likely reflecting the economic dominance of larger coastal economies such as Nigeria and Ghana. </w:t>
      </w:r>
      <w:r w:rsidR="00A42A33" w:rsidRPr="0003440F">
        <w:rPr>
          <w:rStyle w:val="Strong"/>
          <w:b w:val="0"/>
          <w:bCs w:val="0"/>
        </w:rPr>
        <w:t>Agriculture GDP</w:t>
      </w:r>
      <w:r w:rsidR="00A42A33" w:rsidRPr="0003440F">
        <w:t>, a key sector in these economies, averages 33.2% of total GDP, with moderate variation (standard deviation of 8.5%) and a slight positive skew (0.45), showing that agricultural output remains relatively stable but still responsive to climatic and economic shocks.</w:t>
      </w:r>
      <w:r w:rsidR="00987836" w:rsidRPr="0003440F">
        <w:t xml:space="preserve"> </w:t>
      </w:r>
      <w:r w:rsidR="00A42A33" w:rsidRPr="0003440F">
        <w:rPr>
          <w:rStyle w:val="Strong"/>
          <w:b w:val="0"/>
        </w:rPr>
        <w:t>Climate variables</w:t>
      </w:r>
      <w:r w:rsidR="00A42A33" w:rsidRPr="0003440F">
        <w:t xml:space="preserve"> indicate persistent warming and variability. Temperature anomalies average 0.91°C above long-term baselines, with occasional extreme heat years reaching 2.3°C, while rainfall anomalies display substantial variability (mean 14.2 mm, range -40 mm to 65 mm), reflecting both drought and flood events. Extreme events are frequent: floods occur on average 1.8 times per year, droughts 1.3 times, and heat stress affects 25 days annually on average, highlighting the exposure of these economies to climate risks. Positive skewness in these variables suggests that extreme climatic events are not uncommon.</w:t>
      </w:r>
      <w:r w:rsidR="0017182C" w:rsidRPr="0003440F">
        <w:t xml:space="preserve"> </w:t>
      </w:r>
      <w:r w:rsidR="00A42A33" w:rsidRPr="0003440F">
        <w:rPr>
          <w:rStyle w:val="Strong"/>
          <w:b w:val="0"/>
        </w:rPr>
        <w:t>Socioeconomic indicators</w:t>
      </w:r>
      <w:r w:rsidR="00A42A33" w:rsidRPr="0003440F">
        <w:t xml:space="preserve"> show that population growth is relatively stable (mean 2.7%, standard deviation 0.5%), indicating consistent labor force expansion over the period. Government expenditure averages 15.4% of GDP, with moderate variation, reflecting policy responsiveness to developmental and climatic challenges.</w:t>
      </w:r>
      <w:r w:rsidR="00E632A1" w:rsidRPr="0003440F">
        <w:t xml:space="preserve"> </w:t>
      </w:r>
      <w:r w:rsidR="00A42A33" w:rsidRPr="0003440F">
        <w:t xml:space="preserve">The </w:t>
      </w:r>
      <w:r w:rsidR="00A42A33" w:rsidRPr="0003440F">
        <w:rPr>
          <w:rStyle w:val="Strong"/>
          <w:b w:val="0"/>
        </w:rPr>
        <w:t>Jarque-Bera statistics</w:t>
      </w:r>
      <w:r w:rsidR="00A42A33" w:rsidRPr="0003440F">
        <w:t xml:space="preserve"> indicate that GDP departs from normality (p = 0.032), consistent with the presence of large outliers in high-output years, whereas most other variables approximate normal distributions (p &gt; 0.05), supporting the suitability of parametric regression methods in the subsequent analysis. Overall, the panel exhibits substantial heterogeneity across countries and years, reflecting both structural economic differences and the influence of climate variability and extreme events.</w:t>
      </w:r>
    </w:p>
    <w:p w14:paraId="58979E17" w14:textId="77777777" w:rsidR="00F936F1" w:rsidRPr="0003440F" w:rsidRDefault="00F936F1" w:rsidP="00DE7F69">
      <w:pPr>
        <w:pStyle w:val="NormalWeb"/>
        <w:spacing w:before="0" w:beforeAutospacing="0" w:after="0" w:afterAutospacing="0"/>
        <w:jc w:val="both"/>
        <w:rPr>
          <w:b/>
        </w:rPr>
      </w:pPr>
      <w:r w:rsidRPr="0003440F">
        <w:rPr>
          <w:b/>
        </w:rPr>
        <w:t>4.2 Correlation Analysis</w:t>
      </w:r>
    </w:p>
    <w:p w14:paraId="4B98CD8B" w14:textId="7106DAB5" w:rsidR="002213D7" w:rsidRPr="0003440F" w:rsidRDefault="008A2662" w:rsidP="00DE7F69">
      <w:pPr>
        <w:pStyle w:val="Heading3"/>
        <w:spacing w:before="0" w:beforeAutospacing="0" w:after="0" w:afterAutospacing="0"/>
        <w:jc w:val="both"/>
        <w:rPr>
          <w:b w:val="0"/>
          <w:sz w:val="24"/>
          <w:szCs w:val="24"/>
        </w:rPr>
      </w:pPr>
      <w:r w:rsidRPr="0003440F">
        <w:rPr>
          <w:rStyle w:val="Strong"/>
          <w:b/>
          <w:bCs/>
          <w:sz w:val="24"/>
          <w:szCs w:val="24"/>
        </w:rPr>
        <w:t xml:space="preserve">Table </w:t>
      </w:r>
      <w:r w:rsidR="00BC41AC" w:rsidRPr="0003440F">
        <w:rPr>
          <w:rStyle w:val="Strong"/>
          <w:b/>
          <w:bCs/>
          <w:sz w:val="24"/>
          <w:szCs w:val="24"/>
        </w:rPr>
        <w:t>3-</w:t>
      </w:r>
      <w:r w:rsidR="002213D7" w:rsidRPr="0003440F">
        <w:rPr>
          <w:rStyle w:val="Strong"/>
          <w:b/>
          <w:bCs/>
          <w:sz w:val="24"/>
          <w:szCs w:val="24"/>
        </w:rPr>
        <w:t xml:space="preserve"> Correlation Matrix </w:t>
      </w:r>
    </w:p>
    <w:tbl>
      <w:tblPr>
        <w:tblW w:w="98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586"/>
        <w:gridCol w:w="1607"/>
        <w:gridCol w:w="1822"/>
        <w:gridCol w:w="740"/>
        <w:gridCol w:w="982"/>
        <w:gridCol w:w="1257"/>
        <w:gridCol w:w="1030"/>
      </w:tblGrid>
      <w:tr w:rsidR="002213D7" w:rsidRPr="0003440F" w14:paraId="5183909D" w14:textId="77777777" w:rsidTr="00C724F6">
        <w:trPr>
          <w:trHeight w:val="587"/>
          <w:tblHeader/>
          <w:tblCellSpacing w:w="15" w:type="dxa"/>
        </w:trPr>
        <w:tc>
          <w:tcPr>
            <w:tcW w:w="0" w:type="auto"/>
            <w:vAlign w:val="center"/>
            <w:hideMark/>
          </w:tcPr>
          <w:p w14:paraId="40122AA2" w14:textId="77777777" w:rsidR="002213D7" w:rsidRPr="0003440F" w:rsidRDefault="002213D7" w:rsidP="008764E0">
            <w:pPr>
              <w:spacing w:line="240" w:lineRule="auto"/>
              <w:jc w:val="both"/>
              <w:rPr>
                <w:rFonts w:ascii="Times New Roman" w:hAnsi="Times New Roman" w:cs="Times New Roman"/>
                <w:bCs/>
                <w:sz w:val="24"/>
                <w:szCs w:val="24"/>
              </w:rPr>
            </w:pPr>
            <w:r w:rsidRPr="0003440F">
              <w:rPr>
                <w:rFonts w:ascii="Times New Roman" w:hAnsi="Times New Roman" w:cs="Times New Roman"/>
                <w:bCs/>
                <w:sz w:val="24"/>
                <w:szCs w:val="24"/>
              </w:rPr>
              <w:t>Variable</w:t>
            </w:r>
          </w:p>
        </w:tc>
        <w:tc>
          <w:tcPr>
            <w:tcW w:w="0" w:type="auto"/>
            <w:vAlign w:val="center"/>
            <w:hideMark/>
          </w:tcPr>
          <w:p w14:paraId="13FA5A3A" w14:textId="77777777" w:rsidR="002213D7" w:rsidRPr="0003440F" w:rsidRDefault="002213D7" w:rsidP="008764E0">
            <w:pPr>
              <w:spacing w:line="240" w:lineRule="auto"/>
              <w:jc w:val="both"/>
              <w:rPr>
                <w:rFonts w:ascii="Times New Roman" w:hAnsi="Times New Roman" w:cs="Times New Roman"/>
                <w:bCs/>
                <w:sz w:val="24"/>
                <w:szCs w:val="24"/>
              </w:rPr>
            </w:pPr>
            <w:r w:rsidRPr="0003440F">
              <w:rPr>
                <w:rFonts w:ascii="Times New Roman" w:hAnsi="Times New Roman" w:cs="Times New Roman"/>
                <w:bCs/>
                <w:sz w:val="24"/>
                <w:szCs w:val="24"/>
              </w:rPr>
              <w:t>GDP</w:t>
            </w:r>
          </w:p>
        </w:tc>
        <w:tc>
          <w:tcPr>
            <w:tcW w:w="0" w:type="auto"/>
            <w:vAlign w:val="center"/>
            <w:hideMark/>
          </w:tcPr>
          <w:p w14:paraId="06642097" w14:textId="77777777" w:rsidR="002213D7" w:rsidRPr="0003440F" w:rsidRDefault="002213D7" w:rsidP="008764E0">
            <w:pPr>
              <w:spacing w:line="240" w:lineRule="auto"/>
              <w:jc w:val="both"/>
              <w:rPr>
                <w:rFonts w:ascii="Times New Roman" w:hAnsi="Times New Roman" w:cs="Times New Roman"/>
                <w:bCs/>
                <w:sz w:val="24"/>
                <w:szCs w:val="24"/>
              </w:rPr>
            </w:pPr>
            <w:r w:rsidRPr="0003440F">
              <w:rPr>
                <w:rFonts w:ascii="Times New Roman" w:hAnsi="Times New Roman" w:cs="Times New Roman"/>
                <w:bCs/>
                <w:sz w:val="24"/>
                <w:szCs w:val="24"/>
              </w:rPr>
              <w:t>Temp Anomaly</w:t>
            </w:r>
          </w:p>
        </w:tc>
        <w:tc>
          <w:tcPr>
            <w:tcW w:w="0" w:type="auto"/>
            <w:vAlign w:val="center"/>
            <w:hideMark/>
          </w:tcPr>
          <w:p w14:paraId="4A42F934" w14:textId="77777777" w:rsidR="002213D7" w:rsidRPr="0003440F" w:rsidRDefault="002213D7" w:rsidP="008764E0">
            <w:pPr>
              <w:spacing w:line="240" w:lineRule="auto"/>
              <w:jc w:val="both"/>
              <w:rPr>
                <w:rFonts w:ascii="Times New Roman" w:hAnsi="Times New Roman" w:cs="Times New Roman"/>
                <w:bCs/>
                <w:sz w:val="24"/>
                <w:szCs w:val="24"/>
              </w:rPr>
            </w:pPr>
            <w:r w:rsidRPr="0003440F">
              <w:rPr>
                <w:rFonts w:ascii="Times New Roman" w:hAnsi="Times New Roman" w:cs="Times New Roman"/>
                <w:bCs/>
                <w:sz w:val="24"/>
                <w:szCs w:val="24"/>
              </w:rPr>
              <w:t>Rainfall Anomaly</w:t>
            </w:r>
          </w:p>
        </w:tc>
        <w:tc>
          <w:tcPr>
            <w:tcW w:w="0" w:type="auto"/>
            <w:vAlign w:val="center"/>
            <w:hideMark/>
          </w:tcPr>
          <w:p w14:paraId="065F0A26" w14:textId="77777777" w:rsidR="002213D7" w:rsidRPr="0003440F" w:rsidRDefault="002213D7" w:rsidP="008764E0">
            <w:pPr>
              <w:spacing w:line="240" w:lineRule="auto"/>
              <w:jc w:val="both"/>
              <w:rPr>
                <w:rFonts w:ascii="Times New Roman" w:hAnsi="Times New Roman" w:cs="Times New Roman"/>
                <w:bCs/>
                <w:sz w:val="24"/>
                <w:szCs w:val="24"/>
              </w:rPr>
            </w:pPr>
            <w:r w:rsidRPr="0003440F">
              <w:rPr>
                <w:rFonts w:ascii="Times New Roman" w:hAnsi="Times New Roman" w:cs="Times New Roman"/>
                <w:bCs/>
                <w:sz w:val="24"/>
                <w:szCs w:val="24"/>
              </w:rPr>
              <w:t>Floods</w:t>
            </w:r>
          </w:p>
        </w:tc>
        <w:tc>
          <w:tcPr>
            <w:tcW w:w="0" w:type="auto"/>
            <w:vAlign w:val="center"/>
            <w:hideMark/>
          </w:tcPr>
          <w:p w14:paraId="07150782" w14:textId="77777777" w:rsidR="002213D7" w:rsidRPr="0003440F" w:rsidRDefault="002213D7" w:rsidP="008764E0">
            <w:pPr>
              <w:spacing w:line="240" w:lineRule="auto"/>
              <w:jc w:val="both"/>
              <w:rPr>
                <w:rFonts w:ascii="Times New Roman" w:hAnsi="Times New Roman" w:cs="Times New Roman"/>
                <w:bCs/>
                <w:sz w:val="24"/>
                <w:szCs w:val="24"/>
              </w:rPr>
            </w:pPr>
            <w:r w:rsidRPr="0003440F">
              <w:rPr>
                <w:rFonts w:ascii="Times New Roman" w:hAnsi="Times New Roman" w:cs="Times New Roman"/>
                <w:bCs/>
                <w:sz w:val="24"/>
                <w:szCs w:val="24"/>
              </w:rPr>
              <w:t>Droughts</w:t>
            </w:r>
          </w:p>
        </w:tc>
        <w:tc>
          <w:tcPr>
            <w:tcW w:w="0" w:type="auto"/>
            <w:vAlign w:val="center"/>
            <w:hideMark/>
          </w:tcPr>
          <w:p w14:paraId="4CCDC671" w14:textId="77777777" w:rsidR="002213D7" w:rsidRPr="0003440F" w:rsidRDefault="002213D7" w:rsidP="008764E0">
            <w:pPr>
              <w:spacing w:line="240" w:lineRule="auto"/>
              <w:jc w:val="both"/>
              <w:rPr>
                <w:rFonts w:ascii="Times New Roman" w:hAnsi="Times New Roman" w:cs="Times New Roman"/>
                <w:bCs/>
                <w:sz w:val="24"/>
                <w:szCs w:val="24"/>
              </w:rPr>
            </w:pPr>
            <w:r w:rsidRPr="0003440F">
              <w:rPr>
                <w:rFonts w:ascii="Times New Roman" w:hAnsi="Times New Roman" w:cs="Times New Roman"/>
                <w:bCs/>
                <w:sz w:val="24"/>
                <w:szCs w:val="24"/>
              </w:rPr>
              <w:t>Pop Growth</w:t>
            </w:r>
          </w:p>
        </w:tc>
        <w:tc>
          <w:tcPr>
            <w:tcW w:w="0" w:type="auto"/>
            <w:vAlign w:val="center"/>
            <w:hideMark/>
          </w:tcPr>
          <w:p w14:paraId="0D42AA15" w14:textId="77777777" w:rsidR="002213D7" w:rsidRPr="0003440F" w:rsidRDefault="002213D7" w:rsidP="008764E0">
            <w:pPr>
              <w:spacing w:line="240" w:lineRule="auto"/>
              <w:jc w:val="both"/>
              <w:rPr>
                <w:rFonts w:ascii="Times New Roman" w:hAnsi="Times New Roman" w:cs="Times New Roman"/>
                <w:bCs/>
                <w:sz w:val="24"/>
                <w:szCs w:val="24"/>
              </w:rPr>
            </w:pPr>
            <w:r w:rsidRPr="0003440F">
              <w:rPr>
                <w:rFonts w:ascii="Times New Roman" w:hAnsi="Times New Roman" w:cs="Times New Roman"/>
                <w:bCs/>
                <w:sz w:val="24"/>
                <w:szCs w:val="24"/>
              </w:rPr>
              <w:t>Govt Exp</w:t>
            </w:r>
          </w:p>
        </w:tc>
      </w:tr>
      <w:tr w:rsidR="002213D7" w:rsidRPr="0003440F" w14:paraId="0B46E6C9" w14:textId="77777777" w:rsidTr="00C724F6">
        <w:trPr>
          <w:trHeight w:val="603"/>
          <w:tblCellSpacing w:w="15" w:type="dxa"/>
        </w:trPr>
        <w:tc>
          <w:tcPr>
            <w:tcW w:w="0" w:type="auto"/>
            <w:vAlign w:val="center"/>
            <w:hideMark/>
          </w:tcPr>
          <w:p w14:paraId="3F4FBE96"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GDP</w:t>
            </w:r>
          </w:p>
        </w:tc>
        <w:tc>
          <w:tcPr>
            <w:tcW w:w="0" w:type="auto"/>
            <w:vAlign w:val="center"/>
            <w:hideMark/>
          </w:tcPr>
          <w:p w14:paraId="714F5B61"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1</w:t>
            </w:r>
          </w:p>
        </w:tc>
        <w:tc>
          <w:tcPr>
            <w:tcW w:w="0" w:type="auto"/>
            <w:vAlign w:val="center"/>
            <w:hideMark/>
          </w:tcPr>
          <w:p w14:paraId="0C717EBE"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-0.46</w:t>
            </w:r>
          </w:p>
        </w:tc>
        <w:tc>
          <w:tcPr>
            <w:tcW w:w="0" w:type="auto"/>
            <w:vAlign w:val="center"/>
            <w:hideMark/>
          </w:tcPr>
          <w:p w14:paraId="79180514"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0.31</w:t>
            </w:r>
          </w:p>
        </w:tc>
        <w:tc>
          <w:tcPr>
            <w:tcW w:w="0" w:type="auto"/>
            <w:vAlign w:val="center"/>
            <w:hideMark/>
          </w:tcPr>
          <w:p w14:paraId="2987CA1A"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-0.38</w:t>
            </w:r>
          </w:p>
        </w:tc>
        <w:tc>
          <w:tcPr>
            <w:tcW w:w="0" w:type="auto"/>
            <w:vAlign w:val="center"/>
            <w:hideMark/>
          </w:tcPr>
          <w:p w14:paraId="59610868"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-0.41</w:t>
            </w:r>
          </w:p>
        </w:tc>
        <w:tc>
          <w:tcPr>
            <w:tcW w:w="0" w:type="auto"/>
            <w:vAlign w:val="center"/>
            <w:hideMark/>
          </w:tcPr>
          <w:p w14:paraId="7A8C6A20"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0.28</w:t>
            </w:r>
          </w:p>
        </w:tc>
        <w:tc>
          <w:tcPr>
            <w:tcW w:w="0" w:type="auto"/>
            <w:vAlign w:val="center"/>
            <w:hideMark/>
          </w:tcPr>
          <w:p w14:paraId="77D0407D"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0.51</w:t>
            </w:r>
          </w:p>
        </w:tc>
      </w:tr>
      <w:tr w:rsidR="002213D7" w:rsidRPr="0003440F" w14:paraId="775841F7" w14:textId="77777777" w:rsidTr="00C724F6">
        <w:trPr>
          <w:trHeight w:val="603"/>
          <w:tblCellSpacing w:w="15" w:type="dxa"/>
        </w:trPr>
        <w:tc>
          <w:tcPr>
            <w:tcW w:w="0" w:type="auto"/>
            <w:vAlign w:val="center"/>
            <w:hideMark/>
          </w:tcPr>
          <w:p w14:paraId="3A106BBC"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Temp Anomaly</w:t>
            </w:r>
          </w:p>
        </w:tc>
        <w:tc>
          <w:tcPr>
            <w:tcW w:w="0" w:type="auto"/>
            <w:vAlign w:val="center"/>
            <w:hideMark/>
          </w:tcPr>
          <w:p w14:paraId="2301E669"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-0.46</w:t>
            </w:r>
          </w:p>
        </w:tc>
        <w:tc>
          <w:tcPr>
            <w:tcW w:w="0" w:type="auto"/>
            <w:vAlign w:val="center"/>
            <w:hideMark/>
          </w:tcPr>
          <w:p w14:paraId="1AF11F31"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1</w:t>
            </w:r>
          </w:p>
        </w:tc>
        <w:tc>
          <w:tcPr>
            <w:tcW w:w="0" w:type="auto"/>
            <w:vAlign w:val="center"/>
            <w:hideMark/>
          </w:tcPr>
          <w:p w14:paraId="2F46547F"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-0.27</w:t>
            </w:r>
          </w:p>
        </w:tc>
        <w:tc>
          <w:tcPr>
            <w:tcW w:w="0" w:type="auto"/>
            <w:vAlign w:val="center"/>
            <w:hideMark/>
          </w:tcPr>
          <w:p w14:paraId="382460BB"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0.22</w:t>
            </w:r>
          </w:p>
        </w:tc>
        <w:tc>
          <w:tcPr>
            <w:tcW w:w="0" w:type="auto"/>
            <w:vAlign w:val="center"/>
            <w:hideMark/>
          </w:tcPr>
          <w:p w14:paraId="669FC28B"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0.31</w:t>
            </w:r>
          </w:p>
        </w:tc>
        <w:tc>
          <w:tcPr>
            <w:tcW w:w="0" w:type="auto"/>
            <w:vAlign w:val="center"/>
            <w:hideMark/>
          </w:tcPr>
          <w:p w14:paraId="19F73BD2"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-0.05</w:t>
            </w:r>
          </w:p>
        </w:tc>
        <w:tc>
          <w:tcPr>
            <w:tcW w:w="0" w:type="auto"/>
            <w:vAlign w:val="center"/>
            <w:hideMark/>
          </w:tcPr>
          <w:p w14:paraId="3CBE9B4A"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0.08</w:t>
            </w:r>
          </w:p>
        </w:tc>
      </w:tr>
      <w:tr w:rsidR="002213D7" w:rsidRPr="0003440F" w14:paraId="34C98A08" w14:textId="77777777" w:rsidTr="00C724F6">
        <w:trPr>
          <w:trHeight w:val="603"/>
          <w:tblCellSpacing w:w="15" w:type="dxa"/>
        </w:trPr>
        <w:tc>
          <w:tcPr>
            <w:tcW w:w="0" w:type="auto"/>
            <w:vAlign w:val="center"/>
            <w:hideMark/>
          </w:tcPr>
          <w:p w14:paraId="0FE7AA01"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Rainfall Anomaly</w:t>
            </w:r>
          </w:p>
        </w:tc>
        <w:tc>
          <w:tcPr>
            <w:tcW w:w="0" w:type="auto"/>
            <w:vAlign w:val="center"/>
            <w:hideMark/>
          </w:tcPr>
          <w:p w14:paraId="457192D9"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0.31</w:t>
            </w:r>
          </w:p>
        </w:tc>
        <w:tc>
          <w:tcPr>
            <w:tcW w:w="0" w:type="auto"/>
            <w:vAlign w:val="center"/>
            <w:hideMark/>
          </w:tcPr>
          <w:p w14:paraId="311B684C"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-0.27</w:t>
            </w:r>
          </w:p>
        </w:tc>
        <w:tc>
          <w:tcPr>
            <w:tcW w:w="0" w:type="auto"/>
            <w:vAlign w:val="center"/>
            <w:hideMark/>
          </w:tcPr>
          <w:p w14:paraId="037D00CF"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1</w:t>
            </w:r>
          </w:p>
        </w:tc>
        <w:tc>
          <w:tcPr>
            <w:tcW w:w="0" w:type="auto"/>
            <w:vAlign w:val="center"/>
            <w:hideMark/>
          </w:tcPr>
          <w:p w14:paraId="6D94A677"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-0.19</w:t>
            </w:r>
          </w:p>
        </w:tc>
        <w:tc>
          <w:tcPr>
            <w:tcW w:w="0" w:type="auto"/>
            <w:vAlign w:val="center"/>
            <w:hideMark/>
          </w:tcPr>
          <w:p w14:paraId="7AC315F1"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-0.25</w:t>
            </w:r>
          </w:p>
        </w:tc>
        <w:tc>
          <w:tcPr>
            <w:tcW w:w="0" w:type="auto"/>
            <w:vAlign w:val="center"/>
            <w:hideMark/>
          </w:tcPr>
          <w:p w14:paraId="292DC25A"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0.02</w:t>
            </w:r>
          </w:p>
        </w:tc>
        <w:tc>
          <w:tcPr>
            <w:tcW w:w="0" w:type="auto"/>
            <w:vAlign w:val="center"/>
            <w:hideMark/>
          </w:tcPr>
          <w:p w14:paraId="5B85BDA7"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0.10</w:t>
            </w:r>
          </w:p>
        </w:tc>
      </w:tr>
      <w:tr w:rsidR="002213D7" w:rsidRPr="0003440F" w14:paraId="1547205B" w14:textId="77777777" w:rsidTr="00C724F6">
        <w:trPr>
          <w:trHeight w:val="603"/>
          <w:tblCellSpacing w:w="15" w:type="dxa"/>
        </w:trPr>
        <w:tc>
          <w:tcPr>
            <w:tcW w:w="0" w:type="auto"/>
            <w:vAlign w:val="center"/>
            <w:hideMark/>
          </w:tcPr>
          <w:p w14:paraId="32C130FF"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Floods</w:t>
            </w:r>
          </w:p>
        </w:tc>
        <w:tc>
          <w:tcPr>
            <w:tcW w:w="0" w:type="auto"/>
            <w:vAlign w:val="center"/>
            <w:hideMark/>
          </w:tcPr>
          <w:p w14:paraId="3881632E"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-0.38</w:t>
            </w:r>
          </w:p>
        </w:tc>
        <w:tc>
          <w:tcPr>
            <w:tcW w:w="0" w:type="auto"/>
            <w:vAlign w:val="center"/>
            <w:hideMark/>
          </w:tcPr>
          <w:p w14:paraId="56C6AC8F"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0.22</w:t>
            </w:r>
          </w:p>
        </w:tc>
        <w:tc>
          <w:tcPr>
            <w:tcW w:w="0" w:type="auto"/>
            <w:vAlign w:val="center"/>
            <w:hideMark/>
          </w:tcPr>
          <w:p w14:paraId="1ED6C36A"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-0.19</w:t>
            </w:r>
          </w:p>
        </w:tc>
        <w:tc>
          <w:tcPr>
            <w:tcW w:w="0" w:type="auto"/>
            <w:vAlign w:val="center"/>
            <w:hideMark/>
          </w:tcPr>
          <w:p w14:paraId="30138EB4"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1</w:t>
            </w:r>
          </w:p>
        </w:tc>
        <w:tc>
          <w:tcPr>
            <w:tcW w:w="0" w:type="auto"/>
            <w:vAlign w:val="center"/>
            <w:hideMark/>
          </w:tcPr>
          <w:p w14:paraId="79565705"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0.12</w:t>
            </w:r>
          </w:p>
        </w:tc>
        <w:tc>
          <w:tcPr>
            <w:tcW w:w="0" w:type="auto"/>
            <w:vAlign w:val="center"/>
            <w:hideMark/>
          </w:tcPr>
          <w:p w14:paraId="00554D89"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-0.04</w:t>
            </w:r>
          </w:p>
        </w:tc>
        <w:tc>
          <w:tcPr>
            <w:tcW w:w="0" w:type="auto"/>
            <w:vAlign w:val="center"/>
            <w:hideMark/>
          </w:tcPr>
          <w:p w14:paraId="638C37D7"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-0.12</w:t>
            </w:r>
          </w:p>
        </w:tc>
      </w:tr>
      <w:tr w:rsidR="002213D7" w:rsidRPr="0003440F" w14:paraId="3CD7D210" w14:textId="77777777" w:rsidTr="00C724F6">
        <w:trPr>
          <w:trHeight w:val="603"/>
          <w:tblCellSpacing w:w="15" w:type="dxa"/>
        </w:trPr>
        <w:tc>
          <w:tcPr>
            <w:tcW w:w="0" w:type="auto"/>
            <w:vAlign w:val="center"/>
            <w:hideMark/>
          </w:tcPr>
          <w:p w14:paraId="64B0FE7A"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Droughts</w:t>
            </w:r>
          </w:p>
        </w:tc>
        <w:tc>
          <w:tcPr>
            <w:tcW w:w="0" w:type="auto"/>
            <w:vAlign w:val="center"/>
            <w:hideMark/>
          </w:tcPr>
          <w:p w14:paraId="751F69BB"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-0.41</w:t>
            </w:r>
          </w:p>
        </w:tc>
        <w:tc>
          <w:tcPr>
            <w:tcW w:w="0" w:type="auto"/>
            <w:vAlign w:val="center"/>
            <w:hideMark/>
          </w:tcPr>
          <w:p w14:paraId="51281BDA"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0.31</w:t>
            </w:r>
          </w:p>
        </w:tc>
        <w:tc>
          <w:tcPr>
            <w:tcW w:w="0" w:type="auto"/>
            <w:vAlign w:val="center"/>
            <w:hideMark/>
          </w:tcPr>
          <w:p w14:paraId="0AC149D9"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-0.25</w:t>
            </w:r>
          </w:p>
        </w:tc>
        <w:tc>
          <w:tcPr>
            <w:tcW w:w="0" w:type="auto"/>
            <w:vAlign w:val="center"/>
            <w:hideMark/>
          </w:tcPr>
          <w:p w14:paraId="343AC088"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0.12</w:t>
            </w:r>
          </w:p>
        </w:tc>
        <w:tc>
          <w:tcPr>
            <w:tcW w:w="0" w:type="auto"/>
            <w:vAlign w:val="center"/>
            <w:hideMark/>
          </w:tcPr>
          <w:p w14:paraId="4CF8EBCF"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1</w:t>
            </w:r>
          </w:p>
        </w:tc>
        <w:tc>
          <w:tcPr>
            <w:tcW w:w="0" w:type="auto"/>
            <w:vAlign w:val="center"/>
            <w:hideMark/>
          </w:tcPr>
          <w:p w14:paraId="047B4C34"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0.05</w:t>
            </w:r>
          </w:p>
        </w:tc>
        <w:tc>
          <w:tcPr>
            <w:tcW w:w="0" w:type="auto"/>
            <w:vAlign w:val="center"/>
            <w:hideMark/>
          </w:tcPr>
          <w:p w14:paraId="09271EDE"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0.06</w:t>
            </w:r>
          </w:p>
        </w:tc>
      </w:tr>
      <w:tr w:rsidR="002213D7" w:rsidRPr="0003440F" w14:paraId="0DF374BF" w14:textId="77777777" w:rsidTr="00C724F6">
        <w:trPr>
          <w:trHeight w:val="603"/>
          <w:tblCellSpacing w:w="15" w:type="dxa"/>
        </w:trPr>
        <w:tc>
          <w:tcPr>
            <w:tcW w:w="0" w:type="auto"/>
            <w:vAlign w:val="center"/>
            <w:hideMark/>
          </w:tcPr>
          <w:p w14:paraId="3EA2781E"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Pop Growth</w:t>
            </w:r>
          </w:p>
        </w:tc>
        <w:tc>
          <w:tcPr>
            <w:tcW w:w="0" w:type="auto"/>
            <w:vAlign w:val="center"/>
            <w:hideMark/>
          </w:tcPr>
          <w:p w14:paraId="79E6FB99"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0.28</w:t>
            </w:r>
          </w:p>
        </w:tc>
        <w:tc>
          <w:tcPr>
            <w:tcW w:w="0" w:type="auto"/>
            <w:vAlign w:val="center"/>
            <w:hideMark/>
          </w:tcPr>
          <w:p w14:paraId="2D4F2195"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-0.05</w:t>
            </w:r>
          </w:p>
        </w:tc>
        <w:tc>
          <w:tcPr>
            <w:tcW w:w="0" w:type="auto"/>
            <w:vAlign w:val="center"/>
            <w:hideMark/>
          </w:tcPr>
          <w:p w14:paraId="4FC8147D"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0.02</w:t>
            </w:r>
          </w:p>
        </w:tc>
        <w:tc>
          <w:tcPr>
            <w:tcW w:w="0" w:type="auto"/>
            <w:vAlign w:val="center"/>
            <w:hideMark/>
          </w:tcPr>
          <w:p w14:paraId="49C6E490"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-0.04</w:t>
            </w:r>
          </w:p>
        </w:tc>
        <w:tc>
          <w:tcPr>
            <w:tcW w:w="0" w:type="auto"/>
            <w:vAlign w:val="center"/>
            <w:hideMark/>
          </w:tcPr>
          <w:p w14:paraId="6E3B4A64"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0.05</w:t>
            </w:r>
          </w:p>
        </w:tc>
        <w:tc>
          <w:tcPr>
            <w:tcW w:w="0" w:type="auto"/>
            <w:vAlign w:val="center"/>
            <w:hideMark/>
          </w:tcPr>
          <w:p w14:paraId="73A1D59C"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1</w:t>
            </w:r>
          </w:p>
        </w:tc>
        <w:tc>
          <w:tcPr>
            <w:tcW w:w="0" w:type="auto"/>
            <w:vAlign w:val="center"/>
            <w:hideMark/>
          </w:tcPr>
          <w:p w14:paraId="228CC878"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-0.22</w:t>
            </w:r>
          </w:p>
        </w:tc>
      </w:tr>
      <w:tr w:rsidR="002213D7" w:rsidRPr="0003440F" w14:paraId="0589AC1A" w14:textId="77777777" w:rsidTr="00C724F6">
        <w:trPr>
          <w:trHeight w:val="587"/>
          <w:tblCellSpacing w:w="15" w:type="dxa"/>
        </w:trPr>
        <w:tc>
          <w:tcPr>
            <w:tcW w:w="0" w:type="auto"/>
            <w:vAlign w:val="center"/>
            <w:hideMark/>
          </w:tcPr>
          <w:p w14:paraId="4FD26BFF"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Govt Exp</w:t>
            </w:r>
          </w:p>
        </w:tc>
        <w:tc>
          <w:tcPr>
            <w:tcW w:w="0" w:type="auto"/>
            <w:vAlign w:val="center"/>
            <w:hideMark/>
          </w:tcPr>
          <w:p w14:paraId="568600B5"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0.51</w:t>
            </w:r>
          </w:p>
        </w:tc>
        <w:tc>
          <w:tcPr>
            <w:tcW w:w="0" w:type="auto"/>
            <w:vAlign w:val="center"/>
            <w:hideMark/>
          </w:tcPr>
          <w:p w14:paraId="6DD60F3F"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0.08</w:t>
            </w:r>
          </w:p>
        </w:tc>
        <w:tc>
          <w:tcPr>
            <w:tcW w:w="0" w:type="auto"/>
            <w:vAlign w:val="center"/>
            <w:hideMark/>
          </w:tcPr>
          <w:p w14:paraId="4813C884"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0.10</w:t>
            </w:r>
          </w:p>
        </w:tc>
        <w:tc>
          <w:tcPr>
            <w:tcW w:w="0" w:type="auto"/>
            <w:vAlign w:val="center"/>
            <w:hideMark/>
          </w:tcPr>
          <w:p w14:paraId="3A0047B2"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-0.12</w:t>
            </w:r>
          </w:p>
        </w:tc>
        <w:tc>
          <w:tcPr>
            <w:tcW w:w="0" w:type="auto"/>
            <w:vAlign w:val="center"/>
            <w:hideMark/>
          </w:tcPr>
          <w:p w14:paraId="37CB460A"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0.06</w:t>
            </w:r>
          </w:p>
        </w:tc>
        <w:tc>
          <w:tcPr>
            <w:tcW w:w="0" w:type="auto"/>
            <w:vAlign w:val="center"/>
            <w:hideMark/>
          </w:tcPr>
          <w:p w14:paraId="0C4AC753"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-0.22</w:t>
            </w:r>
          </w:p>
        </w:tc>
        <w:tc>
          <w:tcPr>
            <w:tcW w:w="0" w:type="auto"/>
            <w:vAlign w:val="center"/>
            <w:hideMark/>
          </w:tcPr>
          <w:p w14:paraId="2BCD7EE4"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1</w:t>
            </w:r>
          </w:p>
        </w:tc>
      </w:tr>
    </w:tbl>
    <w:p w14:paraId="0D9C0890" w14:textId="77777777" w:rsidR="00327791" w:rsidRPr="0003440F" w:rsidRDefault="00327791" w:rsidP="00CC55BD">
      <w:pPr>
        <w:pStyle w:val="NormalWeb"/>
        <w:spacing w:before="0" w:beforeAutospacing="0"/>
        <w:jc w:val="both"/>
      </w:pPr>
      <w:r w:rsidRPr="0003440F">
        <w:rPr>
          <w:b/>
          <w:bCs/>
        </w:rPr>
        <w:t>Source:</w:t>
      </w:r>
      <w:r w:rsidRPr="0003440F">
        <w:t xml:space="preserve"> Data Analysis, 2026</w:t>
      </w:r>
    </w:p>
    <w:p w14:paraId="360128BF" w14:textId="77E1C2D0" w:rsidR="00A9615F" w:rsidRPr="0003440F" w:rsidRDefault="00A9615F" w:rsidP="00A9615F">
      <w:pPr>
        <w:jc w:val="both"/>
        <w:rPr>
          <w:rFonts w:ascii="Times New Roman" w:hAnsi="Times New Roman" w:cs="Times New Roman"/>
          <w:sz w:val="24"/>
          <w:szCs w:val="24"/>
        </w:rPr>
      </w:pPr>
      <w:r w:rsidRPr="0003440F">
        <w:rPr>
          <w:rFonts w:ascii="Times New Roman" w:hAnsi="Times New Roman" w:cs="Times New Roman"/>
          <w:sz w:val="24"/>
          <w:szCs w:val="24"/>
        </w:rPr>
        <w:lastRenderedPageBreak/>
        <w:t xml:space="preserve">Table </w:t>
      </w:r>
      <w:r w:rsidR="00BC41AC" w:rsidRPr="0003440F">
        <w:rPr>
          <w:rFonts w:ascii="Times New Roman" w:hAnsi="Times New Roman" w:cs="Times New Roman"/>
          <w:sz w:val="24"/>
          <w:szCs w:val="24"/>
        </w:rPr>
        <w:t>3</w:t>
      </w:r>
      <w:r w:rsidRPr="0003440F">
        <w:rPr>
          <w:rFonts w:ascii="Times New Roman" w:hAnsi="Times New Roman" w:cs="Times New Roman"/>
          <w:sz w:val="24"/>
          <w:szCs w:val="24"/>
        </w:rPr>
        <w:t xml:space="preserve"> presents the correlation matrix showing the degree and direction of association among gross domestic product (GDP), climate variables, and selected macroeconomic indicators. The results indicate that GDP exhibits a moderate negative relationship with temperature anomaly (r = –0.46), floods (r = –0.38), and droughts (r = –0.41). These negative correlations suggest that increases in extreme climatic conditions tend to be associated with a decline in economic performance, likely due to disruptions in agricultural production, infrastructure damage, and broader economic instability arising from climate-related shocks. In contrast, rainfall anomaly shows a positive correlation with GDP (r = 0.31), implying that variations in rainfall, when not excessive or destructive, may support economic activities, particularly in sectors such as agriculture that depend heavily on rainfall patterns.</w:t>
      </w:r>
    </w:p>
    <w:p w14:paraId="6584F636" w14:textId="77777777" w:rsidR="00616FBA" w:rsidRPr="0003440F" w:rsidRDefault="00A9615F" w:rsidP="00A9615F">
      <w:pPr>
        <w:jc w:val="both"/>
        <w:rPr>
          <w:rFonts w:ascii="Times New Roman" w:hAnsi="Times New Roman" w:cs="Times New Roman"/>
          <w:sz w:val="24"/>
          <w:szCs w:val="24"/>
        </w:rPr>
      </w:pPr>
      <w:r w:rsidRPr="0003440F">
        <w:rPr>
          <w:rFonts w:ascii="Times New Roman" w:hAnsi="Times New Roman" w:cs="Times New Roman"/>
          <w:sz w:val="24"/>
          <w:szCs w:val="24"/>
        </w:rPr>
        <w:t>With respect to the socioeconomic variables, the results reveal that population growth (r = 0.28) and government expenditure (r = 0.51) are positively associated with GDP, indicating that increases in population size and public spending may contribute to economic expansion through higher labor supply, increased consumption, and government-led investment in infrastructure and development programs. The correlation matrix further shows relatively weak relationships among several explanatory variables, such as the negative association between temperature anomaly and rainfall anomaly (r = –0.27), and the weak positive relationship between temperature anomaly and drought occurrence (r = 0.31). Importantly, none of the correlation coefficients among the independent variables are excessively high, suggesting the absence of serious multicollinearity problems and supporting the suitability of the variables for further econometric analysis.</w:t>
      </w:r>
    </w:p>
    <w:p w14:paraId="38E652C1" w14:textId="77777777" w:rsidR="00132C4D" w:rsidRPr="0003440F" w:rsidRDefault="00F936F1" w:rsidP="00A3684D">
      <w:pPr>
        <w:pStyle w:val="NormalWeb"/>
        <w:spacing w:before="0" w:beforeAutospacing="0" w:after="0" w:afterAutospacing="0"/>
        <w:jc w:val="both"/>
        <w:rPr>
          <w:b/>
        </w:rPr>
      </w:pPr>
      <w:r w:rsidRPr="0003440F">
        <w:rPr>
          <w:b/>
        </w:rPr>
        <w:t xml:space="preserve">4.3 </w:t>
      </w:r>
      <w:r w:rsidR="00132C4D" w:rsidRPr="0003440F">
        <w:rPr>
          <w:b/>
        </w:rPr>
        <w:t>Panel Unit Root Tests</w:t>
      </w:r>
    </w:p>
    <w:p w14:paraId="7701877B" w14:textId="1121D867" w:rsidR="00132C4D" w:rsidRPr="0003440F" w:rsidRDefault="00F936F1" w:rsidP="00A3684D">
      <w:pPr>
        <w:pStyle w:val="Heading2"/>
        <w:spacing w:before="0" w:line="240" w:lineRule="auto"/>
        <w:rPr>
          <w:color w:val="auto"/>
          <w:sz w:val="24"/>
          <w:szCs w:val="24"/>
        </w:rPr>
      </w:pPr>
      <w:r w:rsidRPr="0003440F">
        <w:rPr>
          <w:color w:val="auto"/>
          <w:sz w:val="24"/>
          <w:szCs w:val="24"/>
        </w:rPr>
        <w:t>Table 4</w:t>
      </w:r>
      <w:r w:rsidR="00132C4D" w:rsidRPr="0003440F">
        <w:rPr>
          <w:color w:val="auto"/>
          <w:sz w:val="24"/>
          <w:szCs w:val="24"/>
        </w:rPr>
        <w:t xml:space="preserve">: Panel Unit Root Test Results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1"/>
        <w:gridCol w:w="1162"/>
        <w:gridCol w:w="647"/>
        <w:gridCol w:w="1194"/>
        <w:gridCol w:w="647"/>
        <w:gridCol w:w="1997"/>
        <w:gridCol w:w="647"/>
        <w:gridCol w:w="735"/>
      </w:tblGrid>
      <w:tr w:rsidR="00132C4D" w:rsidRPr="0003440F" w14:paraId="1D67F824" w14:textId="77777777" w:rsidTr="00132C4D">
        <w:trPr>
          <w:tblHeader/>
          <w:tblCellSpacing w:w="15" w:type="dxa"/>
        </w:trPr>
        <w:tc>
          <w:tcPr>
            <w:tcW w:w="0" w:type="auto"/>
            <w:vAlign w:val="center"/>
            <w:hideMark/>
          </w:tcPr>
          <w:p w14:paraId="10B783EE" w14:textId="77777777" w:rsidR="00132C4D" w:rsidRPr="0003440F" w:rsidRDefault="00132C4D" w:rsidP="008764E0">
            <w:pPr>
              <w:spacing w:line="240" w:lineRule="auto"/>
              <w:jc w:val="center"/>
              <w:rPr>
                <w:rFonts w:ascii="Times New Roman" w:hAnsi="Times New Roman" w:cs="Times New Roman"/>
                <w:b/>
                <w:bCs/>
                <w:sz w:val="24"/>
                <w:szCs w:val="24"/>
              </w:rPr>
            </w:pPr>
            <w:r w:rsidRPr="0003440F">
              <w:rPr>
                <w:rFonts w:ascii="Times New Roman" w:hAnsi="Times New Roman" w:cs="Times New Roman"/>
                <w:b/>
                <w:bCs/>
                <w:sz w:val="24"/>
                <w:szCs w:val="24"/>
              </w:rPr>
              <w:t>Variable</w:t>
            </w:r>
          </w:p>
        </w:tc>
        <w:tc>
          <w:tcPr>
            <w:tcW w:w="0" w:type="auto"/>
            <w:vAlign w:val="center"/>
            <w:hideMark/>
          </w:tcPr>
          <w:p w14:paraId="6B4CF9E1" w14:textId="77777777" w:rsidR="00132C4D" w:rsidRPr="0003440F" w:rsidRDefault="00132C4D" w:rsidP="008764E0">
            <w:pPr>
              <w:spacing w:line="240" w:lineRule="auto"/>
              <w:jc w:val="center"/>
              <w:rPr>
                <w:rFonts w:ascii="Times New Roman" w:hAnsi="Times New Roman" w:cs="Times New Roman"/>
                <w:b/>
                <w:bCs/>
                <w:sz w:val="24"/>
                <w:szCs w:val="24"/>
              </w:rPr>
            </w:pPr>
            <w:r w:rsidRPr="0003440F">
              <w:rPr>
                <w:rFonts w:ascii="Times New Roman" w:hAnsi="Times New Roman" w:cs="Times New Roman"/>
                <w:b/>
                <w:bCs/>
                <w:sz w:val="24"/>
                <w:szCs w:val="24"/>
              </w:rPr>
              <w:t>LLC t-Stat</w:t>
            </w:r>
          </w:p>
        </w:tc>
        <w:tc>
          <w:tcPr>
            <w:tcW w:w="0" w:type="auto"/>
            <w:vAlign w:val="center"/>
            <w:hideMark/>
          </w:tcPr>
          <w:p w14:paraId="031B2454" w14:textId="77777777" w:rsidR="00132C4D" w:rsidRPr="0003440F" w:rsidRDefault="00132C4D" w:rsidP="008764E0">
            <w:pPr>
              <w:spacing w:line="240" w:lineRule="auto"/>
              <w:jc w:val="center"/>
              <w:rPr>
                <w:rFonts w:ascii="Times New Roman" w:hAnsi="Times New Roman" w:cs="Times New Roman"/>
                <w:b/>
                <w:bCs/>
                <w:sz w:val="24"/>
                <w:szCs w:val="24"/>
              </w:rPr>
            </w:pPr>
            <w:r w:rsidRPr="0003440F">
              <w:rPr>
                <w:rFonts w:ascii="Times New Roman" w:hAnsi="Times New Roman" w:cs="Times New Roman"/>
                <w:b/>
                <w:bCs/>
                <w:sz w:val="24"/>
                <w:szCs w:val="24"/>
              </w:rPr>
              <w:t>Prob.</w:t>
            </w:r>
          </w:p>
        </w:tc>
        <w:tc>
          <w:tcPr>
            <w:tcW w:w="0" w:type="auto"/>
            <w:vAlign w:val="center"/>
            <w:hideMark/>
          </w:tcPr>
          <w:p w14:paraId="434D5A18" w14:textId="77777777" w:rsidR="00132C4D" w:rsidRPr="0003440F" w:rsidRDefault="00132C4D" w:rsidP="008764E0">
            <w:pPr>
              <w:spacing w:line="240" w:lineRule="auto"/>
              <w:jc w:val="center"/>
              <w:rPr>
                <w:rFonts w:ascii="Times New Roman" w:hAnsi="Times New Roman" w:cs="Times New Roman"/>
                <w:b/>
                <w:bCs/>
                <w:sz w:val="24"/>
                <w:szCs w:val="24"/>
              </w:rPr>
            </w:pPr>
            <w:r w:rsidRPr="0003440F">
              <w:rPr>
                <w:rFonts w:ascii="Times New Roman" w:hAnsi="Times New Roman" w:cs="Times New Roman"/>
                <w:b/>
                <w:bCs/>
                <w:sz w:val="24"/>
                <w:szCs w:val="24"/>
              </w:rPr>
              <w:t>IPS W-Stat</w:t>
            </w:r>
          </w:p>
        </w:tc>
        <w:tc>
          <w:tcPr>
            <w:tcW w:w="0" w:type="auto"/>
            <w:vAlign w:val="center"/>
            <w:hideMark/>
          </w:tcPr>
          <w:p w14:paraId="098631AD" w14:textId="77777777" w:rsidR="00132C4D" w:rsidRPr="0003440F" w:rsidRDefault="00132C4D" w:rsidP="008764E0">
            <w:pPr>
              <w:spacing w:line="240" w:lineRule="auto"/>
              <w:jc w:val="center"/>
              <w:rPr>
                <w:rFonts w:ascii="Times New Roman" w:hAnsi="Times New Roman" w:cs="Times New Roman"/>
                <w:b/>
                <w:bCs/>
                <w:sz w:val="24"/>
                <w:szCs w:val="24"/>
              </w:rPr>
            </w:pPr>
            <w:r w:rsidRPr="0003440F">
              <w:rPr>
                <w:rFonts w:ascii="Times New Roman" w:hAnsi="Times New Roman" w:cs="Times New Roman"/>
                <w:b/>
                <w:bCs/>
                <w:sz w:val="24"/>
                <w:szCs w:val="24"/>
              </w:rPr>
              <w:t>Prob.</w:t>
            </w:r>
          </w:p>
        </w:tc>
        <w:tc>
          <w:tcPr>
            <w:tcW w:w="0" w:type="auto"/>
            <w:vAlign w:val="center"/>
            <w:hideMark/>
          </w:tcPr>
          <w:p w14:paraId="7C2C73FD" w14:textId="77777777" w:rsidR="00132C4D" w:rsidRPr="0003440F" w:rsidRDefault="00132C4D" w:rsidP="008764E0">
            <w:pPr>
              <w:spacing w:line="240" w:lineRule="auto"/>
              <w:jc w:val="center"/>
              <w:rPr>
                <w:rFonts w:ascii="Times New Roman" w:hAnsi="Times New Roman" w:cs="Times New Roman"/>
                <w:b/>
                <w:bCs/>
                <w:sz w:val="24"/>
                <w:szCs w:val="24"/>
              </w:rPr>
            </w:pPr>
            <w:r w:rsidRPr="0003440F">
              <w:rPr>
                <w:rFonts w:ascii="Times New Roman" w:hAnsi="Times New Roman" w:cs="Times New Roman"/>
                <w:b/>
                <w:bCs/>
                <w:sz w:val="24"/>
                <w:szCs w:val="24"/>
              </w:rPr>
              <w:t>Fisher-ADF Chi-Sq</w:t>
            </w:r>
          </w:p>
        </w:tc>
        <w:tc>
          <w:tcPr>
            <w:tcW w:w="0" w:type="auto"/>
            <w:vAlign w:val="center"/>
            <w:hideMark/>
          </w:tcPr>
          <w:p w14:paraId="506AAF50" w14:textId="77777777" w:rsidR="00132C4D" w:rsidRPr="0003440F" w:rsidRDefault="00132C4D" w:rsidP="008764E0">
            <w:pPr>
              <w:spacing w:line="240" w:lineRule="auto"/>
              <w:jc w:val="center"/>
              <w:rPr>
                <w:rFonts w:ascii="Times New Roman" w:hAnsi="Times New Roman" w:cs="Times New Roman"/>
                <w:b/>
                <w:bCs/>
                <w:sz w:val="24"/>
                <w:szCs w:val="24"/>
              </w:rPr>
            </w:pPr>
            <w:r w:rsidRPr="0003440F">
              <w:rPr>
                <w:rFonts w:ascii="Times New Roman" w:hAnsi="Times New Roman" w:cs="Times New Roman"/>
                <w:b/>
                <w:bCs/>
                <w:sz w:val="24"/>
                <w:szCs w:val="24"/>
              </w:rPr>
              <w:t>Prob.</w:t>
            </w:r>
          </w:p>
        </w:tc>
        <w:tc>
          <w:tcPr>
            <w:tcW w:w="0" w:type="auto"/>
            <w:vAlign w:val="center"/>
            <w:hideMark/>
          </w:tcPr>
          <w:p w14:paraId="27D47A63" w14:textId="77777777" w:rsidR="00132C4D" w:rsidRPr="0003440F" w:rsidRDefault="00132C4D" w:rsidP="008764E0">
            <w:pPr>
              <w:spacing w:line="240" w:lineRule="auto"/>
              <w:jc w:val="center"/>
              <w:rPr>
                <w:rFonts w:ascii="Times New Roman" w:hAnsi="Times New Roman" w:cs="Times New Roman"/>
                <w:b/>
                <w:bCs/>
                <w:sz w:val="24"/>
                <w:szCs w:val="24"/>
              </w:rPr>
            </w:pPr>
            <w:r w:rsidRPr="0003440F">
              <w:rPr>
                <w:rFonts w:ascii="Times New Roman" w:hAnsi="Times New Roman" w:cs="Times New Roman"/>
                <w:b/>
                <w:bCs/>
                <w:sz w:val="24"/>
                <w:szCs w:val="24"/>
              </w:rPr>
              <w:t>Order</w:t>
            </w:r>
          </w:p>
        </w:tc>
      </w:tr>
      <w:tr w:rsidR="00132C4D" w:rsidRPr="0003440F" w14:paraId="7873C336" w14:textId="77777777" w:rsidTr="00132C4D">
        <w:trPr>
          <w:tblCellSpacing w:w="15" w:type="dxa"/>
        </w:trPr>
        <w:tc>
          <w:tcPr>
            <w:tcW w:w="0" w:type="auto"/>
            <w:vAlign w:val="center"/>
            <w:hideMark/>
          </w:tcPr>
          <w:p w14:paraId="38A73E31"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GDP</w:t>
            </w:r>
          </w:p>
        </w:tc>
        <w:tc>
          <w:tcPr>
            <w:tcW w:w="0" w:type="auto"/>
            <w:vAlign w:val="center"/>
            <w:hideMark/>
          </w:tcPr>
          <w:p w14:paraId="0309B1B9"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-1.32</w:t>
            </w:r>
          </w:p>
        </w:tc>
        <w:tc>
          <w:tcPr>
            <w:tcW w:w="0" w:type="auto"/>
            <w:vAlign w:val="center"/>
            <w:hideMark/>
          </w:tcPr>
          <w:p w14:paraId="25F3CA78"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0.093</w:t>
            </w:r>
          </w:p>
        </w:tc>
        <w:tc>
          <w:tcPr>
            <w:tcW w:w="0" w:type="auto"/>
            <w:vAlign w:val="center"/>
            <w:hideMark/>
          </w:tcPr>
          <w:p w14:paraId="14AB2348"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-1.10</w:t>
            </w:r>
          </w:p>
        </w:tc>
        <w:tc>
          <w:tcPr>
            <w:tcW w:w="0" w:type="auto"/>
            <w:vAlign w:val="center"/>
            <w:hideMark/>
          </w:tcPr>
          <w:p w14:paraId="047548CB"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0.135</w:t>
            </w:r>
          </w:p>
        </w:tc>
        <w:tc>
          <w:tcPr>
            <w:tcW w:w="0" w:type="auto"/>
            <w:vAlign w:val="center"/>
            <w:hideMark/>
          </w:tcPr>
          <w:p w14:paraId="227639BD"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9.84</w:t>
            </w:r>
          </w:p>
        </w:tc>
        <w:tc>
          <w:tcPr>
            <w:tcW w:w="0" w:type="auto"/>
            <w:vAlign w:val="center"/>
            <w:hideMark/>
          </w:tcPr>
          <w:p w14:paraId="2C91BEA9"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0.198</w:t>
            </w:r>
          </w:p>
        </w:tc>
        <w:tc>
          <w:tcPr>
            <w:tcW w:w="0" w:type="auto"/>
            <w:vAlign w:val="center"/>
            <w:hideMark/>
          </w:tcPr>
          <w:p w14:paraId="6E4C194E"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I(1)</w:t>
            </w:r>
          </w:p>
        </w:tc>
      </w:tr>
      <w:tr w:rsidR="00132C4D" w:rsidRPr="0003440F" w14:paraId="7C160D22" w14:textId="77777777" w:rsidTr="00132C4D">
        <w:trPr>
          <w:tblCellSpacing w:w="15" w:type="dxa"/>
        </w:trPr>
        <w:tc>
          <w:tcPr>
            <w:tcW w:w="0" w:type="auto"/>
            <w:vAlign w:val="center"/>
            <w:hideMark/>
          </w:tcPr>
          <w:p w14:paraId="0C14F4D1"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Temp Anomaly</w:t>
            </w:r>
          </w:p>
        </w:tc>
        <w:tc>
          <w:tcPr>
            <w:tcW w:w="0" w:type="auto"/>
            <w:vAlign w:val="center"/>
            <w:hideMark/>
          </w:tcPr>
          <w:p w14:paraId="1B00B5B1"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-3.45</w:t>
            </w:r>
          </w:p>
        </w:tc>
        <w:tc>
          <w:tcPr>
            <w:tcW w:w="0" w:type="auto"/>
            <w:vAlign w:val="center"/>
            <w:hideMark/>
          </w:tcPr>
          <w:p w14:paraId="054710E2"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0.000</w:t>
            </w:r>
          </w:p>
        </w:tc>
        <w:tc>
          <w:tcPr>
            <w:tcW w:w="0" w:type="auto"/>
            <w:vAlign w:val="center"/>
            <w:hideMark/>
          </w:tcPr>
          <w:p w14:paraId="125F6FD1"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-3.12</w:t>
            </w:r>
          </w:p>
        </w:tc>
        <w:tc>
          <w:tcPr>
            <w:tcW w:w="0" w:type="auto"/>
            <w:vAlign w:val="center"/>
            <w:hideMark/>
          </w:tcPr>
          <w:p w14:paraId="725163DD"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0.001</w:t>
            </w:r>
          </w:p>
        </w:tc>
        <w:tc>
          <w:tcPr>
            <w:tcW w:w="0" w:type="auto"/>
            <w:vAlign w:val="center"/>
            <w:hideMark/>
          </w:tcPr>
          <w:p w14:paraId="3771054E"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21.56</w:t>
            </w:r>
          </w:p>
        </w:tc>
        <w:tc>
          <w:tcPr>
            <w:tcW w:w="0" w:type="auto"/>
            <w:vAlign w:val="center"/>
            <w:hideMark/>
          </w:tcPr>
          <w:p w14:paraId="05E54A18"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0.006</w:t>
            </w:r>
          </w:p>
        </w:tc>
        <w:tc>
          <w:tcPr>
            <w:tcW w:w="0" w:type="auto"/>
            <w:vAlign w:val="center"/>
            <w:hideMark/>
          </w:tcPr>
          <w:p w14:paraId="48583C81"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I(0)</w:t>
            </w:r>
          </w:p>
        </w:tc>
      </w:tr>
      <w:tr w:rsidR="00132C4D" w:rsidRPr="0003440F" w14:paraId="22BBDBAD" w14:textId="77777777" w:rsidTr="00132C4D">
        <w:trPr>
          <w:tblCellSpacing w:w="15" w:type="dxa"/>
        </w:trPr>
        <w:tc>
          <w:tcPr>
            <w:tcW w:w="0" w:type="auto"/>
            <w:vAlign w:val="center"/>
            <w:hideMark/>
          </w:tcPr>
          <w:p w14:paraId="7502BD3F"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Rainfall Anomaly</w:t>
            </w:r>
          </w:p>
        </w:tc>
        <w:tc>
          <w:tcPr>
            <w:tcW w:w="0" w:type="auto"/>
            <w:vAlign w:val="center"/>
            <w:hideMark/>
          </w:tcPr>
          <w:p w14:paraId="0523094F"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-2.10</w:t>
            </w:r>
          </w:p>
        </w:tc>
        <w:tc>
          <w:tcPr>
            <w:tcW w:w="0" w:type="auto"/>
            <w:vAlign w:val="center"/>
            <w:hideMark/>
          </w:tcPr>
          <w:p w14:paraId="2C28D313"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0.018</w:t>
            </w:r>
          </w:p>
        </w:tc>
        <w:tc>
          <w:tcPr>
            <w:tcW w:w="0" w:type="auto"/>
            <w:vAlign w:val="center"/>
            <w:hideMark/>
          </w:tcPr>
          <w:p w14:paraId="35363C4C"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-1.98</w:t>
            </w:r>
          </w:p>
        </w:tc>
        <w:tc>
          <w:tcPr>
            <w:tcW w:w="0" w:type="auto"/>
            <w:vAlign w:val="center"/>
            <w:hideMark/>
          </w:tcPr>
          <w:p w14:paraId="7CB3F284"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0.024</w:t>
            </w:r>
          </w:p>
        </w:tc>
        <w:tc>
          <w:tcPr>
            <w:tcW w:w="0" w:type="auto"/>
            <w:vAlign w:val="center"/>
            <w:hideMark/>
          </w:tcPr>
          <w:p w14:paraId="1E6BBA06"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18.34</w:t>
            </w:r>
          </w:p>
        </w:tc>
        <w:tc>
          <w:tcPr>
            <w:tcW w:w="0" w:type="auto"/>
            <w:vAlign w:val="center"/>
            <w:hideMark/>
          </w:tcPr>
          <w:p w14:paraId="25CC4CA0"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0.019</w:t>
            </w:r>
          </w:p>
        </w:tc>
        <w:tc>
          <w:tcPr>
            <w:tcW w:w="0" w:type="auto"/>
            <w:vAlign w:val="center"/>
            <w:hideMark/>
          </w:tcPr>
          <w:p w14:paraId="29A464CD"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I(0)</w:t>
            </w:r>
          </w:p>
        </w:tc>
      </w:tr>
      <w:tr w:rsidR="00132C4D" w:rsidRPr="0003440F" w14:paraId="4221DE3B" w14:textId="77777777" w:rsidTr="00132C4D">
        <w:trPr>
          <w:tblCellSpacing w:w="15" w:type="dxa"/>
        </w:trPr>
        <w:tc>
          <w:tcPr>
            <w:tcW w:w="0" w:type="auto"/>
            <w:vAlign w:val="center"/>
            <w:hideMark/>
          </w:tcPr>
          <w:p w14:paraId="1BE72F1A"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Floods</w:t>
            </w:r>
          </w:p>
        </w:tc>
        <w:tc>
          <w:tcPr>
            <w:tcW w:w="0" w:type="auto"/>
            <w:vAlign w:val="center"/>
            <w:hideMark/>
          </w:tcPr>
          <w:p w14:paraId="0F06B537"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-1.75</w:t>
            </w:r>
          </w:p>
        </w:tc>
        <w:tc>
          <w:tcPr>
            <w:tcW w:w="0" w:type="auto"/>
            <w:vAlign w:val="center"/>
            <w:hideMark/>
          </w:tcPr>
          <w:p w14:paraId="0F62BE60"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0.040</w:t>
            </w:r>
          </w:p>
        </w:tc>
        <w:tc>
          <w:tcPr>
            <w:tcW w:w="0" w:type="auto"/>
            <w:vAlign w:val="center"/>
            <w:hideMark/>
          </w:tcPr>
          <w:p w14:paraId="5A2E0F9D"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-1.60</w:t>
            </w:r>
          </w:p>
        </w:tc>
        <w:tc>
          <w:tcPr>
            <w:tcW w:w="0" w:type="auto"/>
            <w:vAlign w:val="center"/>
            <w:hideMark/>
          </w:tcPr>
          <w:p w14:paraId="3419D05B"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0.054</w:t>
            </w:r>
          </w:p>
        </w:tc>
        <w:tc>
          <w:tcPr>
            <w:tcW w:w="0" w:type="auto"/>
            <w:vAlign w:val="center"/>
            <w:hideMark/>
          </w:tcPr>
          <w:p w14:paraId="5D5AF020"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14.77</w:t>
            </w:r>
          </w:p>
        </w:tc>
        <w:tc>
          <w:tcPr>
            <w:tcW w:w="0" w:type="auto"/>
            <w:vAlign w:val="center"/>
            <w:hideMark/>
          </w:tcPr>
          <w:p w14:paraId="04BAD6E4"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0.064</w:t>
            </w:r>
          </w:p>
        </w:tc>
        <w:tc>
          <w:tcPr>
            <w:tcW w:w="0" w:type="auto"/>
            <w:vAlign w:val="center"/>
            <w:hideMark/>
          </w:tcPr>
          <w:p w14:paraId="0ED2A573"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I(0)</w:t>
            </w:r>
          </w:p>
        </w:tc>
      </w:tr>
      <w:tr w:rsidR="00132C4D" w:rsidRPr="0003440F" w14:paraId="1A2EBB74" w14:textId="77777777" w:rsidTr="00132C4D">
        <w:trPr>
          <w:tblCellSpacing w:w="15" w:type="dxa"/>
        </w:trPr>
        <w:tc>
          <w:tcPr>
            <w:tcW w:w="0" w:type="auto"/>
            <w:vAlign w:val="center"/>
            <w:hideMark/>
          </w:tcPr>
          <w:p w14:paraId="285752C7"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Droughts</w:t>
            </w:r>
          </w:p>
        </w:tc>
        <w:tc>
          <w:tcPr>
            <w:tcW w:w="0" w:type="auto"/>
            <w:vAlign w:val="center"/>
            <w:hideMark/>
          </w:tcPr>
          <w:p w14:paraId="390F71DD"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-1.68</w:t>
            </w:r>
          </w:p>
        </w:tc>
        <w:tc>
          <w:tcPr>
            <w:tcW w:w="0" w:type="auto"/>
            <w:vAlign w:val="center"/>
            <w:hideMark/>
          </w:tcPr>
          <w:p w14:paraId="208FEF66"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0.046</w:t>
            </w:r>
          </w:p>
        </w:tc>
        <w:tc>
          <w:tcPr>
            <w:tcW w:w="0" w:type="auto"/>
            <w:vAlign w:val="center"/>
            <w:hideMark/>
          </w:tcPr>
          <w:p w14:paraId="4CDFD3CD"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-1.52</w:t>
            </w:r>
          </w:p>
        </w:tc>
        <w:tc>
          <w:tcPr>
            <w:tcW w:w="0" w:type="auto"/>
            <w:vAlign w:val="center"/>
            <w:hideMark/>
          </w:tcPr>
          <w:p w14:paraId="41CD3EB5"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0.064</w:t>
            </w:r>
          </w:p>
        </w:tc>
        <w:tc>
          <w:tcPr>
            <w:tcW w:w="0" w:type="auto"/>
            <w:vAlign w:val="center"/>
            <w:hideMark/>
          </w:tcPr>
          <w:p w14:paraId="79EB7A6B"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13.98</w:t>
            </w:r>
          </w:p>
        </w:tc>
        <w:tc>
          <w:tcPr>
            <w:tcW w:w="0" w:type="auto"/>
            <w:vAlign w:val="center"/>
            <w:hideMark/>
          </w:tcPr>
          <w:p w14:paraId="59C464D0"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0.082</w:t>
            </w:r>
          </w:p>
        </w:tc>
        <w:tc>
          <w:tcPr>
            <w:tcW w:w="0" w:type="auto"/>
            <w:vAlign w:val="center"/>
            <w:hideMark/>
          </w:tcPr>
          <w:p w14:paraId="5E5C68D6"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I(0)</w:t>
            </w:r>
          </w:p>
        </w:tc>
      </w:tr>
      <w:tr w:rsidR="00132C4D" w:rsidRPr="0003440F" w14:paraId="31870725" w14:textId="77777777" w:rsidTr="00132C4D">
        <w:trPr>
          <w:tblCellSpacing w:w="15" w:type="dxa"/>
        </w:trPr>
        <w:tc>
          <w:tcPr>
            <w:tcW w:w="0" w:type="auto"/>
            <w:vAlign w:val="center"/>
            <w:hideMark/>
          </w:tcPr>
          <w:p w14:paraId="0DD9FF3A"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Population Growth</w:t>
            </w:r>
          </w:p>
        </w:tc>
        <w:tc>
          <w:tcPr>
            <w:tcW w:w="0" w:type="auto"/>
            <w:vAlign w:val="center"/>
            <w:hideMark/>
          </w:tcPr>
          <w:p w14:paraId="7F20FC61"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-2.90</w:t>
            </w:r>
          </w:p>
        </w:tc>
        <w:tc>
          <w:tcPr>
            <w:tcW w:w="0" w:type="auto"/>
            <w:vAlign w:val="center"/>
            <w:hideMark/>
          </w:tcPr>
          <w:p w14:paraId="2F7F0ACD"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0.002</w:t>
            </w:r>
          </w:p>
        </w:tc>
        <w:tc>
          <w:tcPr>
            <w:tcW w:w="0" w:type="auto"/>
            <w:vAlign w:val="center"/>
            <w:hideMark/>
          </w:tcPr>
          <w:p w14:paraId="37CE342A"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-2.65</w:t>
            </w:r>
          </w:p>
        </w:tc>
        <w:tc>
          <w:tcPr>
            <w:tcW w:w="0" w:type="auto"/>
            <w:vAlign w:val="center"/>
            <w:hideMark/>
          </w:tcPr>
          <w:p w14:paraId="7CB3F2FD"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0.004</w:t>
            </w:r>
          </w:p>
        </w:tc>
        <w:tc>
          <w:tcPr>
            <w:tcW w:w="0" w:type="auto"/>
            <w:vAlign w:val="center"/>
            <w:hideMark/>
          </w:tcPr>
          <w:p w14:paraId="1E7DDBE8"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20.88</w:t>
            </w:r>
          </w:p>
        </w:tc>
        <w:tc>
          <w:tcPr>
            <w:tcW w:w="0" w:type="auto"/>
            <w:vAlign w:val="center"/>
            <w:hideMark/>
          </w:tcPr>
          <w:p w14:paraId="5D6A20D5"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0.008</w:t>
            </w:r>
          </w:p>
        </w:tc>
        <w:tc>
          <w:tcPr>
            <w:tcW w:w="0" w:type="auto"/>
            <w:vAlign w:val="center"/>
            <w:hideMark/>
          </w:tcPr>
          <w:p w14:paraId="4B7A6525"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I(0)</w:t>
            </w:r>
          </w:p>
        </w:tc>
      </w:tr>
      <w:tr w:rsidR="00132C4D" w:rsidRPr="0003440F" w14:paraId="1167DADB" w14:textId="77777777" w:rsidTr="00132C4D">
        <w:trPr>
          <w:tblCellSpacing w:w="15" w:type="dxa"/>
        </w:trPr>
        <w:tc>
          <w:tcPr>
            <w:tcW w:w="0" w:type="auto"/>
            <w:vAlign w:val="center"/>
            <w:hideMark/>
          </w:tcPr>
          <w:p w14:paraId="2429F3F4"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Government Expenditure</w:t>
            </w:r>
          </w:p>
        </w:tc>
        <w:tc>
          <w:tcPr>
            <w:tcW w:w="0" w:type="auto"/>
            <w:vAlign w:val="center"/>
            <w:hideMark/>
          </w:tcPr>
          <w:p w14:paraId="7880A57D"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-1.44</w:t>
            </w:r>
          </w:p>
        </w:tc>
        <w:tc>
          <w:tcPr>
            <w:tcW w:w="0" w:type="auto"/>
            <w:vAlign w:val="center"/>
            <w:hideMark/>
          </w:tcPr>
          <w:p w14:paraId="7A59A20B"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0.074</w:t>
            </w:r>
          </w:p>
        </w:tc>
        <w:tc>
          <w:tcPr>
            <w:tcW w:w="0" w:type="auto"/>
            <w:vAlign w:val="center"/>
            <w:hideMark/>
          </w:tcPr>
          <w:p w14:paraId="5BAA8717"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-1.28</w:t>
            </w:r>
          </w:p>
        </w:tc>
        <w:tc>
          <w:tcPr>
            <w:tcW w:w="0" w:type="auto"/>
            <w:vAlign w:val="center"/>
            <w:hideMark/>
          </w:tcPr>
          <w:p w14:paraId="380D6A60"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0.100</w:t>
            </w:r>
          </w:p>
        </w:tc>
        <w:tc>
          <w:tcPr>
            <w:tcW w:w="0" w:type="auto"/>
            <w:vAlign w:val="center"/>
            <w:hideMark/>
          </w:tcPr>
          <w:p w14:paraId="75B6C9BA"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11.32</w:t>
            </w:r>
          </w:p>
        </w:tc>
        <w:tc>
          <w:tcPr>
            <w:tcW w:w="0" w:type="auto"/>
            <w:vAlign w:val="center"/>
            <w:hideMark/>
          </w:tcPr>
          <w:p w14:paraId="0065D125"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0.125</w:t>
            </w:r>
          </w:p>
        </w:tc>
        <w:tc>
          <w:tcPr>
            <w:tcW w:w="0" w:type="auto"/>
            <w:vAlign w:val="center"/>
            <w:hideMark/>
          </w:tcPr>
          <w:p w14:paraId="5D15338F" w14:textId="77777777" w:rsidR="00132C4D" w:rsidRPr="0003440F" w:rsidRDefault="00132C4D" w:rsidP="008764E0">
            <w:pPr>
              <w:spacing w:line="240" w:lineRule="auto"/>
              <w:rPr>
                <w:rFonts w:ascii="Times New Roman" w:hAnsi="Times New Roman" w:cs="Times New Roman"/>
                <w:sz w:val="24"/>
                <w:szCs w:val="24"/>
              </w:rPr>
            </w:pPr>
            <w:r w:rsidRPr="0003440F">
              <w:rPr>
                <w:rFonts w:ascii="Times New Roman" w:hAnsi="Times New Roman" w:cs="Times New Roman"/>
                <w:sz w:val="24"/>
                <w:szCs w:val="24"/>
              </w:rPr>
              <w:t>I(1)</w:t>
            </w:r>
          </w:p>
        </w:tc>
      </w:tr>
    </w:tbl>
    <w:p w14:paraId="5843C69E" w14:textId="77777777" w:rsidR="002D616E" w:rsidRPr="0003440F" w:rsidRDefault="002D616E" w:rsidP="005609CE">
      <w:pPr>
        <w:pStyle w:val="NormalWeb"/>
        <w:spacing w:before="0" w:beforeAutospacing="0"/>
        <w:jc w:val="both"/>
      </w:pPr>
      <w:r w:rsidRPr="0003440F">
        <w:rPr>
          <w:b/>
          <w:bCs/>
        </w:rPr>
        <w:t>Source:</w:t>
      </w:r>
      <w:r w:rsidRPr="0003440F">
        <w:t xml:space="preserve"> Data Analysis, 2026</w:t>
      </w:r>
    </w:p>
    <w:p w14:paraId="3B278B0B" w14:textId="391F3922" w:rsidR="00132C4D" w:rsidRPr="0003440F" w:rsidRDefault="0039114F" w:rsidP="008764E0">
      <w:pPr>
        <w:pStyle w:val="NormalWeb"/>
        <w:jc w:val="both"/>
      </w:pPr>
      <w:r w:rsidRPr="0003440F">
        <w:lastRenderedPageBreak/>
        <w:t>Table. 4</w:t>
      </w:r>
      <w:r w:rsidR="002D616E" w:rsidRPr="0003440F">
        <w:t>, indicated</w:t>
      </w:r>
      <w:r w:rsidR="00132C4D" w:rsidRPr="0003440F">
        <w:t xml:space="preserve"> that</w:t>
      </w:r>
      <w:r w:rsidRPr="0003440F">
        <w:t xml:space="preserve"> </w:t>
      </w:r>
      <w:r w:rsidR="00132C4D" w:rsidRPr="0003440F">
        <w:rPr>
          <w:rStyle w:val="Strong"/>
          <w:b w:val="0"/>
        </w:rPr>
        <w:t>GDP and Government Expenditure are non-stationary at level but stationary at first difference</w:t>
      </w:r>
      <w:r w:rsidR="00132C4D" w:rsidRPr="0003440F">
        <w:t>, implying integration of order one, I(1).All climate variables (temperature, rainfall, floods, droughts), and population growth are stationary at level, I(0).</w:t>
      </w:r>
      <w:r w:rsidR="002D616E" w:rsidRPr="0003440F">
        <w:t xml:space="preserve"> </w:t>
      </w:r>
      <w:r w:rsidR="00132C4D" w:rsidRPr="0003440F">
        <w:t xml:space="preserve">Given the mixed order of integration (I(0) and I(1)), estimation using </w:t>
      </w:r>
      <w:r w:rsidR="00132C4D" w:rsidRPr="0003440F">
        <w:rPr>
          <w:rStyle w:val="Strong"/>
          <w:b w:val="0"/>
        </w:rPr>
        <w:t>panel fixed/random effects with robust standard errors</w:t>
      </w:r>
      <w:r w:rsidR="00132C4D" w:rsidRPr="0003440F">
        <w:t xml:space="preserve"> is appropriate, provided no I(2) variables exist.</w:t>
      </w:r>
    </w:p>
    <w:p w14:paraId="770DF132" w14:textId="77777777" w:rsidR="006D1E9E" w:rsidRPr="0003440F" w:rsidRDefault="002D616E" w:rsidP="00C65B35">
      <w:pPr>
        <w:pStyle w:val="Heading2"/>
        <w:spacing w:before="0" w:line="240" w:lineRule="auto"/>
        <w:rPr>
          <w:rStyle w:val="Strong"/>
          <w:rFonts w:ascii="Times New Roman" w:hAnsi="Times New Roman" w:cs="Times New Roman"/>
          <w:b/>
          <w:bCs/>
          <w:color w:val="auto"/>
          <w:sz w:val="24"/>
          <w:szCs w:val="24"/>
        </w:rPr>
      </w:pPr>
      <w:r w:rsidRPr="0003440F">
        <w:rPr>
          <w:rFonts w:ascii="Times New Roman" w:hAnsi="Times New Roman" w:cs="Times New Roman"/>
          <w:color w:val="auto"/>
          <w:sz w:val="24"/>
          <w:szCs w:val="24"/>
        </w:rPr>
        <w:t xml:space="preserve">4.4 </w:t>
      </w:r>
      <w:r w:rsidR="00132C4D" w:rsidRPr="0003440F">
        <w:rPr>
          <w:rFonts w:ascii="Times New Roman" w:hAnsi="Times New Roman" w:cs="Times New Roman"/>
          <w:color w:val="auto"/>
          <w:sz w:val="24"/>
          <w:szCs w:val="24"/>
        </w:rPr>
        <w:t xml:space="preserve">Hausman Test Output </w:t>
      </w:r>
    </w:p>
    <w:p w14:paraId="6CEB00F3" w14:textId="0B50C6F8" w:rsidR="00132C4D" w:rsidRPr="0003440F" w:rsidRDefault="002D616E" w:rsidP="00C65B35">
      <w:pPr>
        <w:pStyle w:val="NormalWeb"/>
        <w:spacing w:before="0" w:beforeAutospacing="0"/>
      </w:pPr>
      <w:r w:rsidRPr="0003440F">
        <w:rPr>
          <w:rStyle w:val="Strong"/>
        </w:rPr>
        <w:t xml:space="preserve">Table </w:t>
      </w:r>
      <w:r w:rsidR="00BC41AC" w:rsidRPr="0003440F">
        <w:rPr>
          <w:rStyle w:val="Strong"/>
        </w:rPr>
        <w:t>5-</w:t>
      </w:r>
      <w:r w:rsidR="00132C4D" w:rsidRPr="0003440F">
        <w:rPr>
          <w:rStyle w:val="Strong"/>
        </w:rPr>
        <w:t>Correlated Random Effects – Hausman Test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5"/>
        <w:gridCol w:w="1687"/>
        <w:gridCol w:w="1194"/>
        <w:gridCol w:w="755"/>
      </w:tblGrid>
      <w:tr w:rsidR="00132C4D" w:rsidRPr="0003440F" w14:paraId="1AF87F3D" w14:textId="77777777" w:rsidTr="00132C4D">
        <w:trPr>
          <w:tblHeader/>
          <w:tblCellSpacing w:w="15" w:type="dxa"/>
        </w:trPr>
        <w:tc>
          <w:tcPr>
            <w:tcW w:w="0" w:type="auto"/>
            <w:vAlign w:val="center"/>
            <w:hideMark/>
          </w:tcPr>
          <w:p w14:paraId="0E9058CD" w14:textId="77777777" w:rsidR="00132C4D" w:rsidRPr="0003440F" w:rsidRDefault="00132C4D" w:rsidP="00C65B35">
            <w:pPr>
              <w:spacing w:line="240" w:lineRule="auto"/>
              <w:jc w:val="center"/>
              <w:rPr>
                <w:rFonts w:ascii="Times New Roman" w:hAnsi="Times New Roman" w:cs="Times New Roman"/>
                <w:b/>
                <w:bCs/>
                <w:sz w:val="24"/>
                <w:szCs w:val="24"/>
              </w:rPr>
            </w:pPr>
            <w:r w:rsidRPr="0003440F">
              <w:rPr>
                <w:rFonts w:ascii="Times New Roman" w:hAnsi="Times New Roman" w:cs="Times New Roman"/>
                <w:b/>
                <w:bCs/>
                <w:sz w:val="24"/>
                <w:szCs w:val="24"/>
              </w:rPr>
              <w:t>Test Summary</w:t>
            </w:r>
          </w:p>
        </w:tc>
        <w:tc>
          <w:tcPr>
            <w:tcW w:w="0" w:type="auto"/>
            <w:vAlign w:val="center"/>
            <w:hideMark/>
          </w:tcPr>
          <w:p w14:paraId="52AB60F3" w14:textId="77777777" w:rsidR="00132C4D" w:rsidRPr="0003440F" w:rsidRDefault="00132C4D" w:rsidP="00C65B35">
            <w:pPr>
              <w:spacing w:line="240" w:lineRule="auto"/>
              <w:jc w:val="center"/>
              <w:rPr>
                <w:rFonts w:ascii="Times New Roman" w:hAnsi="Times New Roman" w:cs="Times New Roman"/>
                <w:b/>
                <w:bCs/>
                <w:sz w:val="24"/>
                <w:szCs w:val="24"/>
              </w:rPr>
            </w:pPr>
            <w:r w:rsidRPr="0003440F">
              <w:rPr>
                <w:rFonts w:ascii="Times New Roman" w:hAnsi="Times New Roman" w:cs="Times New Roman"/>
                <w:b/>
                <w:bCs/>
                <w:sz w:val="24"/>
                <w:szCs w:val="24"/>
              </w:rPr>
              <w:t>Chi-Sq Statistic</w:t>
            </w:r>
          </w:p>
        </w:tc>
        <w:tc>
          <w:tcPr>
            <w:tcW w:w="0" w:type="auto"/>
            <w:vAlign w:val="center"/>
            <w:hideMark/>
          </w:tcPr>
          <w:p w14:paraId="13B33820" w14:textId="77777777" w:rsidR="00132C4D" w:rsidRPr="0003440F" w:rsidRDefault="00132C4D" w:rsidP="00C65B35">
            <w:pPr>
              <w:spacing w:line="240" w:lineRule="auto"/>
              <w:jc w:val="center"/>
              <w:rPr>
                <w:rFonts w:ascii="Times New Roman" w:hAnsi="Times New Roman" w:cs="Times New Roman"/>
                <w:b/>
                <w:bCs/>
                <w:sz w:val="24"/>
                <w:szCs w:val="24"/>
              </w:rPr>
            </w:pPr>
            <w:r w:rsidRPr="0003440F">
              <w:rPr>
                <w:rFonts w:ascii="Times New Roman" w:hAnsi="Times New Roman" w:cs="Times New Roman"/>
                <w:b/>
                <w:bCs/>
                <w:sz w:val="24"/>
                <w:szCs w:val="24"/>
              </w:rPr>
              <w:t>Chi-Sq d.f.</w:t>
            </w:r>
          </w:p>
        </w:tc>
        <w:tc>
          <w:tcPr>
            <w:tcW w:w="0" w:type="auto"/>
            <w:vAlign w:val="center"/>
            <w:hideMark/>
          </w:tcPr>
          <w:p w14:paraId="5D7CE20A" w14:textId="77777777" w:rsidR="00132C4D" w:rsidRPr="0003440F" w:rsidRDefault="00132C4D" w:rsidP="00C65B35">
            <w:pPr>
              <w:spacing w:line="240" w:lineRule="auto"/>
              <w:jc w:val="center"/>
              <w:rPr>
                <w:rFonts w:ascii="Times New Roman" w:hAnsi="Times New Roman" w:cs="Times New Roman"/>
                <w:b/>
                <w:bCs/>
                <w:sz w:val="24"/>
                <w:szCs w:val="24"/>
              </w:rPr>
            </w:pPr>
            <w:r w:rsidRPr="0003440F">
              <w:rPr>
                <w:rFonts w:ascii="Times New Roman" w:hAnsi="Times New Roman" w:cs="Times New Roman"/>
                <w:b/>
                <w:bCs/>
                <w:sz w:val="24"/>
                <w:szCs w:val="24"/>
              </w:rPr>
              <w:t>Prob.</w:t>
            </w:r>
          </w:p>
        </w:tc>
      </w:tr>
      <w:tr w:rsidR="00132C4D" w:rsidRPr="0003440F" w14:paraId="6620C055" w14:textId="77777777" w:rsidTr="00132C4D">
        <w:trPr>
          <w:tblCellSpacing w:w="15" w:type="dxa"/>
        </w:trPr>
        <w:tc>
          <w:tcPr>
            <w:tcW w:w="0" w:type="auto"/>
            <w:vAlign w:val="center"/>
            <w:hideMark/>
          </w:tcPr>
          <w:p w14:paraId="4A360653" w14:textId="77777777" w:rsidR="00132C4D" w:rsidRPr="0003440F" w:rsidRDefault="00132C4D" w:rsidP="00C65B35">
            <w:pPr>
              <w:spacing w:line="240" w:lineRule="auto"/>
              <w:rPr>
                <w:rFonts w:ascii="Times New Roman" w:hAnsi="Times New Roman" w:cs="Times New Roman"/>
                <w:sz w:val="24"/>
                <w:szCs w:val="24"/>
              </w:rPr>
            </w:pPr>
            <w:r w:rsidRPr="0003440F">
              <w:rPr>
                <w:rFonts w:ascii="Times New Roman" w:hAnsi="Times New Roman" w:cs="Times New Roman"/>
                <w:sz w:val="24"/>
                <w:szCs w:val="24"/>
              </w:rPr>
              <w:t>Cross-section random</w:t>
            </w:r>
          </w:p>
        </w:tc>
        <w:tc>
          <w:tcPr>
            <w:tcW w:w="0" w:type="auto"/>
            <w:vAlign w:val="center"/>
            <w:hideMark/>
          </w:tcPr>
          <w:p w14:paraId="159D7CB7" w14:textId="77777777" w:rsidR="00132C4D" w:rsidRPr="0003440F" w:rsidRDefault="00132C4D" w:rsidP="00C65B35">
            <w:pPr>
              <w:spacing w:line="240" w:lineRule="auto"/>
              <w:rPr>
                <w:rFonts w:ascii="Times New Roman" w:hAnsi="Times New Roman" w:cs="Times New Roman"/>
                <w:sz w:val="24"/>
                <w:szCs w:val="24"/>
              </w:rPr>
            </w:pPr>
            <w:r w:rsidRPr="0003440F">
              <w:rPr>
                <w:rFonts w:ascii="Times New Roman" w:hAnsi="Times New Roman" w:cs="Times New Roman"/>
                <w:sz w:val="24"/>
                <w:szCs w:val="24"/>
              </w:rPr>
              <w:t>18.72</w:t>
            </w:r>
          </w:p>
        </w:tc>
        <w:tc>
          <w:tcPr>
            <w:tcW w:w="0" w:type="auto"/>
            <w:vAlign w:val="center"/>
            <w:hideMark/>
          </w:tcPr>
          <w:p w14:paraId="55C634CC" w14:textId="77777777" w:rsidR="00132C4D" w:rsidRPr="0003440F" w:rsidRDefault="00132C4D" w:rsidP="00C65B35">
            <w:pPr>
              <w:spacing w:line="240" w:lineRule="auto"/>
              <w:rPr>
                <w:rFonts w:ascii="Times New Roman" w:hAnsi="Times New Roman" w:cs="Times New Roman"/>
                <w:sz w:val="24"/>
                <w:szCs w:val="24"/>
              </w:rPr>
            </w:pPr>
            <w:r w:rsidRPr="0003440F">
              <w:rPr>
                <w:rFonts w:ascii="Times New Roman" w:hAnsi="Times New Roman" w:cs="Times New Roman"/>
                <w:sz w:val="24"/>
                <w:szCs w:val="24"/>
              </w:rPr>
              <w:t>6</w:t>
            </w:r>
          </w:p>
        </w:tc>
        <w:tc>
          <w:tcPr>
            <w:tcW w:w="0" w:type="auto"/>
            <w:vAlign w:val="center"/>
            <w:hideMark/>
          </w:tcPr>
          <w:p w14:paraId="2FE4586B" w14:textId="77777777" w:rsidR="00132C4D" w:rsidRPr="0003440F" w:rsidRDefault="00132C4D" w:rsidP="00C65B35">
            <w:pPr>
              <w:spacing w:line="240" w:lineRule="auto"/>
              <w:rPr>
                <w:rFonts w:ascii="Times New Roman" w:hAnsi="Times New Roman" w:cs="Times New Roman"/>
                <w:sz w:val="24"/>
                <w:szCs w:val="24"/>
              </w:rPr>
            </w:pPr>
            <w:r w:rsidRPr="0003440F">
              <w:rPr>
                <w:rFonts w:ascii="Times New Roman" w:hAnsi="Times New Roman" w:cs="Times New Roman"/>
                <w:sz w:val="24"/>
                <w:szCs w:val="24"/>
              </w:rPr>
              <w:t>0.0045</w:t>
            </w:r>
          </w:p>
        </w:tc>
      </w:tr>
    </w:tbl>
    <w:p w14:paraId="117F7751" w14:textId="77777777" w:rsidR="002D616E" w:rsidRPr="0003440F" w:rsidRDefault="00F35A9D" w:rsidP="00C65B35">
      <w:pPr>
        <w:pStyle w:val="NormalWeb"/>
        <w:spacing w:before="0" w:beforeAutospacing="0"/>
        <w:jc w:val="both"/>
      </w:pPr>
      <w:r w:rsidRPr="0003440F">
        <w:rPr>
          <w:b/>
          <w:bCs/>
        </w:rPr>
        <w:t>Source:</w:t>
      </w:r>
      <w:r w:rsidRPr="0003440F">
        <w:t xml:space="preserve"> Data Analysis, 2026</w:t>
      </w:r>
    </w:p>
    <w:p w14:paraId="62110A42" w14:textId="245392EF" w:rsidR="00BC616B" w:rsidRPr="0003440F" w:rsidRDefault="002D616E" w:rsidP="00A9615F">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 xml:space="preserve">Table </w:t>
      </w:r>
      <w:r w:rsidR="00BC41AC" w:rsidRPr="0003440F">
        <w:rPr>
          <w:rFonts w:ascii="Times New Roman" w:hAnsi="Times New Roman" w:cs="Times New Roman"/>
          <w:sz w:val="24"/>
          <w:szCs w:val="24"/>
        </w:rPr>
        <w:t>5</w:t>
      </w:r>
      <w:r w:rsidR="00293201" w:rsidRPr="0003440F">
        <w:rPr>
          <w:rFonts w:ascii="Times New Roman" w:hAnsi="Times New Roman" w:cs="Times New Roman"/>
          <w:sz w:val="24"/>
          <w:szCs w:val="24"/>
        </w:rPr>
        <w:t>, showed t</w:t>
      </w:r>
      <w:r w:rsidR="00132C4D" w:rsidRPr="0003440F">
        <w:rPr>
          <w:rFonts w:ascii="Times New Roman" w:hAnsi="Times New Roman" w:cs="Times New Roman"/>
          <w:sz w:val="24"/>
          <w:szCs w:val="24"/>
        </w:rPr>
        <w:t>he Hausman test statistic (χ² = 18.72, p = 0.0045) is statistically significant at the 5% level. Therefore, the null hypothesis that the random effects estimator is consistent is rejected.</w:t>
      </w:r>
      <w:r w:rsidRPr="0003440F">
        <w:rPr>
          <w:rFonts w:ascii="Times New Roman" w:hAnsi="Times New Roman" w:cs="Times New Roman"/>
          <w:sz w:val="24"/>
          <w:szCs w:val="24"/>
        </w:rPr>
        <w:t xml:space="preserve"> The table, showed that c</w:t>
      </w:r>
      <w:r w:rsidR="00132C4D" w:rsidRPr="0003440F">
        <w:rPr>
          <w:rFonts w:ascii="Times New Roman" w:hAnsi="Times New Roman" w:cs="Times New Roman"/>
          <w:sz w:val="24"/>
          <w:szCs w:val="24"/>
        </w:rPr>
        <w:t>ountry-specific effects are correlated with the regressors.</w:t>
      </w:r>
      <w:r w:rsidRPr="0003440F">
        <w:rPr>
          <w:rFonts w:ascii="Times New Roman" w:hAnsi="Times New Roman" w:cs="Times New Roman"/>
          <w:sz w:val="24"/>
          <w:szCs w:val="24"/>
        </w:rPr>
        <w:t xml:space="preserve"> </w:t>
      </w:r>
      <w:r w:rsidR="00132C4D" w:rsidRPr="0003440F">
        <w:rPr>
          <w:rFonts w:ascii="Times New Roman" w:hAnsi="Times New Roman" w:cs="Times New Roman"/>
          <w:bCs/>
          <w:sz w:val="24"/>
          <w:szCs w:val="24"/>
        </w:rPr>
        <w:t xml:space="preserve">The </w:t>
      </w:r>
      <w:r w:rsidR="00132C4D" w:rsidRPr="0003440F">
        <w:rPr>
          <w:rStyle w:val="Strong"/>
          <w:rFonts w:ascii="Times New Roman" w:hAnsi="Times New Roman" w:cs="Times New Roman"/>
          <w:b w:val="0"/>
          <w:sz w:val="24"/>
          <w:szCs w:val="24"/>
        </w:rPr>
        <w:t>Fixed Effects model is the appropriate estimator</w:t>
      </w:r>
      <w:r w:rsidR="00132C4D" w:rsidRPr="0003440F">
        <w:rPr>
          <w:rFonts w:ascii="Times New Roman" w:hAnsi="Times New Roman" w:cs="Times New Roman"/>
          <w:b/>
          <w:sz w:val="24"/>
          <w:szCs w:val="24"/>
        </w:rPr>
        <w:t>.</w:t>
      </w:r>
      <w:r w:rsidRPr="0003440F">
        <w:rPr>
          <w:rFonts w:ascii="Times New Roman" w:hAnsi="Times New Roman" w:cs="Times New Roman"/>
          <w:b/>
          <w:sz w:val="24"/>
          <w:szCs w:val="24"/>
        </w:rPr>
        <w:t xml:space="preserve"> </w:t>
      </w:r>
      <w:r w:rsidR="00132C4D" w:rsidRPr="0003440F">
        <w:rPr>
          <w:rFonts w:ascii="Times New Roman" w:hAnsi="Times New Roman" w:cs="Times New Roman"/>
          <w:sz w:val="24"/>
          <w:szCs w:val="24"/>
        </w:rPr>
        <w:t>Structural heterogeneity across Nigeria, Ghana, Senegal, Mali, and Niger is statistically relevant and must be controlled.</w:t>
      </w:r>
    </w:p>
    <w:p w14:paraId="42C369C8" w14:textId="77777777" w:rsidR="002213D7" w:rsidRPr="0003440F" w:rsidRDefault="00F936F1" w:rsidP="008764E0">
      <w:pPr>
        <w:pStyle w:val="Heading1"/>
        <w:spacing w:line="240" w:lineRule="auto"/>
        <w:jc w:val="both"/>
        <w:rPr>
          <w:rFonts w:ascii="Times New Roman" w:hAnsi="Times New Roman" w:cs="Times New Roman"/>
          <w:b w:val="0"/>
          <w:color w:val="auto"/>
          <w:sz w:val="24"/>
          <w:szCs w:val="24"/>
        </w:rPr>
      </w:pPr>
      <w:r w:rsidRPr="0003440F">
        <w:rPr>
          <w:rStyle w:val="Strong"/>
          <w:rFonts w:ascii="Times New Roman" w:hAnsi="Times New Roman" w:cs="Times New Roman"/>
          <w:b/>
          <w:bCs/>
          <w:color w:val="auto"/>
          <w:sz w:val="24"/>
          <w:szCs w:val="24"/>
        </w:rPr>
        <w:t>4.5</w:t>
      </w:r>
      <w:r w:rsidR="002213D7" w:rsidRPr="0003440F">
        <w:rPr>
          <w:rStyle w:val="Strong"/>
          <w:rFonts w:ascii="Times New Roman" w:hAnsi="Times New Roman" w:cs="Times New Roman"/>
          <w:b/>
          <w:bCs/>
          <w:color w:val="auto"/>
          <w:sz w:val="24"/>
          <w:szCs w:val="24"/>
        </w:rPr>
        <w:t xml:space="preserve"> Regression / Model Outcomes</w:t>
      </w:r>
    </w:p>
    <w:p w14:paraId="5DBDF565" w14:textId="77777777" w:rsidR="002213D7" w:rsidRPr="0003440F" w:rsidRDefault="002213D7" w:rsidP="008764E0">
      <w:pPr>
        <w:pStyle w:val="NormalWeb"/>
        <w:jc w:val="both"/>
      </w:pPr>
      <w:r w:rsidRPr="0003440F">
        <w:rPr>
          <w:rStyle w:val="Strong"/>
          <w:b w:val="0"/>
        </w:rPr>
        <w:t>Baseline Panel Fixed-Effects Regression (GDP as Dependent Variable)</w:t>
      </w:r>
    </w:p>
    <w:p w14:paraId="5B7C186E" w14:textId="5907072C" w:rsidR="002213D7" w:rsidRDefault="002213D7" w:rsidP="008764E0">
      <w:pPr>
        <w:spacing w:line="240" w:lineRule="auto"/>
        <w:jc w:val="both"/>
        <w:rPr>
          <w:rFonts w:ascii="Times New Roman" w:hAnsi="Times New Roman" w:cs="Times New Roman"/>
          <w:sz w:val="24"/>
          <w:szCs w:val="24"/>
        </w:rPr>
      </w:pPr>
      <w:r w:rsidRPr="0003440F">
        <w:rPr>
          <w:rStyle w:val="katex-mathml"/>
          <w:rFonts w:ascii="Times New Roman" w:hAnsi="Times New Roman" w:cs="Times New Roman"/>
          <w:sz w:val="24"/>
          <w:szCs w:val="24"/>
        </w:rPr>
        <w:t>GDPit=α+β1TempAnomit+β2RainAnomit+β3Floodsit+β4Droughtsit+β5PopGrowthit+β6GovtExpit+μi+λt+ϵit</w:t>
      </w:r>
      <w:r w:rsidRPr="0003440F">
        <w:rPr>
          <w:rFonts w:ascii="Times New Roman" w:hAnsi="Times New Roman" w:cs="Times New Roman"/>
          <w:sz w:val="24"/>
          <w:szCs w:val="24"/>
        </w:rPr>
        <w:t xml:space="preserve"> </w:t>
      </w:r>
    </w:p>
    <w:p w14:paraId="7DAAFDF2" w14:textId="0376410B" w:rsidR="00A74FF1" w:rsidRPr="00367D39" w:rsidRDefault="00A74FF1" w:rsidP="008764E0">
      <w:pPr>
        <w:spacing w:line="240" w:lineRule="auto"/>
        <w:jc w:val="both"/>
        <w:rPr>
          <w:rFonts w:ascii="Times New Roman" w:hAnsi="Times New Roman" w:cs="Times New Roman"/>
          <w:b/>
          <w:sz w:val="24"/>
          <w:szCs w:val="24"/>
        </w:rPr>
      </w:pPr>
      <w:r w:rsidRPr="00367D39">
        <w:rPr>
          <w:rFonts w:ascii="Times New Roman" w:hAnsi="Times New Roman" w:cs="Times New Roman"/>
          <w:b/>
          <w:sz w:val="24"/>
          <w:szCs w:val="24"/>
        </w:rPr>
        <w:t>Table 6- The impact of climate variability and macroeconomic factors on GDP</w:t>
      </w:r>
    </w:p>
    <w:tbl>
      <w:tblPr>
        <w:tblW w:w="7283" w:type="dxa"/>
        <w:tblCellSpacing w:w="15" w:type="dxa"/>
        <w:tblCellMar>
          <w:top w:w="15" w:type="dxa"/>
          <w:left w:w="15" w:type="dxa"/>
          <w:bottom w:w="15" w:type="dxa"/>
          <w:right w:w="15" w:type="dxa"/>
        </w:tblCellMar>
        <w:tblLook w:val="04A0" w:firstRow="1" w:lastRow="0" w:firstColumn="1" w:lastColumn="0" w:noHBand="0" w:noVBand="1"/>
      </w:tblPr>
      <w:tblGrid>
        <w:gridCol w:w="2820"/>
        <w:gridCol w:w="1281"/>
        <w:gridCol w:w="1131"/>
        <w:gridCol w:w="1101"/>
        <w:gridCol w:w="950"/>
      </w:tblGrid>
      <w:tr w:rsidR="002213D7" w:rsidRPr="0003440F" w14:paraId="0AB481B9" w14:textId="77777777" w:rsidTr="00A42A33">
        <w:trPr>
          <w:trHeight w:val="156"/>
          <w:tblHeader/>
          <w:tblCellSpacing w:w="15" w:type="dxa"/>
        </w:trPr>
        <w:tc>
          <w:tcPr>
            <w:tcW w:w="0" w:type="auto"/>
            <w:vAlign w:val="center"/>
            <w:hideMark/>
          </w:tcPr>
          <w:p w14:paraId="42C20DA6" w14:textId="77777777" w:rsidR="002213D7" w:rsidRPr="0003440F" w:rsidRDefault="002213D7" w:rsidP="008764E0">
            <w:pPr>
              <w:spacing w:line="240" w:lineRule="auto"/>
              <w:jc w:val="both"/>
              <w:rPr>
                <w:rFonts w:ascii="Times New Roman" w:hAnsi="Times New Roman" w:cs="Times New Roman"/>
                <w:bCs/>
                <w:sz w:val="24"/>
                <w:szCs w:val="24"/>
              </w:rPr>
            </w:pPr>
            <w:r w:rsidRPr="0003440F">
              <w:rPr>
                <w:rFonts w:ascii="Times New Roman" w:hAnsi="Times New Roman" w:cs="Times New Roman"/>
                <w:bCs/>
                <w:sz w:val="24"/>
                <w:szCs w:val="24"/>
              </w:rPr>
              <w:t>Variable</w:t>
            </w:r>
          </w:p>
        </w:tc>
        <w:tc>
          <w:tcPr>
            <w:tcW w:w="0" w:type="auto"/>
            <w:vAlign w:val="center"/>
            <w:hideMark/>
          </w:tcPr>
          <w:p w14:paraId="29928368" w14:textId="77777777" w:rsidR="002213D7" w:rsidRPr="0003440F" w:rsidRDefault="002213D7" w:rsidP="008764E0">
            <w:pPr>
              <w:spacing w:line="240" w:lineRule="auto"/>
              <w:jc w:val="both"/>
              <w:rPr>
                <w:rFonts w:ascii="Times New Roman" w:hAnsi="Times New Roman" w:cs="Times New Roman"/>
                <w:bCs/>
                <w:sz w:val="24"/>
                <w:szCs w:val="24"/>
              </w:rPr>
            </w:pPr>
            <w:r w:rsidRPr="0003440F">
              <w:rPr>
                <w:rFonts w:ascii="Times New Roman" w:hAnsi="Times New Roman" w:cs="Times New Roman"/>
                <w:bCs/>
                <w:sz w:val="24"/>
                <w:szCs w:val="24"/>
              </w:rPr>
              <w:t>Coefficient</w:t>
            </w:r>
          </w:p>
        </w:tc>
        <w:tc>
          <w:tcPr>
            <w:tcW w:w="0" w:type="auto"/>
            <w:vAlign w:val="center"/>
            <w:hideMark/>
          </w:tcPr>
          <w:p w14:paraId="74C7E80C" w14:textId="77777777" w:rsidR="002213D7" w:rsidRPr="0003440F" w:rsidRDefault="002213D7" w:rsidP="008764E0">
            <w:pPr>
              <w:spacing w:line="240" w:lineRule="auto"/>
              <w:jc w:val="both"/>
              <w:rPr>
                <w:rFonts w:ascii="Times New Roman" w:hAnsi="Times New Roman" w:cs="Times New Roman"/>
                <w:bCs/>
                <w:sz w:val="24"/>
                <w:szCs w:val="24"/>
              </w:rPr>
            </w:pPr>
            <w:r w:rsidRPr="0003440F">
              <w:rPr>
                <w:rFonts w:ascii="Times New Roman" w:hAnsi="Times New Roman" w:cs="Times New Roman"/>
                <w:bCs/>
                <w:sz w:val="24"/>
                <w:szCs w:val="24"/>
              </w:rPr>
              <w:t>Std. Error</w:t>
            </w:r>
          </w:p>
        </w:tc>
        <w:tc>
          <w:tcPr>
            <w:tcW w:w="0" w:type="auto"/>
            <w:vAlign w:val="center"/>
            <w:hideMark/>
          </w:tcPr>
          <w:p w14:paraId="341E0833" w14:textId="77777777" w:rsidR="002213D7" w:rsidRPr="0003440F" w:rsidRDefault="002213D7" w:rsidP="008764E0">
            <w:pPr>
              <w:spacing w:line="240" w:lineRule="auto"/>
              <w:jc w:val="both"/>
              <w:rPr>
                <w:rFonts w:ascii="Times New Roman" w:hAnsi="Times New Roman" w:cs="Times New Roman"/>
                <w:bCs/>
                <w:sz w:val="24"/>
                <w:szCs w:val="24"/>
              </w:rPr>
            </w:pPr>
            <w:r w:rsidRPr="0003440F">
              <w:rPr>
                <w:rFonts w:ascii="Times New Roman" w:hAnsi="Times New Roman" w:cs="Times New Roman"/>
                <w:bCs/>
                <w:sz w:val="24"/>
                <w:szCs w:val="24"/>
              </w:rPr>
              <w:t>t-Statistic</w:t>
            </w:r>
          </w:p>
        </w:tc>
        <w:tc>
          <w:tcPr>
            <w:tcW w:w="0" w:type="auto"/>
            <w:vAlign w:val="center"/>
            <w:hideMark/>
          </w:tcPr>
          <w:p w14:paraId="7F2D5F78" w14:textId="77777777" w:rsidR="002213D7" w:rsidRPr="0003440F" w:rsidRDefault="002213D7" w:rsidP="008764E0">
            <w:pPr>
              <w:spacing w:line="240" w:lineRule="auto"/>
              <w:jc w:val="both"/>
              <w:rPr>
                <w:rFonts w:ascii="Times New Roman" w:hAnsi="Times New Roman" w:cs="Times New Roman"/>
                <w:bCs/>
                <w:sz w:val="24"/>
                <w:szCs w:val="24"/>
              </w:rPr>
            </w:pPr>
            <w:r w:rsidRPr="0003440F">
              <w:rPr>
                <w:rFonts w:ascii="Times New Roman" w:hAnsi="Times New Roman" w:cs="Times New Roman"/>
                <w:bCs/>
                <w:sz w:val="24"/>
                <w:szCs w:val="24"/>
              </w:rPr>
              <w:t>p-Value</w:t>
            </w:r>
          </w:p>
        </w:tc>
      </w:tr>
      <w:tr w:rsidR="002213D7" w:rsidRPr="0003440F" w14:paraId="1F6AF602" w14:textId="77777777" w:rsidTr="00A42A33">
        <w:trPr>
          <w:trHeight w:val="156"/>
          <w:tblCellSpacing w:w="15" w:type="dxa"/>
        </w:trPr>
        <w:tc>
          <w:tcPr>
            <w:tcW w:w="0" w:type="auto"/>
            <w:vAlign w:val="center"/>
            <w:hideMark/>
          </w:tcPr>
          <w:p w14:paraId="49E144E3"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Temp Anomaly</w:t>
            </w:r>
          </w:p>
        </w:tc>
        <w:tc>
          <w:tcPr>
            <w:tcW w:w="0" w:type="auto"/>
            <w:vAlign w:val="center"/>
            <w:hideMark/>
          </w:tcPr>
          <w:p w14:paraId="621C9885" w14:textId="77777777" w:rsidR="002213D7" w:rsidRPr="0003440F" w:rsidRDefault="00A9615F"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-4.</w:t>
            </w:r>
            <w:r w:rsidR="002213D7" w:rsidRPr="0003440F">
              <w:rPr>
                <w:rFonts w:ascii="Times New Roman" w:hAnsi="Times New Roman" w:cs="Times New Roman"/>
                <w:sz w:val="24"/>
                <w:szCs w:val="24"/>
              </w:rPr>
              <w:t>850</w:t>
            </w:r>
          </w:p>
        </w:tc>
        <w:tc>
          <w:tcPr>
            <w:tcW w:w="0" w:type="auto"/>
            <w:vAlign w:val="center"/>
            <w:hideMark/>
          </w:tcPr>
          <w:p w14:paraId="7E142145"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1,120</w:t>
            </w:r>
          </w:p>
        </w:tc>
        <w:tc>
          <w:tcPr>
            <w:tcW w:w="0" w:type="auto"/>
            <w:vAlign w:val="center"/>
            <w:hideMark/>
          </w:tcPr>
          <w:p w14:paraId="654D570A"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-4.33</w:t>
            </w:r>
          </w:p>
        </w:tc>
        <w:tc>
          <w:tcPr>
            <w:tcW w:w="0" w:type="auto"/>
            <w:vAlign w:val="center"/>
            <w:hideMark/>
          </w:tcPr>
          <w:p w14:paraId="631107F4"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0.000</w:t>
            </w:r>
          </w:p>
        </w:tc>
      </w:tr>
      <w:tr w:rsidR="002213D7" w:rsidRPr="0003440F" w14:paraId="0F31326B" w14:textId="77777777" w:rsidTr="00A42A33">
        <w:trPr>
          <w:trHeight w:val="156"/>
          <w:tblCellSpacing w:w="15" w:type="dxa"/>
        </w:trPr>
        <w:tc>
          <w:tcPr>
            <w:tcW w:w="0" w:type="auto"/>
            <w:vAlign w:val="center"/>
            <w:hideMark/>
          </w:tcPr>
          <w:p w14:paraId="656C6073"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Rainfall Anomaly</w:t>
            </w:r>
          </w:p>
        </w:tc>
        <w:tc>
          <w:tcPr>
            <w:tcW w:w="0" w:type="auto"/>
            <w:vAlign w:val="center"/>
            <w:hideMark/>
          </w:tcPr>
          <w:p w14:paraId="09BCFEB0" w14:textId="77777777" w:rsidR="002213D7" w:rsidRPr="0003440F" w:rsidRDefault="00A9615F"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1.</w:t>
            </w:r>
            <w:r w:rsidR="002213D7" w:rsidRPr="0003440F">
              <w:rPr>
                <w:rFonts w:ascii="Times New Roman" w:hAnsi="Times New Roman" w:cs="Times New Roman"/>
                <w:sz w:val="24"/>
                <w:szCs w:val="24"/>
              </w:rPr>
              <w:t>120</w:t>
            </w:r>
          </w:p>
        </w:tc>
        <w:tc>
          <w:tcPr>
            <w:tcW w:w="0" w:type="auto"/>
            <w:vAlign w:val="center"/>
            <w:hideMark/>
          </w:tcPr>
          <w:p w14:paraId="3283506C"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520</w:t>
            </w:r>
          </w:p>
        </w:tc>
        <w:tc>
          <w:tcPr>
            <w:tcW w:w="0" w:type="auto"/>
            <w:vAlign w:val="center"/>
            <w:hideMark/>
          </w:tcPr>
          <w:p w14:paraId="72B118B2"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2.15</w:t>
            </w:r>
          </w:p>
        </w:tc>
        <w:tc>
          <w:tcPr>
            <w:tcW w:w="0" w:type="auto"/>
            <w:vAlign w:val="center"/>
            <w:hideMark/>
          </w:tcPr>
          <w:p w14:paraId="0F0D6039"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0.032</w:t>
            </w:r>
          </w:p>
        </w:tc>
      </w:tr>
      <w:tr w:rsidR="002213D7" w:rsidRPr="0003440F" w14:paraId="05BF24BF" w14:textId="77777777" w:rsidTr="00A42A33">
        <w:trPr>
          <w:trHeight w:val="618"/>
          <w:tblCellSpacing w:w="15" w:type="dxa"/>
        </w:trPr>
        <w:tc>
          <w:tcPr>
            <w:tcW w:w="0" w:type="auto"/>
            <w:vAlign w:val="center"/>
            <w:hideMark/>
          </w:tcPr>
          <w:p w14:paraId="6D67DFD3"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Floods</w:t>
            </w:r>
          </w:p>
        </w:tc>
        <w:tc>
          <w:tcPr>
            <w:tcW w:w="0" w:type="auto"/>
            <w:vAlign w:val="center"/>
            <w:hideMark/>
          </w:tcPr>
          <w:p w14:paraId="4502A141" w14:textId="77777777" w:rsidR="002213D7" w:rsidRPr="0003440F" w:rsidRDefault="00A9615F"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-2.</w:t>
            </w:r>
            <w:r w:rsidR="002213D7" w:rsidRPr="0003440F">
              <w:rPr>
                <w:rFonts w:ascii="Times New Roman" w:hAnsi="Times New Roman" w:cs="Times New Roman"/>
                <w:sz w:val="24"/>
                <w:szCs w:val="24"/>
              </w:rPr>
              <w:t>310</w:t>
            </w:r>
          </w:p>
        </w:tc>
        <w:tc>
          <w:tcPr>
            <w:tcW w:w="0" w:type="auto"/>
            <w:vAlign w:val="center"/>
            <w:hideMark/>
          </w:tcPr>
          <w:p w14:paraId="10F12158"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870</w:t>
            </w:r>
          </w:p>
        </w:tc>
        <w:tc>
          <w:tcPr>
            <w:tcW w:w="0" w:type="auto"/>
            <w:vAlign w:val="center"/>
            <w:hideMark/>
          </w:tcPr>
          <w:p w14:paraId="0D98E192"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-2.66</w:t>
            </w:r>
          </w:p>
        </w:tc>
        <w:tc>
          <w:tcPr>
            <w:tcW w:w="0" w:type="auto"/>
            <w:vAlign w:val="center"/>
            <w:hideMark/>
          </w:tcPr>
          <w:p w14:paraId="3D126526"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0.010</w:t>
            </w:r>
          </w:p>
        </w:tc>
      </w:tr>
      <w:tr w:rsidR="002213D7" w:rsidRPr="0003440F" w14:paraId="3BA39316" w14:textId="77777777" w:rsidTr="00A42A33">
        <w:trPr>
          <w:trHeight w:val="618"/>
          <w:tblCellSpacing w:w="15" w:type="dxa"/>
        </w:trPr>
        <w:tc>
          <w:tcPr>
            <w:tcW w:w="0" w:type="auto"/>
            <w:vAlign w:val="center"/>
            <w:hideMark/>
          </w:tcPr>
          <w:p w14:paraId="10F160DF"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Droughts</w:t>
            </w:r>
          </w:p>
        </w:tc>
        <w:tc>
          <w:tcPr>
            <w:tcW w:w="0" w:type="auto"/>
            <w:vAlign w:val="center"/>
            <w:hideMark/>
          </w:tcPr>
          <w:p w14:paraId="171E084E" w14:textId="77777777" w:rsidR="002213D7" w:rsidRPr="0003440F" w:rsidRDefault="00A9615F"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-3.</w:t>
            </w:r>
            <w:r w:rsidR="002213D7" w:rsidRPr="0003440F">
              <w:rPr>
                <w:rFonts w:ascii="Times New Roman" w:hAnsi="Times New Roman" w:cs="Times New Roman"/>
                <w:sz w:val="24"/>
                <w:szCs w:val="24"/>
              </w:rPr>
              <w:t>180</w:t>
            </w:r>
          </w:p>
        </w:tc>
        <w:tc>
          <w:tcPr>
            <w:tcW w:w="0" w:type="auto"/>
            <w:vAlign w:val="center"/>
            <w:hideMark/>
          </w:tcPr>
          <w:p w14:paraId="76316223"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950</w:t>
            </w:r>
          </w:p>
        </w:tc>
        <w:tc>
          <w:tcPr>
            <w:tcW w:w="0" w:type="auto"/>
            <w:vAlign w:val="center"/>
            <w:hideMark/>
          </w:tcPr>
          <w:p w14:paraId="5F8ED5B2"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-3.35</w:t>
            </w:r>
          </w:p>
        </w:tc>
        <w:tc>
          <w:tcPr>
            <w:tcW w:w="0" w:type="auto"/>
            <w:vAlign w:val="center"/>
            <w:hideMark/>
          </w:tcPr>
          <w:p w14:paraId="05A8E69C"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0.001</w:t>
            </w:r>
          </w:p>
        </w:tc>
      </w:tr>
      <w:tr w:rsidR="002213D7" w:rsidRPr="0003440F" w14:paraId="54FFDEE9" w14:textId="77777777" w:rsidTr="00A42A33">
        <w:trPr>
          <w:trHeight w:val="634"/>
          <w:tblCellSpacing w:w="15" w:type="dxa"/>
        </w:trPr>
        <w:tc>
          <w:tcPr>
            <w:tcW w:w="0" w:type="auto"/>
            <w:vAlign w:val="center"/>
            <w:hideMark/>
          </w:tcPr>
          <w:p w14:paraId="0D4E9779"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Population Growth</w:t>
            </w:r>
          </w:p>
        </w:tc>
        <w:tc>
          <w:tcPr>
            <w:tcW w:w="0" w:type="auto"/>
            <w:vAlign w:val="center"/>
            <w:hideMark/>
          </w:tcPr>
          <w:p w14:paraId="1B15C6B0" w14:textId="77777777" w:rsidR="002213D7" w:rsidRPr="0003440F" w:rsidRDefault="00A9615F"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4.</w:t>
            </w:r>
            <w:r w:rsidR="002213D7" w:rsidRPr="0003440F">
              <w:rPr>
                <w:rFonts w:ascii="Times New Roman" w:hAnsi="Times New Roman" w:cs="Times New Roman"/>
                <w:sz w:val="24"/>
                <w:szCs w:val="24"/>
              </w:rPr>
              <w:t>250</w:t>
            </w:r>
          </w:p>
        </w:tc>
        <w:tc>
          <w:tcPr>
            <w:tcW w:w="0" w:type="auto"/>
            <w:vAlign w:val="center"/>
            <w:hideMark/>
          </w:tcPr>
          <w:p w14:paraId="2D741D96"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1,120</w:t>
            </w:r>
          </w:p>
        </w:tc>
        <w:tc>
          <w:tcPr>
            <w:tcW w:w="0" w:type="auto"/>
            <w:vAlign w:val="center"/>
            <w:hideMark/>
          </w:tcPr>
          <w:p w14:paraId="5A9FE08D"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3.79</w:t>
            </w:r>
          </w:p>
        </w:tc>
        <w:tc>
          <w:tcPr>
            <w:tcW w:w="0" w:type="auto"/>
            <w:vAlign w:val="center"/>
            <w:hideMark/>
          </w:tcPr>
          <w:p w14:paraId="427671FD"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0.001</w:t>
            </w:r>
          </w:p>
        </w:tc>
      </w:tr>
      <w:tr w:rsidR="002213D7" w:rsidRPr="0003440F" w14:paraId="2B14E898" w14:textId="77777777" w:rsidTr="00A42A33">
        <w:trPr>
          <w:trHeight w:val="634"/>
          <w:tblCellSpacing w:w="15" w:type="dxa"/>
        </w:trPr>
        <w:tc>
          <w:tcPr>
            <w:tcW w:w="0" w:type="auto"/>
            <w:vAlign w:val="center"/>
            <w:hideMark/>
          </w:tcPr>
          <w:p w14:paraId="77176EFA"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Government Expenditure</w:t>
            </w:r>
          </w:p>
        </w:tc>
        <w:tc>
          <w:tcPr>
            <w:tcW w:w="0" w:type="auto"/>
            <w:vAlign w:val="center"/>
            <w:hideMark/>
          </w:tcPr>
          <w:p w14:paraId="590960F5" w14:textId="77777777" w:rsidR="002213D7" w:rsidRPr="0003440F" w:rsidRDefault="00A9615F"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1.</w:t>
            </w:r>
            <w:r w:rsidR="002213D7" w:rsidRPr="0003440F">
              <w:rPr>
                <w:rFonts w:ascii="Times New Roman" w:hAnsi="Times New Roman" w:cs="Times New Roman"/>
                <w:sz w:val="24"/>
                <w:szCs w:val="24"/>
              </w:rPr>
              <w:t>890</w:t>
            </w:r>
          </w:p>
        </w:tc>
        <w:tc>
          <w:tcPr>
            <w:tcW w:w="0" w:type="auto"/>
            <w:vAlign w:val="center"/>
            <w:hideMark/>
          </w:tcPr>
          <w:p w14:paraId="57D985D2"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620</w:t>
            </w:r>
          </w:p>
        </w:tc>
        <w:tc>
          <w:tcPr>
            <w:tcW w:w="0" w:type="auto"/>
            <w:vAlign w:val="center"/>
            <w:hideMark/>
          </w:tcPr>
          <w:p w14:paraId="4EEFBBEE"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3.05</w:t>
            </w:r>
          </w:p>
        </w:tc>
        <w:tc>
          <w:tcPr>
            <w:tcW w:w="0" w:type="auto"/>
            <w:vAlign w:val="center"/>
            <w:hideMark/>
          </w:tcPr>
          <w:p w14:paraId="5E096FDA"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0.004</w:t>
            </w:r>
          </w:p>
        </w:tc>
      </w:tr>
      <w:tr w:rsidR="002213D7" w:rsidRPr="0003440F" w14:paraId="79FA5342" w14:textId="77777777" w:rsidTr="00A42A33">
        <w:trPr>
          <w:trHeight w:val="618"/>
          <w:tblCellSpacing w:w="15" w:type="dxa"/>
        </w:trPr>
        <w:tc>
          <w:tcPr>
            <w:tcW w:w="0" w:type="auto"/>
            <w:vAlign w:val="center"/>
            <w:hideMark/>
          </w:tcPr>
          <w:p w14:paraId="5C2BE65C"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lastRenderedPageBreak/>
              <w:t>Constant</w:t>
            </w:r>
          </w:p>
        </w:tc>
        <w:tc>
          <w:tcPr>
            <w:tcW w:w="0" w:type="auto"/>
            <w:vAlign w:val="center"/>
            <w:hideMark/>
          </w:tcPr>
          <w:p w14:paraId="1B313AC8" w14:textId="77777777" w:rsidR="002213D7" w:rsidRPr="0003440F" w:rsidRDefault="00A9615F"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55.</w:t>
            </w:r>
            <w:r w:rsidR="002213D7" w:rsidRPr="0003440F">
              <w:rPr>
                <w:rFonts w:ascii="Times New Roman" w:hAnsi="Times New Roman" w:cs="Times New Roman"/>
                <w:sz w:val="24"/>
                <w:szCs w:val="24"/>
              </w:rPr>
              <w:t>400</w:t>
            </w:r>
          </w:p>
        </w:tc>
        <w:tc>
          <w:tcPr>
            <w:tcW w:w="0" w:type="auto"/>
            <w:vAlign w:val="center"/>
            <w:hideMark/>
          </w:tcPr>
          <w:p w14:paraId="4AA8B896" w14:textId="77777777" w:rsidR="002213D7" w:rsidRPr="0003440F" w:rsidRDefault="00A9615F"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12.</w:t>
            </w:r>
            <w:r w:rsidR="002213D7" w:rsidRPr="0003440F">
              <w:rPr>
                <w:rFonts w:ascii="Times New Roman" w:hAnsi="Times New Roman" w:cs="Times New Roman"/>
                <w:sz w:val="24"/>
                <w:szCs w:val="24"/>
              </w:rPr>
              <w:t>300</w:t>
            </w:r>
          </w:p>
        </w:tc>
        <w:tc>
          <w:tcPr>
            <w:tcW w:w="0" w:type="auto"/>
            <w:vAlign w:val="center"/>
            <w:hideMark/>
          </w:tcPr>
          <w:p w14:paraId="45BE3998"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4.50</w:t>
            </w:r>
          </w:p>
        </w:tc>
        <w:tc>
          <w:tcPr>
            <w:tcW w:w="0" w:type="auto"/>
            <w:vAlign w:val="center"/>
            <w:hideMark/>
          </w:tcPr>
          <w:p w14:paraId="2DB453A9" w14:textId="77777777" w:rsidR="002213D7" w:rsidRPr="0003440F" w:rsidRDefault="002213D7"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0.000</w:t>
            </w:r>
          </w:p>
        </w:tc>
      </w:tr>
    </w:tbl>
    <w:p w14:paraId="1358F527" w14:textId="77777777" w:rsidR="00A42A33" w:rsidRPr="0003440F" w:rsidRDefault="002213D7" w:rsidP="00BC616B">
      <w:pPr>
        <w:pStyle w:val="NormalWeb"/>
        <w:spacing w:before="0" w:beforeAutospacing="0" w:after="0" w:afterAutospacing="0"/>
        <w:jc w:val="both"/>
      </w:pPr>
      <w:r w:rsidRPr="0003440F">
        <w:rPr>
          <w:rStyle w:val="Strong"/>
          <w:b w:val="0"/>
        </w:rPr>
        <w:t>R-squared</w:t>
      </w:r>
      <w:r w:rsidR="00A42A33" w:rsidRPr="0003440F">
        <w:rPr>
          <w:rStyle w:val="Strong"/>
          <w:b w:val="0"/>
        </w:rPr>
        <w:t>:</w:t>
      </w:r>
      <w:r w:rsidR="00A42A33" w:rsidRPr="0003440F">
        <w:t>0.66</w:t>
      </w:r>
      <w:r w:rsidRPr="0003440F">
        <w:br/>
      </w:r>
      <w:r w:rsidRPr="0003440F">
        <w:rPr>
          <w:rStyle w:val="Strong"/>
          <w:b w:val="0"/>
        </w:rPr>
        <w:t>Observations:</w:t>
      </w:r>
      <w:r w:rsidRPr="0003440F">
        <w:t xml:space="preserve"> 160</w:t>
      </w:r>
    </w:p>
    <w:p w14:paraId="56C19B7A" w14:textId="77777777" w:rsidR="00506EF8" w:rsidRPr="0003440F" w:rsidRDefault="00506EF8" w:rsidP="00BC616B">
      <w:pPr>
        <w:pStyle w:val="NormalWeb"/>
        <w:spacing w:before="0" w:beforeAutospacing="0" w:after="0" w:afterAutospacing="0"/>
        <w:jc w:val="both"/>
      </w:pPr>
      <w:r w:rsidRPr="0003440F">
        <w:rPr>
          <w:b/>
          <w:bCs/>
        </w:rPr>
        <w:t>Source:</w:t>
      </w:r>
      <w:r w:rsidRPr="0003440F">
        <w:t xml:space="preserve"> Data Analysis, 2026</w:t>
      </w:r>
    </w:p>
    <w:p w14:paraId="6C8CF721" w14:textId="77777777" w:rsidR="00A74FF1" w:rsidRDefault="00A74FF1" w:rsidP="00A9615F">
      <w:pPr>
        <w:jc w:val="both"/>
        <w:rPr>
          <w:rFonts w:ascii="Times New Roman" w:hAnsi="Times New Roman" w:cs="Times New Roman"/>
          <w:sz w:val="24"/>
          <w:szCs w:val="24"/>
        </w:rPr>
      </w:pPr>
    </w:p>
    <w:p w14:paraId="4B32B1C7" w14:textId="47D25ED5" w:rsidR="00A9615F" w:rsidRPr="0003440F" w:rsidRDefault="00A9615F" w:rsidP="00A9615F">
      <w:pPr>
        <w:jc w:val="both"/>
        <w:rPr>
          <w:rFonts w:ascii="Times New Roman" w:hAnsi="Times New Roman" w:cs="Times New Roman"/>
          <w:sz w:val="24"/>
          <w:szCs w:val="24"/>
        </w:rPr>
      </w:pPr>
      <w:r w:rsidRPr="0003440F">
        <w:rPr>
          <w:rFonts w:ascii="Times New Roman" w:hAnsi="Times New Roman" w:cs="Times New Roman"/>
          <w:sz w:val="24"/>
          <w:szCs w:val="24"/>
        </w:rPr>
        <w:t xml:space="preserve">The regression results in Table </w:t>
      </w:r>
      <w:r w:rsidR="00BC41AC" w:rsidRPr="0003440F">
        <w:rPr>
          <w:rFonts w:ascii="Times New Roman" w:hAnsi="Times New Roman" w:cs="Times New Roman"/>
          <w:sz w:val="24"/>
          <w:szCs w:val="24"/>
        </w:rPr>
        <w:t>6</w:t>
      </w:r>
      <w:r w:rsidRPr="0003440F">
        <w:rPr>
          <w:rFonts w:ascii="Times New Roman" w:hAnsi="Times New Roman" w:cs="Times New Roman"/>
          <w:sz w:val="24"/>
          <w:szCs w:val="24"/>
        </w:rPr>
        <w:t xml:space="preserve"> present the baseline panel fixed-effects estimates examining the impact of climate variability and macroeconomic factors on GDP. The findings indicate that temperature anomaly has a negative and statistically significant effect on GDP (β = –4,850; p &lt; 0.01). This suggests that an increase in temperature deviations significantly reduces economic output, likely through adverse effects on agricultural productivity, labor efficiency, and energy demand. Similarly, floods (β = –2,310; p &lt; 0.05) and droughts (β = –3.180; p &lt; 0.01) exert significant negative effects on GDP, indicating that the occurrence of extreme climate events disrupts economic activities, damages infrastructure, and reduces overall production capacity. In contrast, rainfall anomaly exhibits a positive and statistically significant relationship with GDP (β = 1.120; p &lt; 0.05), implying that moderate variations in rainfall may enhance economic performance, particularly in sectors that rely heavily on rainfall for production.</w:t>
      </w:r>
    </w:p>
    <w:p w14:paraId="72DAEAF8" w14:textId="3419CBEC" w:rsidR="00293201" w:rsidRDefault="00A9615F" w:rsidP="00A9615F">
      <w:pPr>
        <w:jc w:val="both"/>
        <w:rPr>
          <w:rFonts w:ascii="Times New Roman" w:hAnsi="Times New Roman" w:cs="Times New Roman"/>
          <w:sz w:val="24"/>
          <w:szCs w:val="24"/>
        </w:rPr>
      </w:pPr>
      <w:r w:rsidRPr="0003440F">
        <w:rPr>
          <w:rFonts w:ascii="Times New Roman" w:hAnsi="Times New Roman" w:cs="Times New Roman"/>
          <w:sz w:val="24"/>
          <w:szCs w:val="24"/>
        </w:rPr>
        <w:t>Regarding the control variables, population growth shows a positive and statistically significant influence on GDP (β = 4.250; p &lt; 0.01), suggesting that increases in population may contribute to economic expansion through greater labor supply and higher levels of consumption. Similarly, government expenditure has a positive and significant effect on GDP (β = 1.890; p &lt; 0.01), indicating that public spending plays an important role in stimulating economic activity through investment in infrastructure, public services, and development initiatives. The constant term is also statistically significant, reflecting the baseline level of GDP when other variables are held constant. Overall, the model demonstrates a relatively strong explanatory power with an R-squared value of 0.66, indicating that approximately 66 percent of the variation in GDP is explained by the included variables. The results therefore provide empirical evidence that climate change indicators and macroeconomic factors jointly influence economic performance across the sampled observations.</w:t>
      </w:r>
    </w:p>
    <w:p w14:paraId="5CB0E3D7" w14:textId="77777777" w:rsidR="00A74FF1" w:rsidRPr="0003440F" w:rsidRDefault="00A74FF1" w:rsidP="00A9615F">
      <w:pPr>
        <w:jc w:val="both"/>
        <w:rPr>
          <w:rFonts w:ascii="Times New Roman" w:hAnsi="Times New Roman" w:cs="Times New Roman"/>
          <w:sz w:val="24"/>
          <w:szCs w:val="24"/>
        </w:rPr>
      </w:pPr>
    </w:p>
    <w:p w14:paraId="53751777" w14:textId="7F6223B3" w:rsidR="002213D7" w:rsidRPr="0003440F" w:rsidRDefault="00BC41AC" w:rsidP="00A9615F">
      <w:pPr>
        <w:rPr>
          <w:rFonts w:ascii="Times New Roman" w:hAnsi="Times New Roman" w:cs="Times New Roman"/>
          <w:b/>
          <w:sz w:val="24"/>
          <w:szCs w:val="24"/>
        </w:rPr>
      </w:pPr>
      <w:r w:rsidRPr="0003440F">
        <w:rPr>
          <w:rFonts w:ascii="Times New Roman" w:hAnsi="Times New Roman" w:cs="Times New Roman"/>
          <w:b/>
          <w:sz w:val="24"/>
          <w:szCs w:val="24"/>
        </w:rPr>
        <w:t>Table 7-</w:t>
      </w:r>
      <w:r w:rsidR="002213D7" w:rsidRPr="0003440F">
        <w:rPr>
          <w:rFonts w:ascii="Times New Roman" w:hAnsi="Times New Roman" w:cs="Times New Roman"/>
          <w:b/>
          <w:sz w:val="24"/>
          <w:szCs w:val="24"/>
        </w:rPr>
        <w:t>Sectoral Breakdown: Agriculture GDP</w:t>
      </w:r>
    </w:p>
    <w:tbl>
      <w:tblPr>
        <w:tblW w:w="6058" w:type="dxa"/>
        <w:tblCellSpacing w:w="15" w:type="dxa"/>
        <w:tblCellMar>
          <w:top w:w="15" w:type="dxa"/>
          <w:left w:w="15" w:type="dxa"/>
          <w:bottom w:w="15" w:type="dxa"/>
          <w:right w:w="15" w:type="dxa"/>
        </w:tblCellMar>
        <w:tblLook w:val="04A0" w:firstRow="1" w:lastRow="0" w:firstColumn="1" w:lastColumn="0" w:noHBand="0" w:noVBand="1"/>
      </w:tblPr>
      <w:tblGrid>
        <w:gridCol w:w="2007"/>
        <w:gridCol w:w="2632"/>
        <w:gridCol w:w="1419"/>
      </w:tblGrid>
      <w:tr w:rsidR="002213D7" w:rsidRPr="0003440F" w14:paraId="07F27C5F" w14:textId="77777777" w:rsidTr="00663242">
        <w:trPr>
          <w:trHeight w:val="601"/>
          <w:tblHeader/>
          <w:tblCellSpacing w:w="15" w:type="dxa"/>
        </w:trPr>
        <w:tc>
          <w:tcPr>
            <w:tcW w:w="0" w:type="auto"/>
            <w:vAlign w:val="center"/>
            <w:hideMark/>
          </w:tcPr>
          <w:p w14:paraId="4E12154F"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Variable</w:t>
            </w:r>
          </w:p>
        </w:tc>
        <w:tc>
          <w:tcPr>
            <w:tcW w:w="0" w:type="auto"/>
            <w:vAlign w:val="center"/>
            <w:hideMark/>
          </w:tcPr>
          <w:p w14:paraId="26C852D0"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Coefficient (% of GDP)</w:t>
            </w:r>
          </w:p>
        </w:tc>
        <w:tc>
          <w:tcPr>
            <w:tcW w:w="0" w:type="auto"/>
            <w:vAlign w:val="center"/>
            <w:hideMark/>
          </w:tcPr>
          <w:p w14:paraId="6E1DCA9B"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Significance</w:t>
            </w:r>
          </w:p>
        </w:tc>
      </w:tr>
      <w:tr w:rsidR="002213D7" w:rsidRPr="0003440F" w14:paraId="3F54417F" w14:textId="77777777" w:rsidTr="00663242">
        <w:trPr>
          <w:trHeight w:val="601"/>
          <w:tblCellSpacing w:w="15" w:type="dxa"/>
        </w:trPr>
        <w:tc>
          <w:tcPr>
            <w:tcW w:w="0" w:type="auto"/>
            <w:vAlign w:val="center"/>
            <w:hideMark/>
          </w:tcPr>
          <w:p w14:paraId="7C99F6E4"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Temp Anomaly</w:t>
            </w:r>
          </w:p>
        </w:tc>
        <w:tc>
          <w:tcPr>
            <w:tcW w:w="0" w:type="auto"/>
            <w:vAlign w:val="center"/>
            <w:hideMark/>
          </w:tcPr>
          <w:p w14:paraId="39A17360"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-1.85</w:t>
            </w:r>
          </w:p>
        </w:tc>
        <w:tc>
          <w:tcPr>
            <w:tcW w:w="0" w:type="auto"/>
            <w:vAlign w:val="center"/>
            <w:hideMark/>
          </w:tcPr>
          <w:p w14:paraId="01D40F1B"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p &lt; 0.01</w:t>
            </w:r>
          </w:p>
        </w:tc>
      </w:tr>
      <w:tr w:rsidR="002213D7" w:rsidRPr="0003440F" w14:paraId="79E87FA2" w14:textId="77777777" w:rsidTr="00663242">
        <w:trPr>
          <w:trHeight w:val="601"/>
          <w:tblCellSpacing w:w="15" w:type="dxa"/>
        </w:trPr>
        <w:tc>
          <w:tcPr>
            <w:tcW w:w="0" w:type="auto"/>
            <w:vAlign w:val="center"/>
            <w:hideMark/>
          </w:tcPr>
          <w:p w14:paraId="1E6171F1"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Rainfall Anomaly</w:t>
            </w:r>
          </w:p>
        </w:tc>
        <w:tc>
          <w:tcPr>
            <w:tcW w:w="0" w:type="auto"/>
            <w:vAlign w:val="center"/>
            <w:hideMark/>
          </w:tcPr>
          <w:p w14:paraId="1B5CFC00"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+0.95</w:t>
            </w:r>
          </w:p>
        </w:tc>
        <w:tc>
          <w:tcPr>
            <w:tcW w:w="0" w:type="auto"/>
            <w:vAlign w:val="center"/>
            <w:hideMark/>
          </w:tcPr>
          <w:p w14:paraId="593C507C"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p &lt; 0.05</w:t>
            </w:r>
          </w:p>
        </w:tc>
      </w:tr>
      <w:tr w:rsidR="002213D7" w:rsidRPr="0003440F" w14:paraId="0A59A4B7" w14:textId="77777777" w:rsidTr="00663242">
        <w:trPr>
          <w:trHeight w:val="601"/>
          <w:tblCellSpacing w:w="15" w:type="dxa"/>
        </w:trPr>
        <w:tc>
          <w:tcPr>
            <w:tcW w:w="0" w:type="auto"/>
            <w:vAlign w:val="center"/>
            <w:hideMark/>
          </w:tcPr>
          <w:p w14:paraId="67755AD7"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lastRenderedPageBreak/>
              <w:t>Floods</w:t>
            </w:r>
          </w:p>
        </w:tc>
        <w:tc>
          <w:tcPr>
            <w:tcW w:w="0" w:type="auto"/>
            <w:vAlign w:val="center"/>
            <w:hideMark/>
          </w:tcPr>
          <w:p w14:paraId="1C2AE703"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-0.72</w:t>
            </w:r>
          </w:p>
        </w:tc>
        <w:tc>
          <w:tcPr>
            <w:tcW w:w="0" w:type="auto"/>
            <w:vAlign w:val="center"/>
            <w:hideMark/>
          </w:tcPr>
          <w:p w14:paraId="34ED3010"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p &lt; 0.05</w:t>
            </w:r>
          </w:p>
        </w:tc>
      </w:tr>
      <w:tr w:rsidR="002213D7" w:rsidRPr="0003440F" w14:paraId="51DE132A" w14:textId="77777777" w:rsidTr="00663242">
        <w:trPr>
          <w:trHeight w:val="601"/>
          <w:tblCellSpacing w:w="15" w:type="dxa"/>
        </w:trPr>
        <w:tc>
          <w:tcPr>
            <w:tcW w:w="0" w:type="auto"/>
            <w:vAlign w:val="center"/>
            <w:hideMark/>
          </w:tcPr>
          <w:p w14:paraId="2C10BE39"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Droughts</w:t>
            </w:r>
          </w:p>
        </w:tc>
        <w:tc>
          <w:tcPr>
            <w:tcW w:w="0" w:type="auto"/>
            <w:vAlign w:val="center"/>
            <w:hideMark/>
          </w:tcPr>
          <w:p w14:paraId="195E5DF6"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-1.12</w:t>
            </w:r>
          </w:p>
        </w:tc>
        <w:tc>
          <w:tcPr>
            <w:tcW w:w="0" w:type="auto"/>
            <w:vAlign w:val="center"/>
            <w:hideMark/>
          </w:tcPr>
          <w:p w14:paraId="54476442"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p &lt; 0.01</w:t>
            </w:r>
          </w:p>
        </w:tc>
      </w:tr>
      <w:tr w:rsidR="002213D7" w:rsidRPr="0003440F" w14:paraId="01BB15F9" w14:textId="77777777" w:rsidTr="00663242">
        <w:trPr>
          <w:trHeight w:val="601"/>
          <w:tblCellSpacing w:w="15" w:type="dxa"/>
        </w:trPr>
        <w:tc>
          <w:tcPr>
            <w:tcW w:w="0" w:type="auto"/>
            <w:vAlign w:val="center"/>
            <w:hideMark/>
          </w:tcPr>
          <w:p w14:paraId="4F920E45"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Pop Growth</w:t>
            </w:r>
          </w:p>
        </w:tc>
        <w:tc>
          <w:tcPr>
            <w:tcW w:w="0" w:type="auto"/>
            <w:vAlign w:val="center"/>
            <w:hideMark/>
          </w:tcPr>
          <w:p w14:paraId="313A4901"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+0.42</w:t>
            </w:r>
          </w:p>
        </w:tc>
        <w:tc>
          <w:tcPr>
            <w:tcW w:w="0" w:type="auto"/>
            <w:vAlign w:val="center"/>
            <w:hideMark/>
          </w:tcPr>
          <w:p w14:paraId="240F8056"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p &lt; 0.05</w:t>
            </w:r>
          </w:p>
        </w:tc>
      </w:tr>
      <w:tr w:rsidR="002213D7" w:rsidRPr="0003440F" w14:paraId="045FB80A" w14:textId="77777777" w:rsidTr="00663242">
        <w:trPr>
          <w:trHeight w:val="601"/>
          <w:tblCellSpacing w:w="15" w:type="dxa"/>
        </w:trPr>
        <w:tc>
          <w:tcPr>
            <w:tcW w:w="0" w:type="auto"/>
            <w:vAlign w:val="center"/>
            <w:hideMark/>
          </w:tcPr>
          <w:p w14:paraId="0146A3D0"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Govt Exp</w:t>
            </w:r>
          </w:p>
        </w:tc>
        <w:tc>
          <w:tcPr>
            <w:tcW w:w="0" w:type="auto"/>
            <w:vAlign w:val="center"/>
            <w:hideMark/>
          </w:tcPr>
          <w:p w14:paraId="0E071871"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+0.31</w:t>
            </w:r>
          </w:p>
        </w:tc>
        <w:tc>
          <w:tcPr>
            <w:tcW w:w="0" w:type="auto"/>
            <w:vAlign w:val="center"/>
            <w:hideMark/>
          </w:tcPr>
          <w:p w14:paraId="4141622A" w14:textId="77777777" w:rsidR="002213D7" w:rsidRPr="0003440F" w:rsidRDefault="002213D7" w:rsidP="00A9615F">
            <w:pPr>
              <w:rPr>
                <w:rFonts w:ascii="Times New Roman" w:hAnsi="Times New Roman" w:cs="Times New Roman"/>
                <w:sz w:val="24"/>
                <w:szCs w:val="24"/>
              </w:rPr>
            </w:pPr>
            <w:r w:rsidRPr="0003440F">
              <w:rPr>
                <w:rFonts w:ascii="Times New Roman" w:hAnsi="Times New Roman" w:cs="Times New Roman"/>
                <w:sz w:val="24"/>
                <w:szCs w:val="24"/>
              </w:rPr>
              <w:t>p &lt; 0.05</w:t>
            </w:r>
          </w:p>
        </w:tc>
      </w:tr>
    </w:tbl>
    <w:p w14:paraId="672407F6" w14:textId="77777777" w:rsidR="00FB56DD" w:rsidRPr="0003440F" w:rsidRDefault="00FB56DD" w:rsidP="00A9615F">
      <w:pPr>
        <w:rPr>
          <w:rFonts w:ascii="Times New Roman" w:hAnsi="Times New Roman" w:cs="Times New Roman"/>
          <w:sz w:val="24"/>
          <w:szCs w:val="24"/>
        </w:rPr>
      </w:pPr>
      <w:r w:rsidRPr="0003440F">
        <w:rPr>
          <w:rFonts w:ascii="Times New Roman" w:hAnsi="Times New Roman" w:cs="Times New Roman"/>
          <w:sz w:val="24"/>
          <w:szCs w:val="24"/>
        </w:rPr>
        <w:t>Source: Data Analysis, 2026</w:t>
      </w:r>
    </w:p>
    <w:p w14:paraId="2BAB9274" w14:textId="023EE784" w:rsidR="00A9615F" w:rsidRPr="0003440F" w:rsidRDefault="00A74FF1" w:rsidP="00A9615F">
      <w:pPr>
        <w:jc w:val="both"/>
        <w:rPr>
          <w:rFonts w:ascii="Times New Roman" w:hAnsi="Times New Roman" w:cs="Times New Roman"/>
          <w:sz w:val="24"/>
          <w:szCs w:val="24"/>
        </w:rPr>
      </w:pPr>
      <w:r w:rsidRPr="00A74FF1">
        <w:rPr>
          <w:rFonts w:ascii="Times New Roman" w:hAnsi="Times New Roman" w:cs="Times New Roman"/>
          <w:sz w:val="24"/>
          <w:szCs w:val="24"/>
        </w:rPr>
        <w:t>Table 7</w:t>
      </w:r>
      <w:r>
        <w:rPr>
          <w:rFonts w:ascii="Times New Roman" w:hAnsi="Times New Roman" w:cs="Times New Roman"/>
          <w:sz w:val="24"/>
          <w:szCs w:val="24"/>
        </w:rPr>
        <w:t xml:space="preserve"> </w:t>
      </w:r>
      <w:r w:rsidR="009606A8" w:rsidRPr="009606A8">
        <w:rPr>
          <w:rFonts w:ascii="Times New Roman" w:hAnsi="Times New Roman" w:cs="Times New Roman"/>
          <w:sz w:val="24"/>
          <w:szCs w:val="24"/>
        </w:rPr>
        <w:t xml:space="preserve">revealed </w:t>
      </w:r>
      <w:r>
        <w:rPr>
          <w:rFonts w:ascii="Times New Roman" w:hAnsi="Times New Roman" w:cs="Times New Roman"/>
          <w:sz w:val="24"/>
          <w:szCs w:val="24"/>
        </w:rPr>
        <w:t>that</w:t>
      </w:r>
      <w:r w:rsidRPr="00A74FF1">
        <w:rPr>
          <w:rFonts w:ascii="Times New Roman" w:hAnsi="Times New Roman" w:cs="Times New Roman"/>
          <w:sz w:val="24"/>
          <w:szCs w:val="24"/>
        </w:rPr>
        <w:t xml:space="preserve"> the effects of climate variability and selected macroeconomic variables on agricultural GDP</w:t>
      </w:r>
      <w:r>
        <w:rPr>
          <w:rFonts w:ascii="Times New Roman" w:hAnsi="Times New Roman" w:cs="Times New Roman"/>
          <w:sz w:val="24"/>
          <w:szCs w:val="24"/>
        </w:rPr>
        <w:t>. This Table</w:t>
      </w:r>
      <w:r w:rsidR="00A9615F" w:rsidRPr="0003440F">
        <w:rPr>
          <w:rFonts w:ascii="Times New Roman" w:hAnsi="Times New Roman" w:cs="Times New Roman"/>
          <w:sz w:val="24"/>
          <w:szCs w:val="24"/>
        </w:rPr>
        <w:t xml:space="preserve"> presents the sectoral regression results for the agricultural sector, examining the effects of climate variability and selected macroeconomic variables on agricultural GDP. The findings indicate that temperature anomaly has a negative and statistically significant effect on agricultural output (β = –1.85; p &lt; 0.01). This suggests that increases in temperature deviations substantially reduce agricultural productivity, likely due to heat stress on crops, reduced soil moisture, and unfavorable growing conditions. Similarly, droughts exert a significant negative influence on agricultural GDP (β = –1.12; p &lt; 0.01), highlighting the vulnerability of agricultural production to prolonged water shortages. Floods also show a negative and statistically significant effect (β = –0.72; p &lt; 0.05), implying that excessive water and flood events damage farmlands, destroy crops, and disrupt farming activities.</w:t>
      </w:r>
    </w:p>
    <w:p w14:paraId="701E2AB4" w14:textId="77777777" w:rsidR="00A9615F" w:rsidRPr="0003440F" w:rsidRDefault="00A9615F" w:rsidP="00A9615F">
      <w:pPr>
        <w:jc w:val="both"/>
        <w:rPr>
          <w:rFonts w:ascii="Times New Roman" w:hAnsi="Times New Roman" w:cs="Times New Roman"/>
          <w:sz w:val="24"/>
          <w:szCs w:val="24"/>
        </w:rPr>
      </w:pPr>
      <w:r w:rsidRPr="0003440F">
        <w:rPr>
          <w:rFonts w:ascii="Times New Roman" w:hAnsi="Times New Roman" w:cs="Times New Roman"/>
          <w:sz w:val="24"/>
          <w:szCs w:val="24"/>
        </w:rPr>
        <w:t>Conversely, rainfall anomaly demonstrates a positive and statistically significant relationship with agricultural GDP (β = 0.95; p &lt; 0.05), suggesting that moderate variations in rainfall may enhance agricultural productivity by improving soil moisture and supporting crop growth. In addition, population growth (β = 0.42; p &lt; 0.05) is positively associated with agricultural output, which may reflect increased labor availability and higher demand for agricultural products. Government expenditure (β = 0.31; p &lt; 0.05) also shows a positive and significant impact, indicating that public investments in agricultural infrastructure, irrigation systems, and rural development programs contribute to improvements in agricultural sector performance. Overall, the results underscore the sensitivity of the agricultural sector to climate variability while highlighting the supportive role of demographic factors and government spending in mitigating some of these adverse effects.</w:t>
      </w:r>
    </w:p>
    <w:p w14:paraId="50592EEE" w14:textId="77777777" w:rsidR="00132C4D" w:rsidRPr="0003440F" w:rsidRDefault="00F936F1" w:rsidP="00A9615F">
      <w:pPr>
        <w:jc w:val="both"/>
        <w:rPr>
          <w:rFonts w:ascii="Times New Roman" w:hAnsi="Times New Roman" w:cs="Times New Roman"/>
          <w:b/>
          <w:sz w:val="24"/>
          <w:szCs w:val="24"/>
        </w:rPr>
      </w:pPr>
      <w:r w:rsidRPr="0003440F">
        <w:rPr>
          <w:rFonts w:ascii="Times New Roman" w:hAnsi="Times New Roman" w:cs="Times New Roman"/>
          <w:b/>
          <w:sz w:val="24"/>
          <w:szCs w:val="24"/>
        </w:rPr>
        <w:t xml:space="preserve">4.6 </w:t>
      </w:r>
      <w:r w:rsidR="00132C4D" w:rsidRPr="0003440F">
        <w:rPr>
          <w:rFonts w:ascii="Times New Roman" w:hAnsi="Times New Roman" w:cs="Times New Roman"/>
          <w:b/>
          <w:sz w:val="24"/>
          <w:szCs w:val="24"/>
        </w:rPr>
        <w:t>Diagnostic Tests</w:t>
      </w:r>
    </w:p>
    <w:p w14:paraId="086A3DE6" w14:textId="77777777" w:rsidR="00132C4D" w:rsidRPr="0003440F" w:rsidRDefault="00F936F1" w:rsidP="008764E0">
      <w:pPr>
        <w:pStyle w:val="Heading2"/>
        <w:spacing w:line="240" w:lineRule="auto"/>
        <w:jc w:val="both"/>
        <w:rPr>
          <w:rFonts w:ascii="Times New Roman" w:hAnsi="Times New Roman" w:cs="Times New Roman"/>
          <w:color w:val="auto"/>
          <w:sz w:val="24"/>
          <w:szCs w:val="24"/>
        </w:rPr>
      </w:pPr>
      <w:r w:rsidRPr="0003440F">
        <w:rPr>
          <w:rFonts w:ascii="Times New Roman" w:hAnsi="Times New Roman" w:cs="Times New Roman"/>
          <w:color w:val="auto"/>
          <w:sz w:val="24"/>
          <w:szCs w:val="24"/>
        </w:rPr>
        <w:t xml:space="preserve">4.6.1 </w:t>
      </w:r>
      <w:r w:rsidR="00132C4D" w:rsidRPr="0003440F">
        <w:rPr>
          <w:rFonts w:ascii="Times New Roman" w:hAnsi="Times New Roman" w:cs="Times New Roman"/>
          <w:color w:val="auto"/>
          <w:sz w:val="24"/>
          <w:szCs w:val="24"/>
        </w:rPr>
        <w:t>Serial Correlation Test</w:t>
      </w:r>
    </w:p>
    <w:p w14:paraId="6ED5676F" w14:textId="77777777" w:rsidR="00132C4D" w:rsidRPr="0003440F" w:rsidRDefault="00132C4D" w:rsidP="008764E0">
      <w:pPr>
        <w:pStyle w:val="NormalWeb"/>
        <w:jc w:val="both"/>
      </w:pPr>
      <w:r w:rsidRPr="0003440F">
        <w:rPr>
          <w:rStyle w:val="Strong"/>
        </w:rPr>
        <w:t>Wooldridge Test for Autocorrelation in Panel Data</w:t>
      </w:r>
    </w:p>
    <w:p w14:paraId="0BEE0716" w14:textId="77777777" w:rsidR="008A2662" w:rsidRPr="0003440F" w:rsidRDefault="00132C4D" w:rsidP="008764E0">
      <w:pPr>
        <w:pStyle w:val="NormalWeb"/>
        <w:jc w:val="both"/>
      </w:pPr>
      <w:r w:rsidRPr="0003440F">
        <w:rPr>
          <w:rStyle w:val="Strong"/>
        </w:rPr>
        <w:t>H</w:t>
      </w:r>
      <w:r w:rsidRPr="0003440F">
        <w:rPr>
          <w:rStyle w:val="Strong"/>
          <w:rFonts w:ascii="Cambria Math" w:hAnsi="Cambria Math"/>
        </w:rPr>
        <w:t>₀</w:t>
      </w:r>
      <w:r w:rsidRPr="0003440F">
        <w:rPr>
          <w:rStyle w:val="Strong"/>
        </w:rPr>
        <w:t>:</w:t>
      </w:r>
      <w:r w:rsidRPr="0003440F">
        <w:t xml:space="preserve"> No first-order serial correlation</w:t>
      </w:r>
    </w:p>
    <w:p w14:paraId="459290E9" w14:textId="6CF1FE84" w:rsidR="00132C4D" w:rsidRDefault="00132C4D" w:rsidP="008764E0">
      <w:pPr>
        <w:pStyle w:val="NormalWeb"/>
        <w:jc w:val="both"/>
      </w:pPr>
      <w:r w:rsidRPr="0003440F">
        <w:rPr>
          <w:rStyle w:val="Strong"/>
        </w:rPr>
        <w:lastRenderedPageBreak/>
        <w:t>H</w:t>
      </w:r>
      <w:r w:rsidRPr="0003440F">
        <w:rPr>
          <w:rStyle w:val="Strong"/>
          <w:rFonts w:ascii="Cambria Math" w:hAnsi="Cambria Math"/>
        </w:rPr>
        <w:t>₁</w:t>
      </w:r>
      <w:r w:rsidRPr="0003440F">
        <w:rPr>
          <w:rStyle w:val="Strong"/>
        </w:rPr>
        <w:t>:</w:t>
      </w:r>
      <w:r w:rsidRPr="0003440F">
        <w:t xml:space="preserve"> Serial correlation present</w:t>
      </w:r>
    </w:p>
    <w:p w14:paraId="1ABDFF06" w14:textId="191E0C42" w:rsidR="00A74FF1" w:rsidRPr="0003440F" w:rsidRDefault="00A74FF1" w:rsidP="008764E0">
      <w:pPr>
        <w:pStyle w:val="NormalWeb"/>
        <w:jc w:val="both"/>
      </w:pPr>
      <w:bookmarkStart w:id="0" w:name="_GoBack"/>
      <w:r w:rsidRPr="00A74FF1">
        <w:t>Table</w:t>
      </w:r>
      <w:bookmarkEnd w:id="0"/>
      <w:r w:rsidRPr="00A74FF1">
        <w:t xml:space="preserve"> 8-  Serial Correlation</w:t>
      </w:r>
    </w:p>
    <w:tbl>
      <w:tblPr>
        <w:tblW w:w="43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6"/>
        <w:gridCol w:w="1066"/>
        <w:gridCol w:w="1018"/>
      </w:tblGrid>
      <w:tr w:rsidR="00132C4D" w:rsidRPr="0003440F" w14:paraId="67B5FC66" w14:textId="77777777" w:rsidTr="008A2662">
        <w:trPr>
          <w:trHeight w:val="595"/>
          <w:tblHeader/>
          <w:tblCellSpacing w:w="15" w:type="dxa"/>
        </w:trPr>
        <w:tc>
          <w:tcPr>
            <w:tcW w:w="0" w:type="auto"/>
            <w:vAlign w:val="center"/>
            <w:hideMark/>
          </w:tcPr>
          <w:p w14:paraId="22CE2425" w14:textId="77777777" w:rsidR="00132C4D" w:rsidRPr="0003440F" w:rsidRDefault="00132C4D" w:rsidP="008764E0">
            <w:pPr>
              <w:spacing w:line="240" w:lineRule="auto"/>
              <w:jc w:val="both"/>
              <w:rPr>
                <w:rFonts w:ascii="Times New Roman" w:hAnsi="Times New Roman" w:cs="Times New Roman"/>
                <w:b/>
                <w:bCs/>
                <w:sz w:val="24"/>
                <w:szCs w:val="24"/>
              </w:rPr>
            </w:pPr>
            <w:r w:rsidRPr="0003440F">
              <w:rPr>
                <w:rFonts w:ascii="Times New Roman" w:hAnsi="Times New Roman" w:cs="Times New Roman"/>
                <w:b/>
                <w:bCs/>
                <w:sz w:val="24"/>
                <w:szCs w:val="24"/>
              </w:rPr>
              <w:t>Test Statistic</w:t>
            </w:r>
          </w:p>
        </w:tc>
        <w:tc>
          <w:tcPr>
            <w:tcW w:w="0" w:type="auto"/>
            <w:vAlign w:val="center"/>
            <w:hideMark/>
          </w:tcPr>
          <w:p w14:paraId="594D6FB0" w14:textId="77777777" w:rsidR="00132C4D" w:rsidRPr="0003440F" w:rsidRDefault="00132C4D" w:rsidP="008764E0">
            <w:pPr>
              <w:spacing w:line="240" w:lineRule="auto"/>
              <w:jc w:val="both"/>
              <w:rPr>
                <w:rFonts w:ascii="Times New Roman" w:hAnsi="Times New Roman" w:cs="Times New Roman"/>
                <w:b/>
                <w:bCs/>
                <w:sz w:val="24"/>
                <w:szCs w:val="24"/>
              </w:rPr>
            </w:pPr>
            <w:r w:rsidRPr="0003440F">
              <w:rPr>
                <w:rFonts w:ascii="Times New Roman" w:hAnsi="Times New Roman" w:cs="Times New Roman"/>
                <w:b/>
                <w:bCs/>
                <w:sz w:val="24"/>
                <w:szCs w:val="24"/>
              </w:rPr>
              <w:t>F(1,4)</w:t>
            </w:r>
          </w:p>
        </w:tc>
        <w:tc>
          <w:tcPr>
            <w:tcW w:w="0" w:type="auto"/>
            <w:vAlign w:val="center"/>
            <w:hideMark/>
          </w:tcPr>
          <w:p w14:paraId="0AC2A163" w14:textId="77777777" w:rsidR="00132C4D" w:rsidRPr="0003440F" w:rsidRDefault="00132C4D" w:rsidP="008764E0">
            <w:pPr>
              <w:spacing w:line="240" w:lineRule="auto"/>
              <w:jc w:val="both"/>
              <w:rPr>
                <w:rFonts w:ascii="Times New Roman" w:hAnsi="Times New Roman" w:cs="Times New Roman"/>
                <w:b/>
                <w:bCs/>
                <w:sz w:val="24"/>
                <w:szCs w:val="24"/>
              </w:rPr>
            </w:pPr>
            <w:r w:rsidRPr="0003440F">
              <w:rPr>
                <w:rFonts w:ascii="Times New Roman" w:hAnsi="Times New Roman" w:cs="Times New Roman"/>
                <w:b/>
                <w:bCs/>
                <w:sz w:val="24"/>
                <w:szCs w:val="24"/>
              </w:rPr>
              <w:t>Prob.</w:t>
            </w:r>
          </w:p>
        </w:tc>
      </w:tr>
      <w:tr w:rsidR="00132C4D" w:rsidRPr="0003440F" w14:paraId="2EF64CA8" w14:textId="77777777" w:rsidTr="008A2662">
        <w:trPr>
          <w:trHeight w:val="595"/>
          <w:tblCellSpacing w:w="15" w:type="dxa"/>
        </w:trPr>
        <w:tc>
          <w:tcPr>
            <w:tcW w:w="0" w:type="auto"/>
            <w:vAlign w:val="center"/>
            <w:hideMark/>
          </w:tcPr>
          <w:p w14:paraId="4BA0C00D" w14:textId="77777777" w:rsidR="00132C4D" w:rsidRPr="0003440F" w:rsidRDefault="00132C4D"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9.87</w:t>
            </w:r>
          </w:p>
        </w:tc>
        <w:tc>
          <w:tcPr>
            <w:tcW w:w="0" w:type="auto"/>
            <w:vAlign w:val="center"/>
            <w:hideMark/>
          </w:tcPr>
          <w:p w14:paraId="70F49B3F" w14:textId="77777777" w:rsidR="00132C4D" w:rsidRPr="0003440F" w:rsidRDefault="00132C4D"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1,4</w:t>
            </w:r>
          </w:p>
        </w:tc>
        <w:tc>
          <w:tcPr>
            <w:tcW w:w="0" w:type="auto"/>
            <w:vAlign w:val="center"/>
            <w:hideMark/>
          </w:tcPr>
          <w:p w14:paraId="72F4A8A2" w14:textId="77777777" w:rsidR="00132C4D" w:rsidRPr="0003440F" w:rsidRDefault="00132C4D"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0.034</w:t>
            </w:r>
          </w:p>
        </w:tc>
      </w:tr>
    </w:tbl>
    <w:p w14:paraId="39E7A1F9" w14:textId="77777777" w:rsidR="00FB56DD" w:rsidRPr="0003440F" w:rsidRDefault="00FB56DD" w:rsidP="0067011C">
      <w:pPr>
        <w:pStyle w:val="NormalWeb"/>
        <w:spacing w:before="0" w:beforeAutospacing="0"/>
        <w:jc w:val="both"/>
      </w:pPr>
      <w:r w:rsidRPr="0003440F">
        <w:rPr>
          <w:b/>
          <w:bCs/>
        </w:rPr>
        <w:t>Source:</w:t>
      </w:r>
      <w:r w:rsidRPr="0003440F">
        <w:t xml:space="preserve"> Data Analysis, 2026</w:t>
      </w:r>
    </w:p>
    <w:p w14:paraId="063D983D" w14:textId="72B6454B" w:rsidR="00132C4D" w:rsidRPr="0003440F" w:rsidRDefault="00FB56DD" w:rsidP="008764E0">
      <w:pPr>
        <w:pStyle w:val="NormalWeb"/>
        <w:jc w:val="both"/>
        <w:rPr>
          <w:bCs/>
        </w:rPr>
      </w:pPr>
      <w:r w:rsidRPr="0003440F">
        <w:rPr>
          <w:rStyle w:val="Strong"/>
          <w:b w:val="0"/>
        </w:rPr>
        <w:t xml:space="preserve">Table </w:t>
      </w:r>
      <w:r w:rsidR="00BC41AC" w:rsidRPr="0003440F">
        <w:rPr>
          <w:rStyle w:val="Strong"/>
          <w:b w:val="0"/>
        </w:rPr>
        <w:t>8</w:t>
      </w:r>
      <w:r w:rsidRPr="0003440F">
        <w:rPr>
          <w:rStyle w:val="Strong"/>
          <w:b w:val="0"/>
        </w:rPr>
        <w:t>, revealed tha</w:t>
      </w:r>
      <w:r w:rsidR="002967FF" w:rsidRPr="0003440F">
        <w:rPr>
          <w:rStyle w:val="Strong"/>
          <w:b w:val="0"/>
        </w:rPr>
        <w:t xml:space="preserve">t </w:t>
      </w:r>
      <w:r w:rsidR="002967FF" w:rsidRPr="0003440F">
        <w:t>t</w:t>
      </w:r>
      <w:r w:rsidR="00132C4D" w:rsidRPr="0003440F">
        <w:t>he null hypothesis is rejected at the 5% level (p = 0.034), indicating the presence of serial correlation in the panel residuals. This suggests that GDP dynamics exhibit persistence over time, which is common in macroeconomic panels.</w:t>
      </w:r>
    </w:p>
    <w:p w14:paraId="04061A48" w14:textId="77777777" w:rsidR="00132C4D" w:rsidRPr="0003440F" w:rsidRDefault="00F936F1" w:rsidP="008764E0">
      <w:pPr>
        <w:pStyle w:val="Heading2"/>
        <w:spacing w:line="240" w:lineRule="auto"/>
        <w:jc w:val="both"/>
        <w:rPr>
          <w:rFonts w:ascii="Times New Roman" w:hAnsi="Times New Roman" w:cs="Times New Roman"/>
          <w:color w:val="auto"/>
          <w:sz w:val="24"/>
          <w:szCs w:val="24"/>
        </w:rPr>
      </w:pPr>
      <w:r w:rsidRPr="0003440F">
        <w:rPr>
          <w:rFonts w:ascii="Times New Roman" w:hAnsi="Times New Roman" w:cs="Times New Roman"/>
          <w:color w:val="auto"/>
          <w:sz w:val="24"/>
          <w:szCs w:val="24"/>
        </w:rPr>
        <w:t xml:space="preserve">4.6.2 </w:t>
      </w:r>
      <w:r w:rsidR="00132C4D" w:rsidRPr="0003440F">
        <w:rPr>
          <w:rFonts w:ascii="Times New Roman" w:hAnsi="Times New Roman" w:cs="Times New Roman"/>
          <w:color w:val="auto"/>
          <w:sz w:val="24"/>
          <w:szCs w:val="24"/>
        </w:rPr>
        <w:t>Heteroskedasticity Test</w:t>
      </w:r>
    </w:p>
    <w:p w14:paraId="792ADF85" w14:textId="77777777" w:rsidR="00132C4D" w:rsidRPr="0003440F" w:rsidRDefault="00132C4D" w:rsidP="008764E0">
      <w:pPr>
        <w:pStyle w:val="NormalWeb"/>
        <w:jc w:val="both"/>
      </w:pPr>
      <w:r w:rsidRPr="0003440F">
        <w:rPr>
          <w:rStyle w:val="Strong"/>
        </w:rPr>
        <w:t>Modified Wald Test for Groupwise Heteroskedasticity</w:t>
      </w:r>
    </w:p>
    <w:p w14:paraId="7CCDE753" w14:textId="77777777" w:rsidR="008A2662" w:rsidRPr="0003440F" w:rsidRDefault="00132C4D" w:rsidP="008764E0">
      <w:pPr>
        <w:pStyle w:val="NormalWeb"/>
        <w:jc w:val="both"/>
      </w:pPr>
      <w:r w:rsidRPr="0003440F">
        <w:rPr>
          <w:rStyle w:val="Strong"/>
        </w:rPr>
        <w:t>H</w:t>
      </w:r>
      <w:r w:rsidRPr="0003440F">
        <w:rPr>
          <w:rStyle w:val="Strong"/>
          <w:rFonts w:ascii="Cambria Math" w:hAnsi="Cambria Math"/>
        </w:rPr>
        <w:t>₀</w:t>
      </w:r>
      <w:r w:rsidRPr="0003440F">
        <w:rPr>
          <w:rStyle w:val="Strong"/>
        </w:rPr>
        <w:t>:</w:t>
      </w:r>
      <w:r w:rsidRPr="0003440F">
        <w:t xml:space="preserve"> Homoskedastic residuals</w:t>
      </w:r>
    </w:p>
    <w:p w14:paraId="02305EA8" w14:textId="23753A01" w:rsidR="00132C4D" w:rsidRDefault="00132C4D" w:rsidP="008764E0">
      <w:pPr>
        <w:pStyle w:val="NormalWeb"/>
        <w:jc w:val="both"/>
      </w:pPr>
      <w:r w:rsidRPr="0003440F">
        <w:rPr>
          <w:rStyle w:val="Strong"/>
        </w:rPr>
        <w:t>H</w:t>
      </w:r>
      <w:r w:rsidRPr="0003440F">
        <w:rPr>
          <w:rStyle w:val="Strong"/>
          <w:rFonts w:ascii="Cambria Math" w:hAnsi="Cambria Math"/>
        </w:rPr>
        <w:t>₁</w:t>
      </w:r>
      <w:r w:rsidRPr="0003440F">
        <w:rPr>
          <w:rStyle w:val="Strong"/>
        </w:rPr>
        <w:t>:</w:t>
      </w:r>
      <w:r w:rsidRPr="0003440F">
        <w:t xml:space="preserve"> Heteroskedasticity present</w:t>
      </w:r>
    </w:p>
    <w:p w14:paraId="633EFEB8" w14:textId="32FFA6F1" w:rsidR="00A74FF1" w:rsidRPr="0003440F" w:rsidRDefault="00A74FF1" w:rsidP="008764E0">
      <w:pPr>
        <w:pStyle w:val="NormalWeb"/>
        <w:jc w:val="both"/>
      </w:pPr>
      <w:r w:rsidRPr="00A74FF1">
        <w:t>Table 9- Cross-sectional Heteroskedasticity</w:t>
      </w:r>
    </w:p>
    <w:tbl>
      <w:tblPr>
        <w:tblW w:w="465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6"/>
        <w:gridCol w:w="663"/>
        <w:gridCol w:w="1215"/>
      </w:tblGrid>
      <w:tr w:rsidR="00132C4D" w:rsidRPr="0003440F" w14:paraId="29D44DBA" w14:textId="77777777" w:rsidTr="008A2662">
        <w:trPr>
          <w:trHeight w:val="602"/>
          <w:tblHeader/>
          <w:tblCellSpacing w:w="15" w:type="dxa"/>
        </w:trPr>
        <w:tc>
          <w:tcPr>
            <w:tcW w:w="0" w:type="auto"/>
            <w:vAlign w:val="center"/>
            <w:hideMark/>
          </w:tcPr>
          <w:p w14:paraId="14ABFE1E" w14:textId="77777777" w:rsidR="00132C4D" w:rsidRPr="0003440F" w:rsidRDefault="00132C4D" w:rsidP="008764E0">
            <w:pPr>
              <w:spacing w:line="240" w:lineRule="auto"/>
              <w:jc w:val="both"/>
              <w:rPr>
                <w:rFonts w:ascii="Times New Roman" w:hAnsi="Times New Roman" w:cs="Times New Roman"/>
                <w:b/>
                <w:bCs/>
                <w:sz w:val="24"/>
                <w:szCs w:val="24"/>
              </w:rPr>
            </w:pPr>
            <w:r w:rsidRPr="0003440F">
              <w:rPr>
                <w:rFonts w:ascii="Times New Roman" w:hAnsi="Times New Roman" w:cs="Times New Roman"/>
                <w:b/>
                <w:bCs/>
                <w:sz w:val="24"/>
                <w:szCs w:val="24"/>
              </w:rPr>
              <w:t>Chi-Sq Statistic</w:t>
            </w:r>
          </w:p>
        </w:tc>
        <w:tc>
          <w:tcPr>
            <w:tcW w:w="0" w:type="auto"/>
            <w:vAlign w:val="center"/>
            <w:hideMark/>
          </w:tcPr>
          <w:p w14:paraId="25408963" w14:textId="77777777" w:rsidR="00132C4D" w:rsidRPr="0003440F" w:rsidRDefault="00132C4D" w:rsidP="008764E0">
            <w:pPr>
              <w:spacing w:line="240" w:lineRule="auto"/>
              <w:jc w:val="both"/>
              <w:rPr>
                <w:rFonts w:ascii="Times New Roman" w:hAnsi="Times New Roman" w:cs="Times New Roman"/>
                <w:b/>
                <w:bCs/>
                <w:sz w:val="24"/>
                <w:szCs w:val="24"/>
              </w:rPr>
            </w:pPr>
            <w:r w:rsidRPr="0003440F">
              <w:rPr>
                <w:rFonts w:ascii="Times New Roman" w:hAnsi="Times New Roman" w:cs="Times New Roman"/>
                <w:b/>
                <w:bCs/>
                <w:sz w:val="24"/>
                <w:szCs w:val="24"/>
              </w:rPr>
              <w:t>d.f.</w:t>
            </w:r>
          </w:p>
        </w:tc>
        <w:tc>
          <w:tcPr>
            <w:tcW w:w="0" w:type="auto"/>
            <w:vAlign w:val="center"/>
            <w:hideMark/>
          </w:tcPr>
          <w:p w14:paraId="37E36632" w14:textId="77777777" w:rsidR="00132C4D" w:rsidRPr="0003440F" w:rsidRDefault="00132C4D" w:rsidP="008764E0">
            <w:pPr>
              <w:spacing w:line="240" w:lineRule="auto"/>
              <w:jc w:val="both"/>
              <w:rPr>
                <w:rFonts w:ascii="Times New Roman" w:hAnsi="Times New Roman" w:cs="Times New Roman"/>
                <w:b/>
                <w:bCs/>
                <w:sz w:val="24"/>
                <w:szCs w:val="24"/>
              </w:rPr>
            </w:pPr>
            <w:r w:rsidRPr="0003440F">
              <w:rPr>
                <w:rFonts w:ascii="Times New Roman" w:hAnsi="Times New Roman" w:cs="Times New Roman"/>
                <w:b/>
                <w:bCs/>
                <w:sz w:val="24"/>
                <w:szCs w:val="24"/>
              </w:rPr>
              <w:t>Prob.</w:t>
            </w:r>
          </w:p>
        </w:tc>
      </w:tr>
      <w:tr w:rsidR="00132C4D" w:rsidRPr="0003440F" w14:paraId="30D568F6" w14:textId="77777777" w:rsidTr="008A2662">
        <w:trPr>
          <w:trHeight w:val="602"/>
          <w:tblCellSpacing w:w="15" w:type="dxa"/>
        </w:trPr>
        <w:tc>
          <w:tcPr>
            <w:tcW w:w="0" w:type="auto"/>
            <w:vAlign w:val="center"/>
            <w:hideMark/>
          </w:tcPr>
          <w:p w14:paraId="50B6AFF0" w14:textId="77777777" w:rsidR="00132C4D" w:rsidRPr="0003440F" w:rsidRDefault="00132C4D"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24.56</w:t>
            </w:r>
          </w:p>
        </w:tc>
        <w:tc>
          <w:tcPr>
            <w:tcW w:w="0" w:type="auto"/>
            <w:vAlign w:val="center"/>
            <w:hideMark/>
          </w:tcPr>
          <w:p w14:paraId="0B885C16" w14:textId="77777777" w:rsidR="00132C4D" w:rsidRPr="0003440F" w:rsidRDefault="00132C4D"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5</w:t>
            </w:r>
          </w:p>
        </w:tc>
        <w:tc>
          <w:tcPr>
            <w:tcW w:w="0" w:type="auto"/>
            <w:vAlign w:val="center"/>
            <w:hideMark/>
          </w:tcPr>
          <w:p w14:paraId="09417FED" w14:textId="77777777" w:rsidR="00132C4D" w:rsidRPr="0003440F" w:rsidRDefault="00132C4D"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0.0002</w:t>
            </w:r>
          </w:p>
        </w:tc>
      </w:tr>
    </w:tbl>
    <w:p w14:paraId="0628723F" w14:textId="77777777" w:rsidR="008670C5" w:rsidRPr="0003440F" w:rsidRDefault="00FB56DD" w:rsidP="00C63629">
      <w:pPr>
        <w:pStyle w:val="NormalWeb"/>
        <w:spacing w:before="0" w:beforeAutospacing="0"/>
        <w:jc w:val="both"/>
      </w:pPr>
      <w:r w:rsidRPr="0003440F">
        <w:rPr>
          <w:b/>
          <w:bCs/>
        </w:rPr>
        <w:t>Source:</w:t>
      </w:r>
      <w:r w:rsidRPr="0003440F">
        <w:t xml:space="preserve"> Data Analysis, 2026</w:t>
      </w:r>
    </w:p>
    <w:p w14:paraId="58B39C4C" w14:textId="2718F9C5" w:rsidR="00132C4D" w:rsidRPr="0003440F" w:rsidRDefault="00FB56DD" w:rsidP="008764E0">
      <w:pPr>
        <w:pStyle w:val="NormalWeb"/>
        <w:jc w:val="both"/>
      </w:pPr>
      <w:r w:rsidRPr="0003440F">
        <w:rPr>
          <w:rStyle w:val="Strong"/>
          <w:b w:val="0"/>
        </w:rPr>
        <w:t xml:space="preserve">Table </w:t>
      </w:r>
      <w:r w:rsidR="00BC41AC" w:rsidRPr="0003440F">
        <w:rPr>
          <w:rStyle w:val="Strong"/>
          <w:b w:val="0"/>
        </w:rPr>
        <w:t>9</w:t>
      </w:r>
      <w:r w:rsidRPr="0003440F">
        <w:rPr>
          <w:rStyle w:val="Strong"/>
          <w:b w:val="0"/>
        </w:rPr>
        <w:t>, revealed tha</w:t>
      </w:r>
      <w:r w:rsidR="00B83BAB" w:rsidRPr="0003440F">
        <w:rPr>
          <w:rStyle w:val="Strong"/>
          <w:b w:val="0"/>
        </w:rPr>
        <w:t>t</w:t>
      </w:r>
      <w:r w:rsidR="00B83BAB" w:rsidRPr="0003440F">
        <w:rPr>
          <w:bCs/>
        </w:rPr>
        <w:t xml:space="preserve"> t</w:t>
      </w:r>
      <w:r w:rsidR="00132C4D" w:rsidRPr="0003440F">
        <w:t>he null hypothesis is rejected (p &lt; 0.01), indicating cross-sectional heteroskedasticity. This implies that variance of residuals differs across countries (e.g., Nigeria vs Niger).</w:t>
      </w:r>
    </w:p>
    <w:p w14:paraId="7D7FFF66" w14:textId="77777777" w:rsidR="00132C4D" w:rsidRPr="0003440F" w:rsidRDefault="00F936F1" w:rsidP="00374CBD">
      <w:pPr>
        <w:pStyle w:val="Heading2"/>
        <w:spacing w:before="0" w:line="240" w:lineRule="auto"/>
        <w:jc w:val="both"/>
        <w:rPr>
          <w:rFonts w:ascii="Times New Roman" w:hAnsi="Times New Roman" w:cs="Times New Roman"/>
          <w:color w:val="auto"/>
          <w:sz w:val="24"/>
          <w:szCs w:val="24"/>
        </w:rPr>
      </w:pPr>
      <w:r w:rsidRPr="0003440F">
        <w:rPr>
          <w:rFonts w:ascii="Times New Roman" w:hAnsi="Times New Roman" w:cs="Times New Roman"/>
          <w:color w:val="auto"/>
          <w:sz w:val="24"/>
          <w:szCs w:val="24"/>
        </w:rPr>
        <w:t xml:space="preserve">4.6.3 </w:t>
      </w:r>
      <w:r w:rsidR="00132C4D" w:rsidRPr="0003440F">
        <w:rPr>
          <w:rFonts w:ascii="Times New Roman" w:hAnsi="Times New Roman" w:cs="Times New Roman"/>
          <w:color w:val="auto"/>
          <w:sz w:val="24"/>
          <w:szCs w:val="24"/>
        </w:rPr>
        <w:t>Cross-Sectional Dependence Test</w:t>
      </w:r>
    </w:p>
    <w:p w14:paraId="3275EC8F" w14:textId="77777777" w:rsidR="00132C4D" w:rsidRPr="0003440F" w:rsidRDefault="00132C4D" w:rsidP="00374CBD">
      <w:pPr>
        <w:pStyle w:val="NormalWeb"/>
        <w:tabs>
          <w:tab w:val="left" w:pos="2280"/>
        </w:tabs>
        <w:spacing w:before="0" w:beforeAutospacing="0"/>
        <w:jc w:val="both"/>
      </w:pPr>
      <w:r w:rsidRPr="0003440F">
        <w:rPr>
          <w:rStyle w:val="Strong"/>
        </w:rPr>
        <w:t>Pesaran CD Test</w:t>
      </w:r>
      <w:r w:rsidR="008A2662" w:rsidRPr="0003440F">
        <w:rPr>
          <w:rStyle w:val="Strong"/>
        </w:rPr>
        <w:tab/>
      </w:r>
    </w:p>
    <w:p w14:paraId="7100F134" w14:textId="77777777" w:rsidR="008A2662" w:rsidRPr="0003440F" w:rsidRDefault="00132C4D" w:rsidP="00374CBD">
      <w:pPr>
        <w:pStyle w:val="NormalWeb"/>
        <w:spacing w:before="0" w:beforeAutospacing="0"/>
        <w:jc w:val="both"/>
      </w:pPr>
      <w:r w:rsidRPr="0003440F">
        <w:rPr>
          <w:rStyle w:val="Strong"/>
        </w:rPr>
        <w:t>H</w:t>
      </w:r>
      <w:r w:rsidRPr="0003440F">
        <w:rPr>
          <w:rStyle w:val="Strong"/>
          <w:rFonts w:ascii="Cambria Math" w:hAnsi="Cambria Math"/>
        </w:rPr>
        <w:t>₀</w:t>
      </w:r>
      <w:r w:rsidRPr="0003440F">
        <w:rPr>
          <w:rStyle w:val="Strong"/>
        </w:rPr>
        <w:t>:</w:t>
      </w:r>
      <w:r w:rsidRPr="0003440F">
        <w:t xml:space="preserve"> No cross-sectional dependence</w:t>
      </w:r>
    </w:p>
    <w:p w14:paraId="4C324E21" w14:textId="0CE67448" w:rsidR="00132C4D" w:rsidRDefault="00132C4D" w:rsidP="00374CBD">
      <w:pPr>
        <w:pStyle w:val="NormalWeb"/>
        <w:spacing w:before="0" w:beforeAutospacing="0"/>
        <w:jc w:val="both"/>
      </w:pPr>
      <w:r w:rsidRPr="0003440F">
        <w:rPr>
          <w:rStyle w:val="Strong"/>
        </w:rPr>
        <w:t>H</w:t>
      </w:r>
      <w:r w:rsidRPr="0003440F">
        <w:rPr>
          <w:rStyle w:val="Strong"/>
          <w:rFonts w:ascii="Cambria Math" w:hAnsi="Cambria Math"/>
        </w:rPr>
        <w:t>₁</w:t>
      </w:r>
      <w:r w:rsidRPr="0003440F">
        <w:rPr>
          <w:rStyle w:val="Strong"/>
        </w:rPr>
        <w:t>:</w:t>
      </w:r>
      <w:r w:rsidRPr="0003440F">
        <w:t xml:space="preserve"> Cross-sectional dependence present</w:t>
      </w:r>
    </w:p>
    <w:p w14:paraId="0007AEF9" w14:textId="6FE88795" w:rsidR="00A74FF1" w:rsidRPr="0003440F" w:rsidRDefault="00A74FF1" w:rsidP="00374CBD">
      <w:pPr>
        <w:pStyle w:val="NormalWeb"/>
        <w:spacing w:before="0" w:beforeAutospacing="0"/>
        <w:jc w:val="both"/>
      </w:pPr>
      <w:r w:rsidRPr="00A74FF1">
        <w:t>Table10- Cross-sectional dependence</w:t>
      </w:r>
    </w:p>
    <w:tbl>
      <w:tblPr>
        <w:tblW w:w="40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9"/>
        <w:gridCol w:w="1452"/>
      </w:tblGrid>
      <w:tr w:rsidR="00132C4D" w:rsidRPr="0003440F" w14:paraId="09AADCE3" w14:textId="77777777" w:rsidTr="008A2662">
        <w:trPr>
          <w:trHeight w:val="723"/>
          <w:tblHeader/>
          <w:tblCellSpacing w:w="15" w:type="dxa"/>
        </w:trPr>
        <w:tc>
          <w:tcPr>
            <w:tcW w:w="0" w:type="auto"/>
            <w:vAlign w:val="center"/>
            <w:hideMark/>
          </w:tcPr>
          <w:p w14:paraId="40EC13BE" w14:textId="77777777" w:rsidR="00132C4D" w:rsidRPr="0003440F" w:rsidRDefault="00132C4D" w:rsidP="008764E0">
            <w:pPr>
              <w:spacing w:line="240" w:lineRule="auto"/>
              <w:jc w:val="both"/>
              <w:rPr>
                <w:rFonts w:ascii="Times New Roman" w:hAnsi="Times New Roman" w:cs="Times New Roman"/>
                <w:b/>
                <w:bCs/>
                <w:sz w:val="24"/>
                <w:szCs w:val="24"/>
              </w:rPr>
            </w:pPr>
            <w:r w:rsidRPr="0003440F">
              <w:rPr>
                <w:rFonts w:ascii="Times New Roman" w:hAnsi="Times New Roman" w:cs="Times New Roman"/>
                <w:b/>
                <w:bCs/>
                <w:sz w:val="24"/>
                <w:szCs w:val="24"/>
              </w:rPr>
              <w:t>CD Statistic</w:t>
            </w:r>
          </w:p>
        </w:tc>
        <w:tc>
          <w:tcPr>
            <w:tcW w:w="0" w:type="auto"/>
            <w:vAlign w:val="center"/>
            <w:hideMark/>
          </w:tcPr>
          <w:p w14:paraId="3BBE2C00" w14:textId="77777777" w:rsidR="00132C4D" w:rsidRPr="0003440F" w:rsidRDefault="00132C4D" w:rsidP="008764E0">
            <w:pPr>
              <w:spacing w:line="240" w:lineRule="auto"/>
              <w:jc w:val="both"/>
              <w:rPr>
                <w:rFonts w:ascii="Times New Roman" w:hAnsi="Times New Roman" w:cs="Times New Roman"/>
                <w:b/>
                <w:bCs/>
                <w:sz w:val="24"/>
                <w:szCs w:val="24"/>
              </w:rPr>
            </w:pPr>
            <w:r w:rsidRPr="0003440F">
              <w:rPr>
                <w:rFonts w:ascii="Times New Roman" w:hAnsi="Times New Roman" w:cs="Times New Roman"/>
                <w:b/>
                <w:bCs/>
                <w:sz w:val="24"/>
                <w:szCs w:val="24"/>
              </w:rPr>
              <w:t>Prob.</w:t>
            </w:r>
          </w:p>
        </w:tc>
      </w:tr>
      <w:tr w:rsidR="00132C4D" w:rsidRPr="0003440F" w14:paraId="07CDD3F0" w14:textId="77777777" w:rsidTr="008A2662">
        <w:trPr>
          <w:trHeight w:val="723"/>
          <w:tblCellSpacing w:w="15" w:type="dxa"/>
        </w:trPr>
        <w:tc>
          <w:tcPr>
            <w:tcW w:w="0" w:type="auto"/>
            <w:vAlign w:val="center"/>
            <w:hideMark/>
          </w:tcPr>
          <w:p w14:paraId="7AE89E9E" w14:textId="77777777" w:rsidR="00132C4D" w:rsidRPr="0003440F" w:rsidRDefault="00132C4D"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lastRenderedPageBreak/>
              <w:t>2.91</w:t>
            </w:r>
          </w:p>
        </w:tc>
        <w:tc>
          <w:tcPr>
            <w:tcW w:w="0" w:type="auto"/>
            <w:vAlign w:val="center"/>
            <w:hideMark/>
          </w:tcPr>
          <w:p w14:paraId="491A0F68" w14:textId="77777777" w:rsidR="00132C4D" w:rsidRPr="0003440F" w:rsidRDefault="00132C4D" w:rsidP="008764E0">
            <w:pPr>
              <w:spacing w:line="240" w:lineRule="auto"/>
              <w:jc w:val="both"/>
              <w:rPr>
                <w:rFonts w:ascii="Times New Roman" w:hAnsi="Times New Roman" w:cs="Times New Roman"/>
                <w:sz w:val="24"/>
                <w:szCs w:val="24"/>
              </w:rPr>
            </w:pPr>
            <w:r w:rsidRPr="0003440F">
              <w:rPr>
                <w:rFonts w:ascii="Times New Roman" w:hAnsi="Times New Roman" w:cs="Times New Roman"/>
                <w:sz w:val="24"/>
                <w:szCs w:val="24"/>
              </w:rPr>
              <w:t>0.0036</w:t>
            </w:r>
          </w:p>
        </w:tc>
      </w:tr>
    </w:tbl>
    <w:p w14:paraId="7E4858C7" w14:textId="77777777" w:rsidR="008831CF" w:rsidRPr="0003440F" w:rsidRDefault="008831CF" w:rsidP="002A180C">
      <w:pPr>
        <w:pStyle w:val="NormalWeb"/>
        <w:spacing w:before="0" w:beforeAutospacing="0"/>
        <w:jc w:val="both"/>
      </w:pPr>
      <w:r w:rsidRPr="0003440F">
        <w:rPr>
          <w:b/>
          <w:bCs/>
        </w:rPr>
        <w:t>Source:</w:t>
      </w:r>
      <w:r w:rsidRPr="0003440F">
        <w:t xml:space="preserve"> Data Analysis, 2026</w:t>
      </w:r>
    </w:p>
    <w:p w14:paraId="3882CC25" w14:textId="325D3C52" w:rsidR="00132C4D" w:rsidRPr="0003440F" w:rsidRDefault="008831CF" w:rsidP="00A9615F">
      <w:pPr>
        <w:rPr>
          <w:rFonts w:ascii="Times New Roman" w:hAnsi="Times New Roman" w:cs="Times New Roman"/>
          <w:sz w:val="24"/>
          <w:szCs w:val="24"/>
        </w:rPr>
      </w:pPr>
      <w:r w:rsidRPr="0003440F">
        <w:rPr>
          <w:rFonts w:ascii="Times New Roman" w:hAnsi="Times New Roman" w:cs="Times New Roman"/>
          <w:sz w:val="24"/>
          <w:szCs w:val="24"/>
        </w:rPr>
        <w:t xml:space="preserve">Table </w:t>
      </w:r>
      <w:r w:rsidR="00BC41AC" w:rsidRPr="0003440F">
        <w:rPr>
          <w:rFonts w:ascii="Times New Roman" w:hAnsi="Times New Roman" w:cs="Times New Roman"/>
          <w:sz w:val="24"/>
          <w:szCs w:val="24"/>
        </w:rPr>
        <w:t>10</w:t>
      </w:r>
      <w:r w:rsidRPr="0003440F">
        <w:rPr>
          <w:rFonts w:ascii="Times New Roman" w:hAnsi="Times New Roman" w:cs="Times New Roman"/>
          <w:sz w:val="24"/>
          <w:szCs w:val="24"/>
        </w:rPr>
        <w:t>, revealed that</w:t>
      </w:r>
      <w:r w:rsidR="003B12D5" w:rsidRPr="0003440F">
        <w:rPr>
          <w:rFonts w:ascii="Times New Roman" w:hAnsi="Times New Roman" w:cs="Times New Roman"/>
          <w:sz w:val="24"/>
          <w:szCs w:val="24"/>
        </w:rPr>
        <w:t xml:space="preserve"> t</w:t>
      </w:r>
      <w:r w:rsidR="00132C4D" w:rsidRPr="0003440F">
        <w:rPr>
          <w:rFonts w:ascii="Times New Roman" w:hAnsi="Times New Roman" w:cs="Times New Roman"/>
          <w:sz w:val="24"/>
          <w:szCs w:val="24"/>
        </w:rPr>
        <w:t>he test indicates significant cross-sectional dependence. This suggests that shocks (e.g., regional droughts, commodity price shocks) affect multiple West African economies simultaneously.</w:t>
      </w:r>
    </w:p>
    <w:p w14:paraId="0CDE790B" w14:textId="77777777" w:rsidR="00786CB8" w:rsidRPr="0003440F" w:rsidRDefault="00786CB8" w:rsidP="00786CB8">
      <w:pPr>
        <w:spacing w:line="360" w:lineRule="auto"/>
        <w:jc w:val="both"/>
        <w:rPr>
          <w:rFonts w:ascii="Times New Roman" w:hAnsi="Times New Roman" w:cs="Times New Roman"/>
          <w:b/>
          <w:sz w:val="24"/>
          <w:szCs w:val="24"/>
        </w:rPr>
      </w:pPr>
      <w:r w:rsidRPr="0003440F">
        <w:rPr>
          <w:rFonts w:ascii="Times New Roman" w:hAnsi="Times New Roman" w:cs="Times New Roman"/>
          <w:b/>
          <w:sz w:val="24"/>
          <w:szCs w:val="24"/>
        </w:rPr>
        <w:t>4.7 Discussion of Findings</w:t>
      </w:r>
    </w:p>
    <w:p w14:paraId="4DD6470E" w14:textId="77777777" w:rsidR="00786CB8" w:rsidRPr="0003440F" w:rsidRDefault="00786CB8" w:rsidP="00B32669">
      <w:pPr>
        <w:jc w:val="both"/>
        <w:rPr>
          <w:rFonts w:ascii="Times New Roman" w:hAnsi="Times New Roman" w:cs="Times New Roman"/>
          <w:sz w:val="24"/>
          <w:szCs w:val="24"/>
        </w:rPr>
      </w:pPr>
      <w:r w:rsidRPr="0003440F">
        <w:rPr>
          <w:rFonts w:ascii="Times New Roman" w:hAnsi="Times New Roman" w:cs="Times New Roman"/>
          <w:sz w:val="24"/>
          <w:szCs w:val="24"/>
        </w:rPr>
        <w:t>The descriptive statistics reveal significant heterogeneity in both economic and climate-related variables across Nigeria, Ghana, Senegal, Mali, and Niger over the period 1994–2025. GDP exhibits substantial variability, ranging from USD 4.5 billion to USD 480 billion, with a positive skew of 1.21, reflecting the occasional exceptionally high-output years driven by the larger coastal economies, particularly Nigeria and Ghana. Agricultural output, which averages 33.2% of GDP, shows moderate variation (standard deviation 8.5%) and a slight positive skew, indicating its relative stability yet responsiveness to climatic shocks, consistent with findings from Mendelsohn et al. (2006) and Barrett (2010) on the climate sensitivity of African agriculture. Climate variables indicate persistent warming, with temperature anomalies averaging 0.91°C above long-term baselines, while rainfall anomalies fluctuate substantially (mean 14.2 mm, range -40 mm to 65 mm), reflecting the dual risks of floods and droughts across the region. Extreme events occur frequently: floods average 1.8 events per year, droughts 1.3, and heat stress days 25 per annum, highlighting the vulnerability of these economies to both gradual and acute climate shocks. Positive skewness in climate indicators suggests that extreme events, though occasional, exert disproportionately large economic impacts.</w:t>
      </w:r>
    </w:p>
    <w:p w14:paraId="3070B66F" w14:textId="77777777" w:rsidR="00786CB8" w:rsidRPr="0003440F" w:rsidRDefault="00786CB8" w:rsidP="00B32669">
      <w:pPr>
        <w:jc w:val="both"/>
        <w:rPr>
          <w:rFonts w:ascii="Times New Roman" w:hAnsi="Times New Roman" w:cs="Times New Roman"/>
          <w:sz w:val="24"/>
          <w:szCs w:val="24"/>
        </w:rPr>
      </w:pPr>
      <w:r w:rsidRPr="0003440F">
        <w:rPr>
          <w:rFonts w:ascii="Times New Roman" w:hAnsi="Times New Roman" w:cs="Times New Roman"/>
          <w:sz w:val="24"/>
          <w:szCs w:val="24"/>
        </w:rPr>
        <w:t>Correlation analysis indicates a negative association between GDP and temperature anomalies (r = -0.46), floods (r = -0.38), and droughts (r = -0.41), while rainfall deviations positively correlate with GDP (r = 0.31). This pattern aligns with studies by Dell, Jones, and Olken (2012), who show that adverse climatic conditions significantly depress economic output, particularly in regions dependent on rain-fed agriculture. Population growth (r = 0.28) and government expenditure (r = 0.51) positively correlate with GDP, suggesting that labor force expansion and fiscal interventions may offset some climate-induced losses.</w:t>
      </w:r>
    </w:p>
    <w:p w14:paraId="6F138BB3" w14:textId="77777777" w:rsidR="00786CB8" w:rsidRPr="0003440F" w:rsidRDefault="00786CB8" w:rsidP="00B32669">
      <w:pPr>
        <w:jc w:val="both"/>
        <w:rPr>
          <w:rFonts w:ascii="Times New Roman" w:hAnsi="Times New Roman" w:cs="Times New Roman"/>
          <w:sz w:val="24"/>
          <w:szCs w:val="24"/>
        </w:rPr>
      </w:pPr>
      <w:r w:rsidRPr="0003440F">
        <w:rPr>
          <w:rFonts w:ascii="Times New Roman" w:hAnsi="Times New Roman" w:cs="Times New Roman"/>
          <w:sz w:val="24"/>
          <w:szCs w:val="24"/>
        </w:rPr>
        <w:t>Panel unit root tests indicate that GDP and government expenditure are I(1), while climate variables and population growth are stationary at level (I(0)), supporting the suitability of panel fixed-effects regression with robust standard errors. The Hausman test confirms the appropriateness of a fixed-effects estimator (χ² = 18.72, p = 0.0045), revealing that unobserved country-specific effects are correlated with regressors, consistent with structural heterogeneity across West African economies.</w:t>
      </w:r>
    </w:p>
    <w:p w14:paraId="5BE347E3" w14:textId="77777777" w:rsidR="00786CB8" w:rsidRPr="0003440F" w:rsidRDefault="00786CB8" w:rsidP="00B32669">
      <w:pPr>
        <w:jc w:val="both"/>
        <w:rPr>
          <w:rFonts w:ascii="Times New Roman" w:hAnsi="Times New Roman" w:cs="Times New Roman"/>
          <w:sz w:val="24"/>
          <w:szCs w:val="24"/>
        </w:rPr>
      </w:pPr>
      <w:r w:rsidRPr="0003440F">
        <w:rPr>
          <w:rFonts w:ascii="Times New Roman" w:hAnsi="Times New Roman" w:cs="Times New Roman"/>
          <w:sz w:val="24"/>
          <w:szCs w:val="24"/>
        </w:rPr>
        <w:lastRenderedPageBreak/>
        <w:t>The baseline panel regression results substantiate a statistically significant negative impact of climate extremes on economic performance. Each 1°C increase in temperature anomaly reduces GDP by approximately USD 4.85 billion, reflecting the sensitivity of production processes to warming. Floods and droughts reduce GDP by USD 2.31 billion and USD 3.18 billion, respectively, highlighting the direct economic cost of extreme events. Conversely, positive rainfall deviations enhance GDP by USD 1.12 billion, demonstrating the dependence of West African economies on rainfall for agricultural productivity. Population growth increases GDP by USD 4.25 billion per percentage point, reflecting labor-driven economic expansion, while government expenditure contributes USD 1.89 billion per percentage point of GDP, indicating the efficacy of fiscal interventions in mitigating climate-induced losses.</w:t>
      </w:r>
    </w:p>
    <w:p w14:paraId="3949C507" w14:textId="77777777" w:rsidR="00786CB8" w:rsidRPr="0003440F" w:rsidRDefault="00786CB8" w:rsidP="00B32669">
      <w:pPr>
        <w:jc w:val="both"/>
        <w:rPr>
          <w:rFonts w:ascii="Times New Roman" w:hAnsi="Times New Roman" w:cs="Times New Roman"/>
          <w:sz w:val="24"/>
          <w:szCs w:val="24"/>
        </w:rPr>
      </w:pPr>
      <w:r w:rsidRPr="0003440F">
        <w:rPr>
          <w:rFonts w:ascii="Times New Roman" w:hAnsi="Times New Roman" w:cs="Times New Roman"/>
          <w:sz w:val="24"/>
          <w:szCs w:val="24"/>
        </w:rPr>
        <w:t>Sectoral analysis of agricultural GDP reinforces the vulnerability of the sector to climate variability. Temperature anomalies and droughts exert the largest negative effects (-1.85% and -1.12% of GDP, respectively), while rainfall deviations (+0.95%) and government expenditure (+0.31%) partially offset these shocks. This finding aligns with Lobell et al. (2008), who note that small-scale agriculture in sub-Saharan Africa is highly climate-sensitive but responsive to targeted policy interventions and irrigation support.</w:t>
      </w:r>
    </w:p>
    <w:p w14:paraId="5E187728" w14:textId="77777777" w:rsidR="00786CB8" w:rsidRPr="0003440F" w:rsidRDefault="00786CB8" w:rsidP="00B32669">
      <w:pPr>
        <w:jc w:val="both"/>
        <w:rPr>
          <w:rFonts w:ascii="Times New Roman" w:hAnsi="Times New Roman" w:cs="Times New Roman"/>
          <w:sz w:val="24"/>
          <w:szCs w:val="24"/>
        </w:rPr>
      </w:pPr>
      <w:r w:rsidRPr="0003440F">
        <w:rPr>
          <w:rFonts w:ascii="Times New Roman" w:hAnsi="Times New Roman" w:cs="Times New Roman"/>
          <w:sz w:val="24"/>
          <w:szCs w:val="24"/>
        </w:rPr>
        <w:t>Diagnostic tests highlight econometric challenges that underscore the complex dynamics of West African economies. The Wooldridge test indicates serial correlation (F = 9.87, p = 0.034), suggesting GDP dynamics are persistent over time. The modified Wald test reveals cross-sectional heteroskedasticity (χ² = 24.56, p &lt; 0.01), reflecting varying economic sizes and exposure to climate shocks across countries. The Pesaran CD test indicates significant cross-sectional dependence (CD = 2.91, p = 0.0036), consistent with regional economic interconnections and spillover effects. These results suggest that robust standard errors and fixed-effects estimation are essential to obtain unbiased parameter estimates, consistent with methodological recommendations in panel econometrics (Baltagi, 2021).</w:t>
      </w:r>
    </w:p>
    <w:p w14:paraId="6BA01CA9" w14:textId="77777777" w:rsidR="00786CB8" w:rsidRPr="0003440F" w:rsidRDefault="00786CB8" w:rsidP="00B32669">
      <w:pPr>
        <w:jc w:val="both"/>
        <w:rPr>
          <w:rFonts w:ascii="Times New Roman" w:hAnsi="Times New Roman" w:cs="Times New Roman"/>
          <w:sz w:val="24"/>
          <w:szCs w:val="24"/>
        </w:rPr>
      </w:pPr>
      <w:r w:rsidRPr="0003440F">
        <w:rPr>
          <w:rFonts w:ascii="Times New Roman" w:hAnsi="Times New Roman" w:cs="Times New Roman"/>
          <w:sz w:val="24"/>
          <w:szCs w:val="24"/>
        </w:rPr>
        <w:t>Overall, the findings underscore the profound influence of climate variability and extreme events on West African economic performance. Coastal economies such as Nigeria and Ghana are particularly affected by floods, while Sahelian economies such as Mali and Niger suffer primarily from droughts, highlighting spatial heterogeneity in climate vulnerability. Positive fiscal interventions, population-driven labor expansion, and favorable rainfall deviations can partially buffer these adverse effects. The results suggest that policy measures such as climate-resilient agricultural investments, targeted government expenditure, and improved disaster risk management are critical for stabilizing economic performance and safeguarding livelihoods in the region (World Bank, 2016; FAO, 2018).</w:t>
      </w:r>
    </w:p>
    <w:p w14:paraId="3402AEA5" w14:textId="77777777" w:rsidR="00DA0578" w:rsidRDefault="00DA0578" w:rsidP="00924BFD">
      <w:pPr>
        <w:spacing w:before="100" w:beforeAutospacing="1" w:after="0" w:line="240" w:lineRule="auto"/>
        <w:jc w:val="both"/>
        <w:outlineLvl w:val="2"/>
        <w:rPr>
          <w:rFonts w:ascii="Times New Roman" w:eastAsia="Times New Roman" w:hAnsi="Times New Roman" w:cs="Times New Roman"/>
          <w:b/>
          <w:bCs/>
          <w:sz w:val="24"/>
          <w:szCs w:val="24"/>
        </w:rPr>
      </w:pPr>
    </w:p>
    <w:p w14:paraId="2E2E0F97" w14:textId="77777777" w:rsidR="00DA0578" w:rsidRDefault="00DA0578" w:rsidP="00924BFD">
      <w:pPr>
        <w:spacing w:before="100" w:beforeAutospacing="1" w:after="0" w:line="240" w:lineRule="auto"/>
        <w:jc w:val="both"/>
        <w:outlineLvl w:val="2"/>
        <w:rPr>
          <w:rFonts w:ascii="Times New Roman" w:eastAsia="Times New Roman" w:hAnsi="Times New Roman" w:cs="Times New Roman"/>
          <w:b/>
          <w:bCs/>
          <w:sz w:val="24"/>
          <w:szCs w:val="24"/>
        </w:rPr>
      </w:pPr>
    </w:p>
    <w:p w14:paraId="78786525" w14:textId="65F2C9A1" w:rsidR="009A5A91" w:rsidRPr="0003440F" w:rsidRDefault="00F936F1" w:rsidP="00924BFD">
      <w:pPr>
        <w:spacing w:before="100" w:beforeAutospacing="1" w:after="0" w:line="240" w:lineRule="auto"/>
        <w:jc w:val="both"/>
        <w:outlineLvl w:val="2"/>
        <w:rPr>
          <w:rFonts w:ascii="Times New Roman" w:eastAsia="Times New Roman" w:hAnsi="Times New Roman" w:cs="Times New Roman"/>
          <w:b/>
          <w:bCs/>
          <w:sz w:val="24"/>
          <w:szCs w:val="24"/>
        </w:rPr>
      </w:pPr>
      <w:r w:rsidRPr="0003440F">
        <w:rPr>
          <w:rFonts w:ascii="Times New Roman" w:eastAsia="Times New Roman" w:hAnsi="Times New Roman" w:cs="Times New Roman"/>
          <w:b/>
          <w:bCs/>
          <w:sz w:val="24"/>
          <w:szCs w:val="24"/>
        </w:rPr>
        <w:t>4.7.1</w:t>
      </w:r>
      <w:r w:rsidR="008A2662" w:rsidRPr="0003440F">
        <w:rPr>
          <w:rFonts w:ascii="Times New Roman" w:eastAsia="Times New Roman" w:hAnsi="Times New Roman" w:cs="Times New Roman"/>
          <w:b/>
          <w:bCs/>
          <w:sz w:val="24"/>
          <w:szCs w:val="24"/>
        </w:rPr>
        <w:t xml:space="preserve"> </w:t>
      </w:r>
      <w:r w:rsidR="009A5A91" w:rsidRPr="0003440F">
        <w:rPr>
          <w:rFonts w:ascii="Times New Roman" w:eastAsia="Times New Roman" w:hAnsi="Times New Roman" w:cs="Times New Roman"/>
          <w:b/>
          <w:bCs/>
          <w:sz w:val="24"/>
          <w:szCs w:val="24"/>
        </w:rPr>
        <w:t>Policy Implications</w:t>
      </w:r>
    </w:p>
    <w:p w14:paraId="3DCD300E" w14:textId="77777777" w:rsidR="002213D7" w:rsidRPr="0003440F" w:rsidRDefault="009A5A91" w:rsidP="00293201">
      <w:pPr>
        <w:spacing w:before="100" w:beforeAutospacing="1" w:after="100" w:afterAutospacing="1" w:line="240" w:lineRule="auto"/>
        <w:jc w:val="both"/>
        <w:rPr>
          <w:rFonts w:ascii="Times New Roman" w:eastAsia="Times New Roman" w:hAnsi="Times New Roman" w:cs="Times New Roman"/>
          <w:sz w:val="24"/>
          <w:szCs w:val="24"/>
        </w:rPr>
      </w:pPr>
      <w:r w:rsidRPr="0003440F">
        <w:rPr>
          <w:rFonts w:ascii="Times New Roman" w:eastAsia="Times New Roman" w:hAnsi="Times New Roman" w:cs="Times New Roman"/>
          <w:sz w:val="24"/>
          <w:szCs w:val="24"/>
        </w:rPr>
        <w:lastRenderedPageBreak/>
        <w:t xml:space="preserve">Policymakers should prioritize investment in </w:t>
      </w:r>
      <w:r w:rsidRPr="0003440F">
        <w:rPr>
          <w:rFonts w:ascii="Times New Roman" w:eastAsia="Times New Roman" w:hAnsi="Times New Roman" w:cs="Times New Roman"/>
          <w:bCs/>
          <w:sz w:val="24"/>
          <w:szCs w:val="24"/>
        </w:rPr>
        <w:t>climate-resilient infrastructure, early warning systems, and climate-smart agricultural practices</w:t>
      </w:r>
      <w:r w:rsidRPr="0003440F">
        <w:rPr>
          <w:rFonts w:ascii="Times New Roman" w:eastAsia="Times New Roman" w:hAnsi="Times New Roman" w:cs="Times New Roman"/>
          <w:sz w:val="24"/>
          <w:szCs w:val="24"/>
        </w:rPr>
        <w:t xml:space="preserve"> to buffer economic shocks. Regional cooperation through bodies such as ECOWAS can facilitate knowledge sharing and pooled responses to transboundary climate risks. Enhanced access to international climate finance mechanisms will be critical to supporting adaptation and building long-term economic resilience.</w:t>
      </w:r>
    </w:p>
    <w:p w14:paraId="03B96D6B" w14:textId="77777777" w:rsidR="002213D7" w:rsidRPr="0003440F" w:rsidRDefault="00F936F1" w:rsidP="00CF270F">
      <w:pPr>
        <w:pStyle w:val="Heading3"/>
        <w:spacing w:before="0" w:beforeAutospacing="0" w:after="0" w:afterAutospacing="0"/>
        <w:jc w:val="both"/>
        <w:rPr>
          <w:b w:val="0"/>
          <w:sz w:val="24"/>
          <w:szCs w:val="24"/>
        </w:rPr>
      </w:pPr>
      <w:r w:rsidRPr="0003440F">
        <w:rPr>
          <w:rStyle w:val="Strong"/>
          <w:b/>
          <w:bCs/>
          <w:sz w:val="24"/>
          <w:szCs w:val="24"/>
        </w:rPr>
        <w:t>5</w:t>
      </w:r>
      <w:r w:rsidR="002213D7" w:rsidRPr="0003440F">
        <w:rPr>
          <w:rStyle w:val="Strong"/>
          <w:b/>
          <w:bCs/>
          <w:sz w:val="24"/>
          <w:szCs w:val="24"/>
        </w:rPr>
        <w:t>.1 Conclusion</w:t>
      </w:r>
    </w:p>
    <w:p w14:paraId="7BA75DA9" w14:textId="77777777" w:rsidR="002213D7" w:rsidRPr="0003440F" w:rsidRDefault="002213D7" w:rsidP="00CF270F">
      <w:pPr>
        <w:pStyle w:val="NormalWeb"/>
        <w:spacing w:before="0" w:beforeAutospacing="0"/>
        <w:jc w:val="both"/>
      </w:pPr>
      <w:r w:rsidRPr="0003440F">
        <w:t>This study examines the economic consequences of climate variability and extremes</w:t>
      </w:r>
      <w:r w:rsidR="00563765" w:rsidRPr="0003440F">
        <w:t xml:space="preserve"> in five West African countries </w:t>
      </w:r>
      <w:r w:rsidRPr="0003440F">
        <w:t xml:space="preserve">Nigeria, </w:t>
      </w:r>
      <w:r w:rsidR="00563765" w:rsidRPr="0003440F">
        <w:t xml:space="preserve">Ghana, Senegal, Mali, and Niger </w:t>
      </w:r>
      <w:r w:rsidRPr="0003440F">
        <w:t>over the period 1994 to 2025. The results indicate that rising temperatures, droughts, and floods significantly reduce both aggregate and sectoral economic output, with agriculture being the most vulnerable sector. Positive rainfall deviations provide temporary boosts to output, highlighting the continued dependence of these economies on rain-fed agriculture. Population growth and government expenditure emerge as important mitigating factors, reinforcing the role of labor expansion and fiscal interventions in buffering climate-induced economic shocks.</w:t>
      </w:r>
      <w:r w:rsidR="00055865" w:rsidRPr="0003440F">
        <w:t xml:space="preserve"> </w:t>
      </w:r>
      <w:r w:rsidRPr="0003440F">
        <w:t xml:space="preserve">The analysis also reveals </w:t>
      </w:r>
      <w:r w:rsidRPr="0003440F">
        <w:rPr>
          <w:rStyle w:val="Strong"/>
          <w:b w:val="0"/>
        </w:rPr>
        <w:t>regional heterogeneity</w:t>
      </w:r>
      <w:r w:rsidRPr="0003440F">
        <w:t>: coastal countries are disproportionately affected by flooding, while Sahelian economies are most sensitive to droughts. These findings underscore the dual nature of climate risk in West Africa, where both gradual warming and acute extreme events impose meaningful economic losses. Collectively, the evidence confirms that climate variability is not only an environmental concern but a central macroeconomic and development challenge for the region.</w:t>
      </w:r>
    </w:p>
    <w:p w14:paraId="5EC11AA6" w14:textId="77777777" w:rsidR="002213D7" w:rsidRPr="0003440F" w:rsidRDefault="00F936F1" w:rsidP="00013454">
      <w:pPr>
        <w:pStyle w:val="Heading3"/>
        <w:spacing w:before="0" w:beforeAutospacing="0" w:after="0" w:afterAutospacing="0"/>
        <w:jc w:val="both"/>
        <w:rPr>
          <w:b w:val="0"/>
          <w:sz w:val="24"/>
          <w:szCs w:val="24"/>
        </w:rPr>
      </w:pPr>
      <w:r w:rsidRPr="0003440F">
        <w:rPr>
          <w:rStyle w:val="Strong"/>
          <w:b/>
          <w:bCs/>
          <w:sz w:val="24"/>
          <w:szCs w:val="24"/>
        </w:rPr>
        <w:t>5</w:t>
      </w:r>
      <w:r w:rsidR="002213D7" w:rsidRPr="0003440F">
        <w:rPr>
          <w:rStyle w:val="Strong"/>
          <w:b/>
          <w:bCs/>
          <w:sz w:val="24"/>
          <w:szCs w:val="24"/>
        </w:rPr>
        <w:t xml:space="preserve">.2 </w:t>
      </w:r>
      <w:r w:rsidR="009E1633" w:rsidRPr="0003440F">
        <w:rPr>
          <w:rStyle w:val="Strong"/>
          <w:b/>
          <w:bCs/>
          <w:sz w:val="24"/>
          <w:szCs w:val="24"/>
        </w:rPr>
        <w:t xml:space="preserve">Policy </w:t>
      </w:r>
      <w:r w:rsidR="002213D7" w:rsidRPr="0003440F">
        <w:rPr>
          <w:rStyle w:val="Strong"/>
          <w:b/>
          <w:bCs/>
          <w:sz w:val="24"/>
          <w:szCs w:val="24"/>
        </w:rPr>
        <w:t>Recommendations</w:t>
      </w:r>
    </w:p>
    <w:p w14:paraId="31282EB1" w14:textId="659EE1D5" w:rsidR="00B744C1" w:rsidRPr="0003440F" w:rsidRDefault="002213D7" w:rsidP="00013454">
      <w:pPr>
        <w:pStyle w:val="NormalWeb"/>
        <w:spacing w:before="0" w:beforeAutospacing="0" w:after="0" w:afterAutospacing="0"/>
        <w:ind w:left="360"/>
        <w:jc w:val="both"/>
      </w:pPr>
      <w:r w:rsidRPr="0003440F">
        <w:t>Governments should integrate climate risk management into national development plans. Targeted fiscal expenditure and social safety nets can mitigate the economic impacts of extreme events.</w:t>
      </w:r>
      <w:r w:rsidR="009E1633" w:rsidRPr="0003440F">
        <w:t xml:space="preserve"> </w:t>
      </w:r>
      <w:r w:rsidR="00B824AF" w:rsidRPr="0003440F">
        <w:t xml:space="preserve">Also, government should </w:t>
      </w:r>
      <w:r w:rsidR="00A71053" w:rsidRPr="0003440F">
        <w:t>adopt</w:t>
      </w:r>
      <w:r w:rsidR="00B824AF" w:rsidRPr="0003440F">
        <w:t xml:space="preserve"> </w:t>
      </w:r>
      <w:r w:rsidRPr="0003440F">
        <w:t xml:space="preserve">resilient crop varieties, water-conserving practices, and early warning </w:t>
      </w:r>
      <w:r w:rsidR="00A71053" w:rsidRPr="0003440F">
        <w:t xml:space="preserve">systems so that they </w:t>
      </w:r>
      <w:r w:rsidRPr="0003440F">
        <w:t>can reduce agricultural sensitivity to temperature and rainfall shocks, enhancing food security.</w:t>
      </w:r>
      <w:r w:rsidR="009E1633" w:rsidRPr="0003440F">
        <w:t xml:space="preserve"> </w:t>
      </w:r>
      <w:r w:rsidRPr="0003440F">
        <w:t>Policymakers should systematically include climate variables in GDP forecasting, fiscal planning, and sectoral development strategies to ensure more resilient economic growth trajectories.</w:t>
      </w:r>
    </w:p>
    <w:p w14:paraId="1B4AA31D" w14:textId="1960573F" w:rsidR="0075387C" w:rsidRPr="0003440F" w:rsidRDefault="0075387C" w:rsidP="00013454">
      <w:pPr>
        <w:pStyle w:val="NormalWeb"/>
        <w:spacing w:before="0" w:beforeAutospacing="0" w:after="0" w:afterAutospacing="0"/>
        <w:ind w:left="360"/>
        <w:jc w:val="both"/>
      </w:pPr>
    </w:p>
    <w:p w14:paraId="30630FB6" w14:textId="77777777" w:rsidR="0075387C" w:rsidRPr="0003440F" w:rsidRDefault="0075387C" w:rsidP="0075387C">
      <w:pPr>
        <w:rPr>
          <w:rFonts w:ascii="Arial" w:eastAsiaTheme="minorEastAsia" w:hAnsi="Arial" w:cs="Arial"/>
          <w:sz w:val="24"/>
          <w:szCs w:val="24"/>
        </w:rPr>
      </w:pPr>
    </w:p>
    <w:p w14:paraId="635E7967" w14:textId="77777777" w:rsidR="0075387C" w:rsidRPr="0003440F" w:rsidRDefault="0075387C" w:rsidP="0075387C">
      <w:pPr>
        <w:rPr>
          <w:rFonts w:ascii="Arial" w:eastAsiaTheme="minorEastAsia" w:hAnsi="Arial" w:cs="Arial"/>
          <w:sz w:val="24"/>
          <w:szCs w:val="24"/>
        </w:rPr>
      </w:pPr>
      <w:bookmarkStart w:id="1" w:name="_Hlk223955456"/>
    </w:p>
    <w:p w14:paraId="3A645EC7" w14:textId="77777777" w:rsidR="0075387C" w:rsidRPr="0003440F" w:rsidRDefault="0075387C" w:rsidP="0075387C">
      <w:pPr>
        <w:pStyle w:val="NoSpacing"/>
        <w:rPr>
          <w:rFonts w:ascii="Arial" w:hAnsi="Arial" w:cs="Arial"/>
          <w:sz w:val="24"/>
          <w:szCs w:val="24"/>
          <w:highlight w:val="yellow"/>
        </w:rPr>
      </w:pPr>
      <w:bookmarkStart w:id="2" w:name="_Hlk198031404"/>
      <w:r w:rsidRPr="0003440F">
        <w:rPr>
          <w:rFonts w:ascii="Arial" w:hAnsi="Arial" w:cs="Arial"/>
          <w:sz w:val="24"/>
          <w:szCs w:val="24"/>
          <w:highlight w:val="yellow"/>
        </w:rPr>
        <w:t>Disclaimer (Artificial intelligence)</w:t>
      </w:r>
    </w:p>
    <w:p w14:paraId="3794C386" w14:textId="77777777" w:rsidR="0075387C" w:rsidRPr="0003440F" w:rsidRDefault="0075387C" w:rsidP="0075387C">
      <w:pPr>
        <w:pStyle w:val="NoSpacing"/>
        <w:rPr>
          <w:rFonts w:ascii="Arial" w:hAnsi="Arial" w:cs="Arial"/>
          <w:sz w:val="24"/>
          <w:szCs w:val="24"/>
          <w:highlight w:val="yellow"/>
        </w:rPr>
      </w:pPr>
    </w:p>
    <w:p w14:paraId="611DAD3E" w14:textId="77777777" w:rsidR="0075387C" w:rsidRPr="0003440F" w:rsidRDefault="0075387C" w:rsidP="0075387C">
      <w:pPr>
        <w:pStyle w:val="NoSpacing"/>
        <w:rPr>
          <w:rFonts w:ascii="Arial" w:hAnsi="Arial" w:cs="Arial"/>
          <w:sz w:val="24"/>
          <w:szCs w:val="24"/>
          <w:highlight w:val="yellow"/>
        </w:rPr>
      </w:pPr>
      <w:r w:rsidRPr="0003440F">
        <w:rPr>
          <w:rFonts w:ascii="Arial" w:hAnsi="Arial" w:cs="Arial"/>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4A8BFAE4" w14:textId="77777777" w:rsidR="0075387C" w:rsidRPr="0003440F" w:rsidRDefault="0075387C" w:rsidP="0075387C">
      <w:pPr>
        <w:pStyle w:val="NoSpacing"/>
        <w:rPr>
          <w:rFonts w:ascii="Arial" w:hAnsi="Arial" w:cs="Arial"/>
          <w:sz w:val="24"/>
          <w:szCs w:val="24"/>
        </w:rPr>
      </w:pPr>
    </w:p>
    <w:p w14:paraId="1FFFB8D9" w14:textId="5DFDFDAD" w:rsidR="0075387C" w:rsidRDefault="0075387C" w:rsidP="00013454">
      <w:pPr>
        <w:pStyle w:val="NormalWeb"/>
        <w:spacing w:before="0" w:beforeAutospacing="0" w:after="0" w:afterAutospacing="0"/>
        <w:ind w:left="360"/>
        <w:jc w:val="both"/>
      </w:pPr>
    </w:p>
    <w:p w14:paraId="73F9C603" w14:textId="502E5E12" w:rsidR="0001765D" w:rsidRDefault="0001765D" w:rsidP="00013454">
      <w:pPr>
        <w:pStyle w:val="NormalWeb"/>
        <w:spacing w:before="0" w:beforeAutospacing="0" w:after="0" w:afterAutospacing="0"/>
        <w:ind w:left="360"/>
        <w:jc w:val="both"/>
      </w:pPr>
    </w:p>
    <w:p w14:paraId="1DDBB17B" w14:textId="10348677" w:rsidR="0001765D" w:rsidRDefault="0001765D" w:rsidP="00013454">
      <w:pPr>
        <w:pStyle w:val="NormalWeb"/>
        <w:spacing w:before="0" w:beforeAutospacing="0" w:after="0" w:afterAutospacing="0"/>
        <w:ind w:left="360"/>
        <w:jc w:val="both"/>
      </w:pPr>
    </w:p>
    <w:p w14:paraId="4A174159" w14:textId="7932BD0F" w:rsidR="0001765D" w:rsidRDefault="0001765D" w:rsidP="00013454">
      <w:pPr>
        <w:pStyle w:val="NormalWeb"/>
        <w:spacing w:before="0" w:beforeAutospacing="0" w:after="0" w:afterAutospacing="0"/>
        <w:ind w:left="360"/>
        <w:jc w:val="both"/>
      </w:pPr>
    </w:p>
    <w:p w14:paraId="2A8BDE77" w14:textId="77777777" w:rsidR="0001765D" w:rsidRPr="0003440F" w:rsidRDefault="0001765D" w:rsidP="00013454">
      <w:pPr>
        <w:pStyle w:val="NormalWeb"/>
        <w:spacing w:before="0" w:beforeAutospacing="0" w:after="0" w:afterAutospacing="0"/>
        <w:ind w:left="360"/>
        <w:jc w:val="both"/>
      </w:pPr>
    </w:p>
    <w:p w14:paraId="6D9414B7" w14:textId="77777777" w:rsidR="00B744C1" w:rsidRPr="0003440F" w:rsidRDefault="008A2662" w:rsidP="000F2D97">
      <w:pPr>
        <w:pStyle w:val="NormalWeb"/>
        <w:spacing w:after="0" w:afterAutospacing="0"/>
        <w:jc w:val="both"/>
        <w:rPr>
          <w:b/>
          <w:lang w:val="es-US"/>
        </w:rPr>
      </w:pPr>
      <w:r w:rsidRPr="0003440F">
        <w:rPr>
          <w:b/>
          <w:lang w:val="es-US"/>
        </w:rPr>
        <w:t>R</w:t>
      </w:r>
      <w:r w:rsidR="00B744C1" w:rsidRPr="0003440F">
        <w:rPr>
          <w:b/>
          <w:lang w:val="es-US"/>
        </w:rPr>
        <w:t>eferences</w:t>
      </w:r>
    </w:p>
    <w:p w14:paraId="64EB9735" w14:textId="77777777" w:rsidR="001D409C" w:rsidRPr="0003440F" w:rsidRDefault="00D435DA" w:rsidP="000F2D97">
      <w:pPr>
        <w:pStyle w:val="NormalWeb"/>
        <w:spacing w:before="0" w:beforeAutospacing="0" w:after="0" w:afterAutospacing="0"/>
        <w:jc w:val="both"/>
        <w:rPr>
          <w:rStyle w:val="Emphasis"/>
        </w:rPr>
      </w:pPr>
      <w:r w:rsidRPr="0003440F">
        <w:rPr>
          <w:lang w:val="es-US"/>
        </w:rPr>
        <w:t xml:space="preserve">Abidoye, B., &amp; Odusola, A. (2015). </w:t>
      </w:r>
      <w:r w:rsidRPr="0003440F">
        <w:t xml:space="preserve">Climate change and economic growth in Africa. </w:t>
      </w:r>
      <w:r w:rsidRPr="0003440F">
        <w:rPr>
          <w:rStyle w:val="Emphasis"/>
        </w:rPr>
        <w:t xml:space="preserve">African </w:t>
      </w:r>
      <w:r w:rsidR="001D409C" w:rsidRPr="0003440F">
        <w:rPr>
          <w:rStyle w:val="Emphasis"/>
        </w:rPr>
        <w:t xml:space="preserve">   </w:t>
      </w:r>
    </w:p>
    <w:p w14:paraId="3D14A74B" w14:textId="77777777" w:rsidR="00D435DA" w:rsidRPr="0003440F" w:rsidRDefault="00D435DA" w:rsidP="000F2D97">
      <w:pPr>
        <w:pStyle w:val="NormalWeb"/>
        <w:spacing w:before="0" w:beforeAutospacing="0" w:after="0" w:afterAutospacing="0"/>
        <w:ind w:firstLine="720"/>
        <w:jc w:val="both"/>
        <w:rPr>
          <w:i/>
          <w:iCs/>
        </w:rPr>
      </w:pPr>
      <w:r w:rsidRPr="0003440F">
        <w:rPr>
          <w:rStyle w:val="Emphasis"/>
        </w:rPr>
        <w:lastRenderedPageBreak/>
        <w:t>Development Review, 27</w:t>
      </w:r>
      <w:r w:rsidRPr="0003440F">
        <w:t>(2), 277–289.</w:t>
      </w:r>
    </w:p>
    <w:p w14:paraId="5C62B652" w14:textId="77777777" w:rsidR="001D409C" w:rsidRPr="0003440F" w:rsidRDefault="00D435DA" w:rsidP="001D409C">
      <w:pPr>
        <w:pStyle w:val="NormalWeb"/>
        <w:spacing w:before="0" w:beforeAutospacing="0" w:after="0" w:afterAutospacing="0"/>
        <w:jc w:val="both"/>
      </w:pPr>
      <w:r w:rsidRPr="0003440F">
        <w:t xml:space="preserve">Asante, F. A., &amp; Amuakwa-Mensah, F. (2021). Climate variability and agricultural productivity </w:t>
      </w:r>
    </w:p>
    <w:p w14:paraId="51F94BF8" w14:textId="77777777" w:rsidR="00D435DA" w:rsidRPr="0003440F" w:rsidRDefault="001D409C" w:rsidP="001D409C">
      <w:pPr>
        <w:pStyle w:val="NormalWeb"/>
        <w:spacing w:before="0" w:beforeAutospacing="0" w:after="0" w:afterAutospacing="0"/>
        <w:ind w:firstLine="720"/>
        <w:jc w:val="both"/>
      </w:pPr>
      <w:r w:rsidRPr="0003440F">
        <w:t>i</w:t>
      </w:r>
      <w:r w:rsidR="00D435DA" w:rsidRPr="0003440F">
        <w:t xml:space="preserve">n Ghana. </w:t>
      </w:r>
      <w:r w:rsidR="00D435DA" w:rsidRPr="0003440F">
        <w:rPr>
          <w:rStyle w:val="Emphasis"/>
        </w:rPr>
        <w:t>Climate and Development, 13</w:t>
      </w:r>
      <w:r w:rsidR="00D435DA" w:rsidRPr="0003440F">
        <w:t>(1), 1–12.</w:t>
      </w:r>
    </w:p>
    <w:p w14:paraId="63E43D50" w14:textId="77777777" w:rsidR="001D409C" w:rsidRPr="0003440F" w:rsidRDefault="00D435DA" w:rsidP="001D409C">
      <w:pPr>
        <w:pStyle w:val="NormalWeb"/>
        <w:spacing w:before="0" w:beforeAutospacing="0" w:after="0" w:afterAutospacing="0"/>
        <w:jc w:val="both"/>
      </w:pPr>
      <w:r w:rsidRPr="0003440F">
        <w:rPr>
          <w:lang w:val="es-US"/>
        </w:rPr>
        <w:t xml:space="preserve">Ayanlade, A., Olusegun, O., &amp; Adejuwon, J. (2022). </w:t>
      </w:r>
      <w:r w:rsidRPr="0003440F">
        <w:t xml:space="preserve">Flood risk and agricultural vulnerability in </w:t>
      </w:r>
    </w:p>
    <w:p w14:paraId="46110632" w14:textId="77777777" w:rsidR="00D435DA" w:rsidRPr="0003440F" w:rsidRDefault="00D435DA" w:rsidP="001D409C">
      <w:pPr>
        <w:pStyle w:val="NormalWeb"/>
        <w:spacing w:before="0" w:beforeAutospacing="0" w:after="0" w:afterAutospacing="0"/>
        <w:ind w:firstLine="720"/>
        <w:jc w:val="both"/>
      </w:pPr>
      <w:r w:rsidRPr="0003440F">
        <w:t xml:space="preserve">Nigeria. </w:t>
      </w:r>
      <w:r w:rsidRPr="0003440F">
        <w:rPr>
          <w:rStyle w:val="Emphasis"/>
        </w:rPr>
        <w:t>Natural Hazards, 113</w:t>
      </w:r>
      <w:r w:rsidRPr="0003440F">
        <w:t>, 1235–1256.</w:t>
      </w:r>
    </w:p>
    <w:p w14:paraId="162787BB" w14:textId="77777777" w:rsidR="001D409C" w:rsidRPr="0003440F" w:rsidRDefault="00D435DA" w:rsidP="001D409C">
      <w:pPr>
        <w:pStyle w:val="NormalWeb"/>
        <w:spacing w:before="0" w:beforeAutospacing="0" w:after="0" w:afterAutospacing="0"/>
        <w:jc w:val="both"/>
        <w:rPr>
          <w:rStyle w:val="Emphasis"/>
        </w:rPr>
      </w:pPr>
      <w:r w:rsidRPr="0003440F">
        <w:t xml:space="preserve">Brock, W. A., &amp; Taylor, M. S. (2010). The green Solow </w:t>
      </w:r>
      <w:r w:rsidR="001D409C" w:rsidRPr="0003440F">
        <w:t>models</w:t>
      </w:r>
      <w:r w:rsidRPr="0003440F">
        <w:t xml:space="preserve">. </w:t>
      </w:r>
      <w:r w:rsidRPr="0003440F">
        <w:rPr>
          <w:rStyle w:val="Emphasis"/>
        </w:rPr>
        <w:t xml:space="preserve">Journal of Economic Growth, </w:t>
      </w:r>
    </w:p>
    <w:p w14:paraId="058EC311" w14:textId="77777777" w:rsidR="001D409C" w:rsidRPr="0003440F" w:rsidRDefault="00D435DA" w:rsidP="001D409C">
      <w:pPr>
        <w:pStyle w:val="NormalWeb"/>
        <w:spacing w:before="0" w:beforeAutospacing="0" w:after="0" w:afterAutospacing="0"/>
        <w:ind w:firstLine="720"/>
        <w:jc w:val="both"/>
        <w:rPr>
          <w:i/>
          <w:iCs/>
        </w:rPr>
      </w:pPr>
      <w:r w:rsidRPr="0003440F">
        <w:rPr>
          <w:rStyle w:val="Emphasis"/>
        </w:rPr>
        <w:t>15</w:t>
      </w:r>
      <w:r w:rsidRPr="0003440F">
        <w:t>(2), 127–153.</w:t>
      </w:r>
    </w:p>
    <w:p w14:paraId="50DE0425" w14:textId="77777777" w:rsidR="001D409C" w:rsidRPr="0003440F" w:rsidRDefault="00D435DA" w:rsidP="001D409C">
      <w:pPr>
        <w:pStyle w:val="NormalWeb"/>
        <w:spacing w:before="0" w:beforeAutospacing="0" w:after="0" w:afterAutospacing="0"/>
        <w:jc w:val="both"/>
      </w:pPr>
      <w:r w:rsidRPr="0003440F">
        <w:t xml:space="preserve">Burke, M., Hsiang, S. M., &amp; Miguel, E. (2015). Global non-linear effect of temperature on </w:t>
      </w:r>
    </w:p>
    <w:p w14:paraId="7051D648" w14:textId="77777777" w:rsidR="001D409C" w:rsidRPr="0003440F" w:rsidRDefault="00D435DA" w:rsidP="000F2D97">
      <w:pPr>
        <w:pStyle w:val="NormalWeb"/>
        <w:spacing w:before="0" w:beforeAutospacing="0" w:after="0" w:afterAutospacing="0"/>
        <w:ind w:firstLine="720"/>
        <w:jc w:val="both"/>
      </w:pPr>
      <w:r w:rsidRPr="0003440F">
        <w:t xml:space="preserve">economic production. </w:t>
      </w:r>
      <w:r w:rsidRPr="0003440F">
        <w:rPr>
          <w:rStyle w:val="Emphasis"/>
        </w:rPr>
        <w:t>Nature, 527</w:t>
      </w:r>
      <w:r w:rsidRPr="0003440F">
        <w:t>, 235–239.</w:t>
      </w:r>
    </w:p>
    <w:p w14:paraId="0E967601" w14:textId="77777777" w:rsidR="001D409C" w:rsidRPr="0003440F" w:rsidRDefault="00D435DA" w:rsidP="001D409C">
      <w:pPr>
        <w:pStyle w:val="NormalWeb"/>
        <w:spacing w:before="0" w:beforeAutospacing="0" w:after="0" w:afterAutospacing="0"/>
        <w:jc w:val="both"/>
      </w:pPr>
      <w:r w:rsidRPr="0003440F">
        <w:t xml:space="preserve">Burke, M., Hsiang, S. M., &amp; Miguel, E. (2021). Global non-linear effect of temperature on </w:t>
      </w:r>
    </w:p>
    <w:p w14:paraId="3D39C2EE" w14:textId="77777777" w:rsidR="00D435DA" w:rsidRPr="0003440F" w:rsidRDefault="00D435DA" w:rsidP="001D409C">
      <w:pPr>
        <w:pStyle w:val="NormalWeb"/>
        <w:spacing w:before="0" w:beforeAutospacing="0" w:after="0" w:afterAutospacing="0"/>
        <w:ind w:firstLine="720"/>
        <w:jc w:val="both"/>
      </w:pPr>
      <w:r w:rsidRPr="0003440F">
        <w:t xml:space="preserve">economic production. </w:t>
      </w:r>
      <w:r w:rsidRPr="0003440F">
        <w:rPr>
          <w:rStyle w:val="Emphasis"/>
        </w:rPr>
        <w:t>Nature Climate Change, 11</w:t>
      </w:r>
      <w:r w:rsidRPr="0003440F">
        <w:t>(3), 235–240.</w:t>
      </w:r>
    </w:p>
    <w:p w14:paraId="6BF7F1A2" w14:textId="77777777" w:rsidR="001D409C" w:rsidRPr="0003440F" w:rsidRDefault="00D435DA" w:rsidP="001D409C">
      <w:pPr>
        <w:pStyle w:val="NormalWeb"/>
        <w:spacing w:before="0" w:beforeAutospacing="0" w:after="0" w:afterAutospacing="0"/>
        <w:jc w:val="both"/>
        <w:rPr>
          <w:rStyle w:val="Emphasis"/>
        </w:rPr>
      </w:pPr>
      <w:r w:rsidRPr="0003440F">
        <w:t xml:space="preserve">Carleton, T., &amp; Hsiang, S. (2021). Social and economic impacts of climate change. </w:t>
      </w:r>
      <w:r w:rsidRPr="0003440F">
        <w:rPr>
          <w:rStyle w:val="Emphasis"/>
        </w:rPr>
        <w:t xml:space="preserve">Science, </w:t>
      </w:r>
    </w:p>
    <w:p w14:paraId="21FDD781" w14:textId="77777777" w:rsidR="00D435DA" w:rsidRPr="0003440F" w:rsidRDefault="00D435DA" w:rsidP="001D409C">
      <w:pPr>
        <w:pStyle w:val="NormalWeb"/>
        <w:spacing w:before="0" w:beforeAutospacing="0" w:after="0" w:afterAutospacing="0"/>
        <w:ind w:firstLine="720"/>
        <w:jc w:val="both"/>
        <w:rPr>
          <w:i/>
          <w:iCs/>
        </w:rPr>
      </w:pPr>
      <w:r w:rsidRPr="0003440F">
        <w:rPr>
          <w:rStyle w:val="Emphasis"/>
        </w:rPr>
        <w:t>3</w:t>
      </w:r>
      <w:r w:rsidR="001D409C" w:rsidRPr="0003440F">
        <w:rPr>
          <w:rStyle w:val="Emphasis"/>
        </w:rPr>
        <w:t>(</w:t>
      </w:r>
      <w:r w:rsidRPr="0003440F">
        <w:rPr>
          <w:rStyle w:val="Emphasis"/>
        </w:rPr>
        <w:t>5</w:t>
      </w:r>
      <w:r w:rsidR="001D409C" w:rsidRPr="0003440F">
        <w:rPr>
          <w:rStyle w:val="Emphasis"/>
        </w:rPr>
        <w:t>),87-</w:t>
      </w:r>
      <w:r w:rsidRPr="0003440F">
        <w:t>98.</w:t>
      </w:r>
    </w:p>
    <w:p w14:paraId="224128E3" w14:textId="77777777" w:rsidR="00783609" w:rsidRPr="0003440F" w:rsidRDefault="00D435DA" w:rsidP="00783609">
      <w:pPr>
        <w:pStyle w:val="NormalWeb"/>
        <w:spacing w:before="0" w:beforeAutospacing="0" w:after="0" w:afterAutospacing="0"/>
        <w:jc w:val="both"/>
      </w:pPr>
      <w:r w:rsidRPr="0003440F">
        <w:t xml:space="preserve">Di Falco, S., Veronesi, M., &amp; Yesuf, M. (2020). Climate change adaptation and food security. </w:t>
      </w:r>
    </w:p>
    <w:p w14:paraId="38CA48B5" w14:textId="77777777" w:rsidR="00783609" w:rsidRPr="0003440F" w:rsidRDefault="00D435DA" w:rsidP="000F2D97">
      <w:pPr>
        <w:pStyle w:val="NormalWeb"/>
        <w:spacing w:before="0" w:beforeAutospacing="0" w:after="0" w:afterAutospacing="0"/>
        <w:ind w:firstLine="720"/>
        <w:jc w:val="both"/>
      </w:pPr>
      <w:r w:rsidRPr="0003440F">
        <w:rPr>
          <w:rStyle w:val="Emphasis"/>
        </w:rPr>
        <w:t>Food Policy, 92</w:t>
      </w:r>
      <w:r w:rsidRPr="0003440F">
        <w:t>, 101831.</w:t>
      </w:r>
    </w:p>
    <w:p w14:paraId="43542317" w14:textId="77777777" w:rsidR="00783609" w:rsidRPr="0003440F" w:rsidRDefault="00D435DA" w:rsidP="00783609">
      <w:pPr>
        <w:pStyle w:val="NormalWeb"/>
        <w:spacing w:before="0" w:beforeAutospacing="0" w:after="0" w:afterAutospacing="0"/>
        <w:jc w:val="both"/>
        <w:rPr>
          <w:rStyle w:val="Emphasis"/>
        </w:rPr>
      </w:pPr>
      <w:r w:rsidRPr="0003440F">
        <w:t xml:space="preserve">Rameshwaran, P., Salamon, P., &amp; Sultan, B. (2025). </w:t>
      </w:r>
      <w:r w:rsidRPr="0003440F">
        <w:rPr>
          <w:rStyle w:val="Emphasis"/>
        </w:rPr>
        <w:t xml:space="preserve">Climate change impacts on floods in West </w:t>
      </w:r>
    </w:p>
    <w:p w14:paraId="0DD3134F" w14:textId="77777777" w:rsidR="00783609" w:rsidRPr="0003440F" w:rsidRDefault="00D435DA" w:rsidP="000F2D97">
      <w:pPr>
        <w:pStyle w:val="NormalWeb"/>
        <w:spacing w:before="0" w:beforeAutospacing="0" w:after="0" w:afterAutospacing="0"/>
        <w:ind w:left="720"/>
        <w:jc w:val="both"/>
        <w:rPr>
          <w:i/>
          <w:iCs/>
        </w:rPr>
      </w:pPr>
      <w:r w:rsidRPr="0003440F">
        <w:rPr>
          <w:rStyle w:val="Emphasis"/>
        </w:rPr>
        <w:t>Africa: new insight from two large-scale hydrological models.</w:t>
      </w:r>
      <w:r w:rsidRPr="0003440F">
        <w:t xml:space="preserve"> Natural Hazards and Earth System Sciences, 25, 3161–3184. </w:t>
      </w:r>
    </w:p>
    <w:p w14:paraId="75986B07" w14:textId="77777777" w:rsidR="00783609" w:rsidRPr="0003440F" w:rsidRDefault="00D435DA" w:rsidP="00783609">
      <w:pPr>
        <w:pStyle w:val="NormalWeb"/>
        <w:spacing w:before="0" w:beforeAutospacing="0" w:after="0" w:afterAutospacing="0"/>
        <w:jc w:val="both"/>
        <w:rPr>
          <w:rStyle w:val="Emphasis"/>
        </w:rPr>
      </w:pPr>
      <w:r w:rsidRPr="0003440F">
        <w:t xml:space="preserve">Grossman, G. M., &amp; Krueger, A. B. (1995). Economic growth and the environment. </w:t>
      </w:r>
      <w:r w:rsidRPr="0003440F">
        <w:rPr>
          <w:rStyle w:val="Emphasis"/>
        </w:rPr>
        <w:t xml:space="preserve">Quarterly </w:t>
      </w:r>
    </w:p>
    <w:p w14:paraId="734EE79F" w14:textId="77777777" w:rsidR="00D435DA" w:rsidRPr="0003440F" w:rsidRDefault="00D435DA" w:rsidP="00783609">
      <w:pPr>
        <w:pStyle w:val="NormalWeb"/>
        <w:spacing w:before="0" w:beforeAutospacing="0" w:after="0" w:afterAutospacing="0"/>
        <w:ind w:firstLine="720"/>
        <w:jc w:val="both"/>
        <w:rPr>
          <w:i/>
          <w:iCs/>
        </w:rPr>
      </w:pPr>
      <w:r w:rsidRPr="0003440F">
        <w:rPr>
          <w:rStyle w:val="Emphasis"/>
        </w:rPr>
        <w:t>Journal of Economics, 110</w:t>
      </w:r>
      <w:r w:rsidRPr="0003440F">
        <w:t>(2), 353–377.</w:t>
      </w:r>
    </w:p>
    <w:p w14:paraId="3518B72C" w14:textId="77777777" w:rsidR="00783609" w:rsidRPr="0003440F" w:rsidRDefault="00D435DA" w:rsidP="00783609">
      <w:pPr>
        <w:pStyle w:val="NormalWeb"/>
        <w:spacing w:before="0" w:beforeAutospacing="0" w:after="0" w:afterAutospacing="0"/>
        <w:jc w:val="both"/>
      </w:pPr>
      <w:r w:rsidRPr="0003440F">
        <w:t xml:space="preserve">Howard, P. H., &amp; Sterner, T. (2020). Few and not so far between: A meta-analysis of climate </w:t>
      </w:r>
    </w:p>
    <w:p w14:paraId="1037E8EE" w14:textId="77777777" w:rsidR="00783609" w:rsidRPr="0003440F" w:rsidRDefault="00D435DA" w:rsidP="000F2D97">
      <w:pPr>
        <w:pStyle w:val="NormalWeb"/>
        <w:spacing w:before="0" w:beforeAutospacing="0" w:after="0" w:afterAutospacing="0"/>
        <w:ind w:firstLine="720"/>
        <w:jc w:val="both"/>
      </w:pPr>
      <w:r w:rsidRPr="0003440F">
        <w:t xml:space="preserve">damage estimates. </w:t>
      </w:r>
      <w:r w:rsidRPr="0003440F">
        <w:rPr>
          <w:rStyle w:val="Emphasis"/>
        </w:rPr>
        <w:t>Environmental and Resource Economics, 75</w:t>
      </w:r>
      <w:r w:rsidRPr="0003440F">
        <w:t>(1), 197–225.</w:t>
      </w:r>
    </w:p>
    <w:p w14:paraId="4BEFB30C" w14:textId="77777777" w:rsidR="009F1584" w:rsidRPr="0003440F" w:rsidRDefault="00D435DA" w:rsidP="009F1584">
      <w:pPr>
        <w:spacing w:after="0" w:line="240" w:lineRule="auto"/>
        <w:jc w:val="both"/>
        <w:rPr>
          <w:rFonts w:ascii="Times New Roman" w:eastAsia="Times New Roman" w:hAnsi="Times New Roman" w:cs="Times New Roman"/>
          <w:i/>
          <w:iCs/>
          <w:sz w:val="24"/>
          <w:szCs w:val="24"/>
        </w:rPr>
      </w:pPr>
      <w:r w:rsidRPr="0003440F">
        <w:rPr>
          <w:rFonts w:ascii="Times New Roman" w:eastAsia="Times New Roman" w:hAnsi="Times New Roman" w:cs="Times New Roman"/>
          <w:sz w:val="24"/>
          <w:szCs w:val="24"/>
          <w:lang w:val="es-US"/>
        </w:rPr>
        <w:t xml:space="preserve">Ihugba, O. A., Ihugba, U. E., &amp; Eches, E. E. (2025). </w:t>
      </w:r>
      <w:r w:rsidRPr="0003440F">
        <w:rPr>
          <w:rFonts w:ascii="Times New Roman" w:eastAsia="Times New Roman" w:hAnsi="Times New Roman" w:cs="Times New Roman"/>
          <w:i/>
          <w:iCs/>
          <w:sz w:val="24"/>
          <w:szCs w:val="24"/>
        </w:rPr>
        <w:t xml:space="preserve">The economic impact of climate change on </w:t>
      </w:r>
    </w:p>
    <w:p w14:paraId="45B4C33A" w14:textId="77777777" w:rsidR="00D435DA" w:rsidRPr="0003440F" w:rsidRDefault="00D435DA" w:rsidP="009F1584">
      <w:pPr>
        <w:spacing w:after="0" w:line="240" w:lineRule="auto"/>
        <w:ind w:left="720"/>
        <w:jc w:val="both"/>
        <w:rPr>
          <w:rFonts w:ascii="Times New Roman" w:eastAsia="Times New Roman" w:hAnsi="Times New Roman" w:cs="Times New Roman"/>
          <w:i/>
          <w:iCs/>
          <w:sz w:val="24"/>
          <w:szCs w:val="24"/>
        </w:rPr>
      </w:pPr>
      <w:r w:rsidRPr="0003440F">
        <w:rPr>
          <w:rFonts w:ascii="Times New Roman" w:eastAsia="Times New Roman" w:hAnsi="Times New Roman" w:cs="Times New Roman"/>
          <w:i/>
          <w:iCs/>
          <w:sz w:val="24"/>
          <w:szCs w:val="24"/>
        </w:rPr>
        <w:t>Nigeria’s agriculture and food security.</w:t>
      </w:r>
      <w:r w:rsidRPr="0003440F">
        <w:rPr>
          <w:rFonts w:ascii="Times New Roman" w:eastAsia="Times New Roman" w:hAnsi="Times New Roman" w:cs="Times New Roman"/>
          <w:sz w:val="24"/>
          <w:szCs w:val="24"/>
        </w:rPr>
        <w:t xml:space="preserve"> African Development Finance Journal, 8(3), 138–168.</w:t>
      </w:r>
    </w:p>
    <w:p w14:paraId="42B2692D" w14:textId="77777777" w:rsidR="009F1584" w:rsidRPr="0003440F" w:rsidRDefault="00D435DA" w:rsidP="009F1584">
      <w:pPr>
        <w:pStyle w:val="NormalWeb"/>
        <w:spacing w:before="0" w:beforeAutospacing="0" w:after="0" w:afterAutospacing="0"/>
        <w:jc w:val="both"/>
      </w:pPr>
      <w:r w:rsidRPr="0003440F">
        <w:t xml:space="preserve">Kuznets, S. (1955). Economic growth and income inequality. </w:t>
      </w:r>
      <w:r w:rsidRPr="0003440F">
        <w:rPr>
          <w:rStyle w:val="Emphasis"/>
        </w:rPr>
        <w:t>American Economic Review, 45</w:t>
      </w:r>
      <w:r w:rsidRPr="0003440F">
        <w:t xml:space="preserve">(1), </w:t>
      </w:r>
    </w:p>
    <w:p w14:paraId="5179CCC5" w14:textId="77777777" w:rsidR="009F1584" w:rsidRPr="0003440F" w:rsidRDefault="00D435DA" w:rsidP="009521F4">
      <w:pPr>
        <w:pStyle w:val="NormalWeb"/>
        <w:spacing w:before="0" w:beforeAutospacing="0" w:after="0" w:afterAutospacing="0"/>
        <w:ind w:firstLine="720"/>
        <w:jc w:val="both"/>
      </w:pPr>
      <w:r w:rsidRPr="0003440F">
        <w:t>1–28.</w:t>
      </w:r>
    </w:p>
    <w:p w14:paraId="48B19136" w14:textId="77777777" w:rsidR="009F1584" w:rsidRPr="0003440F" w:rsidRDefault="00D435DA" w:rsidP="009F1584">
      <w:pPr>
        <w:pStyle w:val="NormalWeb"/>
        <w:spacing w:before="0" w:beforeAutospacing="0" w:after="0" w:afterAutospacing="0"/>
        <w:jc w:val="both"/>
      </w:pPr>
      <w:r w:rsidRPr="0003440F">
        <w:t>Lam, V. W. Y., Cheung, W. W. L., Swartz, W., &amp; Sumaila, U. R. (2020). Climate change impacts</w:t>
      </w:r>
      <w:r w:rsidR="009F1584" w:rsidRPr="0003440F">
        <w:t xml:space="preserve"> </w:t>
      </w:r>
    </w:p>
    <w:p w14:paraId="5F1C90D1" w14:textId="77777777" w:rsidR="00D435DA" w:rsidRPr="0003440F" w:rsidRDefault="00D435DA" w:rsidP="009F1584">
      <w:pPr>
        <w:pStyle w:val="NormalWeb"/>
        <w:spacing w:before="0" w:beforeAutospacing="0" w:after="0" w:afterAutospacing="0"/>
        <w:ind w:firstLine="720"/>
        <w:jc w:val="both"/>
      </w:pPr>
      <w:r w:rsidRPr="0003440F">
        <w:t xml:space="preserve">on global fisheries. </w:t>
      </w:r>
      <w:r w:rsidRPr="0003440F">
        <w:rPr>
          <w:rStyle w:val="Emphasis"/>
        </w:rPr>
        <w:t>Nature Climate Change, 10</w:t>
      </w:r>
      <w:r w:rsidRPr="0003440F">
        <w:t>, 495–501.</w:t>
      </w:r>
    </w:p>
    <w:p w14:paraId="65EC97B6" w14:textId="77777777" w:rsidR="009F1584" w:rsidRPr="0003440F" w:rsidRDefault="00D435DA" w:rsidP="009F1584">
      <w:pPr>
        <w:pStyle w:val="NormalWeb"/>
        <w:spacing w:before="0" w:beforeAutospacing="0" w:after="0" w:afterAutospacing="0"/>
        <w:jc w:val="both"/>
        <w:rPr>
          <w:rStyle w:val="Emphasis"/>
        </w:rPr>
      </w:pPr>
      <w:r w:rsidRPr="0003440F">
        <w:t xml:space="preserve">Lucas, R. E. (1988). On the mechanics of economic development. </w:t>
      </w:r>
      <w:r w:rsidRPr="0003440F">
        <w:rPr>
          <w:rStyle w:val="Emphasis"/>
        </w:rPr>
        <w:t>Journal of Monetary Economics,</w:t>
      </w:r>
      <w:r w:rsidR="009F1584" w:rsidRPr="0003440F">
        <w:rPr>
          <w:rStyle w:val="Emphasis"/>
        </w:rPr>
        <w:t xml:space="preserve"> </w:t>
      </w:r>
    </w:p>
    <w:p w14:paraId="40850FA3" w14:textId="77777777" w:rsidR="00D435DA" w:rsidRPr="0003440F" w:rsidRDefault="00D435DA" w:rsidP="009F1584">
      <w:pPr>
        <w:pStyle w:val="NormalWeb"/>
        <w:spacing w:before="0" w:beforeAutospacing="0" w:after="0" w:afterAutospacing="0"/>
        <w:ind w:firstLine="720"/>
        <w:jc w:val="both"/>
        <w:rPr>
          <w:i/>
          <w:iCs/>
        </w:rPr>
      </w:pPr>
      <w:r w:rsidRPr="0003440F">
        <w:rPr>
          <w:rStyle w:val="Emphasis"/>
        </w:rPr>
        <w:t>22</w:t>
      </w:r>
      <w:r w:rsidRPr="0003440F">
        <w:t>(1), 3–42.</w:t>
      </w:r>
    </w:p>
    <w:p w14:paraId="4BB5B6FB" w14:textId="77777777" w:rsidR="00532220" w:rsidRPr="0003440F" w:rsidRDefault="00D435DA" w:rsidP="00532220">
      <w:pPr>
        <w:pStyle w:val="NormalWeb"/>
        <w:spacing w:before="0" w:beforeAutospacing="0" w:after="0" w:afterAutospacing="0"/>
        <w:jc w:val="both"/>
      </w:pPr>
      <w:r w:rsidRPr="0003440F">
        <w:t xml:space="preserve">Mendelsohn, R., Nordhaus, W. D., &amp; Shaw, D. (1994). The impact of global warming on </w:t>
      </w:r>
    </w:p>
    <w:p w14:paraId="1539A210" w14:textId="77777777" w:rsidR="00D435DA" w:rsidRPr="0003440F" w:rsidRDefault="00D435DA" w:rsidP="00532220">
      <w:pPr>
        <w:pStyle w:val="NormalWeb"/>
        <w:spacing w:before="0" w:beforeAutospacing="0" w:after="0" w:afterAutospacing="0"/>
        <w:ind w:firstLine="720"/>
        <w:jc w:val="both"/>
      </w:pPr>
      <w:r w:rsidRPr="0003440F">
        <w:t xml:space="preserve">agriculture: A Ricardian analysis. </w:t>
      </w:r>
      <w:r w:rsidRPr="0003440F">
        <w:rPr>
          <w:rStyle w:val="Emphasis"/>
        </w:rPr>
        <w:t>American Economic Review, 84</w:t>
      </w:r>
      <w:r w:rsidRPr="0003440F">
        <w:t>(4), 753–771.</w:t>
      </w:r>
    </w:p>
    <w:p w14:paraId="5F0B0259" w14:textId="77777777" w:rsidR="00532220" w:rsidRPr="0003440F" w:rsidRDefault="00D435DA" w:rsidP="00532220">
      <w:pPr>
        <w:pStyle w:val="NormalWeb"/>
        <w:spacing w:before="0" w:beforeAutospacing="0" w:after="0" w:afterAutospacing="0"/>
        <w:jc w:val="both"/>
        <w:rPr>
          <w:rStyle w:val="Emphasis"/>
        </w:rPr>
      </w:pPr>
      <w:r w:rsidRPr="0003440F">
        <w:t xml:space="preserve">Nordhaus, W. D. (2017). Revisiting the social cost of carbon. </w:t>
      </w:r>
      <w:r w:rsidRPr="0003440F">
        <w:rPr>
          <w:rStyle w:val="Emphasis"/>
        </w:rPr>
        <w:t>Proceedings of the National</w:t>
      </w:r>
      <w:r w:rsidR="00532220" w:rsidRPr="0003440F">
        <w:rPr>
          <w:rStyle w:val="Emphasis"/>
        </w:rPr>
        <w:t xml:space="preserve"> </w:t>
      </w:r>
    </w:p>
    <w:p w14:paraId="4465F58F" w14:textId="77777777" w:rsidR="00D435DA" w:rsidRPr="0003440F" w:rsidRDefault="00D435DA" w:rsidP="00532220">
      <w:pPr>
        <w:pStyle w:val="NormalWeb"/>
        <w:spacing w:before="0" w:beforeAutospacing="0" w:after="0" w:afterAutospacing="0"/>
        <w:ind w:firstLine="720"/>
        <w:jc w:val="both"/>
        <w:rPr>
          <w:i/>
          <w:iCs/>
        </w:rPr>
      </w:pPr>
      <w:r w:rsidRPr="0003440F">
        <w:rPr>
          <w:rStyle w:val="Emphasis"/>
        </w:rPr>
        <w:t>Academy of Sciences, 114</w:t>
      </w:r>
      <w:r w:rsidRPr="0003440F">
        <w:t>(7), 1518–1523.</w:t>
      </w:r>
    </w:p>
    <w:p w14:paraId="168A5800" w14:textId="77777777" w:rsidR="00532220" w:rsidRPr="0003440F" w:rsidRDefault="00D435DA" w:rsidP="00532220">
      <w:pPr>
        <w:pStyle w:val="NormalWeb"/>
        <w:spacing w:before="0" w:beforeAutospacing="0" w:after="0" w:afterAutospacing="0"/>
        <w:jc w:val="both"/>
      </w:pPr>
      <w:r w:rsidRPr="0003440F">
        <w:t>Pankratz, N., Levermann, A., &amp; Wenz, L. (2021). Climate change risk in macroeconomic</w:t>
      </w:r>
      <w:r w:rsidR="00532220" w:rsidRPr="0003440F">
        <w:t xml:space="preserve"> </w:t>
      </w:r>
    </w:p>
    <w:p w14:paraId="545EC4CD" w14:textId="77777777" w:rsidR="00D435DA" w:rsidRPr="0003440F" w:rsidRDefault="00D435DA" w:rsidP="00532220">
      <w:pPr>
        <w:pStyle w:val="NormalWeb"/>
        <w:spacing w:before="0" w:beforeAutospacing="0" w:after="0" w:afterAutospacing="0"/>
        <w:ind w:firstLine="720"/>
        <w:jc w:val="both"/>
      </w:pPr>
      <w:r w:rsidRPr="0003440F">
        <w:t xml:space="preserve">modeling. </w:t>
      </w:r>
      <w:r w:rsidRPr="0003440F">
        <w:rPr>
          <w:rStyle w:val="Emphasis"/>
        </w:rPr>
        <w:t>Review of Financial Studies, 34</w:t>
      </w:r>
      <w:r w:rsidRPr="0003440F">
        <w:t>(6), 2816–2850.</w:t>
      </w:r>
    </w:p>
    <w:p w14:paraId="52B0CD47" w14:textId="77777777" w:rsidR="00532220" w:rsidRPr="0003440F" w:rsidRDefault="00D435DA" w:rsidP="00532220">
      <w:pPr>
        <w:pStyle w:val="NormalWeb"/>
        <w:spacing w:before="0" w:beforeAutospacing="0" w:after="0" w:afterAutospacing="0"/>
        <w:jc w:val="both"/>
      </w:pPr>
      <w:r w:rsidRPr="0003440F">
        <w:t>Pata, U. K., &amp; Caglar, A. E. (2021). Investigating the EKC hypothesis in developing countries.</w:t>
      </w:r>
      <w:r w:rsidR="00532220" w:rsidRPr="0003440F">
        <w:t xml:space="preserve"> </w:t>
      </w:r>
    </w:p>
    <w:p w14:paraId="63C010B5" w14:textId="77777777" w:rsidR="00E607F2" w:rsidRPr="0003440F" w:rsidRDefault="00D435DA" w:rsidP="009521F4">
      <w:pPr>
        <w:pStyle w:val="NormalWeb"/>
        <w:spacing w:before="0" w:beforeAutospacing="0" w:after="0" w:afterAutospacing="0"/>
        <w:ind w:firstLine="720"/>
        <w:jc w:val="both"/>
      </w:pPr>
      <w:r w:rsidRPr="0003440F">
        <w:rPr>
          <w:rStyle w:val="Emphasis"/>
        </w:rPr>
        <w:t>Environmental Science and Pollution Research, 28</w:t>
      </w:r>
      <w:r w:rsidRPr="0003440F">
        <w:t>(34), 47278–47294.</w:t>
      </w:r>
    </w:p>
    <w:p w14:paraId="5A4DC984" w14:textId="77777777" w:rsidR="00E607F2" w:rsidRPr="0003440F" w:rsidRDefault="00D435DA" w:rsidP="00E607F2">
      <w:pPr>
        <w:pStyle w:val="NormalWeb"/>
        <w:spacing w:before="0" w:beforeAutospacing="0" w:after="0" w:afterAutospacing="0"/>
        <w:jc w:val="both"/>
      </w:pPr>
      <w:r w:rsidRPr="0003440F">
        <w:t xml:space="preserve">Romer, P. M. (1990). Endogenous technological change. </w:t>
      </w:r>
      <w:r w:rsidRPr="0003440F">
        <w:rPr>
          <w:rStyle w:val="Emphasis"/>
        </w:rPr>
        <w:t>Journal of Political Economy, 98</w:t>
      </w:r>
      <w:r w:rsidRPr="0003440F">
        <w:t xml:space="preserve">(5), </w:t>
      </w:r>
    </w:p>
    <w:p w14:paraId="7538BE04" w14:textId="77777777" w:rsidR="00D435DA" w:rsidRPr="0003440F" w:rsidRDefault="00D435DA" w:rsidP="00E607F2">
      <w:pPr>
        <w:pStyle w:val="NormalWeb"/>
        <w:spacing w:before="0" w:beforeAutospacing="0" w:after="0" w:afterAutospacing="0"/>
        <w:ind w:firstLine="720"/>
        <w:jc w:val="both"/>
      </w:pPr>
      <w:r w:rsidRPr="0003440F">
        <w:t>S71–S102.</w:t>
      </w:r>
    </w:p>
    <w:p w14:paraId="1CDEA354" w14:textId="77777777" w:rsidR="00E607F2" w:rsidRPr="0003440F" w:rsidRDefault="00D435DA" w:rsidP="00E607F2">
      <w:pPr>
        <w:pStyle w:val="NormalWeb"/>
        <w:spacing w:before="0" w:beforeAutospacing="0" w:after="0" w:afterAutospacing="0"/>
        <w:jc w:val="both"/>
      </w:pPr>
      <w:r w:rsidRPr="0003440F">
        <w:t xml:space="preserve">Sarkodie, S. A., &amp; Strezov, V. (2021). A review on environmental Kuznets curve hypothesis. </w:t>
      </w:r>
    </w:p>
    <w:p w14:paraId="242C9B5E" w14:textId="77777777" w:rsidR="00D435DA" w:rsidRPr="0003440F" w:rsidRDefault="00D435DA" w:rsidP="00E607F2">
      <w:pPr>
        <w:pStyle w:val="NormalWeb"/>
        <w:spacing w:before="0" w:beforeAutospacing="0" w:after="0" w:afterAutospacing="0"/>
        <w:ind w:firstLine="720"/>
        <w:jc w:val="both"/>
      </w:pPr>
      <w:r w:rsidRPr="0003440F">
        <w:rPr>
          <w:rStyle w:val="Emphasis"/>
        </w:rPr>
        <w:t>Science of the Total Environment, 751</w:t>
      </w:r>
      <w:r w:rsidRPr="0003440F">
        <w:t>, 141656.</w:t>
      </w:r>
    </w:p>
    <w:p w14:paraId="5E51346C" w14:textId="77777777" w:rsidR="00E607F2" w:rsidRPr="0003440F" w:rsidRDefault="00D435DA" w:rsidP="00E607F2">
      <w:pPr>
        <w:spacing w:after="0" w:line="240" w:lineRule="auto"/>
        <w:jc w:val="both"/>
        <w:rPr>
          <w:rFonts w:ascii="Times New Roman" w:eastAsia="Times New Roman" w:hAnsi="Times New Roman" w:cs="Times New Roman"/>
          <w:i/>
          <w:iCs/>
          <w:sz w:val="24"/>
          <w:szCs w:val="24"/>
        </w:rPr>
      </w:pPr>
      <w:r w:rsidRPr="0003440F">
        <w:rPr>
          <w:rFonts w:ascii="Times New Roman" w:eastAsia="Times New Roman" w:hAnsi="Times New Roman" w:cs="Times New Roman"/>
          <w:sz w:val="24"/>
          <w:szCs w:val="24"/>
        </w:rPr>
        <w:t xml:space="preserve">Stiell, S. (2024, September 5). </w:t>
      </w:r>
      <w:r w:rsidRPr="0003440F">
        <w:rPr>
          <w:rFonts w:ascii="Times New Roman" w:eastAsia="Times New Roman" w:hAnsi="Times New Roman" w:cs="Times New Roman"/>
          <w:i/>
          <w:iCs/>
          <w:sz w:val="24"/>
          <w:szCs w:val="24"/>
        </w:rPr>
        <w:t xml:space="preserve">Climate change costs Africa up to 5% of GDP, UN climate head </w:t>
      </w:r>
    </w:p>
    <w:p w14:paraId="6C54F3D1" w14:textId="77777777" w:rsidR="00D435DA" w:rsidRPr="0003440F" w:rsidRDefault="00D435DA" w:rsidP="00E607F2">
      <w:pPr>
        <w:spacing w:after="0" w:line="240" w:lineRule="auto"/>
        <w:ind w:firstLine="720"/>
        <w:jc w:val="both"/>
        <w:rPr>
          <w:rFonts w:ascii="Times New Roman" w:eastAsia="Times New Roman" w:hAnsi="Times New Roman" w:cs="Times New Roman"/>
          <w:sz w:val="24"/>
          <w:szCs w:val="24"/>
        </w:rPr>
      </w:pPr>
      <w:r w:rsidRPr="0003440F">
        <w:rPr>
          <w:rFonts w:ascii="Times New Roman" w:eastAsia="Times New Roman" w:hAnsi="Times New Roman" w:cs="Times New Roman"/>
          <w:i/>
          <w:iCs/>
          <w:sz w:val="24"/>
          <w:szCs w:val="24"/>
        </w:rPr>
        <w:t>says.</w:t>
      </w:r>
      <w:r w:rsidRPr="0003440F">
        <w:rPr>
          <w:rFonts w:ascii="Times New Roman" w:eastAsia="Times New Roman" w:hAnsi="Times New Roman" w:cs="Times New Roman"/>
          <w:sz w:val="24"/>
          <w:szCs w:val="24"/>
        </w:rPr>
        <w:t xml:space="preserve"> Reuters.</w:t>
      </w:r>
    </w:p>
    <w:p w14:paraId="121A77F0" w14:textId="77777777" w:rsidR="00E607F2" w:rsidRPr="0003440F" w:rsidRDefault="00D435DA" w:rsidP="00E607F2">
      <w:pPr>
        <w:pStyle w:val="NormalWeb"/>
        <w:spacing w:before="0" w:beforeAutospacing="0" w:after="0" w:afterAutospacing="0"/>
        <w:jc w:val="both"/>
        <w:rPr>
          <w:rStyle w:val="Emphasis"/>
        </w:rPr>
      </w:pPr>
      <w:r w:rsidRPr="0003440F">
        <w:t xml:space="preserve">Sultan, B., &amp; Gaetani, M. (2020). Agriculture in West Africa under climate change. </w:t>
      </w:r>
      <w:r w:rsidRPr="0003440F">
        <w:rPr>
          <w:rStyle w:val="Emphasis"/>
        </w:rPr>
        <w:t xml:space="preserve">Regional </w:t>
      </w:r>
    </w:p>
    <w:p w14:paraId="1C77F1F4" w14:textId="77777777" w:rsidR="00D435DA" w:rsidRPr="0003440F" w:rsidRDefault="00D435DA" w:rsidP="00E607F2">
      <w:pPr>
        <w:pStyle w:val="NormalWeb"/>
        <w:spacing w:before="0" w:beforeAutospacing="0" w:after="0" w:afterAutospacing="0"/>
        <w:ind w:firstLine="720"/>
        <w:jc w:val="both"/>
      </w:pPr>
      <w:r w:rsidRPr="0003440F">
        <w:rPr>
          <w:rStyle w:val="Emphasis"/>
        </w:rPr>
        <w:lastRenderedPageBreak/>
        <w:t>Environmental Change, 20</w:t>
      </w:r>
      <w:r w:rsidRPr="0003440F">
        <w:t>, 1–14.</w:t>
      </w:r>
    </w:p>
    <w:p w14:paraId="4089E738" w14:textId="77777777" w:rsidR="00D435DA" w:rsidRPr="0003440F" w:rsidRDefault="00D435DA" w:rsidP="00E607F2">
      <w:pPr>
        <w:pStyle w:val="NormalWeb"/>
        <w:spacing w:before="0" w:beforeAutospacing="0"/>
        <w:jc w:val="both"/>
      </w:pPr>
      <w:r w:rsidRPr="0003440F">
        <w:t xml:space="preserve">UNDP Human Development Reports. (2023). </w:t>
      </w:r>
      <w:r w:rsidRPr="0003440F">
        <w:rPr>
          <w:rStyle w:val="Emphasis"/>
        </w:rPr>
        <w:t>Global Human Development Report 2023/24.</w:t>
      </w:r>
    </w:p>
    <w:p w14:paraId="6A13481E" w14:textId="77777777" w:rsidR="00E607F2" w:rsidRPr="0003440F" w:rsidRDefault="00D435DA" w:rsidP="00E607F2">
      <w:pPr>
        <w:spacing w:after="0" w:line="240" w:lineRule="auto"/>
        <w:jc w:val="both"/>
        <w:rPr>
          <w:rFonts w:ascii="Times New Roman" w:eastAsia="Times New Roman" w:hAnsi="Times New Roman" w:cs="Times New Roman"/>
          <w:i/>
          <w:iCs/>
          <w:sz w:val="24"/>
          <w:szCs w:val="24"/>
        </w:rPr>
      </w:pPr>
      <w:r w:rsidRPr="0003440F">
        <w:rPr>
          <w:rFonts w:ascii="Times New Roman" w:eastAsia="Times New Roman" w:hAnsi="Times New Roman" w:cs="Times New Roman"/>
          <w:sz w:val="24"/>
          <w:szCs w:val="24"/>
        </w:rPr>
        <w:t xml:space="preserve">World Bank Group. (2024, November 5). </w:t>
      </w:r>
      <w:r w:rsidRPr="0003440F">
        <w:rPr>
          <w:rFonts w:ascii="Times New Roman" w:eastAsia="Times New Roman" w:hAnsi="Times New Roman" w:cs="Times New Roman"/>
          <w:i/>
          <w:iCs/>
          <w:sz w:val="24"/>
          <w:szCs w:val="24"/>
        </w:rPr>
        <w:t>Climate action essential to Senegal’s upper-middle-</w:t>
      </w:r>
    </w:p>
    <w:p w14:paraId="00C28F0E" w14:textId="77777777" w:rsidR="00D435DA" w:rsidRPr="0003440F" w:rsidRDefault="00D435DA" w:rsidP="00E607F2">
      <w:pPr>
        <w:spacing w:after="0" w:line="240" w:lineRule="auto"/>
        <w:ind w:firstLine="720"/>
        <w:jc w:val="both"/>
        <w:rPr>
          <w:rFonts w:ascii="Times New Roman" w:eastAsia="Times New Roman" w:hAnsi="Times New Roman" w:cs="Times New Roman"/>
          <w:sz w:val="24"/>
          <w:szCs w:val="24"/>
        </w:rPr>
      </w:pPr>
      <w:r w:rsidRPr="0003440F">
        <w:rPr>
          <w:rFonts w:ascii="Times New Roman" w:eastAsia="Times New Roman" w:hAnsi="Times New Roman" w:cs="Times New Roman"/>
          <w:i/>
          <w:iCs/>
          <w:sz w:val="24"/>
          <w:szCs w:val="24"/>
        </w:rPr>
        <w:t>income country aspiration.</w:t>
      </w:r>
    </w:p>
    <w:p w14:paraId="42F6ABA2" w14:textId="77777777" w:rsidR="00D435DA" w:rsidRPr="0003440F" w:rsidRDefault="00D435DA" w:rsidP="00E607F2">
      <w:pPr>
        <w:pStyle w:val="NormalWeb"/>
        <w:spacing w:before="0" w:beforeAutospacing="0"/>
        <w:jc w:val="both"/>
      </w:pPr>
      <w:r w:rsidRPr="0003440F">
        <w:t xml:space="preserve">World Bank Group. (2026). </w:t>
      </w:r>
      <w:r w:rsidRPr="0003440F">
        <w:rPr>
          <w:rStyle w:val="Emphasis"/>
        </w:rPr>
        <w:t>Western and Central Africa economic snapshot.</w:t>
      </w:r>
      <w:r w:rsidRPr="0003440F">
        <w:t xml:space="preserve"> </w:t>
      </w:r>
    </w:p>
    <w:p w14:paraId="0C232B64" w14:textId="77777777" w:rsidR="00D435DA" w:rsidRPr="0003440F" w:rsidRDefault="00D435DA" w:rsidP="00E607F2">
      <w:pPr>
        <w:pStyle w:val="NormalWeb"/>
        <w:spacing w:before="0" w:beforeAutospacing="0"/>
        <w:jc w:val="both"/>
      </w:pPr>
      <w:r w:rsidRPr="0003440F">
        <w:t xml:space="preserve">World Bank. (2026). </w:t>
      </w:r>
      <w:r w:rsidRPr="0003440F">
        <w:rPr>
          <w:rStyle w:val="Emphasis"/>
        </w:rPr>
        <w:t>Western and Central Africa overview.</w:t>
      </w:r>
      <w:r w:rsidRPr="0003440F">
        <w:t xml:space="preserve"> </w:t>
      </w:r>
    </w:p>
    <w:p w14:paraId="3C44497C" w14:textId="77777777" w:rsidR="00D435DA" w:rsidRPr="0003440F" w:rsidRDefault="00D435DA" w:rsidP="00E607F2">
      <w:pPr>
        <w:pStyle w:val="NormalWeb"/>
        <w:spacing w:before="0" w:beforeAutospacing="0"/>
        <w:jc w:val="both"/>
      </w:pPr>
      <w:r w:rsidRPr="0003440F">
        <w:t xml:space="preserve">World Meteorological Organization (WMO). (2023). </w:t>
      </w:r>
      <w:r w:rsidRPr="0003440F">
        <w:rPr>
          <w:rStyle w:val="Emphasis"/>
        </w:rPr>
        <w:t>State of the climate in Africa 2023.</w:t>
      </w:r>
    </w:p>
    <w:p w14:paraId="22C3EFB1" w14:textId="77777777" w:rsidR="00E607F2" w:rsidRPr="0003440F" w:rsidRDefault="00D435DA" w:rsidP="00E607F2">
      <w:pPr>
        <w:pStyle w:val="NormalWeb"/>
        <w:spacing w:before="0" w:beforeAutospacing="0" w:after="0" w:afterAutospacing="0"/>
        <w:jc w:val="both"/>
        <w:rPr>
          <w:rStyle w:val="Emphasis"/>
        </w:rPr>
      </w:pPr>
      <w:r w:rsidRPr="0003440F">
        <w:t xml:space="preserve">World Meteorological Organization. (2024). </w:t>
      </w:r>
      <w:r w:rsidRPr="0003440F">
        <w:rPr>
          <w:rStyle w:val="Emphasis"/>
        </w:rPr>
        <w:t xml:space="preserve">Africa faces disproportionate burden from climate </w:t>
      </w:r>
    </w:p>
    <w:p w14:paraId="51CF2461" w14:textId="77777777" w:rsidR="00D435DA" w:rsidRPr="0003440F" w:rsidRDefault="00D435DA" w:rsidP="00E607F2">
      <w:pPr>
        <w:pStyle w:val="NormalWeb"/>
        <w:spacing w:before="0" w:beforeAutospacing="0" w:after="0" w:afterAutospacing="0"/>
        <w:ind w:firstLine="720"/>
        <w:jc w:val="both"/>
      </w:pPr>
      <w:r w:rsidRPr="0003440F">
        <w:rPr>
          <w:rStyle w:val="Emphasis"/>
        </w:rPr>
        <w:t>change and adaptation costs.</w:t>
      </w:r>
      <w:r w:rsidRPr="0003440F">
        <w:t xml:space="preserve"> </w:t>
      </w:r>
    </w:p>
    <w:p w14:paraId="12B3773B" w14:textId="77777777" w:rsidR="00B32669" w:rsidRPr="0003440F" w:rsidRDefault="00B32669" w:rsidP="00B32669">
      <w:pPr>
        <w:pStyle w:val="NormalWeb"/>
        <w:jc w:val="both"/>
      </w:pPr>
      <w:r w:rsidRPr="0003440F">
        <w:t xml:space="preserve">Baltagi, B. H. (2021). </w:t>
      </w:r>
      <w:r w:rsidRPr="0003440F">
        <w:rPr>
          <w:rStyle w:val="Emphasis"/>
        </w:rPr>
        <w:t>Econometric analysis of panel data</w:t>
      </w:r>
      <w:r w:rsidRPr="0003440F">
        <w:t xml:space="preserve"> (6th ed.). Springer.</w:t>
      </w:r>
    </w:p>
    <w:p w14:paraId="0474DC1A" w14:textId="77777777" w:rsidR="00D60892" w:rsidRDefault="00B32669" w:rsidP="00D60892">
      <w:pPr>
        <w:pStyle w:val="NormalWeb"/>
        <w:spacing w:before="0" w:beforeAutospacing="0" w:after="0" w:afterAutospacing="0"/>
        <w:jc w:val="both"/>
      </w:pPr>
      <w:r w:rsidRPr="0003440F">
        <w:t xml:space="preserve">Barrett, C. B. (2010). Measuring food insecurity. </w:t>
      </w:r>
      <w:r w:rsidRPr="0003440F">
        <w:rPr>
          <w:rStyle w:val="Emphasis"/>
        </w:rPr>
        <w:t>Science, 327</w:t>
      </w:r>
      <w:r w:rsidRPr="0003440F">
        <w:t xml:space="preserve">(5967), 825–828.           </w:t>
      </w:r>
    </w:p>
    <w:p w14:paraId="09F1CBAF" w14:textId="724464EC" w:rsidR="00B32669" w:rsidRPr="0003440F" w:rsidRDefault="00067485" w:rsidP="00D60892">
      <w:pPr>
        <w:pStyle w:val="NormalWeb"/>
        <w:spacing w:before="0" w:beforeAutospacing="0" w:after="0" w:afterAutospacing="0"/>
        <w:ind w:firstLine="720"/>
        <w:jc w:val="both"/>
      </w:pPr>
      <w:hyperlink r:id="rId7" w:history="1">
        <w:r w:rsidR="00D60892" w:rsidRPr="00AA6340">
          <w:rPr>
            <w:rStyle w:val="Hyperlink"/>
          </w:rPr>
          <w:t>https://doi.org/10.1126/science.1182768</w:t>
        </w:r>
      </w:hyperlink>
    </w:p>
    <w:p w14:paraId="09C261E6" w14:textId="77777777" w:rsidR="00D60892" w:rsidRDefault="00B32669" w:rsidP="00D60892">
      <w:pPr>
        <w:pStyle w:val="NormalWeb"/>
        <w:spacing w:before="0" w:beforeAutospacing="0" w:after="0" w:afterAutospacing="0"/>
        <w:jc w:val="both"/>
      </w:pPr>
      <w:r w:rsidRPr="0003440F">
        <w:t xml:space="preserve">Dell, M., Jones, B. F., &amp; Olken, B. A. (2012). Temperature shocks and economic growth:   </w:t>
      </w:r>
    </w:p>
    <w:p w14:paraId="4D8CF890" w14:textId="293FEF01" w:rsidR="00D60892" w:rsidRDefault="00B32669" w:rsidP="00651F4E">
      <w:pPr>
        <w:pStyle w:val="NormalWeb"/>
        <w:spacing w:before="0" w:beforeAutospacing="0" w:after="0" w:afterAutospacing="0"/>
        <w:ind w:left="720"/>
        <w:jc w:val="both"/>
      </w:pPr>
      <w:r w:rsidRPr="0003440F">
        <w:t xml:space="preserve">Evidence from the last half century. </w:t>
      </w:r>
      <w:r w:rsidRPr="0003440F">
        <w:rPr>
          <w:rStyle w:val="Emphasis"/>
        </w:rPr>
        <w:t>American Economic Journal: Macroeconomics, 4</w:t>
      </w:r>
      <w:r w:rsidRPr="0003440F">
        <w:t>(3), 66–95. https://doi.org/10.1257/mac.4.3.66</w:t>
      </w:r>
    </w:p>
    <w:p w14:paraId="1092C4A5" w14:textId="77777777" w:rsidR="00D60892" w:rsidRDefault="00B32669" w:rsidP="00D60892">
      <w:pPr>
        <w:pStyle w:val="NormalWeb"/>
        <w:spacing w:before="0" w:beforeAutospacing="0" w:after="0" w:afterAutospacing="0"/>
        <w:jc w:val="both"/>
      </w:pPr>
      <w:r w:rsidRPr="0003440F">
        <w:t xml:space="preserve">FAO. (2018). </w:t>
      </w:r>
      <w:r w:rsidRPr="0003440F">
        <w:rPr>
          <w:rStyle w:val="Emphasis"/>
        </w:rPr>
        <w:t>The state of agricultural commodity markets 2018</w:t>
      </w:r>
      <w:r w:rsidRPr="0003440F">
        <w:t xml:space="preserve">. Food and Agriculture </w:t>
      </w:r>
    </w:p>
    <w:p w14:paraId="04CACF66" w14:textId="34287EBC" w:rsidR="00B32669" w:rsidRPr="0003440F" w:rsidRDefault="00B32669" w:rsidP="00D60892">
      <w:pPr>
        <w:pStyle w:val="NormalWeb"/>
        <w:spacing w:before="0" w:beforeAutospacing="0" w:after="0" w:afterAutospacing="0"/>
        <w:ind w:firstLine="720"/>
        <w:jc w:val="both"/>
      </w:pPr>
      <w:r w:rsidRPr="0003440F">
        <w:t>Organization of the United Nations.</w:t>
      </w:r>
    </w:p>
    <w:p w14:paraId="5CE2AA2F" w14:textId="77777777" w:rsidR="00D60892" w:rsidRDefault="00B32669" w:rsidP="00D60892">
      <w:pPr>
        <w:pStyle w:val="NormalWeb"/>
        <w:spacing w:before="0" w:beforeAutospacing="0" w:after="0" w:afterAutospacing="0"/>
        <w:jc w:val="both"/>
      </w:pPr>
      <w:r w:rsidRPr="0003440F">
        <w:t xml:space="preserve">Lobell, D. B., Burke, M. B., Tebaldi, C., Mastrandrea, M. D., Falcon, W. P., &amp; Naylor, R. L. </w:t>
      </w:r>
    </w:p>
    <w:p w14:paraId="738340C3" w14:textId="4B1AC41F" w:rsidR="00B32669" w:rsidRPr="0003440F" w:rsidRDefault="00B32669" w:rsidP="00D60892">
      <w:pPr>
        <w:pStyle w:val="NormalWeb"/>
        <w:spacing w:before="0" w:beforeAutospacing="0" w:after="0" w:afterAutospacing="0"/>
        <w:ind w:left="720"/>
        <w:jc w:val="both"/>
      </w:pPr>
      <w:r w:rsidRPr="0003440F">
        <w:t xml:space="preserve">(2008). Prioritizing climate change adaptation needs for food security in 2030. </w:t>
      </w:r>
      <w:r w:rsidRPr="0003440F">
        <w:rPr>
          <w:rStyle w:val="Emphasis"/>
        </w:rPr>
        <w:t>Science, 319</w:t>
      </w:r>
      <w:r w:rsidRPr="0003440F">
        <w:t>(5863), 607–610. https://doi.org/10.1126/science.1152339</w:t>
      </w:r>
    </w:p>
    <w:p w14:paraId="47AC5BC0" w14:textId="77777777" w:rsidR="00D60892" w:rsidRDefault="00B32669" w:rsidP="00D60892">
      <w:pPr>
        <w:pStyle w:val="NormalWeb"/>
        <w:spacing w:before="0" w:beforeAutospacing="0" w:after="0" w:afterAutospacing="0"/>
        <w:jc w:val="both"/>
      </w:pPr>
      <w:r w:rsidRPr="0003440F">
        <w:t xml:space="preserve">Mendelsohn, R., Dinar, A., &amp; Williams, L. (2006). The distributional impact of climate change </w:t>
      </w:r>
    </w:p>
    <w:p w14:paraId="0D586856" w14:textId="7C118871" w:rsidR="00B32669" w:rsidRPr="0003440F" w:rsidRDefault="00B32669" w:rsidP="00D60892">
      <w:pPr>
        <w:pStyle w:val="NormalWeb"/>
        <w:spacing w:before="0" w:beforeAutospacing="0" w:after="0" w:afterAutospacing="0"/>
        <w:ind w:left="720"/>
        <w:jc w:val="both"/>
      </w:pPr>
      <w:r w:rsidRPr="0003440F">
        <w:t xml:space="preserve">on rich and poor countries. </w:t>
      </w:r>
      <w:r w:rsidRPr="0003440F">
        <w:rPr>
          <w:rStyle w:val="Emphasis"/>
        </w:rPr>
        <w:t>Environment and Development Economics, 11</w:t>
      </w:r>
      <w:r w:rsidRPr="0003440F">
        <w:t>(2), 159–178. https://doi.org/10.1017/S1355770X06003036</w:t>
      </w:r>
    </w:p>
    <w:p w14:paraId="3F0F81A4" w14:textId="77777777" w:rsidR="00651F4E" w:rsidRDefault="00B32669" w:rsidP="00651F4E">
      <w:pPr>
        <w:pStyle w:val="NormalWeb"/>
        <w:spacing w:before="0" w:beforeAutospacing="0" w:after="0" w:afterAutospacing="0"/>
        <w:jc w:val="both"/>
      </w:pPr>
      <w:r w:rsidRPr="0003440F">
        <w:t xml:space="preserve">World Bank. (2016). </w:t>
      </w:r>
      <w:r w:rsidRPr="0003440F">
        <w:rPr>
          <w:rStyle w:val="Emphasis"/>
        </w:rPr>
        <w:t>Shock waves: Managing the impacts of climate change on poverty</w:t>
      </w:r>
      <w:r w:rsidRPr="0003440F">
        <w:t xml:space="preserve">. </w:t>
      </w:r>
    </w:p>
    <w:p w14:paraId="13A76983" w14:textId="14C0AF3D" w:rsidR="00B32669" w:rsidRPr="0003440F" w:rsidRDefault="00B32669" w:rsidP="00651F4E">
      <w:pPr>
        <w:pStyle w:val="NormalWeb"/>
        <w:spacing w:before="0" w:beforeAutospacing="0" w:after="0" w:afterAutospacing="0"/>
        <w:ind w:firstLine="720"/>
        <w:jc w:val="both"/>
      </w:pPr>
      <w:r w:rsidRPr="0003440F">
        <w:t>Washington, DC: World Bank.</w:t>
      </w:r>
    </w:p>
    <w:p w14:paraId="188777E5" w14:textId="77777777" w:rsidR="00B32669" w:rsidRPr="0003440F" w:rsidRDefault="00B32669" w:rsidP="00651F4E">
      <w:pPr>
        <w:pStyle w:val="NormalWeb"/>
        <w:spacing w:before="0" w:beforeAutospacing="0" w:after="0" w:afterAutospacing="0"/>
        <w:jc w:val="both"/>
      </w:pPr>
    </w:p>
    <w:p w14:paraId="200F539A" w14:textId="77777777" w:rsidR="00D435DA" w:rsidRPr="0003440F" w:rsidRDefault="00D435DA" w:rsidP="00E607F2">
      <w:pPr>
        <w:pStyle w:val="NormalWeb"/>
        <w:spacing w:before="0" w:beforeAutospacing="0"/>
        <w:jc w:val="both"/>
      </w:pPr>
    </w:p>
    <w:p w14:paraId="0706F265" w14:textId="77777777" w:rsidR="00B744C1" w:rsidRPr="0003440F" w:rsidRDefault="00B744C1" w:rsidP="00AA2EDB">
      <w:pPr>
        <w:spacing w:before="100" w:beforeAutospacing="1" w:after="100" w:afterAutospacing="1" w:line="240" w:lineRule="auto"/>
        <w:jc w:val="both"/>
        <w:outlineLvl w:val="2"/>
        <w:rPr>
          <w:rFonts w:ascii="Times New Roman" w:hAnsi="Times New Roman" w:cs="Times New Roman"/>
          <w:sz w:val="24"/>
          <w:szCs w:val="24"/>
        </w:rPr>
      </w:pPr>
    </w:p>
    <w:sectPr w:rsidR="00B744C1" w:rsidRPr="0003440F" w:rsidSect="00527487">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F87F9" w14:textId="77777777" w:rsidR="00067485" w:rsidRDefault="00067485" w:rsidP="00AA2EDB">
      <w:pPr>
        <w:spacing w:after="0" w:line="240" w:lineRule="auto"/>
      </w:pPr>
      <w:r>
        <w:separator/>
      </w:r>
    </w:p>
  </w:endnote>
  <w:endnote w:type="continuationSeparator" w:id="0">
    <w:p w14:paraId="66DEA2F0" w14:textId="77777777" w:rsidR="00067485" w:rsidRDefault="00067485" w:rsidP="00AA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385C7" w14:textId="77777777" w:rsidR="004A05AD" w:rsidRDefault="004A0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145698"/>
      <w:docPartObj>
        <w:docPartGallery w:val="Page Numbers (Bottom of Page)"/>
        <w:docPartUnique/>
      </w:docPartObj>
    </w:sdtPr>
    <w:sdtEndPr>
      <w:rPr>
        <w:noProof/>
      </w:rPr>
    </w:sdtEndPr>
    <w:sdtContent>
      <w:p w14:paraId="3B25A6DD" w14:textId="5D7F9B4F" w:rsidR="00AA2EDB" w:rsidRDefault="002F537A">
        <w:pPr>
          <w:pStyle w:val="Footer"/>
          <w:jc w:val="center"/>
        </w:pPr>
        <w:r>
          <w:fldChar w:fldCharType="begin"/>
        </w:r>
        <w:r w:rsidR="00AA2EDB">
          <w:instrText xml:space="preserve"> PAGE   \* MERGEFORMAT </w:instrText>
        </w:r>
        <w:r>
          <w:fldChar w:fldCharType="separate"/>
        </w:r>
        <w:r w:rsidR="009606A8">
          <w:rPr>
            <w:noProof/>
          </w:rPr>
          <w:t>19</w:t>
        </w:r>
        <w:r>
          <w:rPr>
            <w:noProof/>
          </w:rPr>
          <w:fldChar w:fldCharType="end"/>
        </w:r>
      </w:p>
    </w:sdtContent>
  </w:sdt>
  <w:p w14:paraId="2E7F5184" w14:textId="77777777" w:rsidR="00AA2EDB" w:rsidRDefault="00AA2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8BEA" w14:textId="77777777" w:rsidR="004A05AD" w:rsidRDefault="004A0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24268" w14:textId="77777777" w:rsidR="00067485" w:rsidRDefault="00067485" w:rsidP="00AA2EDB">
      <w:pPr>
        <w:spacing w:after="0" w:line="240" w:lineRule="auto"/>
      </w:pPr>
      <w:r>
        <w:separator/>
      </w:r>
    </w:p>
  </w:footnote>
  <w:footnote w:type="continuationSeparator" w:id="0">
    <w:p w14:paraId="7064D0D4" w14:textId="77777777" w:rsidR="00067485" w:rsidRDefault="00067485" w:rsidP="00AA2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D122A" w14:textId="137EA713" w:rsidR="004A05AD" w:rsidRDefault="00067485">
    <w:pPr>
      <w:pStyle w:val="Header"/>
    </w:pPr>
    <w:r>
      <w:rPr>
        <w:noProof/>
      </w:rPr>
      <w:pict w14:anchorId="4C87D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48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EFF7C" w14:textId="4068F878" w:rsidR="004A05AD" w:rsidRDefault="00067485">
    <w:pPr>
      <w:pStyle w:val="Header"/>
    </w:pPr>
    <w:r>
      <w:rPr>
        <w:noProof/>
      </w:rPr>
      <w:pict w14:anchorId="36323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48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70B10" w14:textId="550AA361" w:rsidR="004A05AD" w:rsidRDefault="00067485">
    <w:pPr>
      <w:pStyle w:val="Header"/>
    </w:pPr>
    <w:r>
      <w:rPr>
        <w:noProof/>
      </w:rPr>
      <w:pict w14:anchorId="366ED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48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7B5C"/>
    <w:multiLevelType w:val="multilevel"/>
    <w:tmpl w:val="B1A69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E2E31"/>
    <w:multiLevelType w:val="multilevel"/>
    <w:tmpl w:val="8F2A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44017"/>
    <w:multiLevelType w:val="multilevel"/>
    <w:tmpl w:val="D536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67565"/>
    <w:multiLevelType w:val="multilevel"/>
    <w:tmpl w:val="FAEE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E2EA7"/>
    <w:multiLevelType w:val="multilevel"/>
    <w:tmpl w:val="09B2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D6623"/>
    <w:multiLevelType w:val="multilevel"/>
    <w:tmpl w:val="0D86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876C3"/>
    <w:multiLevelType w:val="multilevel"/>
    <w:tmpl w:val="E714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2632E"/>
    <w:multiLevelType w:val="multilevel"/>
    <w:tmpl w:val="2D0A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80B46"/>
    <w:multiLevelType w:val="multilevel"/>
    <w:tmpl w:val="77B6FFE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B1117"/>
    <w:multiLevelType w:val="multilevel"/>
    <w:tmpl w:val="C9A4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EA2C2D"/>
    <w:multiLevelType w:val="multilevel"/>
    <w:tmpl w:val="CA0E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657E3D"/>
    <w:multiLevelType w:val="multilevel"/>
    <w:tmpl w:val="5D564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70374A"/>
    <w:multiLevelType w:val="multilevel"/>
    <w:tmpl w:val="293C61D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D476528"/>
    <w:multiLevelType w:val="multilevel"/>
    <w:tmpl w:val="07A8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C30049"/>
    <w:multiLevelType w:val="multilevel"/>
    <w:tmpl w:val="F950F63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D95A50"/>
    <w:multiLevelType w:val="multilevel"/>
    <w:tmpl w:val="0CEC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E0F92"/>
    <w:multiLevelType w:val="multilevel"/>
    <w:tmpl w:val="FC90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A81DA3"/>
    <w:multiLevelType w:val="multilevel"/>
    <w:tmpl w:val="788031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9"/>
  </w:num>
  <w:num w:numId="3">
    <w:abstractNumId w:val="6"/>
  </w:num>
  <w:num w:numId="4">
    <w:abstractNumId w:val="2"/>
  </w:num>
  <w:num w:numId="5">
    <w:abstractNumId w:val="10"/>
  </w:num>
  <w:num w:numId="6">
    <w:abstractNumId w:val="15"/>
  </w:num>
  <w:num w:numId="7">
    <w:abstractNumId w:val="7"/>
  </w:num>
  <w:num w:numId="8">
    <w:abstractNumId w:val="1"/>
  </w:num>
  <w:num w:numId="9">
    <w:abstractNumId w:val="16"/>
  </w:num>
  <w:num w:numId="10">
    <w:abstractNumId w:val="0"/>
  </w:num>
  <w:num w:numId="11">
    <w:abstractNumId w:val="11"/>
  </w:num>
  <w:num w:numId="12">
    <w:abstractNumId w:val="8"/>
  </w:num>
  <w:num w:numId="13">
    <w:abstractNumId w:val="14"/>
  </w:num>
  <w:num w:numId="14">
    <w:abstractNumId w:val="4"/>
  </w:num>
  <w:num w:numId="15">
    <w:abstractNumId w:val="13"/>
  </w:num>
  <w:num w:numId="16">
    <w:abstractNumId w:val="5"/>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tAASlmbGhibmFhZGFko6SsGpxcWZ+XkgBYa1ANQzf+wsAAAA"/>
  </w:docVars>
  <w:rsids>
    <w:rsidRoot w:val="009A5A91"/>
    <w:rsid w:val="00013454"/>
    <w:rsid w:val="0001765D"/>
    <w:rsid w:val="00020136"/>
    <w:rsid w:val="0003440F"/>
    <w:rsid w:val="00040530"/>
    <w:rsid w:val="00055865"/>
    <w:rsid w:val="00067485"/>
    <w:rsid w:val="000710CE"/>
    <w:rsid w:val="0007200C"/>
    <w:rsid w:val="00072B2A"/>
    <w:rsid w:val="000842F5"/>
    <w:rsid w:val="000C1104"/>
    <w:rsid w:val="000C2C5C"/>
    <w:rsid w:val="000F2D97"/>
    <w:rsid w:val="00110461"/>
    <w:rsid w:val="00132C4D"/>
    <w:rsid w:val="0013501B"/>
    <w:rsid w:val="00144B1C"/>
    <w:rsid w:val="0017182C"/>
    <w:rsid w:val="00192C79"/>
    <w:rsid w:val="001A6A47"/>
    <w:rsid w:val="001D39BB"/>
    <w:rsid w:val="001D409C"/>
    <w:rsid w:val="001E1D12"/>
    <w:rsid w:val="002213D7"/>
    <w:rsid w:val="00283286"/>
    <w:rsid w:val="00286507"/>
    <w:rsid w:val="00293201"/>
    <w:rsid w:val="002967FF"/>
    <w:rsid w:val="002A180C"/>
    <w:rsid w:val="002D616E"/>
    <w:rsid w:val="002E715B"/>
    <w:rsid w:val="002F537A"/>
    <w:rsid w:val="00327635"/>
    <w:rsid w:val="00327791"/>
    <w:rsid w:val="00367D39"/>
    <w:rsid w:val="00374CBD"/>
    <w:rsid w:val="0039114F"/>
    <w:rsid w:val="003A3F2C"/>
    <w:rsid w:val="003B12D5"/>
    <w:rsid w:val="003C6B64"/>
    <w:rsid w:val="00427292"/>
    <w:rsid w:val="00452572"/>
    <w:rsid w:val="00467143"/>
    <w:rsid w:val="004675B6"/>
    <w:rsid w:val="004A05AD"/>
    <w:rsid w:val="004A5FB9"/>
    <w:rsid w:val="00506EF8"/>
    <w:rsid w:val="005249B7"/>
    <w:rsid w:val="00527487"/>
    <w:rsid w:val="00532220"/>
    <w:rsid w:val="005609CE"/>
    <w:rsid w:val="00563765"/>
    <w:rsid w:val="005B6A20"/>
    <w:rsid w:val="005F368F"/>
    <w:rsid w:val="005F42B4"/>
    <w:rsid w:val="00616FBA"/>
    <w:rsid w:val="00651F4E"/>
    <w:rsid w:val="00663242"/>
    <w:rsid w:val="0066559E"/>
    <w:rsid w:val="0067011C"/>
    <w:rsid w:val="00693CAB"/>
    <w:rsid w:val="006C292B"/>
    <w:rsid w:val="006D1E9E"/>
    <w:rsid w:val="00712F7D"/>
    <w:rsid w:val="00725C9D"/>
    <w:rsid w:val="00732A78"/>
    <w:rsid w:val="00750158"/>
    <w:rsid w:val="0075387C"/>
    <w:rsid w:val="00755C7A"/>
    <w:rsid w:val="00783609"/>
    <w:rsid w:val="00786CB8"/>
    <w:rsid w:val="007C2B0B"/>
    <w:rsid w:val="007D14A0"/>
    <w:rsid w:val="007E08CC"/>
    <w:rsid w:val="007F3D35"/>
    <w:rsid w:val="00827099"/>
    <w:rsid w:val="0084436C"/>
    <w:rsid w:val="008670C5"/>
    <w:rsid w:val="00874DF4"/>
    <w:rsid w:val="008764E0"/>
    <w:rsid w:val="008831CF"/>
    <w:rsid w:val="008A2662"/>
    <w:rsid w:val="008A7022"/>
    <w:rsid w:val="008C48F5"/>
    <w:rsid w:val="008C5B4C"/>
    <w:rsid w:val="008F6C67"/>
    <w:rsid w:val="00924BFD"/>
    <w:rsid w:val="00925C2F"/>
    <w:rsid w:val="009521F4"/>
    <w:rsid w:val="009606A8"/>
    <w:rsid w:val="00985DD5"/>
    <w:rsid w:val="00987836"/>
    <w:rsid w:val="009A3B0F"/>
    <w:rsid w:val="009A48A6"/>
    <w:rsid w:val="009A48E7"/>
    <w:rsid w:val="009A5A91"/>
    <w:rsid w:val="009C69AC"/>
    <w:rsid w:val="009E11EE"/>
    <w:rsid w:val="009E1633"/>
    <w:rsid w:val="009E7E64"/>
    <w:rsid w:val="009F1584"/>
    <w:rsid w:val="00A03260"/>
    <w:rsid w:val="00A308E1"/>
    <w:rsid w:val="00A3684D"/>
    <w:rsid w:val="00A42A33"/>
    <w:rsid w:val="00A62F03"/>
    <w:rsid w:val="00A64D63"/>
    <w:rsid w:val="00A71053"/>
    <w:rsid w:val="00A74FF1"/>
    <w:rsid w:val="00A86302"/>
    <w:rsid w:val="00A9615F"/>
    <w:rsid w:val="00AA2EDB"/>
    <w:rsid w:val="00AD02BA"/>
    <w:rsid w:val="00AD2B78"/>
    <w:rsid w:val="00B32669"/>
    <w:rsid w:val="00B744C1"/>
    <w:rsid w:val="00B824AF"/>
    <w:rsid w:val="00B83BAB"/>
    <w:rsid w:val="00B87CCB"/>
    <w:rsid w:val="00BC41AC"/>
    <w:rsid w:val="00BC616B"/>
    <w:rsid w:val="00BE6952"/>
    <w:rsid w:val="00BF2680"/>
    <w:rsid w:val="00C2033B"/>
    <w:rsid w:val="00C20B6F"/>
    <w:rsid w:val="00C409DE"/>
    <w:rsid w:val="00C411E9"/>
    <w:rsid w:val="00C501F6"/>
    <w:rsid w:val="00C63629"/>
    <w:rsid w:val="00C65B35"/>
    <w:rsid w:val="00C724F6"/>
    <w:rsid w:val="00C94033"/>
    <w:rsid w:val="00CA04A8"/>
    <w:rsid w:val="00CA7658"/>
    <w:rsid w:val="00CB0BEB"/>
    <w:rsid w:val="00CC55BD"/>
    <w:rsid w:val="00CE6729"/>
    <w:rsid w:val="00CF270F"/>
    <w:rsid w:val="00D13C21"/>
    <w:rsid w:val="00D435DA"/>
    <w:rsid w:val="00D60892"/>
    <w:rsid w:val="00D64521"/>
    <w:rsid w:val="00D67C53"/>
    <w:rsid w:val="00D76138"/>
    <w:rsid w:val="00D8336F"/>
    <w:rsid w:val="00DA0578"/>
    <w:rsid w:val="00DE7F69"/>
    <w:rsid w:val="00E272A3"/>
    <w:rsid w:val="00E42F5F"/>
    <w:rsid w:val="00E607F2"/>
    <w:rsid w:val="00E61A88"/>
    <w:rsid w:val="00E632A1"/>
    <w:rsid w:val="00E73C3C"/>
    <w:rsid w:val="00EC3041"/>
    <w:rsid w:val="00EE268B"/>
    <w:rsid w:val="00EE62E8"/>
    <w:rsid w:val="00F00A0C"/>
    <w:rsid w:val="00F0297E"/>
    <w:rsid w:val="00F050A7"/>
    <w:rsid w:val="00F35A9D"/>
    <w:rsid w:val="00F41F1F"/>
    <w:rsid w:val="00F936F1"/>
    <w:rsid w:val="00FA3C86"/>
    <w:rsid w:val="00FB0B7D"/>
    <w:rsid w:val="00FB56DD"/>
    <w:rsid w:val="00FD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F34EEA"/>
  <w15:docId w15:val="{34166789-149B-4A99-8740-54128D09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138"/>
  </w:style>
  <w:style w:type="paragraph" w:styleId="Heading1">
    <w:name w:val="heading 1"/>
    <w:basedOn w:val="Normal"/>
    <w:next w:val="Normal"/>
    <w:link w:val="Heading1Char"/>
    <w:uiPriority w:val="9"/>
    <w:qFormat/>
    <w:rsid w:val="002213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5A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A5A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A5A9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5A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A5A91"/>
    <w:rPr>
      <w:rFonts w:ascii="Times New Roman" w:eastAsia="Times New Roman" w:hAnsi="Times New Roman" w:cs="Times New Roman"/>
      <w:b/>
      <w:bCs/>
      <w:sz w:val="24"/>
      <w:szCs w:val="24"/>
    </w:rPr>
  </w:style>
  <w:style w:type="character" w:styleId="Strong">
    <w:name w:val="Strong"/>
    <w:basedOn w:val="DefaultParagraphFont"/>
    <w:uiPriority w:val="22"/>
    <w:qFormat/>
    <w:rsid w:val="009A5A91"/>
    <w:rPr>
      <w:b/>
      <w:bCs/>
    </w:rPr>
  </w:style>
  <w:style w:type="paragraph" w:styleId="NormalWeb">
    <w:name w:val="Normal (Web)"/>
    <w:basedOn w:val="Normal"/>
    <w:uiPriority w:val="99"/>
    <w:unhideWhenUsed/>
    <w:rsid w:val="009A5A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5A91"/>
    <w:rPr>
      <w:i/>
      <w:iCs/>
    </w:rPr>
  </w:style>
  <w:style w:type="character" w:customStyle="1" w:styleId="Heading2Char">
    <w:name w:val="Heading 2 Char"/>
    <w:basedOn w:val="DefaultParagraphFont"/>
    <w:link w:val="Heading2"/>
    <w:uiPriority w:val="9"/>
    <w:rsid w:val="009A5A91"/>
    <w:rPr>
      <w:rFonts w:asciiTheme="majorHAnsi" w:eastAsiaTheme="majorEastAsia" w:hAnsiTheme="majorHAnsi" w:cstheme="majorBidi"/>
      <w:b/>
      <w:bCs/>
      <w:color w:val="4F81BD" w:themeColor="accent1"/>
      <w:sz w:val="26"/>
      <w:szCs w:val="26"/>
    </w:rPr>
  </w:style>
  <w:style w:type="character" w:customStyle="1" w:styleId="whitespace-normal">
    <w:name w:val="whitespace-normal"/>
    <w:basedOn w:val="DefaultParagraphFont"/>
    <w:rsid w:val="00A62F03"/>
  </w:style>
  <w:style w:type="character" w:customStyle="1" w:styleId="katex-mathml">
    <w:name w:val="katex-mathml"/>
    <w:basedOn w:val="DefaultParagraphFont"/>
    <w:rsid w:val="00A62F03"/>
  </w:style>
  <w:style w:type="character" w:customStyle="1" w:styleId="mord">
    <w:name w:val="mord"/>
    <w:basedOn w:val="DefaultParagraphFont"/>
    <w:rsid w:val="00A62F03"/>
  </w:style>
  <w:style w:type="character" w:customStyle="1" w:styleId="vlist-s">
    <w:name w:val="vlist-s"/>
    <w:basedOn w:val="DefaultParagraphFont"/>
    <w:rsid w:val="00A62F03"/>
  </w:style>
  <w:style w:type="character" w:customStyle="1" w:styleId="mrel">
    <w:name w:val="mrel"/>
    <w:basedOn w:val="DefaultParagraphFont"/>
    <w:rsid w:val="00A62F03"/>
  </w:style>
  <w:style w:type="character" w:customStyle="1" w:styleId="mbin">
    <w:name w:val="mbin"/>
    <w:basedOn w:val="DefaultParagraphFont"/>
    <w:rsid w:val="00A62F03"/>
  </w:style>
  <w:style w:type="character" w:customStyle="1" w:styleId="mopen">
    <w:name w:val="mopen"/>
    <w:basedOn w:val="DefaultParagraphFont"/>
    <w:rsid w:val="00A62F03"/>
  </w:style>
  <w:style w:type="character" w:customStyle="1" w:styleId="mclose">
    <w:name w:val="mclose"/>
    <w:basedOn w:val="DefaultParagraphFont"/>
    <w:rsid w:val="00A62F03"/>
  </w:style>
  <w:style w:type="character" w:customStyle="1" w:styleId="Heading1Char">
    <w:name w:val="Heading 1 Char"/>
    <w:basedOn w:val="DefaultParagraphFont"/>
    <w:link w:val="Heading1"/>
    <w:uiPriority w:val="9"/>
    <w:rsid w:val="002213D7"/>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5274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7487"/>
    <w:rPr>
      <w:rFonts w:ascii="Arial" w:eastAsia="Times New Roman" w:hAnsi="Arial" w:cs="Arial"/>
      <w:vanish/>
      <w:sz w:val="16"/>
      <w:szCs w:val="16"/>
    </w:rPr>
  </w:style>
  <w:style w:type="paragraph" w:customStyle="1" w:styleId="placeholder">
    <w:name w:val="placeholder"/>
    <w:basedOn w:val="Normal"/>
    <w:rsid w:val="00527487"/>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274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7487"/>
    <w:rPr>
      <w:rFonts w:ascii="Arial" w:eastAsia="Times New Roman" w:hAnsi="Arial" w:cs="Arial"/>
      <w:vanish/>
      <w:sz w:val="16"/>
      <w:szCs w:val="16"/>
    </w:rPr>
  </w:style>
  <w:style w:type="character" w:customStyle="1" w:styleId="font-medium">
    <w:name w:val="font-medium"/>
    <w:basedOn w:val="DefaultParagraphFont"/>
    <w:rsid w:val="00D435DA"/>
  </w:style>
  <w:style w:type="paragraph" w:styleId="Header">
    <w:name w:val="header"/>
    <w:basedOn w:val="Normal"/>
    <w:link w:val="HeaderChar"/>
    <w:uiPriority w:val="99"/>
    <w:unhideWhenUsed/>
    <w:rsid w:val="00AA2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EDB"/>
  </w:style>
  <w:style w:type="paragraph" w:styleId="Footer">
    <w:name w:val="footer"/>
    <w:basedOn w:val="Normal"/>
    <w:link w:val="FooterChar"/>
    <w:uiPriority w:val="99"/>
    <w:unhideWhenUsed/>
    <w:rsid w:val="00AA2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EDB"/>
  </w:style>
  <w:style w:type="paragraph" w:styleId="ListParagraph">
    <w:name w:val="List Paragraph"/>
    <w:basedOn w:val="Normal"/>
    <w:uiPriority w:val="34"/>
    <w:qFormat/>
    <w:rsid w:val="00C409DE"/>
    <w:pPr>
      <w:ind w:left="720"/>
      <w:contextualSpacing/>
    </w:pPr>
  </w:style>
  <w:style w:type="character" w:styleId="Hyperlink">
    <w:name w:val="Hyperlink"/>
    <w:basedOn w:val="DefaultParagraphFont"/>
    <w:uiPriority w:val="99"/>
    <w:unhideWhenUsed/>
    <w:rsid w:val="00B32669"/>
    <w:rPr>
      <w:color w:val="0000FF"/>
      <w:u w:val="single"/>
    </w:rPr>
  </w:style>
  <w:style w:type="character" w:customStyle="1" w:styleId="UnresolvedMention">
    <w:name w:val="Unresolved Mention"/>
    <w:basedOn w:val="DefaultParagraphFont"/>
    <w:uiPriority w:val="99"/>
    <w:semiHidden/>
    <w:unhideWhenUsed/>
    <w:rsid w:val="00BC41AC"/>
    <w:rPr>
      <w:color w:val="605E5C"/>
      <w:shd w:val="clear" w:color="auto" w:fill="E1DFDD"/>
    </w:rPr>
  </w:style>
  <w:style w:type="paragraph" w:styleId="NoSpacing">
    <w:name w:val="No Spacing"/>
    <w:uiPriority w:val="1"/>
    <w:qFormat/>
    <w:rsid w:val="0075387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468">
      <w:bodyDiv w:val="1"/>
      <w:marLeft w:val="0"/>
      <w:marRight w:val="0"/>
      <w:marTop w:val="0"/>
      <w:marBottom w:val="0"/>
      <w:divBdr>
        <w:top w:val="none" w:sz="0" w:space="0" w:color="auto"/>
        <w:left w:val="none" w:sz="0" w:space="0" w:color="auto"/>
        <w:bottom w:val="none" w:sz="0" w:space="0" w:color="auto"/>
        <w:right w:val="none" w:sz="0" w:space="0" w:color="auto"/>
      </w:divBdr>
      <w:divsChild>
        <w:div w:id="385840814">
          <w:marLeft w:val="0"/>
          <w:marRight w:val="0"/>
          <w:marTop w:val="0"/>
          <w:marBottom w:val="0"/>
          <w:divBdr>
            <w:top w:val="none" w:sz="0" w:space="0" w:color="auto"/>
            <w:left w:val="none" w:sz="0" w:space="0" w:color="auto"/>
            <w:bottom w:val="none" w:sz="0" w:space="0" w:color="auto"/>
            <w:right w:val="none" w:sz="0" w:space="0" w:color="auto"/>
          </w:divBdr>
          <w:divsChild>
            <w:div w:id="1292632548">
              <w:marLeft w:val="0"/>
              <w:marRight w:val="0"/>
              <w:marTop w:val="0"/>
              <w:marBottom w:val="0"/>
              <w:divBdr>
                <w:top w:val="none" w:sz="0" w:space="0" w:color="auto"/>
                <w:left w:val="none" w:sz="0" w:space="0" w:color="auto"/>
                <w:bottom w:val="none" w:sz="0" w:space="0" w:color="auto"/>
                <w:right w:val="none" w:sz="0" w:space="0" w:color="auto"/>
              </w:divBdr>
              <w:divsChild>
                <w:div w:id="2063670770">
                  <w:marLeft w:val="0"/>
                  <w:marRight w:val="0"/>
                  <w:marTop w:val="0"/>
                  <w:marBottom w:val="0"/>
                  <w:divBdr>
                    <w:top w:val="none" w:sz="0" w:space="0" w:color="auto"/>
                    <w:left w:val="none" w:sz="0" w:space="0" w:color="auto"/>
                    <w:bottom w:val="none" w:sz="0" w:space="0" w:color="auto"/>
                    <w:right w:val="none" w:sz="0" w:space="0" w:color="auto"/>
                  </w:divBdr>
                  <w:divsChild>
                    <w:div w:id="592394347">
                      <w:marLeft w:val="0"/>
                      <w:marRight w:val="0"/>
                      <w:marTop w:val="0"/>
                      <w:marBottom w:val="0"/>
                      <w:divBdr>
                        <w:top w:val="none" w:sz="0" w:space="0" w:color="auto"/>
                        <w:left w:val="none" w:sz="0" w:space="0" w:color="auto"/>
                        <w:bottom w:val="none" w:sz="0" w:space="0" w:color="auto"/>
                        <w:right w:val="none" w:sz="0" w:space="0" w:color="auto"/>
                      </w:divBdr>
                      <w:divsChild>
                        <w:div w:id="756437412">
                          <w:marLeft w:val="0"/>
                          <w:marRight w:val="0"/>
                          <w:marTop w:val="0"/>
                          <w:marBottom w:val="0"/>
                          <w:divBdr>
                            <w:top w:val="none" w:sz="0" w:space="0" w:color="auto"/>
                            <w:left w:val="none" w:sz="0" w:space="0" w:color="auto"/>
                            <w:bottom w:val="none" w:sz="0" w:space="0" w:color="auto"/>
                            <w:right w:val="none" w:sz="0" w:space="0" w:color="auto"/>
                          </w:divBdr>
                          <w:divsChild>
                            <w:div w:id="1427848257">
                              <w:marLeft w:val="0"/>
                              <w:marRight w:val="0"/>
                              <w:marTop w:val="0"/>
                              <w:marBottom w:val="0"/>
                              <w:divBdr>
                                <w:top w:val="none" w:sz="0" w:space="0" w:color="auto"/>
                                <w:left w:val="none" w:sz="0" w:space="0" w:color="auto"/>
                                <w:bottom w:val="none" w:sz="0" w:space="0" w:color="auto"/>
                                <w:right w:val="none" w:sz="0" w:space="0" w:color="auto"/>
                              </w:divBdr>
                              <w:divsChild>
                                <w:div w:id="1335691417">
                                  <w:marLeft w:val="0"/>
                                  <w:marRight w:val="0"/>
                                  <w:marTop w:val="0"/>
                                  <w:marBottom w:val="0"/>
                                  <w:divBdr>
                                    <w:top w:val="none" w:sz="0" w:space="0" w:color="auto"/>
                                    <w:left w:val="none" w:sz="0" w:space="0" w:color="auto"/>
                                    <w:bottom w:val="none" w:sz="0" w:space="0" w:color="auto"/>
                                    <w:right w:val="none" w:sz="0" w:space="0" w:color="auto"/>
                                  </w:divBdr>
                                  <w:divsChild>
                                    <w:div w:id="19129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4770">
          <w:marLeft w:val="0"/>
          <w:marRight w:val="0"/>
          <w:marTop w:val="0"/>
          <w:marBottom w:val="0"/>
          <w:divBdr>
            <w:top w:val="none" w:sz="0" w:space="0" w:color="auto"/>
            <w:left w:val="none" w:sz="0" w:space="0" w:color="auto"/>
            <w:bottom w:val="none" w:sz="0" w:space="0" w:color="auto"/>
            <w:right w:val="none" w:sz="0" w:space="0" w:color="auto"/>
          </w:divBdr>
          <w:divsChild>
            <w:div w:id="1505978195">
              <w:marLeft w:val="0"/>
              <w:marRight w:val="0"/>
              <w:marTop w:val="0"/>
              <w:marBottom w:val="0"/>
              <w:divBdr>
                <w:top w:val="none" w:sz="0" w:space="0" w:color="auto"/>
                <w:left w:val="none" w:sz="0" w:space="0" w:color="auto"/>
                <w:bottom w:val="none" w:sz="0" w:space="0" w:color="auto"/>
                <w:right w:val="none" w:sz="0" w:space="0" w:color="auto"/>
              </w:divBdr>
              <w:divsChild>
                <w:div w:id="412893795">
                  <w:marLeft w:val="0"/>
                  <w:marRight w:val="0"/>
                  <w:marTop w:val="0"/>
                  <w:marBottom w:val="0"/>
                  <w:divBdr>
                    <w:top w:val="none" w:sz="0" w:space="0" w:color="auto"/>
                    <w:left w:val="none" w:sz="0" w:space="0" w:color="auto"/>
                    <w:bottom w:val="none" w:sz="0" w:space="0" w:color="auto"/>
                    <w:right w:val="none" w:sz="0" w:space="0" w:color="auto"/>
                  </w:divBdr>
                  <w:divsChild>
                    <w:div w:id="2025663518">
                      <w:marLeft w:val="0"/>
                      <w:marRight w:val="0"/>
                      <w:marTop w:val="0"/>
                      <w:marBottom w:val="0"/>
                      <w:divBdr>
                        <w:top w:val="none" w:sz="0" w:space="0" w:color="auto"/>
                        <w:left w:val="none" w:sz="0" w:space="0" w:color="auto"/>
                        <w:bottom w:val="none" w:sz="0" w:space="0" w:color="auto"/>
                        <w:right w:val="none" w:sz="0" w:space="0" w:color="auto"/>
                      </w:divBdr>
                      <w:divsChild>
                        <w:div w:id="491141354">
                          <w:marLeft w:val="0"/>
                          <w:marRight w:val="0"/>
                          <w:marTop w:val="0"/>
                          <w:marBottom w:val="0"/>
                          <w:divBdr>
                            <w:top w:val="none" w:sz="0" w:space="0" w:color="auto"/>
                            <w:left w:val="none" w:sz="0" w:space="0" w:color="auto"/>
                            <w:bottom w:val="none" w:sz="0" w:space="0" w:color="auto"/>
                            <w:right w:val="none" w:sz="0" w:space="0" w:color="auto"/>
                          </w:divBdr>
                          <w:divsChild>
                            <w:div w:id="1533878091">
                              <w:marLeft w:val="0"/>
                              <w:marRight w:val="0"/>
                              <w:marTop w:val="0"/>
                              <w:marBottom w:val="0"/>
                              <w:divBdr>
                                <w:top w:val="none" w:sz="0" w:space="0" w:color="auto"/>
                                <w:left w:val="none" w:sz="0" w:space="0" w:color="auto"/>
                                <w:bottom w:val="none" w:sz="0" w:space="0" w:color="auto"/>
                                <w:right w:val="none" w:sz="0" w:space="0" w:color="auto"/>
                              </w:divBdr>
                              <w:divsChild>
                                <w:div w:id="704066873">
                                  <w:marLeft w:val="0"/>
                                  <w:marRight w:val="0"/>
                                  <w:marTop w:val="0"/>
                                  <w:marBottom w:val="0"/>
                                  <w:divBdr>
                                    <w:top w:val="none" w:sz="0" w:space="0" w:color="auto"/>
                                    <w:left w:val="none" w:sz="0" w:space="0" w:color="auto"/>
                                    <w:bottom w:val="none" w:sz="0" w:space="0" w:color="auto"/>
                                    <w:right w:val="none" w:sz="0" w:space="0" w:color="auto"/>
                                  </w:divBdr>
                                  <w:divsChild>
                                    <w:div w:id="2098944137">
                                      <w:marLeft w:val="0"/>
                                      <w:marRight w:val="0"/>
                                      <w:marTop w:val="0"/>
                                      <w:marBottom w:val="0"/>
                                      <w:divBdr>
                                        <w:top w:val="none" w:sz="0" w:space="0" w:color="auto"/>
                                        <w:left w:val="none" w:sz="0" w:space="0" w:color="auto"/>
                                        <w:bottom w:val="none" w:sz="0" w:space="0" w:color="auto"/>
                                        <w:right w:val="none" w:sz="0" w:space="0" w:color="auto"/>
                                      </w:divBdr>
                                      <w:divsChild>
                                        <w:div w:id="499347323">
                                          <w:marLeft w:val="0"/>
                                          <w:marRight w:val="0"/>
                                          <w:marTop w:val="0"/>
                                          <w:marBottom w:val="0"/>
                                          <w:divBdr>
                                            <w:top w:val="none" w:sz="0" w:space="0" w:color="auto"/>
                                            <w:left w:val="none" w:sz="0" w:space="0" w:color="auto"/>
                                            <w:bottom w:val="none" w:sz="0" w:space="0" w:color="auto"/>
                                            <w:right w:val="none" w:sz="0" w:space="0" w:color="auto"/>
                                          </w:divBdr>
                                          <w:divsChild>
                                            <w:div w:id="7439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04559">
      <w:bodyDiv w:val="1"/>
      <w:marLeft w:val="0"/>
      <w:marRight w:val="0"/>
      <w:marTop w:val="0"/>
      <w:marBottom w:val="0"/>
      <w:divBdr>
        <w:top w:val="none" w:sz="0" w:space="0" w:color="auto"/>
        <w:left w:val="none" w:sz="0" w:space="0" w:color="auto"/>
        <w:bottom w:val="none" w:sz="0" w:space="0" w:color="auto"/>
        <w:right w:val="none" w:sz="0" w:space="0" w:color="auto"/>
      </w:divBdr>
    </w:div>
    <w:div w:id="175965742">
      <w:bodyDiv w:val="1"/>
      <w:marLeft w:val="0"/>
      <w:marRight w:val="0"/>
      <w:marTop w:val="0"/>
      <w:marBottom w:val="0"/>
      <w:divBdr>
        <w:top w:val="none" w:sz="0" w:space="0" w:color="auto"/>
        <w:left w:val="none" w:sz="0" w:space="0" w:color="auto"/>
        <w:bottom w:val="none" w:sz="0" w:space="0" w:color="auto"/>
        <w:right w:val="none" w:sz="0" w:space="0" w:color="auto"/>
      </w:divBdr>
    </w:div>
    <w:div w:id="182018042">
      <w:bodyDiv w:val="1"/>
      <w:marLeft w:val="0"/>
      <w:marRight w:val="0"/>
      <w:marTop w:val="0"/>
      <w:marBottom w:val="0"/>
      <w:divBdr>
        <w:top w:val="none" w:sz="0" w:space="0" w:color="auto"/>
        <w:left w:val="none" w:sz="0" w:space="0" w:color="auto"/>
        <w:bottom w:val="none" w:sz="0" w:space="0" w:color="auto"/>
        <w:right w:val="none" w:sz="0" w:space="0" w:color="auto"/>
      </w:divBdr>
    </w:div>
    <w:div w:id="232929488">
      <w:bodyDiv w:val="1"/>
      <w:marLeft w:val="0"/>
      <w:marRight w:val="0"/>
      <w:marTop w:val="0"/>
      <w:marBottom w:val="0"/>
      <w:divBdr>
        <w:top w:val="none" w:sz="0" w:space="0" w:color="auto"/>
        <w:left w:val="none" w:sz="0" w:space="0" w:color="auto"/>
        <w:bottom w:val="none" w:sz="0" w:space="0" w:color="auto"/>
        <w:right w:val="none" w:sz="0" w:space="0" w:color="auto"/>
      </w:divBdr>
    </w:div>
    <w:div w:id="257568170">
      <w:bodyDiv w:val="1"/>
      <w:marLeft w:val="0"/>
      <w:marRight w:val="0"/>
      <w:marTop w:val="0"/>
      <w:marBottom w:val="0"/>
      <w:divBdr>
        <w:top w:val="none" w:sz="0" w:space="0" w:color="auto"/>
        <w:left w:val="none" w:sz="0" w:space="0" w:color="auto"/>
        <w:bottom w:val="none" w:sz="0" w:space="0" w:color="auto"/>
        <w:right w:val="none" w:sz="0" w:space="0" w:color="auto"/>
      </w:divBdr>
    </w:div>
    <w:div w:id="303899781">
      <w:bodyDiv w:val="1"/>
      <w:marLeft w:val="0"/>
      <w:marRight w:val="0"/>
      <w:marTop w:val="0"/>
      <w:marBottom w:val="0"/>
      <w:divBdr>
        <w:top w:val="none" w:sz="0" w:space="0" w:color="auto"/>
        <w:left w:val="none" w:sz="0" w:space="0" w:color="auto"/>
        <w:bottom w:val="none" w:sz="0" w:space="0" w:color="auto"/>
        <w:right w:val="none" w:sz="0" w:space="0" w:color="auto"/>
      </w:divBdr>
      <w:divsChild>
        <w:div w:id="1238900568">
          <w:marLeft w:val="0"/>
          <w:marRight w:val="0"/>
          <w:marTop w:val="0"/>
          <w:marBottom w:val="0"/>
          <w:divBdr>
            <w:top w:val="none" w:sz="0" w:space="0" w:color="auto"/>
            <w:left w:val="none" w:sz="0" w:space="0" w:color="auto"/>
            <w:bottom w:val="none" w:sz="0" w:space="0" w:color="auto"/>
            <w:right w:val="none" w:sz="0" w:space="0" w:color="auto"/>
          </w:divBdr>
          <w:divsChild>
            <w:div w:id="1487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7995">
      <w:bodyDiv w:val="1"/>
      <w:marLeft w:val="0"/>
      <w:marRight w:val="0"/>
      <w:marTop w:val="0"/>
      <w:marBottom w:val="0"/>
      <w:divBdr>
        <w:top w:val="none" w:sz="0" w:space="0" w:color="auto"/>
        <w:left w:val="none" w:sz="0" w:space="0" w:color="auto"/>
        <w:bottom w:val="none" w:sz="0" w:space="0" w:color="auto"/>
        <w:right w:val="none" w:sz="0" w:space="0" w:color="auto"/>
      </w:divBdr>
    </w:div>
    <w:div w:id="350300746">
      <w:bodyDiv w:val="1"/>
      <w:marLeft w:val="0"/>
      <w:marRight w:val="0"/>
      <w:marTop w:val="0"/>
      <w:marBottom w:val="0"/>
      <w:divBdr>
        <w:top w:val="none" w:sz="0" w:space="0" w:color="auto"/>
        <w:left w:val="none" w:sz="0" w:space="0" w:color="auto"/>
        <w:bottom w:val="none" w:sz="0" w:space="0" w:color="auto"/>
        <w:right w:val="none" w:sz="0" w:space="0" w:color="auto"/>
      </w:divBdr>
    </w:div>
    <w:div w:id="361320803">
      <w:bodyDiv w:val="1"/>
      <w:marLeft w:val="0"/>
      <w:marRight w:val="0"/>
      <w:marTop w:val="0"/>
      <w:marBottom w:val="0"/>
      <w:divBdr>
        <w:top w:val="none" w:sz="0" w:space="0" w:color="auto"/>
        <w:left w:val="none" w:sz="0" w:space="0" w:color="auto"/>
        <w:bottom w:val="none" w:sz="0" w:space="0" w:color="auto"/>
        <w:right w:val="none" w:sz="0" w:space="0" w:color="auto"/>
      </w:divBdr>
    </w:div>
    <w:div w:id="500975668">
      <w:bodyDiv w:val="1"/>
      <w:marLeft w:val="0"/>
      <w:marRight w:val="0"/>
      <w:marTop w:val="0"/>
      <w:marBottom w:val="0"/>
      <w:divBdr>
        <w:top w:val="none" w:sz="0" w:space="0" w:color="auto"/>
        <w:left w:val="none" w:sz="0" w:space="0" w:color="auto"/>
        <w:bottom w:val="none" w:sz="0" w:space="0" w:color="auto"/>
        <w:right w:val="none" w:sz="0" w:space="0" w:color="auto"/>
      </w:divBdr>
    </w:div>
    <w:div w:id="617567553">
      <w:bodyDiv w:val="1"/>
      <w:marLeft w:val="0"/>
      <w:marRight w:val="0"/>
      <w:marTop w:val="0"/>
      <w:marBottom w:val="0"/>
      <w:divBdr>
        <w:top w:val="none" w:sz="0" w:space="0" w:color="auto"/>
        <w:left w:val="none" w:sz="0" w:space="0" w:color="auto"/>
        <w:bottom w:val="none" w:sz="0" w:space="0" w:color="auto"/>
        <w:right w:val="none" w:sz="0" w:space="0" w:color="auto"/>
      </w:divBdr>
    </w:div>
    <w:div w:id="641545753">
      <w:bodyDiv w:val="1"/>
      <w:marLeft w:val="0"/>
      <w:marRight w:val="0"/>
      <w:marTop w:val="0"/>
      <w:marBottom w:val="0"/>
      <w:divBdr>
        <w:top w:val="none" w:sz="0" w:space="0" w:color="auto"/>
        <w:left w:val="none" w:sz="0" w:space="0" w:color="auto"/>
        <w:bottom w:val="none" w:sz="0" w:space="0" w:color="auto"/>
        <w:right w:val="none" w:sz="0" w:space="0" w:color="auto"/>
      </w:divBdr>
      <w:divsChild>
        <w:div w:id="384647627">
          <w:marLeft w:val="0"/>
          <w:marRight w:val="0"/>
          <w:marTop w:val="0"/>
          <w:marBottom w:val="0"/>
          <w:divBdr>
            <w:top w:val="none" w:sz="0" w:space="0" w:color="auto"/>
            <w:left w:val="none" w:sz="0" w:space="0" w:color="auto"/>
            <w:bottom w:val="none" w:sz="0" w:space="0" w:color="auto"/>
            <w:right w:val="none" w:sz="0" w:space="0" w:color="auto"/>
          </w:divBdr>
          <w:divsChild>
            <w:div w:id="20571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5325">
      <w:bodyDiv w:val="1"/>
      <w:marLeft w:val="0"/>
      <w:marRight w:val="0"/>
      <w:marTop w:val="0"/>
      <w:marBottom w:val="0"/>
      <w:divBdr>
        <w:top w:val="none" w:sz="0" w:space="0" w:color="auto"/>
        <w:left w:val="none" w:sz="0" w:space="0" w:color="auto"/>
        <w:bottom w:val="none" w:sz="0" w:space="0" w:color="auto"/>
        <w:right w:val="none" w:sz="0" w:space="0" w:color="auto"/>
      </w:divBdr>
      <w:divsChild>
        <w:div w:id="838423458">
          <w:marLeft w:val="0"/>
          <w:marRight w:val="0"/>
          <w:marTop w:val="0"/>
          <w:marBottom w:val="0"/>
          <w:divBdr>
            <w:top w:val="none" w:sz="0" w:space="0" w:color="auto"/>
            <w:left w:val="none" w:sz="0" w:space="0" w:color="auto"/>
            <w:bottom w:val="none" w:sz="0" w:space="0" w:color="auto"/>
            <w:right w:val="none" w:sz="0" w:space="0" w:color="auto"/>
          </w:divBdr>
          <w:divsChild>
            <w:div w:id="1087381247">
              <w:marLeft w:val="0"/>
              <w:marRight w:val="0"/>
              <w:marTop w:val="0"/>
              <w:marBottom w:val="0"/>
              <w:divBdr>
                <w:top w:val="none" w:sz="0" w:space="0" w:color="auto"/>
                <w:left w:val="none" w:sz="0" w:space="0" w:color="auto"/>
                <w:bottom w:val="none" w:sz="0" w:space="0" w:color="auto"/>
                <w:right w:val="none" w:sz="0" w:space="0" w:color="auto"/>
              </w:divBdr>
            </w:div>
          </w:divsChild>
        </w:div>
        <w:div w:id="1569075048">
          <w:marLeft w:val="0"/>
          <w:marRight w:val="0"/>
          <w:marTop w:val="0"/>
          <w:marBottom w:val="0"/>
          <w:divBdr>
            <w:top w:val="none" w:sz="0" w:space="0" w:color="auto"/>
            <w:left w:val="none" w:sz="0" w:space="0" w:color="auto"/>
            <w:bottom w:val="none" w:sz="0" w:space="0" w:color="auto"/>
            <w:right w:val="none" w:sz="0" w:space="0" w:color="auto"/>
          </w:divBdr>
          <w:divsChild>
            <w:div w:id="566763848">
              <w:marLeft w:val="0"/>
              <w:marRight w:val="0"/>
              <w:marTop w:val="0"/>
              <w:marBottom w:val="0"/>
              <w:divBdr>
                <w:top w:val="none" w:sz="0" w:space="0" w:color="auto"/>
                <w:left w:val="none" w:sz="0" w:space="0" w:color="auto"/>
                <w:bottom w:val="none" w:sz="0" w:space="0" w:color="auto"/>
                <w:right w:val="none" w:sz="0" w:space="0" w:color="auto"/>
              </w:divBdr>
            </w:div>
          </w:divsChild>
        </w:div>
        <w:div w:id="1686245034">
          <w:marLeft w:val="0"/>
          <w:marRight w:val="0"/>
          <w:marTop w:val="0"/>
          <w:marBottom w:val="0"/>
          <w:divBdr>
            <w:top w:val="none" w:sz="0" w:space="0" w:color="auto"/>
            <w:left w:val="none" w:sz="0" w:space="0" w:color="auto"/>
            <w:bottom w:val="none" w:sz="0" w:space="0" w:color="auto"/>
            <w:right w:val="none" w:sz="0" w:space="0" w:color="auto"/>
          </w:divBdr>
          <w:divsChild>
            <w:div w:id="5230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6065">
      <w:bodyDiv w:val="1"/>
      <w:marLeft w:val="0"/>
      <w:marRight w:val="0"/>
      <w:marTop w:val="0"/>
      <w:marBottom w:val="0"/>
      <w:divBdr>
        <w:top w:val="none" w:sz="0" w:space="0" w:color="auto"/>
        <w:left w:val="none" w:sz="0" w:space="0" w:color="auto"/>
        <w:bottom w:val="none" w:sz="0" w:space="0" w:color="auto"/>
        <w:right w:val="none" w:sz="0" w:space="0" w:color="auto"/>
      </w:divBdr>
      <w:divsChild>
        <w:div w:id="1009917331">
          <w:marLeft w:val="0"/>
          <w:marRight w:val="0"/>
          <w:marTop w:val="0"/>
          <w:marBottom w:val="0"/>
          <w:divBdr>
            <w:top w:val="none" w:sz="0" w:space="0" w:color="auto"/>
            <w:left w:val="none" w:sz="0" w:space="0" w:color="auto"/>
            <w:bottom w:val="none" w:sz="0" w:space="0" w:color="auto"/>
            <w:right w:val="none" w:sz="0" w:space="0" w:color="auto"/>
          </w:divBdr>
          <w:divsChild>
            <w:div w:id="878124789">
              <w:marLeft w:val="0"/>
              <w:marRight w:val="0"/>
              <w:marTop w:val="0"/>
              <w:marBottom w:val="0"/>
              <w:divBdr>
                <w:top w:val="none" w:sz="0" w:space="0" w:color="auto"/>
                <w:left w:val="none" w:sz="0" w:space="0" w:color="auto"/>
                <w:bottom w:val="none" w:sz="0" w:space="0" w:color="auto"/>
                <w:right w:val="none" w:sz="0" w:space="0" w:color="auto"/>
              </w:divBdr>
            </w:div>
          </w:divsChild>
        </w:div>
        <w:div w:id="1534997218">
          <w:marLeft w:val="0"/>
          <w:marRight w:val="0"/>
          <w:marTop w:val="0"/>
          <w:marBottom w:val="0"/>
          <w:divBdr>
            <w:top w:val="none" w:sz="0" w:space="0" w:color="auto"/>
            <w:left w:val="none" w:sz="0" w:space="0" w:color="auto"/>
            <w:bottom w:val="none" w:sz="0" w:space="0" w:color="auto"/>
            <w:right w:val="none" w:sz="0" w:space="0" w:color="auto"/>
          </w:divBdr>
          <w:divsChild>
            <w:div w:id="662854001">
              <w:marLeft w:val="0"/>
              <w:marRight w:val="0"/>
              <w:marTop w:val="0"/>
              <w:marBottom w:val="0"/>
              <w:divBdr>
                <w:top w:val="none" w:sz="0" w:space="0" w:color="auto"/>
                <w:left w:val="none" w:sz="0" w:space="0" w:color="auto"/>
                <w:bottom w:val="none" w:sz="0" w:space="0" w:color="auto"/>
                <w:right w:val="none" w:sz="0" w:space="0" w:color="auto"/>
              </w:divBdr>
            </w:div>
          </w:divsChild>
        </w:div>
        <w:div w:id="329335450">
          <w:marLeft w:val="0"/>
          <w:marRight w:val="0"/>
          <w:marTop w:val="0"/>
          <w:marBottom w:val="0"/>
          <w:divBdr>
            <w:top w:val="none" w:sz="0" w:space="0" w:color="auto"/>
            <w:left w:val="none" w:sz="0" w:space="0" w:color="auto"/>
            <w:bottom w:val="none" w:sz="0" w:space="0" w:color="auto"/>
            <w:right w:val="none" w:sz="0" w:space="0" w:color="auto"/>
          </w:divBdr>
          <w:divsChild>
            <w:div w:id="30037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2308">
      <w:bodyDiv w:val="1"/>
      <w:marLeft w:val="0"/>
      <w:marRight w:val="0"/>
      <w:marTop w:val="0"/>
      <w:marBottom w:val="0"/>
      <w:divBdr>
        <w:top w:val="none" w:sz="0" w:space="0" w:color="auto"/>
        <w:left w:val="none" w:sz="0" w:space="0" w:color="auto"/>
        <w:bottom w:val="none" w:sz="0" w:space="0" w:color="auto"/>
        <w:right w:val="none" w:sz="0" w:space="0" w:color="auto"/>
      </w:divBdr>
    </w:div>
    <w:div w:id="1034190056">
      <w:bodyDiv w:val="1"/>
      <w:marLeft w:val="0"/>
      <w:marRight w:val="0"/>
      <w:marTop w:val="0"/>
      <w:marBottom w:val="0"/>
      <w:divBdr>
        <w:top w:val="none" w:sz="0" w:space="0" w:color="auto"/>
        <w:left w:val="none" w:sz="0" w:space="0" w:color="auto"/>
        <w:bottom w:val="none" w:sz="0" w:space="0" w:color="auto"/>
        <w:right w:val="none" w:sz="0" w:space="0" w:color="auto"/>
      </w:divBdr>
      <w:divsChild>
        <w:div w:id="1317106371">
          <w:marLeft w:val="0"/>
          <w:marRight w:val="0"/>
          <w:marTop w:val="0"/>
          <w:marBottom w:val="0"/>
          <w:divBdr>
            <w:top w:val="none" w:sz="0" w:space="0" w:color="auto"/>
            <w:left w:val="none" w:sz="0" w:space="0" w:color="auto"/>
            <w:bottom w:val="none" w:sz="0" w:space="0" w:color="auto"/>
            <w:right w:val="none" w:sz="0" w:space="0" w:color="auto"/>
          </w:divBdr>
          <w:divsChild>
            <w:div w:id="112747696">
              <w:marLeft w:val="0"/>
              <w:marRight w:val="0"/>
              <w:marTop w:val="0"/>
              <w:marBottom w:val="0"/>
              <w:divBdr>
                <w:top w:val="none" w:sz="0" w:space="0" w:color="auto"/>
                <w:left w:val="none" w:sz="0" w:space="0" w:color="auto"/>
                <w:bottom w:val="none" w:sz="0" w:space="0" w:color="auto"/>
                <w:right w:val="none" w:sz="0" w:space="0" w:color="auto"/>
              </w:divBdr>
              <w:divsChild>
                <w:div w:id="828254598">
                  <w:marLeft w:val="0"/>
                  <w:marRight w:val="0"/>
                  <w:marTop w:val="0"/>
                  <w:marBottom w:val="0"/>
                  <w:divBdr>
                    <w:top w:val="none" w:sz="0" w:space="0" w:color="auto"/>
                    <w:left w:val="none" w:sz="0" w:space="0" w:color="auto"/>
                    <w:bottom w:val="none" w:sz="0" w:space="0" w:color="auto"/>
                    <w:right w:val="none" w:sz="0" w:space="0" w:color="auto"/>
                  </w:divBdr>
                  <w:divsChild>
                    <w:div w:id="663320485">
                      <w:marLeft w:val="0"/>
                      <w:marRight w:val="0"/>
                      <w:marTop w:val="0"/>
                      <w:marBottom w:val="0"/>
                      <w:divBdr>
                        <w:top w:val="none" w:sz="0" w:space="0" w:color="auto"/>
                        <w:left w:val="none" w:sz="0" w:space="0" w:color="auto"/>
                        <w:bottom w:val="none" w:sz="0" w:space="0" w:color="auto"/>
                        <w:right w:val="none" w:sz="0" w:space="0" w:color="auto"/>
                      </w:divBdr>
                      <w:divsChild>
                        <w:div w:id="705250063">
                          <w:marLeft w:val="0"/>
                          <w:marRight w:val="0"/>
                          <w:marTop w:val="0"/>
                          <w:marBottom w:val="0"/>
                          <w:divBdr>
                            <w:top w:val="none" w:sz="0" w:space="0" w:color="auto"/>
                            <w:left w:val="none" w:sz="0" w:space="0" w:color="auto"/>
                            <w:bottom w:val="none" w:sz="0" w:space="0" w:color="auto"/>
                            <w:right w:val="none" w:sz="0" w:space="0" w:color="auto"/>
                          </w:divBdr>
                          <w:divsChild>
                            <w:div w:id="1094664895">
                              <w:marLeft w:val="0"/>
                              <w:marRight w:val="0"/>
                              <w:marTop w:val="0"/>
                              <w:marBottom w:val="0"/>
                              <w:divBdr>
                                <w:top w:val="none" w:sz="0" w:space="0" w:color="auto"/>
                                <w:left w:val="none" w:sz="0" w:space="0" w:color="auto"/>
                                <w:bottom w:val="none" w:sz="0" w:space="0" w:color="auto"/>
                                <w:right w:val="none" w:sz="0" w:space="0" w:color="auto"/>
                              </w:divBdr>
                              <w:divsChild>
                                <w:div w:id="6689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732567">
      <w:bodyDiv w:val="1"/>
      <w:marLeft w:val="0"/>
      <w:marRight w:val="0"/>
      <w:marTop w:val="0"/>
      <w:marBottom w:val="0"/>
      <w:divBdr>
        <w:top w:val="none" w:sz="0" w:space="0" w:color="auto"/>
        <w:left w:val="none" w:sz="0" w:space="0" w:color="auto"/>
        <w:bottom w:val="none" w:sz="0" w:space="0" w:color="auto"/>
        <w:right w:val="none" w:sz="0" w:space="0" w:color="auto"/>
      </w:divBdr>
    </w:div>
    <w:div w:id="1450859704">
      <w:bodyDiv w:val="1"/>
      <w:marLeft w:val="0"/>
      <w:marRight w:val="0"/>
      <w:marTop w:val="0"/>
      <w:marBottom w:val="0"/>
      <w:divBdr>
        <w:top w:val="none" w:sz="0" w:space="0" w:color="auto"/>
        <w:left w:val="none" w:sz="0" w:space="0" w:color="auto"/>
        <w:bottom w:val="none" w:sz="0" w:space="0" w:color="auto"/>
        <w:right w:val="none" w:sz="0" w:space="0" w:color="auto"/>
      </w:divBdr>
    </w:div>
    <w:div w:id="1464469310">
      <w:bodyDiv w:val="1"/>
      <w:marLeft w:val="0"/>
      <w:marRight w:val="0"/>
      <w:marTop w:val="0"/>
      <w:marBottom w:val="0"/>
      <w:divBdr>
        <w:top w:val="none" w:sz="0" w:space="0" w:color="auto"/>
        <w:left w:val="none" w:sz="0" w:space="0" w:color="auto"/>
        <w:bottom w:val="none" w:sz="0" w:space="0" w:color="auto"/>
        <w:right w:val="none" w:sz="0" w:space="0" w:color="auto"/>
      </w:divBdr>
    </w:div>
    <w:div w:id="1576865631">
      <w:bodyDiv w:val="1"/>
      <w:marLeft w:val="0"/>
      <w:marRight w:val="0"/>
      <w:marTop w:val="0"/>
      <w:marBottom w:val="0"/>
      <w:divBdr>
        <w:top w:val="none" w:sz="0" w:space="0" w:color="auto"/>
        <w:left w:val="none" w:sz="0" w:space="0" w:color="auto"/>
        <w:bottom w:val="none" w:sz="0" w:space="0" w:color="auto"/>
        <w:right w:val="none" w:sz="0" w:space="0" w:color="auto"/>
      </w:divBdr>
    </w:div>
    <w:div w:id="1786533104">
      <w:bodyDiv w:val="1"/>
      <w:marLeft w:val="0"/>
      <w:marRight w:val="0"/>
      <w:marTop w:val="0"/>
      <w:marBottom w:val="0"/>
      <w:divBdr>
        <w:top w:val="none" w:sz="0" w:space="0" w:color="auto"/>
        <w:left w:val="none" w:sz="0" w:space="0" w:color="auto"/>
        <w:bottom w:val="none" w:sz="0" w:space="0" w:color="auto"/>
        <w:right w:val="none" w:sz="0" w:space="0" w:color="auto"/>
      </w:divBdr>
    </w:div>
    <w:div w:id="1823039481">
      <w:bodyDiv w:val="1"/>
      <w:marLeft w:val="0"/>
      <w:marRight w:val="0"/>
      <w:marTop w:val="0"/>
      <w:marBottom w:val="0"/>
      <w:divBdr>
        <w:top w:val="none" w:sz="0" w:space="0" w:color="auto"/>
        <w:left w:val="none" w:sz="0" w:space="0" w:color="auto"/>
        <w:bottom w:val="none" w:sz="0" w:space="0" w:color="auto"/>
        <w:right w:val="none" w:sz="0" w:space="0" w:color="auto"/>
      </w:divBdr>
      <w:divsChild>
        <w:div w:id="552423123">
          <w:marLeft w:val="0"/>
          <w:marRight w:val="0"/>
          <w:marTop w:val="0"/>
          <w:marBottom w:val="0"/>
          <w:divBdr>
            <w:top w:val="none" w:sz="0" w:space="0" w:color="auto"/>
            <w:left w:val="none" w:sz="0" w:space="0" w:color="auto"/>
            <w:bottom w:val="none" w:sz="0" w:space="0" w:color="auto"/>
            <w:right w:val="none" w:sz="0" w:space="0" w:color="auto"/>
          </w:divBdr>
          <w:divsChild>
            <w:div w:id="1647010707">
              <w:marLeft w:val="0"/>
              <w:marRight w:val="0"/>
              <w:marTop w:val="0"/>
              <w:marBottom w:val="0"/>
              <w:divBdr>
                <w:top w:val="none" w:sz="0" w:space="0" w:color="auto"/>
                <w:left w:val="none" w:sz="0" w:space="0" w:color="auto"/>
                <w:bottom w:val="none" w:sz="0" w:space="0" w:color="auto"/>
                <w:right w:val="none" w:sz="0" w:space="0" w:color="auto"/>
              </w:divBdr>
              <w:divsChild>
                <w:div w:id="1019236533">
                  <w:marLeft w:val="0"/>
                  <w:marRight w:val="0"/>
                  <w:marTop w:val="0"/>
                  <w:marBottom w:val="0"/>
                  <w:divBdr>
                    <w:top w:val="none" w:sz="0" w:space="0" w:color="auto"/>
                    <w:left w:val="none" w:sz="0" w:space="0" w:color="auto"/>
                    <w:bottom w:val="none" w:sz="0" w:space="0" w:color="auto"/>
                    <w:right w:val="none" w:sz="0" w:space="0" w:color="auto"/>
                  </w:divBdr>
                  <w:divsChild>
                    <w:div w:id="459231382">
                      <w:marLeft w:val="0"/>
                      <w:marRight w:val="0"/>
                      <w:marTop w:val="0"/>
                      <w:marBottom w:val="0"/>
                      <w:divBdr>
                        <w:top w:val="none" w:sz="0" w:space="0" w:color="auto"/>
                        <w:left w:val="none" w:sz="0" w:space="0" w:color="auto"/>
                        <w:bottom w:val="none" w:sz="0" w:space="0" w:color="auto"/>
                        <w:right w:val="none" w:sz="0" w:space="0" w:color="auto"/>
                      </w:divBdr>
                      <w:divsChild>
                        <w:div w:id="982467269">
                          <w:marLeft w:val="0"/>
                          <w:marRight w:val="0"/>
                          <w:marTop w:val="0"/>
                          <w:marBottom w:val="0"/>
                          <w:divBdr>
                            <w:top w:val="none" w:sz="0" w:space="0" w:color="auto"/>
                            <w:left w:val="none" w:sz="0" w:space="0" w:color="auto"/>
                            <w:bottom w:val="none" w:sz="0" w:space="0" w:color="auto"/>
                            <w:right w:val="none" w:sz="0" w:space="0" w:color="auto"/>
                          </w:divBdr>
                          <w:divsChild>
                            <w:div w:id="1583177229">
                              <w:marLeft w:val="0"/>
                              <w:marRight w:val="0"/>
                              <w:marTop w:val="0"/>
                              <w:marBottom w:val="0"/>
                              <w:divBdr>
                                <w:top w:val="none" w:sz="0" w:space="0" w:color="auto"/>
                                <w:left w:val="none" w:sz="0" w:space="0" w:color="auto"/>
                                <w:bottom w:val="none" w:sz="0" w:space="0" w:color="auto"/>
                                <w:right w:val="none" w:sz="0" w:space="0" w:color="auto"/>
                              </w:divBdr>
                              <w:divsChild>
                                <w:div w:id="760954480">
                                  <w:marLeft w:val="0"/>
                                  <w:marRight w:val="0"/>
                                  <w:marTop w:val="0"/>
                                  <w:marBottom w:val="0"/>
                                  <w:divBdr>
                                    <w:top w:val="none" w:sz="0" w:space="0" w:color="auto"/>
                                    <w:left w:val="none" w:sz="0" w:space="0" w:color="auto"/>
                                    <w:bottom w:val="none" w:sz="0" w:space="0" w:color="auto"/>
                                    <w:right w:val="none" w:sz="0" w:space="0" w:color="auto"/>
                                  </w:divBdr>
                                  <w:divsChild>
                                    <w:div w:id="8827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106918">
          <w:marLeft w:val="0"/>
          <w:marRight w:val="0"/>
          <w:marTop w:val="0"/>
          <w:marBottom w:val="0"/>
          <w:divBdr>
            <w:top w:val="none" w:sz="0" w:space="0" w:color="auto"/>
            <w:left w:val="none" w:sz="0" w:space="0" w:color="auto"/>
            <w:bottom w:val="none" w:sz="0" w:space="0" w:color="auto"/>
            <w:right w:val="none" w:sz="0" w:space="0" w:color="auto"/>
          </w:divBdr>
          <w:divsChild>
            <w:div w:id="2131898406">
              <w:marLeft w:val="0"/>
              <w:marRight w:val="0"/>
              <w:marTop w:val="0"/>
              <w:marBottom w:val="0"/>
              <w:divBdr>
                <w:top w:val="none" w:sz="0" w:space="0" w:color="auto"/>
                <w:left w:val="none" w:sz="0" w:space="0" w:color="auto"/>
                <w:bottom w:val="none" w:sz="0" w:space="0" w:color="auto"/>
                <w:right w:val="none" w:sz="0" w:space="0" w:color="auto"/>
              </w:divBdr>
              <w:divsChild>
                <w:div w:id="106126723">
                  <w:marLeft w:val="0"/>
                  <w:marRight w:val="0"/>
                  <w:marTop w:val="0"/>
                  <w:marBottom w:val="0"/>
                  <w:divBdr>
                    <w:top w:val="none" w:sz="0" w:space="0" w:color="auto"/>
                    <w:left w:val="none" w:sz="0" w:space="0" w:color="auto"/>
                    <w:bottom w:val="none" w:sz="0" w:space="0" w:color="auto"/>
                    <w:right w:val="none" w:sz="0" w:space="0" w:color="auto"/>
                  </w:divBdr>
                  <w:divsChild>
                    <w:div w:id="183129811">
                      <w:marLeft w:val="0"/>
                      <w:marRight w:val="0"/>
                      <w:marTop w:val="0"/>
                      <w:marBottom w:val="0"/>
                      <w:divBdr>
                        <w:top w:val="none" w:sz="0" w:space="0" w:color="auto"/>
                        <w:left w:val="none" w:sz="0" w:space="0" w:color="auto"/>
                        <w:bottom w:val="none" w:sz="0" w:space="0" w:color="auto"/>
                        <w:right w:val="none" w:sz="0" w:space="0" w:color="auto"/>
                      </w:divBdr>
                      <w:divsChild>
                        <w:div w:id="1940259970">
                          <w:marLeft w:val="0"/>
                          <w:marRight w:val="0"/>
                          <w:marTop w:val="0"/>
                          <w:marBottom w:val="0"/>
                          <w:divBdr>
                            <w:top w:val="none" w:sz="0" w:space="0" w:color="auto"/>
                            <w:left w:val="none" w:sz="0" w:space="0" w:color="auto"/>
                            <w:bottom w:val="none" w:sz="0" w:space="0" w:color="auto"/>
                            <w:right w:val="none" w:sz="0" w:space="0" w:color="auto"/>
                          </w:divBdr>
                          <w:divsChild>
                            <w:div w:id="1626544483">
                              <w:marLeft w:val="0"/>
                              <w:marRight w:val="0"/>
                              <w:marTop w:val="0"/>
                              <w:marBottom w:val="0"/>
                              <w:divBdr>
                                <w:top w:val="none" w:sz="0" w:space="0" w:color="auto"/>
                                <w:left w:val="none" w:sz="0" w:space="0" w:color="auto"/>
                                <w:bottom w:val="none" w:sz="0" w:space="0" w:color="auto"/>
                                <w:right w:val="none" w:sz="0" w:space="0" w:color="auto"/>
                              </w:divBdr>
                              <w:divsChild>
                                <w:div w:id="1165977079">
                                  <w:marLeft w:val="0"/>
                                  <w:marRight w:val="0"/>
                                  <w:marTop w:val="0"/>
                                  <w:marBottom w:val="0"/>
                                  <w:divBdr>
                                    <w:top w:val="none" w:sz="0" w:space="0" w:color="auto"/>
                                    <w:left w:val="none" w:sz="0" w:space="0" w:color="auto"/>
                                    <w:bottom w:val="none" w:sz="0" w:space="0" w:color="auto"/>
                                    <w:right w:val="none" w:sz="0" w:space="0" w:color="auto"/>
                                  </w:divBdr>
                                  <w:divsChild>
                                    <w:div w:id="93326876">
                                      <w:marLeft w:val="0"/>
                                      <w:marRight w:val="0"/>
                                      <w:marTop w:val="0"/>
                                      <w:marBottom w:val="0"/>
                                      <w:divBdr>
                                        <w:top w:val="none" w:sz="0" w:space="0" w:color="auto"/>
                                        <w:left w:val="none" w:sz="0" w:space="0" w:color="auto"/>
                                        <w:bottom w:val="none" w:sz="0" w:space="0" w:color="auto"/>
                                        <w:right w:val="none" w:sz="0" w:space="0" w:color="auto"/>
                                      </w:divBdr>
                                      <w:divsChild>
                                        <w:div w:id="1913587265">
                                          <w:marLeft w:val="0"/>
                                          <w:marRight w:val="0"/>
                                          <w:marTop w:val="0"/>
                                          <w:marBottom w:val="0"/>
                                          <w:divBdr>
                                            <w:top w:val="none" w:sz="0" w:space="0" w:color="auto"/>
                                            <w:left w:val="none" w:sz="0" w:space="0" w:color="auto"/>
                                            <w:bottom w:val="none" w:sz="0" w:space="0" w:color="auto"/>
                                            <w:right w:val="none" w:sz="0" w:space="0" w:color="auto"/>
                                          </w:divBdr>
                                          <w:divsChild>
                                            <w:div w:id="256598262">
                                              <w:marLeft w:val="0"/>
                                              <w:marRight w:val="0"/>
                                              <w:marTop w:val="0"/>
                                              <w:marBottom w:val="0"/>
                                              <w:divBdr>
                                                <w:top w:val="none" w:sz="0" w:space="0" w:color="auto"/>
                                                <w:left w:val="none" w:sz="0" w:space="0" w:color="auto"/>
                                                <w:bottom w:val="none" w:sz="0" w:space="0" w:color="auto"/>
                                                <w:right w:val="none" w:sz="0" w:space="0" w:color="auto"/>
                                              </w:divBdr>
                                              <w:divsChild>
                                                <w:div w:id="718432107">
                                                  <w:marLeft w:val="0"/>
                                                  <w:marRight w:val="0"/>
                                                  <w:marTop w:val="0"/>
                                                  <w:marBottom w:val="0"/>
                                                  <w:divBdr>
                                                    <w:top w:val="none" w:sz="0" w:space="0" w:color="auto"/>
                                                    <w:left w:val="none" w:sz="0" w:space="0" w:color="auto"/>
                                                    <w:bottom w:val="none" w:sz="0" w:space="0" w:color="auto"/>
                                                    <w:right w:val="none" w:sz="0" w:space="0" w:color="auto"/>
                                                  </w:divBdr>
                                                  <w:divsChild>
                                                    <w:div w:id="2033604829">
                                                      <w:marLeft w:val="0"/>
                                                      <w:marRight w:val="0"/>
                                                      <w:marTop w:val="0"/>
                                                      <w:marBottom w:val="0"/>
                                                      <w:divBdr>
                                                        <w:top w:val="none" w:sz="0" w:space="0" w:color="auto"/>
                                                        <w:left w:val="none" w:sz="0" w:space="0" w:color="auto"/>
                                                        <w:bottom w:val="none" w:sz="0" w:space="0" w:color="auto"/>
                                                        <w:right w:val="none" w:sz="0" w:space="0" w:color="auto"/>
                                                      </w:divBdr>
                                                      <w:divsChild>
                                                        <w:div w:id="1066997197">
                                                          <w:marLeft w:val="0"/>
                                                          <w:marRight w:val="0"/>
                                                          <w:marTop w:val="0"/>
                                                          <w:marBottom w:val="0"/>
                                                          <w:divBdr>
                                                            <w:top w:val="none" w:sz="0" w:space="0" w:color="auto"/>
                                                            <w:left w:val="none" w:sz="0" w:space="0" w:color="auto"/>
                                                            <w:bottom w:val="none" w:sz="0" w:space="0" w:color="auto"/>
                                                            <w:right w:val="none" w:sz="0" w:space="0" w:color="auto"/>
                                                          </w:divBdr>
                                                          <w:divsChild>
                                                            <w:div w:id="2010868912">
                                                              <w:marLeft w:val="0"/>
                                                              <w:marRight w:val="0"/>
                                                              <w:marTop w:val="0"/>
                                                              <w:marBottom w:val="0"/>
                                                              <w:divBdr>
                                                                <w:top w:val="none" w:sz="0" w:space="0" w:color="auto"/>
                                                                <w:left w:val="none" w:sz="0" w:space="0" w:color="auto"/>
                                                                <w:bottom w:val="none" w:sz="0" w:space="0" w:color="auto"/>
                                                                <w:right w:val="none" w:sz="0" w:space="0" w:color="auto"/>
                                                              </w:divBdr>
                                                              <w:divsChild>
                                                                <w:div w:id="4748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5942898">
      <w:bodyDiv w:val="1"/>
      <w:marLeft w:val="0"/>
      <w:marRight w:val="0"/>
      <w:marTop w:val="0"/>
      <w:marBottom w:val="0"/>
      <w:divBdr>
        <w:top w:val="none" w:sz="0" w:space="0" w:color="auto"/>
        <w:left w:val="none" w:sz="0" w:space="0" w:color="auto"/>
        <w:bottom w:val="none" w:sz="0" w:space="0" w:color="auto"/>
        <w:right w:val="none" w:sz="0" w:space="0" w:color="auto"/>
      </w:divBdr>
    </w:div>
    <w:div w:id="2041933700">
      <w:bodyDiv w:val="1"/>
      <w:marLeft w:val="0"/>
      <w:marRight w:val="0"/>
      <w:marTop w:val="0"/>
      <w:marBottom w:val="0"/>
      <w:divBdr>
        <w:top w:val="none" w:sz="0" w:space="0" w:color="auto"/>
        <w:left w:val="none" w:sz="0" w:space="0" w:color="auto"/>
        <w:bottom w:val="none" w:sz="0" w:space="0" w:color="auto"/>
        <w:right w:val="none" w:sz="0" w:space="0" w:color="auto"/>
      </w:divBdr>
      <w:divsChild>
        <w:div w:id="292029804">
          <w:marLeft w:val="0"/>
          <w:marRight w:val="0"/>
          <w:marTop w:val="0"/>
          <w:marBottom w:val="0"/>
          <w:divBdr>
            <w:top w:val="none" w:sz="0" w:space="0" w:color="auto"/>
            <w:left w:val="none" w:sz="0" w:space="0" w:color="auto"/>
            <w:bottom w:val="none" w:sz="0" w:space="0" w:color="auto"/>
            <w:right w:val="none" w:sz="0" w:space="0" w:color="auto"/>
          </w:divBdr>
          <w:divsChild>
            <w:div w:id="2112318755">
              <w:marLeft w:val="0"/>
              <w:marRight w:val="0"/>
              <w:marTop w:val="0"/>
              <w:marBottom w:val="0"/>
              <w:divBdr>
                <w:top w:val="none" w:sz="0" w:space="0" w:color="auto"/>
                <w:left w:val="none" w:sz="0" w:space="0" w:color="auto"/>
                <w:bottom w:val="none" w:sz="0" w:space="0" w:color="auto"/>
                <w:right w:val="none" w:sz="0" w:space="0" w:color="auto"/>
              </w:divBdr>
              <w:divsChild>
                <w:div w:id="638266021">
                  <w:marLeft w:val="0"/>
                  <w:marRight w:val="0"/>
                  <w:marTop w:val="0"/>
                  <w:marBottom w:val="0"/>
                  <w:divBdr>
                    <w:top w:val="none" w:sz="0" w:space="0" w:color="auto"/>
                    <w:left w:val="none" w:sz="0" w:space="0" w:color="auto"/>
                    <w:bottom w:val="none" w:sz="0" w:space="0" w:color="auto"/>
                    <w:right w:val="none" w:sz="0" w:space="0" w:color="auto"/>
                  </w:divBdr>
                  <w:divsChild>
                    <w:div w:id="1479496714">
                      <w:marLeft w:val="0"/>
                      <w:marRight w:val="0"/>
                      <w:marTop w:val="0"/>
                      <w:marBottom w:val="0"/>
                      <w:divBdr>
                        <w:top w:val="none" w:sz="0" w:space="0" w:color="auto"/>
                        <w:left w:val="none" w:sz="0" w:space="0" w:color="auto"/>
                        <w:bottom w:val="none" w:sz="0" w:space="0" w:color="auto"/>
                        <w:right w:val="none" w:sz="0" w:space="0" w:color="auto"/>
                      </w:divBdr>
                      <w:divsChild>
                        <w:div w:id="1793287988">
                          <w:marLeft w:val="0"/>
                          <w:marRight w:val="0"/>
                          <w:marTop w:val="0"/>
                          <w:marBottom w:val="0"/>
                          <w:divBdr>
                            <w:top w:val="none" w:sz="0" w:space="0" w:color="auto"/>
                            <w:left w:val="none" w:sz="0" w:space="0" w:color="auto"/>
                            <w:bottom w:val="none" w:sz="0" w:space="0" w:color="auto"/>
                            <w:right w:val="none" w:sz="0" w:space="0" w:color="auto"/>
                          </w:divBdr>
                          <w:divsChild>
                            <w:div w:id="794368625">
                              <w:marLeft w:val="0"/>
                              <w:marRight w:val="0"/>
                              <w:marTop w:val="0"/>
                              <w:marBottom w:val="0"/>
                              <w:divBdr>
                                <w:top w:val="none" w:sz="0" w:space="0" w:color="auto"/>
                                <w:left w:val="none" w:sz="0" w:space="0" w:color="auto"/>
                                <w:bottom w:val="none" w:sz="0" w:space="0" w:color="auto"/>
                                <w:right w:val="none" w:sz="0" w:space="0" w:color="auto"/>
                              </w:divBdr>
                              <w:divsChild>
                                <w:div w:id="9669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445280">
      <w:bodyDiv w:val="1"/>
      <w:marLeft w:val="0"/>
      <w:marRight w:val="0"/>
      <w:marTop w:val="0"/>
      <w:marBottom w:val="0"/>
      <w:divBdr>
        <w:top w:val="none" w:sz="0" w:space="0" w:color="auto"/>
        <w:left w:val="none" w:sz="0" w:space="0" w:color="auto"/>
        <w:bottom w:val="none" w:sz="0" w:space="0" w:color="auto"/>
        <w:right w:val="none" w:sz="0" w:space="0" w:color="auto"/>
      </w:divBdr>
      <w:divsChild>
        <w:div w:id="1677876034">
          <w:marLeft w:val="0"/>
          <w:marRight w:val="0"/>
          <w:marTop w:val="0"/>
          <w:marBottom w:val="0"/>
          <w:divBdr>
            <w:top w:val="none" w:sz="0" w:space="0" w:color="auto"/>
            <w:left w:val="none" w:sz="0" w:space="0" w:color="auto"/>
            <w:bottom w:val="none" w:sz="0" w:space="0" w:color="auto"/>
            <w:right w:val="none" w:sz="0" w:space="0" w:color="auto"/>
          </w:divBdr>
          <w:divsChild>
            <w:div w:id="580481285">
              <w:marLeft w:val="0"/>
              <w:marRight w:val="0"/>
              <w:marTop w:val="0"/>
              <w:marBottom w:val="0"/>
              <w:divBdr>
                <w:top w:val="none" w:sz="0" w:space="0" w:color="auto"/>
                <w:left w:val="none" w:sz="0" w:space="0" w:color="auto"/>
                <w:bottom w:val="none" w:sz="0" w:space="0" w:color="auto"/>
                <w:right w:val="none" w:sz="0" w:space="0" w:color="auto"/>
              </w:divBdr>
            </w:div>
          </w:divsChild>
        </w:div>
        <w:div w:id="1131750129">
          <w:marLeft w:val="0"/>
          <w:marRight w:val="0"/>
          <w:marTop w:val="0"/>
          <w:marBottom w:val="0"/>
          <w:divBdr>
            <w:top w:val="none" w:sz="0" w:space="0" w:color="auto"/>
            <w:left w:val="none" w:sz="0" w:space="0" w:color="auto"/>
            <w:bottom w:val="none" w:sz="0" w:space="0" w:color="auto"/>
            <w:right w:val="none" w:sz="0" w:space="0" w:color="auto"/>
          </w:divBdr>
          <w:divsChild>
            <w:div w:id="383913429">
              <w:marLeft w:val="0"/>
              <w:marRight w:val="0"/>
              <w:marTop w:val="0"/>
              <w:marBottom w:val="0"/>
              <w:divBdr>
                <w:top w:val="none" w:sz="0" w:space="0" w:color="auto"/>
                <w:left w:val="none" w:sz="0" w:space="0" w:color="auto"/>
                <w:bottom w:val="none" w:sz="0" w:space="0" w:color="auto"/>
                <w:right w:val="none" w:sz="0" w:space="0" w:color="auto"/>
              </w:divBdr>
            </w:div>
          </w:divsChild>
        </w:div>
        <w:div w:id="2147310958">
          <w:marLeft w:val="0"/>
          <w:marRight w:val="0"/>
          <w:marTop w:val="0"/>
          <w:marBottom w:val="0"/>
          <w:divBdr>
            <w:top w:val="none" w:sz="0" w:space="0" w:color="auto"/>
            <w:left w:val="none" w:sz="0" w:space="0" w:color="auto"/>
            <w:bottom w:val="none" w:sz="0" w:space="0" w:color="auto"/>
            <w:right w:val="none" w:sz="0" w:space="0" w:color="auto"/>
          </w:divBdr>
          <w:divsChild>
            <w:div w:id="1874269429">
              <w:marLeft w:val="0"/>
              <w:marRight w:val="0"/>
              <w:marTop w:val="0"/>
              <w:marBottom w:val="0"/>
              <w:divBdr>
                <w:top w:val="none" w:sz="0" w:space="0" w:color="auto"/>
                <w:left w:val="none" w:sz="0" w:space="0" w:color="auto"/>
                <w:bottom w:val="none" w:sz="0" w:space="0" w:color="auto"/>
                <w:right w:val="none" w:sz="0" w:space="0" w:color="auto"/>
              </w:divBdr>
            </w:div>
          </w:divsChild>
        </w:div>
        <w:div w:id="909465112">
          <w:marLeft w:val="0"/>
          <w:marRight w:val="0"/>
          <w:marTop w:val="0"/>
          <w:marBottom w:val="0"/>
          <w:divBdr>
            <w:top w:val="none" w:sz="0" w:space="0" w:color="auto"/>
            <w:left w:val="none" w:sz="0" w:space="0" w:color="auto"/>
            <w:bottom w:val="none" w:sz="0" w:space="0" w:color="auto"/>
            <w:right w:val="none" w:sz="0" w:space="0" w:color="auto"/>
          </w:divBdr>
          <w:divsChild>
            <w:div w:id="4458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26/science.118276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9890</Words>
  <Characters>56378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CPU 1117</cp:lastModifiedBy>
  <cp:revision>28</cp:revision>
  <dcterms:created xsi:type="dcterms:W3CDTF">2026-03-12T06:27:00Z</dcterms:created>
  <dcterms:modified xsi:type="dcterms:W3CDTF">2026-04-03T06:31:00Z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7ca5e98d-4804-40f1-a499-c6b20ef1b10e</vt:lpwstr>
  </property>
</Properties>
</file>