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979A" w14:textId="681A0F52" w:rsidR="008C1D5F" w:rsidRDefault="008C1D5F" w:rsidP="00F255DE">
      <w:pPr>
        <w:spacing w:line="360" w:lineRule="auto"/>
        <w:jc w:val="center"/>
        <w:rPr>
          <w:rFonts w:ascii="Times New Roman" w:hAnsi="Times New Roman" w:cs="Times New Roman"/>
          <w:b/>
          <w:bCs/>
        </w:rPr>
      </w:pPr>
      <w:bookmarkStart w:id="0" w:name="_Hlk223790767"/>
      <w:r w:rsidRPr="003805F9">
        <w:rPr>
          <w:rFonts w:ascii="Times New Roman" w:hAnsi="Times New Roman" w:cs="Times New Roman"/>
          <w:b/>
          <w:bCs/>
          <w:highlight w:val="yellow"/>
        </w:rPr>
        <w:t>Remittances and Income Growth: Empirical Evidence from Low- and Middle-Income Countries in Sub-Saharan Africa</w:t>
      </w:r>
    </w:p>
    <w:bookmarkEnd w:id="0"/>
    <w:p w14:paraId="2BA12E0E" w14:textId="023B7E8C" w:rsidR="00F255DE" w:rsidRDefault="00F255DE" w:rsidP="00F255DE">
      <w:pPr>
        <w:jc w:val="center"/>
      </w:pPr>
    </w:p>
    <w:p w14:paraId="3F725F95" w14:textId="77777777" w:rsidR="001266E0" w:rsidRDefault="001266E0" w:rsidP="00F255DE">
      <w:pPr>
        <w:jc w:val="center"/>
      </w:pPr>
    </w:p>
    <w:p w14:paraId="57E4510F" w14:textId="27CF308B" w:rsidR="00F255DE" w:rsidRPr="00F255DE" w:rsidRDefault="00F255DE" w:rsidP="00F255DE">
      <w:pPr>
        <w:jc w:val="both"/>
        <w:rPr>
          <w:rFonts w:ascii="Times New Roman" w:hAnsi="Times New Roman" w:cs="Times New Roman"/>
          <w:b/>
          <w:bCs/>
        </w:rPr>
      </w:pPr>
      <w:r>
        <w:rPr>
          <w:rFonts w:ascii="Times New Roman" w:hAnsi="Times New Roman" w:cs="Times New Roman"/>
          <w:b/>
          <w:bCs/>
        </w:rPr>
        <w:t>Abstract</w:t>
      </w:r>
    </w:p>
    <w:p w14:paraId="22863644" w14:textId="45272BAE" w:rsidR="00F255DE" w:rsidRPr="00F255DE" w:rsidRDefault="00F255DE" w:rsidP="00F255DE">
      <w:pPr>
        <w:spacing w:line="240" w:lineRule="auto"/>
        <w:jc w:val="both"/>
        <w:rPr>
          <w:rFonts w:ascii="Times New Roman" w:hAnsi="Times New Roman" w:cs="Times New Roman"/>
        </w:rPr>
      </w:pPr>
      <w:r>
        <w:rPr>
          <w:rFonts w:ascii="Times New Roman" w:hAnsi="Times New Roman" w:cs="Times New Roman"/>
        </w:rPr>
        <w:t xml:space="preserve">Sub-Saharan Africa (SSA) faces a paradox in which record-high remittance inflows coexist with persistent poverty and stagnant economic growth. Existing research exhibits a significant gap, focusing almost exclusively on inward diaspora flows whilst neglecting the domestic impact of outward remittances and providing contradictory evidence on how these effects vary across different national income tiers. To address this gap, this study examines the bidirectional impact of remittances on per capita income for 30 SSA countries over the period 2000 to 2023, employing an ex-post facto research design and robust econometric techniques, including Pooled OLS, Fixed Effects, and the Driscoll–Kraay estimator, to account for cross-sectional dependence and heteroskedasticity. The findings indicate that both inward and outward remittances significantly enhance per capita income, lending support to 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(NELM) framework. Notably, inward remittances exert a substantially greater impact in low-income nations ($248.03) compared to middle-income countries ($35.76), supporting the findings of </w:t>
      </w:r>
      <w:proofErr w:type="spellStart"/>
      <w:r>
        <w:rPr>
          <w:rFonts w:ascii="Times New Roman" w:hAnsi="Times New Roman" w:cs="Times New Roman"/>
        </w:rPr>
        <w:t>Issahaku</w:t>
      </w:r>
      <w:proofErr w:type="spellEnd"/>
      <w:r>
        <w:rPr>
          <w:rFonts w:ascii="Times New Roman" w:hAnsi="Times New Roman" w:cs="Times New Roman"/>
        </w:rPr>
        <w:t xml:space="preserve"> et al. (2018). Furthermore, outward remittances unexpectedly exhibit a greater magnitude of impact than inward flows across all models, addressing a significant gap in the literature identified by Ayo et al. (2024). The study concludes that whilst remittances are vital strategic resources for overcoming market failures, their benefits are contingent upon macroeconomic stability. Recommendations include </w:t>
      </w:r>
      <w:proofErr w:type="spellStart"/>
      <w:r>
        <w:rPr>
          <w:rFonts w:ascii="Times New Roman" w:hAnsi="Times New Roman" w:cs="Times New Roman"/>
        </w:rPr>
        <w:t>prioritising</w:t>
      </w:r>
      <w:proofErr w:type="spellEnd"/>
      <w:r>
        <w:rPr>
          <w:rFonts w:ascii="Times New Roman" w:hAnsi="Times New Roman" w:cs="Times New Roman"/>
        </w:rPr>
        <w:t xml:space="preserve"> macroeconomic stability and financial development, implementing structural reforms to channel funds into productive investments such as infrastructure, and decisively reducing the region’s high transaction costs.</w:t>
      </w:r>
      <w:r w:rsidR="008C1D5F">
        <w:rPr>
          <w:rFonts w:ascii="Times New Roman" w:hAnsi="Times New Roman" w:cs="Times New Roman"/>
        </w:rPr>
        <w:t xml:space="preserve"> </w:t>
      </w:r>
      <w:r w:rsidR="008C1D5F" w:rsidRPr="003805F9">
        <w:rPr>
          <w:rFonts w:ascii="Times New Roman" w:hAnsi="Times New Roman"/>
          <w:highlight w:val="yellow"/>
        </w:rPr>
        <w:t xml:space="preserve">Policymakers should implement structural reforms and trade </w:t>
      </w:r>
      <w:proofErr w:type="spellStart"/>
      <w:r w:rsidR="008C1D5F" w:rsidRPr="003805F9">
        <w:rPr>
          <w:rFonts w:ascii="Times New Roman" w:hAnsi="Times New Roman"/>
          <w:highlight w:val="yellow"/>
        </w:rPr>
        <w:t>liberalisation</w:t>
      </w:r>
      <w:proofErr w:type="spellEnd"/>
      <w:r w:rsidR="008C1D5F" w:rsidRPr="003805F9">
        <w:rPr>
          <w:rFonts w:ascii="Times New Roman" w:hAnsi="Times New Roman"/>
          <w:highlight w:val="yellow"/>
        </w:rPr>
        <w:t xml:space="preserve"> to create an enabling environment for </w:t>
      </w:r>
      <w:proofErr w:type="spellStart"/>
      <w:r w:rsidR="008C1D5F" w:rsidRPr="003805F9">
        <w:rPr>
          <w:rFonts w:ascii="Times New Roman" w:hAnsi="Times New Roman"/>
          <w:highlight w:val="yellow"/>
        </w:rPr>
        <w:t>channelling</w:t>
      </w:r>
      <w:proofErr w:type="spellEnd"/>
      <w:r w:rsidR="008C1D5F" w:rsidRPr="003805F9">
        <w:rPr>
          <w:rFonts w:ascii="Times New Roman" w:hAnsi="Times New Roman"/>
          <w:highlight w:val="yellow"/>
        </w:rPr>
        <w:t xml:space="preserve"> remittances from mere consumption into productive investments such as housing, infrastructure, and human capital development.</w:t>
      </w:r>
    </w:p>
    <w:p w14:paraId="22236D3E" w14:textId="431A8183" w:rsidR="00F255DE" w:rsidRDefault="00F255DE" w:rsidP="00D55B20">
      <w:pPr>
        <w:spacing w:line="360" w:lineRule="auto"/>
        <w:jc w:val="both"/>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rPr>
        <w:t xml:space="preserve">Inward Remittances, Outward Remittances, Per Capita Income, Sub-Saharan Africa, Driscoll-Kraay Estimator,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w:t>
      </w:r>
    </w:p>
    <w:p w14:paraId="7DAD4E2D" w14:textId="791B29E7" w:rsidR="00D55B20" w:rsidRPr="00510697" w:rsidRDefault="00D55B20" w:rsidP="00D55B20">
      <w:pPr>
        <w:spacing w:line="360" w:lineRule="auto"/>
        <w:jc w:val="both"/>
        <w:rPr>
          <w:rFonts w:ascii="Times New Roman" w:hAnsi="Times New Roman" w:cs="Times New Roman"/>
          <w:b/>
          <w:bCs/>
        </w:rPr>
      </w:pPr>
      <w:r>
        <w:rPr>
          <w:rFonts w:ascii="Times New Roman" w:hAnsi="Times New Roman" w:cs="Times New Roman"/>
          <w:b/>
          <w:bCs/>
        </w:rPr>
        <w:t>Introduction</w:t>
      </w:r>
    </w:p>
    <w:p w14:paraId="7C9D0976" w14:textId="56AF7923"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International financial flows have been profoundly transformed over the past three decades, with migrant remittances emerging as a critical pillar of economic stability and household welfare in developing nations. </w:t>
      </w:r>
      <w:r w:rsidR="00681DD5" w:rsidRPr="003805F9">
        <w:rPr>
          <w:rFonts w:ascii="Times New Roman" w:hAnsi="Times New Roman" w:cs="Times New Roman"/>
          <w:highlight w:val="yellow"/>
        </w:rPr>
        <w:t xml:space="preserve">International financial flows play a central role in the international monetary system, not just because they represent the necessary counterpart to trade flows. In good times, they channel savings to the countries and regions of the world where they are most productive. In crisis times, they have the potential to disrupt the domestic financial systems of the most vulnerable </w:t>
      </w:r>
      <w:r w:rsidR="00681DD5" w:rsidRPr="003805F9">
        <w:rPr>
          <w:rFonts w:ascii="Times New Roman" w:hAnsi="Times New Roman" w:cs="Times New Roman"/>
          <w:highlight w:val="yellow"/>
        </w:rPr>
        <w:lastRenderedPageBreak/>
        <w:t>countries and therefore constitute a key factor affecting global financial stability</w:t>
      </w:r>
      <w:r w:rsidR="000A2A7D" w:rsidRPr="003805F9">
        <w:rPr>
          <w:rFonts w:ascii="Times New Roman" w:hAnsi="Times New Roman" w:cs="Times New Roman"/>
          <w:highlight w:val="yellow"/>
        </w:rPr>
        <w:t xml:space="preserve"> (</w:t>
      </w:r>
      <w:proofErr w:type="spellStart"/>
      <w:r w:rsidR="000A2A7D" w:rsidRPr="003805F9">
        <w:rPr>
          <w:rFonts w:ascii="Times New Roman" w:hAnsi="Times New Roman" w:cs="Times New Roman"/>
          <w:highlight w:val="yellow"/>
        </w:rPr>
        <w:t>Bussière</w:t>
      </w:r>
      <w:proofErr w:type="spellEnd"/>
      <w:r w:rsidR="000A2A7D" w:rsidRPr="003805F9">
        <w:rPr>
          <w:rFonts w:ascii="Times New Roman" w:hAnsi="Times New Roman" w:cs="Times New Roman"/>
          <w:highlight w:val="yellow"/>
        </w:rPr>
        <w:t xml:space="preserve"> et al., 2016</w:t>
      </w:r>
      <w:r w:rsidR="00E22091" w:rsidRPr="00E22091">
        <w:rPr>
          <w:rFonts w:ascii="Times New Roman" w:hAnsi="Times New Roman" w:cs="Times New Roman"/>
          <w:highlight w:val="yellow"/>
        </w:rPr>
        <w:t xml:space="preserve">; </w:t>
      </w:r>
      <w:r w:rsidR="00E22091" w:rsidRPr="00E22091">
        <w:rPr>
          <w:rFonts w:ascii="Times New Roman" w:hAnsi="Times New Roman" w:cs="Times New Roman"/>
          <w:highlight w:val="yellow"/>
        </w:rPr>
        <w:t>Ayang</w:t>
      </w:r>
      <w:r w:rsidR="00E22091" w:rsidRPr="00E22091">
        <w:rPr>
          <w:rFonts w:ascii="Times New Roman" w:hAnsi="Times New Roman" w:cs="Times New Roman"/>
          <w:highlight w:val="yellow"/>
        </w:rPr>
        <w:t xml:space="preserve"> et al., 2026</w:t>
      </w:r>
      <w:r w:rsidR="000A2A7D" w:rsidRPr="00E22091">
        <w:rPr>
          <w:rFonts w:ascii="Times New Roman" w:hAnsi="Times New Roman" w:cs="Times New Roman"/>
          <w:highlight w:val="yellow"/>
        </w:rPr>
        <w:t>)</w:t>
      </w:r>
      <w:r w:rsidR="00681DD5" w:rsidRPr="00E22091">
        <w:rPr>
          <w:rFonts w:ascii="Times New Roman" w:hAnsi="Times New Roman" w:cs="Times New Roman"/>
          <w:highlight w:val="yellow"/>
        </w:rPr>
        <w:t>.</w:t>
      </w:r>
      <w:r w:rsidR="00681DD5" w:rsidRPr="00681DD5">
        <w:rPr>
          <w:rFonts w:ascii="Times New Roman" w:hAnsi="Times New Roman" w:cs="Times New Roman"/>
        </w:rPr>
        <w:t xml:space="preserve"> </w:t>
      </w:r>
      <w:r>
        <w:rPr>
          <w:rFonts w:ascii="Times New Roman" w:hAnsi="Times New Roman" w:cs="Times New Roman"/>
        </w:rPr>
        <w:t>Officially recorded remittances to low- and middle-income countries (LMICs) are projected to reach a staggering $685 billion in 2024, representing a growth rate of 5.8% compared to the previous year (World Bank, 2024). This volume is particularly noteworthy in comparison with traditional external financing sources; remittances now substantially exceed official development assistance (ODA) and, in a growing number of countries, have even surpassed foreign direct investment (FDI) (World Bank, 2024; Ratha, 2003). For many recipient nations, particularly small and frontier economies, these inflows represent a vital lifeline that funds current account deficits and buffers against fiscal shortfalls (World Bank, 2024). In countries such as Tajikistan, remittances account for nearly 45% of Gross Domestic Product (GDP), while in nations like Tonga and Lebanon, they represent 38% and 27% respectively (World Bank, 2024).</w:t>
      </w:r>
    </w:p>
    <w:p w14:paraId="2F80E10A"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phenomenon of migration, driven by the search for better economic and social life satisfaction, is not a new global issue, but its financial byproduct—remittances—has only recently attained its current level of prominence in development discourse (Reserve Bank of India, 2023). Record-breaking inflows have been noted in major economies: India witnessed an increase to $111 billion in 2023, while Pakistan received approximately $29.4 billion between 2020 and 2021, primarily from migrants residing in Saudi Arabia, the United Arab Emirates, and the United States (Reserve Bank of India, 2023; Muhamad and </w:t>
      </w:r>
      <w:proofErr w:type="spellStart"/>
      <w:r>
        <w:rPr>
          <w:rFonts w:ascii="Times New Roman" w:hAnsi="Times New Roman" w:cs="Times New Roman"/>
        </w:rPr>
        <w:t>Bogenhold</w:t>
      </w:r>
      <w:proofErr w:type="spellEnd"/>
      <w:r>
        <w:rPr>
          <w:rFonts w:ascii="Times New Roman" w:hAnsi="Times New Roman" w:cs="Times New Roman"/>
        </w:rPr>
        <w:t xml:space="preserve">, 2018). These flows are often counter-cyclical and considerably more stable than private capital or FDI, which tend to contract sharply during periods of economic volatility (Kapur, 2004; Ratha, 2013). Consequently, remittances are increasingly viewed as a "development mantra" by international institutions, governments, and non-governmental </w:t>
      </w:r>
      <w:proofErr w:type="spellStart"/>
      <w:r>
        <w:rPr>
          <w:rFonts w:ascii="Times New Roman" w:hAnsi="Times New Roman" w:cs="Times New Roman"/>
        </w:rPr>
        <w:t>organisations</w:t>
      </w:r>
      <w:proofErr w:type="spellEnd"/>
      <w:r>
        <w:rPr>
          <w:rFonts w:ascii="Times New Roman" w:hAnsi="Times New Roman" w:cs="Times New Roman"/>
        </w:rPr>
        <w:t xml:space="preserve"> alike (Kapur, 2003; Ratha, 2003).</w:t>
      </w:r>
    </w:p>
    <w:p w14:paraId="7E460922" w14:textId="47E354D9"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Remittances are broadly defined as the monetary dimension of the complex web of linkages existing between migrant diasporas and their home countries (Adigun and </w:t>
      </w:r>
      <w:proofErr w:type="spellStart"/>
      <w:r>
        <w:rPr>
          <w:rFonts w:ascii="Times New Roman" w:hAnsi="Times New Roman" w:cs="Times New Roman"/>
        </w:rPr>
        <w:t>Ologunwa</w:t>
      </w:r>
      <w:proofErr w:type="spellEnd"/>
      <w:r>
        <w:rPr>
          <w:rFonts w:ascii="Times New Roman" w:hAnsi="Times New Roman" w:cs="Times New Roman"/>
        </w:rPr>
        <w:t xml:space="preserve">, 2017). They typically take the form of personal transfers, consisting of all current cash or in-kind transfers between resident and non-resident individuals (World Bank, 2018; Taylor and Mora, 2023). </w:t>
      </w:r>
      <w:r w:rsidR="008C1D5F" w:rsidRPr="003805F9">
        <w:rPr>
          <w:rFonts w:ascii="Times New Roman" w:hAnsi="Times New Roman" w:cs="Times New Roman"/>
          <w:highlight w:val="yellow"/>
        </w:rPr>
        <w:t xml:space="preserve">Remittance is a significant source of external financing for developing nations.  The most noticeable and immediate benefit of international migration is remittances, which migrants send back to their home countries.  In general, remittance is the money that a foreign worker transfers from their earnings to their home country (Meher &amp; Mishra, 2025). </w:t>
      </w:r>
      <w:r>
        <w:rPr>
          <w:rFonts w:ascii="Times New Roman" w:hAnsi="Times New Roman" w:cs="Times New Roman"/>
        </w:rPr>
        <w:t xml:space="preserve">However, a comprehensive </w:t>
      </w:r>
      <w:r>
        <w:rPr>
          <w:rFonts w:ascii="Times New Roman" w:hAnsi="Times New Roman" w:cs="Times New Roman"/>
        </w:rPr>
        <w:lastRenderedPageBreak/>
        <w:t xml:space="preserve">understanding of income dynamics requires a dual focus on both inward and outward remittances. While inward remittances provide liquidity and increase the disposable income of recipient households, outward remittances—money sent by residents to relatives living abroad—can reflect a drain on domestic resources or the preliminary costs associated with the "shipment" of human capital to more productive </w:t>
      </w:r>
      <w:proofErr w:type="spellStart"/>
      <w:r>
        <w:rPr>
          <w:rFonts w:ascii="Times New Roman" w:hAnsi="Times New Roman" w:cs="Times New Roman"/>
        </w:rPr>
        <w:t>labour</w:t>
      </w:r>
      <w:proofErr w:type="spellEnd"/>
      <w:r>
        <w:rPr>
          <w:rFonts w:ascii="Times New Roman" w:hAnsi="Times New Roman" w:cs="Times New Roman"/>
        </w:rPr>
        <w:t xml:space="preserve"> markets (World Bank, 2020; Stark and Bloom, 1985). The impact of these flows on per capita income is a subject of intense empirical debate. At the micro-level, inward remittances facilitate consumption smoothing, alleviate liquidity constraints, and provide a vital source of financing for critical social outcomes (Lee, 2011; Muhamad and </w:t>
      </w:r>
      <w:proofErr w:type="spellStart"/>
      <w:r>
        <w:rPr>
          <w:rFonts w:ascii="Times New Roman" w:hAnsi="Times New Roman" w:cs="Times New Roman"/>
        </w:rPr>
        <w:t>Bogenhold</w:t>
      </w:r>
      <w:proofErr w:type="spellEnd"/>
      <w:r>
        <w:rPr>
          <w:rFonts w:ascii="Times New Roman" w:hAnsi="Times New Roman" w:cs="Times New Roman"/>
        </w:rPr>
        <w:t>, 2018</w:t>
      </w:r>
      <w:r w:rsidR="00E22091">
        <w:rPr>
          <w:rFonts w:ascii="Times New Roman" w:hAnsi="Times New Roman" w:cs="Times New Roman"/>
        </w:rPr>
        <w:t xml:space="preserve">; </w:t>
      </w:r>
      <w:proofErr w:type="spellStart"/>
      <w:r w:rsidR="00E22091" w:rsidRPr="00E22091">
        <w:rPr>
          <w:rFonts w:ascii="Times New Roman" w:hAnsi="Times New Roman" w:cs="Times New Roman"/>
          <w:highlight w:val="yellow"/>
        </w:rPr>
        <w:t>Periola</w:t>
      </w:r>
      <w:proofErr w:type="spellEnd"/>
      <w:r w:rsidR="00E22091" w:rsidRPr="00E22091">
        <w:rPr>
          <w:rFonts w:ascii="Times New Roman" w:hAnsi="Times New Roman" w:cs="Times New Roman"/>
          <w:highlight w:val="yellow"/>
        </w:rPr>
        <w:t xml:space="preserve"> </w:t>
      </w:r>
      <w:r w:rsidR="00E22091" w:rsidRPr="00E22091">
        <w:rPr>
          <w:rFonts w:ascii="Times New Roman" w:hAnsi="Times New Roman" w:cs="Times New Roman"/>
          <w:highlight w:val="yellow"/>
        </w:rPr>
        <w:t>&amp; Salami, 2024</w:t>
      </w:r>
      <w:r w:rsidRPr="003805F9">
        <w:rPr>
          <w:rFonts w:ascii="Times New Roman" w:hAnsi="Times New Roman" w:cs="Times New Roman"/>
          <w:highlight w:val="yellow"/>
        </w:rPr>
        <w:t xml:space="preserve">). </w:t>
      </w:r>
      <w:r w:rsidR="00223C3A" w:rsidRPr="003805F9">
        <w:rPr>
          <w:rFonts w:ascii="Times New Roman" w:hAnsi="Times New Roman" w:cs="Times New Roman"/>
          <w:highlight w:val="yellow"/>
        </w:rPr>
        <w:t>In places with limited financial resources, such as Sub-Saharan Africa, remittances can help low-income families cover their everyday living costs. The inflow of remittances has been identified as a significant factor for addressing the huge income gap in developing countries/regions such as Sub-Saharan Africa (</w:t>
      </w:r>
      <w:proofErr w:type="spellStart"/>
      <w:r w:rsidR="00223C3A" w:rsidRPr="003805F9">
        <w:rPr>
          <w:rFonts w:ascii="Times New Roman" w:hAnsi="Times New Roman" w:cs="Times New Roman"/>
          <w:highlight w:val="yellow"/>
        </w:rPr>
        <w:t>Owamah</w:t>
      </w:r>
      <w:proofErr w:type="spellEnd"/>
      <w:r w:rsidR="00223C3A" w:rsidRPr="003805F9">
        <w:rPr>
          <w:rFonts w:ascii="Times New Roman" w:hAnsi="Times New Roman" w:cs="Times New Roman"/>
          <w:highlight w:val="yellow"/>
        </w:rPr>
        <w:t xml:space="preserve"> et al., 2025</w:t>
      </w:r>
      <w:r w:rsidR="009D5116" w:rsidRPr="003805F9">
        <w:rPr>
          <w:rFonts w:ascii="Times New Roman" w:hAnsi="Times New Roman" w:cs="Times New Roman"/>
          <w:highlight w:val="yellow"/>
        </w:rPr>
        <w:t xml:space="preserve">; </w:t>
      </w:r>
      <w:proofErr w:type="spellStart"/>
      <w:r w:rsidR="009D5116" w:rsidRPr="003805F9">
        <w:rPr>
          <w:rFonts w:ascii="Times New Roman" w:hAnsi="Times New Roman" w:cs="Times New Roman"/>
          <w:highlight w:val="yellow"/>
        </w:rPr>
        <w:t>Yessoufou</w:t>
      </w:r>
      <w:proofErr w:type="spellEnd"/>
      <w:r w:rsidR="009D5116" w:rsidRPr="003805F9">
        <w:rPr>
          <w:rFonts w:ascii="Times New Roman" w:hAnsi="Times New Roman" w:cs="Times New Roman"/>
          <w:highlight w:val="yellow"/>
        </w:rPr>
        <w:t>, 2025</w:t>
      </w:r>
      <w:r w:rsidR="00223C3A" w:rsidRPr="003805F9">
        <w:rPr>
          <w:rFonts w:ascii="Times New Roman" w:hAnsi="Times New Roman" w:cs="Times New Roman"/>
          <w:highlight w:val="yellow"/>
        </w:rPr>
        <w:t xml:space="preserve">). </w:t>
      </w:r>
      <w:r w:rsidRPr="00223C3A">
        <w:rPr>
          <w:rFonts w:ascii="Times New Roman" w:hAnsi="Times New Roman" w:cs="Times New Roman"/>
        </w:rPr>
        <w:t>In</w:t>
      </w:r>
      <w:r>
        <w:rPr>
          <w:rFonts w:ascii="Times New Roman" w:hAnsi="Times New Roman" w:cs="Times New Roman"/>
        </w:rPr>
        <w:t xml:space="preserve"> Sub-Saharan Africa, a 1% increase in remittances has been associated with a 0.43% increase in per capita income, demonstrating a clear "trickle-down" effect that improves household well-being (African Development Bank, 2019). Furthermore, these funds are frequently ploughed back into education, healthcare, and entrepreneurship—sectors with high social returns that can potentially shift a nation’s long-term growth trajectory (Mara et al., 2012; Drabo and </w:t>
      </w:r>
      <w:proofErr w:type="spellStart"/>
      <w:r>
        <w:rPr>
          <w:rFonts w:ascii="Times New Roman" w:hAnsi="Times New Roman" w:cs="Times New Roman"/>
        </w:rPr>
        <w:t>Ebeke</w:t>
      </w:r>
      <w:proofErr w:type="spellEnd"/>
      <w:r>
        <w:rPr>
          <w:rFonts w:ascii="Times New Roman" w:hAnsi="Times New Roman" w:cs="Times New Roman"/>
        </w:rPr>
        <w:t>, 2010).</w:t>
      </w:r>
    </w:p>
    <w:p w14:paraId="5FD948A6" w14:textId="18B87464"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Despite the clear microeconomic benefits, the macroeconomic impact of remittances on economic growth remains inconclusive</w:t>
      </w:r>
      <w:r w:rsidR="00681DD5">
        <w:rPr>
          <w:rFonts w:ascii="Times New Roman" w:hAnsi="Times New Roman" w:cs="Times New Roman"/>
        </w:rPr>
        <w:t xml:space="preserve"> (</w:t>
      </w:r>
      <w:r w:rsidR="00681DD5" w:rsidRPr="003805F9">
        <w:rPr>
          <w:rFonts w:ascii="Times New Roman" w:hAnsi="Times New Roman" w:cs="Times New Roman"/>
          <w:highlight w:val="yellow"/>
        </w:rPr>
        <w:t>Prakash &amp; Mujoo, 2025</w:t>
      </w:r>
      <w:r w:rsidR="00681DD5">
        <w:rPr>
          <w:rFonts w:ascii="Times New Roman" w:hAnsi="Times New Roman" w:cs="Times New Roman"/>
        </w:rPr>
        <w:t>)</w:t>
      </w:r>
      <w:r>
        <w:rPr>
          <w:rFonts w:ascii="Times New Roman" w:hAnsi="Times New Roman" w:cs="Times New Roman"/>
        </w:rPr>
        <w:t xml:space="preserve">. Some researchers establish a significant positive relationship, suggesting that remittances act as a catalyst for growth by increasing the liquidity of the banking system and lowering the cost of credit (Ochi, 2024; </w:t>
      </w:r>
      <w:proofErr w:type="spellStart"/>
      <w:r>
        <w:rPr>
          <w:rFonts w:ascii="Times New Roman" w:hAnsi="Times New Roman" w:cs="Times New Roman"/>
        </w:rPr>
        <w:t>Zobayer</w:t>
      </w:r>
      <w:proofErr w:type="spellEnd"/>
      <w:r>
        <w:rPr>
          <w:rFonts w:ascii="Times New Roman" w:hAnsi="Times New Roman" w:cs="Times New Roman"/>
        </w:rPr>
        <w:t xml:space="preserve"> and Khalid, 2022). In Zimbabwe, for instance, remittance inflows have been found to positively impact growth in both the short and long run, encouraging policymakers to offer incentives for </w:t>
      </w:r>
      <w:proofErr w:type="spellStart"/>
      <w:r>
        <w:rPr>
          <w:rFonts w:ascii="Times New Roman" w:hAnsi="Times New Roman" w:cs="Times New Roman"/>
        </w:rPr>
        <w:t>formalising</w:t>
      </w:r>
      <w:proofErr w:type="spellEnd"/>
      <w:r>
        <w:rPr>
          <w:rFonts w:ascii="Times New Roman" w:hAnsi="Times New Roman" w:cs="Times New Roman"/>
        </w:rPr>
        <w:t xml:space="preserve"> these flows (Abel et al., 2025). Conversely, a competing body of literature warns of the "Dutch Disease" phenomenon. This occurs when large currency inflows lead to a real exchange rate (RER) appreciation, which in turn reduces the external trade competitiveness of the host country’s manufacturing and export sectors (Taguchi and Batool, 2024; Rabbi et al., 2013). In Bangladesh, for example, the consistent inflow of remittances has been found to appreciate the RER, potentially deteriorating the industrial base (Rabbi et al., 2013). Furthermore, a "moral hazard" problem may arise if regular remittance receipts induce a culture of dependency, raising the reservation wage and reducing the </w:t>
      </w:r>
      <w:proofErr w:type="spellStart"/>
      <w:r>
        <w:rPr>
          <w:rFonts w:ascii="Times New Roman" w:hAnsi="Times New Roman" w:cs="Times New Roman"/>
        </w:rPr>
        <w:t>labour</w:t>
      </w:r>
      <w:proofErr w:type="spellEnd"/>
      <w:r>
        <w:rPr>
          <w:rFonts w:ascii="Times New Roman" w:hAnsi="Times New Roman" w:cs="Times New Roman"/>
        </w:rPr>
        <w:t xml:space="preserve"> supply of household members left behind (Chami et al., 2003; Kim, 2007). </w:t>
      </w:r>
      <w:r>
        <w:rPr>
          <w:rFonts w:ascii="Times New Roman" w:hAnsi="Times New Roman" w:cs="Times New Roman"/>
        </w:rPr>
        <w:lastRenderedPageBreak/>
        <w:t xml:space="preserve">Such dependency may engender persistent unemployment even when real wages are rising, </w:t>
      </w:r>
      <w:proofErr w:type="spellStart"/>
      <w:r>
        <w:rPr>
          <w:rFonts w:ascii="Times New Roman" w:hAnsi="Times New Roman" w:cs="Times New Roman"/>
        </w:rPr>
        <w:t>signalling</w:t>
      </w:r>
      <w:proofErr w:type="spellEnd"/>
      <w:r>
        <w:rPr>
          <w:rFonts w:ascii="Times New Roman" w:hAnsi="Times New Roman" w:cs="Times New Roman"/>
        </w:rPr>
        <w:t xml:space="preserve"> a poorly functioning </w:t>
      </w:r>
      <w:proofErr w:type="spellStart"/>
      <w:r>
        <w:rPr>
          <w:rFonts w:ascii="Times New Roman" w:hAnsi="Times New Roman" w:cs="Times New Roman"/>
        </w:rPr>
        <w:t>labour</w:t>
      </w:r>
      <w:proofErr w:type="spellEnd"/>
      <w:r>
        <w:rPr>
          <w:rFonts w:ascii="Times New Roman" w:hAnsi="Times New Roman" w:cs="Times New Roman"/>
        </w:rPr>
        <w:t xml:space="preserve"> market (Kim, 2007).</w:t>
      </w:r>
    </w:p>
    <w:p w14:paraId="2DC4E657"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need for this study is highlighted by the striking disparity between the volume of remitted income and the persistent poverty levels in regions like Sub-Saharan Africa. While Nigeria accounts for over 60% of the remittances into the continent—amounting to over $65 billion in a three-year period—the nation and the wider region continue to face tremendous challenges regarding income inequality and low literacy rates (World Bank, 2021; </w:t>
      </w:r>
      <w:proofErr w:type="spellStart"/>
      <w:r>
        <w:rPr>
          <w:rFonts w:ascii="Times New Roman" w:hAnsi="Times New Roman" w:cs="Times New Roman"/>
        </w:rPr>
        <w:t>Owamah</w:t>
      </w:r>
      <w:proofErr w:type="spellEnd"/>
      <w:r>
        <w:rPr>
          <w:rFonts w:ascii="Times New Roman" w:hAnsi="Times New Roman" w:cs="Times New Roman"/>
        </w:rPr>
        <w:t xml:space="preserve"> et al., 2025). Many Sub-Saharan Africans still live below the $2.15 per day poverty line, despite the continent being the second-largest recipient of diaspora funds (World Bank, 2024; </w:t>
      </w:r>
      <w:proofErr w:type="spellStart"/>
      <w:r>
        <w:rPr>
          <w:rFonts w:ascii="Times New Roman" w:hAnsi="Times New Roman" w:cs="Times New Roman"/>
        </w:rPr>
        <w:t>Owamah</w:t>
      </w:r>
      <w:proofErr w:type="spellEnd"/>
      <w:r>
        <w:rPr>
          <w:rFonts w:ascii="Times New Roman" w:hAnsi="Times New Roman" w:cs="Times New Roman"/>
        </w:rPr>
        <w:t xml:space="preserve"> et al., 2025). A significant portion of existing research has focused on inward remittances in isolation. However, the dynamics of outward remittances and their collective effect on per capita income—especially when compared across low-income and middle-income country groupings—is less understood. Middle-income countries often serve as regional hubs for migration (e.g., South Africa or Thailand), meaning they experience both significant inflows from their diaspora in the West and substantial outflows from migrants within their borders (World Bank, 2024). This study seeks to bridge this gap by providing a comprehensive examination of how both inward and outward flows shape the income dynamics of these two distinct economic tiers.</w:t>
      </w:r>
    </w:p>
    <w:p w14:paraId="75C56FDE"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The primary purpose of remittances is to provide for basic needs and invest in critical sectors such as education and housing in home countries (John et al., 2020). Yet, it is worrisome that many LMICs continue to grapple with high infant mortality, stagnant growth, and widespread inequality despite record-high remittance receipts (</w:t>
      </w:r>
      <w:proofErr w:type="spellStart"/>
      <w:r>
        <w:rPr>
          <w:rFonts w:ascii="Times New Roman" w:hAnsi="Times New Roman" w:cs="Times New Roman"/>
        </w:rPr>
        <w:t>Owamah</w:t>
      </w:r>
      <w:proofErr w:type="spellEnd"/>
      <w:r>
        <w:rPr>
          <w:rFonts w:ascii="Times New Roman" w:hAnsi="Times New Roman" w:cs="Times New Roman"/>
        </w:rPr>
        <w:t xml:space="preserve"> et al., 2025; Abel et al., 2024). Some studies even suggest that in countries with large income gaps, remittances can exacerbate inequality because the high costs of migration ensure that only relatively better-off households can afford to send members abroad (</w:t>
      </w:r>
      <w:proofErr w:type="spellStart"/>
      <w:r>
        <w:rPr>
          <w:rFonts w:ascii="Times New Roman" w:hAnsi="Times New Roman" w:cs="Times New Roman"/>
        </w:rPr>
        <w:t>Adenutsi</w:t>
      </w:r>
      <w:proofErr w:type="spellEnd"/>
      <w:r>
        <w:rPr>
          <w:rFonts w:ascii="Times New Roman" w:hAnsi="Times New Roman" w:cs="Times New Roman"/>
        </w:rPr>
        <w:t xml:space="preserve">, 2011; </w:t>
      </w:r>
      <w:proofErr w:type="spellStart"/>
      <w:r>
        <w:rPr>
          <w:rFonts w:ascii="Times New Roman" w:hAnsi="Times New Roman" w:cs="Times New Roman"/>
        </w:rPr>
        <w:t>Owamah</w:t>
      </w:r>
      <w:proofErr w:type="spellEnd"/>
      <w:r>
        <w:rPr>
          <w:rFonts w:ascii="Times New Roman" w:hAnsi="Times New Roman" w:cs="Times New Roman"/>
        </w:rPr>
        <w:t xml:space="preserve"> et al., 2025). This paper sets out to determine the effect of remittances (inflows and outflows) on per capita income across a panel of low-income and middle-income countries. By examining these dynamics over the period of 2000–2023, the study aims to ascertain whether these flows facilitate sustainable income growth or merely serve as a temporary buffer against economic hardship. Ultimately, this research aims to provide evidence-based policy recommendations to assist governments in creating conducive environments for the productive </w:t>
      </w:r>
      <w:proofErr w:type="spellStart"/>
      <w:r>
        <w:rPr>
          <w:rFonts w:ascii="Times New Roman" w:hAnsi="Times New Roman" w:cs="Times New Roman"/>
        </w:rPr>
        <w:t>utilisation</w:t>
      </w:r>
      <w:proofErr w:type="spellEnd"/>
      <w:r>
        <w:rPr>
          <w:rFonts w:ascii="Times New Roman" w:hAnsi="Times New Roman" w:cs="Times New Roman"/>
        </w:rPr>
        <w:t xml:space="preserve"> of remittances to foster genuine economic </w:t>
      </w:r>
      <w:r>
        <w:rPr>
          <w:rFonts w:ascii="Times New Roman" w:hAnsi="Times New Roman" w:cs="Times New Roman"/>
        </w:rPr>
        <w:lastRenderedPageBreak/>
        <w:t xml:space="preserve">development. The remainder of this paper is </w:t>
      </w:r>
      <w:proofErr w:type="spellStart"/>
      <w:r>
        <w:rPr>
          <w:rFonts w:ascii="Times New Roman" w:hAnsi="Times New Roman" w:cs="Times New Roman"/>
        </w:rPr>
        <w:t>organised</w:t>
      </w:r>
      <w:proofErr w:type="spellEnd"/>
      <w:r>
        <w:rPr>
          <w:rFonts w:ascii="Times New Roman" w:hAnsi="Times New Roman" w:cs="Times New Roman"/>
        </w:rPr>
        <w:t xml:space="preserve"> as follows: section 2 presents </w:t>
      </w:r>
      <w:proofErr w:type="spellStart"/>
      <w:r>
        <w:rPr>
          <w:rFonts w:ascii="Times New Roman" w:hAnsi="Times New Roman" w:cs="Times New Roman"/>
        </w:rPr>
        <w:t>stylised</w:t>
      </w:r>
      <w:proofErr w:type="spellEnd"/>
      <w:r>
        <w:rPr>
          <w:rFonts w:ascii="Times New Roman" w:hAnsi="Times New Roman" w:cs="Times New Roman"/>
        </w:rPr>
        <w:t xml:space="preserve"> facts on remittances. The review of relevant literature – theoretical and empirical- is done in section 3. Sections 4 and 5 present the methodology, and results and discussion of findings. The conclusion and recommendations are presented in section 6. </w:t>
      </w:r>
    </w:p>
    <w:p w14:paraId="326196CE" w14:textId="77777777" w:rsidR="00D55B20" w:rsidRPr="00FF2C20" w:rsidRDefault="00D55B20" w:rsidP="00D55B20">
      <w:pPr>
        <w:jc w:val="both"/>
        <w:rPr>
          <w:rFonts w:ascii="Times New Roman" w:hAnsi="Times New Roman" w:cs="Times New Roman"/>
          <w:b/>
          <w:bCs/>
        </w:rPr>
      </w:pPr>
      <w:r>
        <w:rPr>
          <w:rFonts w:ascii="Times New Roman" w:hAnsi="Times New Roman" w:cs="Times New Roman"/>
          <w:b/>
          <w:bCs/>
        </w:rPr>
        <w:t xml:space="preserve">2. </w:t>
      </w:r>
      <w:proofErr w:type="spellStart"/>
      <w:r>
        <w:rPr>
          <w:rFonts w:ascii="Times New Roman" w:hAnsi="Times New Roman" w:cs="Times New Roman"/>
          <w:b/>
          <w:bCs/>
        </w:rPr>
        <w:t>Stylised</w:t>
      </w:r>
      <w:proofErr w:type="spellEnd"/>
      <w:r>
        <w:rPr>
          <w:rFonts w:ascii="Times New Roman" w:hAnsi="Times New Roman" w:cs="Times New Roman"/>
          <w:b/>
          <w:bCs/>
        </w:rPr>
        <w:t xml:space="preserve"> Facts on Inward and Outward Remittances, and Per Capita Income in SSA</w:t>
      </w:r>
    </w:p>
    <w:p w14:paraId="64E319C0" w14:textId="77777777" w:rsidR="00D55B20" w:rsidRPr="00FF2C20" w:rsidRDefault="00D55B20" w:rsidP="00D55B20">
      <w:pPr>
        <w:spacing w:line="360" w:lineRule="auto"/>
        <w:jc w:val="both"/>
        <w:rPr>
          <w:rFonts w:ascii="Times New Roman" w:hAnsi="Times New Roman" w:cs="Times New Roman"/>
        </w:rPr>
      </w:pPr>
      <w:r>
        <w:rPr>
          <w:rFonts w:ascii="Times New Roman" w:hAnsi="Times New Roman" w:cs="Times New Roman"/>
        </w:rPr>
        <w:t>Remittance flows have emerged as a dominant pillar of external finance in Sub-Saharan Africa (SSA), frequently demonstrating greater stability and magnitude than foreign direct investment (FDI) or official development assistance (ODA) (World Bank, 2021; IMF, 2021). By 2023, inward remittances to the region reached approximately $54 billion, representing nearly 1.5 times the volume of FDI during the same period (</w:t>
      </w:r>
      <w:proofErr w:type="spellStart"/>
      <w:r>
        <w:rPr>
          <w:rFonts w:ascii="Times New Roman" w:hAnsi="Times New Roman" w:cs="Times New Roman"/>
        </w:rPr>
        <w:t>Owamah</w:t>
      </w:r>
      <w:proofErr w:type="spellEnd"/>
      <w:r>
        <w:rPr>
          <w:rFonts w:ascii="Times New Roman" w:hAnsi="Times New Roman" w:cs="Times New Roman"/>
        </w:rPr>
        <w:t xml:space="preserve"> et al., 2025; Ratha et al., 2024). The distribution of inward remittances is highly concentrated, with a small number of regional economies accounting for the bulk of inflows. Nigeria remains the largest recipient, historically accounting for roughly 60% of all inflows to the region (World Bank, 2021; Hernandez-Coss &amp; Bun, 2006). According to the sources, Nigeria’s inward remittances reached $19.55 billion in 2023, a vital liquidity source despite fluctuating from a 2018 peak of $24.31 billion (World Bank, 2021). Kenya has also seen exponential growth, with inward flows rising from $0.54 billion in 2000 to $4.23 billion in 2023. For smaller economies, these flows are existential; in The Gambia, remittances account for 13% of GDP, while in Lesotho and Comoros, they represent more than one-fifth of total economic output (Chhetri, 2023; </w:t>
      </w:r>
      <w:proofErr w:type="spellStart"/>
      <w:r>
        <w:rPr>
          <w:rFonts w:ascii="Times New Roman" w:hAnsi="Times New Roman" w:cs="Times New Roman"/>
        </w:rPr>
        <w:t>Owamah</w:t>
      </w:r>
      <w:proofErr w:type="spellEnd"/>
      <w:r>
        <w:rPr>
          <w:rFonts w:ascii="Times New Roman" w:hAnsi="Times New Roman" w:cs="Times New Roman"/>
        </w:rPr>
        <w:t xml:space="preserve"> et al., 2025). Outward remittances highlight the role of regional economic hubs and intra-continental migration. South Africa stands out as the primary sender in the region, with outward flows recorded at $0.93 billion in 2023. Angola also serves as a significant sender of remittances, though its volume has seen a sharp decline from a peak of $2.75 billion in 2014 to $0.43 billion by 2023.</w:t>
      </w:r>
    </w:p>
    <w:p w14:paraId="775FCE70"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dynamics of </w:t>
      </w:r>
      <w:bookmarkStart w:id="1" w:name="_Hlk223265266"/>
      <w:r>
        <w:rPr>
          <w:rFonts w:ascii="Times New Roman" w:hAnsi="Times New Roman" w:cs="Times New Roman"/>
        </w:rPr>
        <w:t xml:space="preserve">per capita income </w:t>
      </w:r>
      <w:bookmarkEnd w:id="1"/>
      <w:r>
        <w:rPr>
          <w:rFonts w:ascii="Times New Roman" w:hAnsi="Times New Roman" w:cs="Times New Roman"/>
        </w:rPr>
        <w:t>across SSA show a diverse trajectory often linked to these financial inflows. High-performing economies like Botswana have seen per capita income grow from $5,062 in 2000 to $7,235 in 2023, while South Africa’s per capita income stood at $5,747 in the same year. In contrast, fragile frontier economies like Burundi have struggled with stagnation, with</w:t>
      </w:r>
      <w:r>
        <w:t xml:space="preserve"> </w:t>
      </w:r>
      <w:r>
        <w:rPr>
          <w:rFonts w:ascii="Times New Roman" w:hAnsi="Times New Roman" w:cs="Times New Roman"/>
        </w:rPr>
        <w:t xml:space="preserve">per capita income declining slightly from $302 in 2000 to $253 in 2023. Empirical evidence confirms a strong "trickle-down" effect where these inflows boost household well-being. A 1% increase in remittances is associated with a 0.43% rise in per capita income across the region </w:t>
      </w:r>
      <w:r>
        <w:rPr>
          <w:rFonts w:ascii="Times New Roman" w:hAnsi="Times New Roman" w:cs="Times New Roman"/>
        </w:rPr>
        <w:lastRenderedPageBreak/>
        <w:t>(African Development Bank, 2019). These funds serve as a vital safety net, with a 10% increase in remittances estimated to improve life expectancy by up to 1.5 years and schooling by 0.2 to 0.4 years (African Development Bank, 2019). Despite these gains, the region continues to face the highest remittance transaction costs globally, ranging from 5% to 10%, which substantially reduces the net impact of these flows on poverty reduction and economic growth (World Bank, 2022).</w:t>
      </w:r>
    </w:p>
    <w:p w14:paraId="04DA86CA" w14:textId="5286035C"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Officially recorded remittance flows to low- and middle-income countries in Sub-Saharan Africa reached approximately $54 billion to $55 billion in 2023, representing a slight 0.3% decrease from the previous year. These totals reflect a steady recovery from the global COVID-19 pandemic in 2020, during which the region suffered a sharp 12.5% to 13.8% decline, with inflows dropping to $43 billion. Following this downturn, the region witnessed a massive 14% to 18.7% increase in 2021, with totals reaching $49 billion. Historically, the region has seen a general upward trend, with flows increasing from $42 billion in 2017 to $50 billion in 2019. Current estimates suggest that remittances will continue to </w:t>
      </w:r>
      <w:proofErr w:type="gramStart"/>
      <w:r>
        <w:rPr>
          <w:rFonts w:ascii="Times New Roman" w:hAnsi="Times New Roman" w:cs="Times New Roman"/>
        </w:rPr>
        <w:t>grow,  potentially</w:t>
      </w:r>
      <w:proofErr w:type="gramEnd"/>
      <w:r>
        <w:rPr>
          <w:rFonts w:ascii="Times New Roman" w:hAnsi="Times New Roman" w:cs="Times New Roman"/>
        </w:rPr>
        <w:t xml:space="preserve"> climbing to $1 trillion globally by 2030 (World Bank, 2024).</w:t>
      </w:r>
    </w:p>
    <w:p w14:paraId="4E71B060" w14:textId="77777777" w:rsidR="00D55B20" w:rsidRDefault="00D55B20" w:rsidP="00D55B20">
      <w:pPr>
        <w:spacing w:line="360" w:lineRule="auto"/>
        <w:jc w:val="both"/>
        <w:rPr>
          <w:rFonts w:ascii="Times New Roman" w:hAnsi="Times New Roman" w:cs="Times New Roman"/>
          <w:b/>
          <w:bCs/>
        </w:rPr>
      </w:pPr>
      <w:bookmarkStart w:id="2" w:name="_Hlk223633054"/>
      <w:r>
        <w:rPr>
          <w:rFonts w:ascii="Times New Roman" w:hAnsi="Times New Roman" w:cs="Times New Roman"/>
          <w:b/>
          <w:bCs/>
        </w:rPr>
        <w:t>3. Literature review</w:t>
      </w:r>
    </w:p>
    <w:p w14:paraId="7A88272B" w14:textId="77777777" w:rsidR="00D55B20" w:rsidRPr="00A13E50" w:rsidRDefault="00D55B20" w:rsidP="00D55B20">
      <w:pPr>
        <w:spacing w:line="360" w:lineRule="auto"/>
        <w:jc w:val="both"/>
        <w:rPr>
          <w:rFonts w:ascii="Times New Roman" w:hAnsi="Times New Roman" w:cs="Times New Roman"/>
          <w:b/>
          <w:bCs/>
        </w:rPr>
      </w:pPr>
      <w:r>
        <w:rPr>
          <w:rFonts w:ascii="Times New Roman" w:hAnsi="Times New Roman" w:cs="Times New Roman"/>
          <w:b/>
          <w:bCs/>
        </w:rPr>
        <w:t>3.1 Theoretical Review</w:t>
      </w:r>
    </w:p>
    <w:p w14:paraId="545383B9"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The theoretical framework for understanding the relationship between international remittances and income dynamics has evolved from narrow individualistic perspectives to comprehensive, household-</w:t>
      </w:r>
      <w:proofErr w:type="spellStart"/>
      <w:r>
        <w:rPr>
          <w:rFonts w:ascii="Times New Roman" w:hAnsi="Times New Roman" w:cs="Times New Roman"/>
        </w:rPr>
        <w:t>centred</w:t>
      </w:r>
      <w:proofErr w:type="spellEnd"/>
      <w:r>
        <w:rPr>
          <w:rFonts w:ascii="Times New Roman" w:hAnsi="Times New Roman" w:cs="Times New Roman"/>
        </w:rPr>
        <w:t xml:space="preserve"> models. These frameworks provide a basis for evaluating how inward and outward remittances shape per capita income in low- and middle-income countries (LMICs).</w:t>
      </w:r>
    </w:p>
    <w:p w14:paraId="22F127A7" w14:textId="77777777" w:rsidR="00D55B20" w:rsidRPr="00A13E50" w:rsidRDefault="00D55B20" w:rsidP="00D55B20">
      <w:pPr>
        <w:spacing w:line="360" w:lineRule="auto"/>
        <w:jc w:val="both"/>
        <w:rPr>
          <w:rFonts w:ascii="Times New Roman" w:hAnsi="Times New Roman" w:cs="Times New Roman"/>
          <w:b/>
          <w:bCs/>
        </w:rPr>
      </w:pPr>
      <w:r>
        <w:rPr>
          <w:rFonts w:ascii="Times New Roman" w:hAnsi="Times New Roman" w:cs="Times New Roman"/>
          <w:b/>
          <w:bCs/>
        </w:rPr>
        <w:t>3.1.1 Neo-Classical Migration Theory</w:t>
      </w:r>
    </w:p>
    <w:p w14:paraId="188AE42C"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Early theoretical foundations, such as Neo-classical Migration Theory, posit that international </w:t>
      </w:r>
      <w:proofErr w:type="spellStart"/>
      <w:r>
        <w:rPr>
          <w:rFonts w:ascii="Times New Roman" w:hAnsi="Times New Roman" w:cs="Times New Roman"/>
        </w:rPr>
        <w:t>labour</w:t>
      </w:r>
      <w:proofErr w:type="spellEnd"/>
      <w:r>
        <w:rPr>
          <w:rFonts w:ascii="Times New Roman" w:hAnsi="Times New Roman" w:cs="Times New Roman"/>
        </w:rPr>
        <w:t xml:space="preserve"> movement is primarily driven by real wage differentials between countries (Lewis, 1954; Harris &amp; Todaro, 1970). In this view, migration is a mechanism for individual utility maximization, where </w:t>
      </w:r>
      <w:proofErr w:type="spellStart"/>
      <w:r>
        <w:rPr>
          <w:rFonts w:ascii="Times New Roman" w:hAnsi="Times New Roman" w:cs="Times New Roman"/>
        </w:rPr>
        <w:t>labour</w:t>
      </w:r>
      <w:proofErr w:type="spellEnd"/>
      <w:r>
        <w:rPr>
          <w:rFonts w:ascii="Times New Roman" w:hAnsi="Times New Roman" w:cs="Times New Roman"/>
        </w:rPr>
        <w:t xml:space="preserve"> flows from capital-poor (low-wage) nations to capital-rich (high-wage) nations (Lewis, 1954). This theory often employs a basic Cobb-Douglas production function to illustrate how </w:t>
      </w:r>
      <w:proofErr w:type="spellStart"/>
      <w:r>
        <w:rPr>
          <w:rFonts w:ascii="Times New Roman" w:hAnsi="Times New Roman" w:cs="Times New Roman"/>
        </w:rPr>
        <w:t>labour</w:t>
      </w:r>
      <w:proofErr w:type="spellEnd"/>
      <w:r>
        <w:rPr>
          <w:rFonts w:ascii="Times New Roman" w:hAnsi="Times New Roman" w:cs="Times New Roman"/>
        </w:rPr>
        <w:t xml:space="preserve"> (L), capital (K), and technology (A) determine national output (Y): </w:t>
      </w:r>
    </w:p>
    <w:p w14:paraId="23602FCC" w14:textId="77777777" w:rsidR="00D55B20" w:rsidRDefault="00D55B20" w:rsidP="00D55B20">
      <w:pPr>
        <w:spacing w:line="360" w:lineRule="auto"/>
        <w:ind w:left="2160" w:firstLine="720"/>
        <w:jc w:val="center"/>
        <w:rPr>
          <w:rFonts w:ascii="Times New Roman" w:hAnsi="Times New Roman" w:cs="Times New Roman"/>
        </w:rPr>
      </w:pPr>
      <m:oMath>
        <m:r>
          <w:rPr>
            <w:rFonts w:ascii="Cambria Math"/>
          </w:rPr>
          <m:t>Y=A</m:t>
        </m:r>
        <m:sSup>
          <m:sSupPr>
            <m:ctrlPr>
              <w:rPr>
                <w:rFonts w:ascii="Cambria Math" w:hAnsi="Cambria Math"/>
                <w:i/>
              </w:rPr>
            </m:ctrlPr>
          </m:sSupPr>
          <m:e>
            <m:r>
              <w:rPr>
                <w:rFonts w:ascii="Cambria Math"/>
              </w:rPr>
              <m:t>K</m:t>
            </m:r>
          </m:e>
          <m:sup>
            <m:r>
              <w:rPr>
                <w:rFonts w:ascii="Cambria Math"/>
              </w:rPr>
              <m:t>α</m:t>
            </m:r>
          </m:sup>
        </m:sSup>
        <m:sSup>
          <m:sSupPr>
            <m:ctrlPr>
              <w:rPr>
                <w:rFonts w:ascii="Cambria Math" w:hAnsi="Cambria Math"/>
                <w:i/>
              </w:rPr>
            </m:ctrlPr>
          </m:sSupPr>
          <m:e>
            <m:r>
              <w:rPr>
                <w:rFonts w:ascii="Cambria Math"/>
              </w:rPr>
              <m:t>L</m:t>
            </m:r>
          </m:e>
          <m:sup>
            <m:r>
              <w:rPr>
                <w:rFonts w:ascii="Cambria Math"/>
              </w:rPr>
              <m:t>β</m:t>
            </m:r>
          </m:sup>
        </m:sSup>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t>(1)</w:t>
      </w:r>
    </w:p>
    <w:p w14:paraId="3C166759" w14:textId="77777777" w:rsidR="00D55B20" w:rsidRPr="006A6204" w:rsidRDefault="00D55B20" w:rsidP="00D55B20">
      <w:pPr>
        <w:spacing w:line="360" w:lineRule="auto"/>
        <w:jc w:val="both"/>
        <w:rPr>
          <w:rFonts w:ascii="Times New Roman" w:hAnsi="Times New Roman" w:cs="Times New Roman"/>
        </w:rPr>
      </w:pPr>
      <w:r>
        <w:rPr>
          <w:rFonts w:ascii="Times New Roman" w:hAnsi="Times New Roman" w:cs="Times New Roman"/>
        </w:rPr>
        <w:lastRenderedPageBreak/>
        <w:t>where</w:t>
      </w:r>
      <w:r>
        <w:rPr>
          <w:rFonts w:ascii="Times New Roman" w:hAnsi="Times New Roman" w:cs="Times New Roman"/>
          <w:i/>
          <w:iCs/>
        </w:rPr>
        <w:t xml:space="preserve"> α</w:t>
      </w:r>
      <w:r>
        <w:rPr>
          <w:rFonts w:ascii="Times New Roman" w:hAnsi="Times New Roman" w:cs="Times New Roman"/>
        </w:rPr>
        <w:t xml:space="preserve"> and </w:t>
      </w:r>
      <w:r>
        <w:rPr>
          <w:rFonts w:ascii="Times New Roman" w:hAnsi="Times New Roman" w:cs="Times New Roman"/>
          <w:i/>
          <w:iCs/>
        </w:rPr>
        <w:t>β</w:t>
      </w:r>
      <w:r>
        <w:rPr>
          <w:rFonts w:ascii="Times New Roman" w:hAnsi="Times New Roman" w:cs="Times New Roman"/>
        </w:rPr>
        <w:t xml:space="preserve"> represent the respective elasticities of substitution (Abel et al., 2025). From this perspective, remittances are simply the returned earnings of exported </w:t>
      </w:r>
      <w:proofErr w:type="spellStart"/>
      <w:r>
        <w:rPr>
          <w:rFonts w:ascii="Times New Roman" w:hAnsi="Times New Roman" w:cs="Times New Roman"/>
        </w:rPr>
        <w:t>labour</w:t>
      </w:r>
      <w:proofErr w:type="spellEnd"/>
      <w:r>
        <w:rPr>
          <w:rFonts w:ascii="Times New Roman" w:hAnsi="Times New Roman" w:cs="Times New Roman"/>
        </w:rPr>
        <w:t xml:space="preserve"> that boost the recipient country's capital stock (</w:t>
      </w:r>
      <w:proofErr w:type="spellStart"/>
      <w:r>
        <w:rPr>
          <w:rFonts w:ascii="Times New Roman" w:hAnsi="Times New Roman" w:cs="Times New Roman"/>
        </w:rPr>
        <w:t>Englama</w:t>
      </w:r>
      <w:proofErr w:type="spellEnd"/>
      <w:r>
        <w:rPr>
          <w:rFonts w:ascii="Times New Roman" w:hAnsi="Times New Roman" w:cs="Times New Roman"/>
        </w:rPr>
        <w:t>, 2009).</w:t>
      </w:r>
    </w:p>
    <w:p w14:paraId="42878AB0" w14:textId="77777777" w:rsidR="00D55B20" w:rsidRPr="00A13E50" w:rsidRDefault="00D55B20" w:rsidP="00D55B20">
      <w:pPr>
        <w:spacing w:line="360" w:lineRule="auto"/>
        <w:jc w:val="both"/>
        <w:rPr>
          <w:rFonts w:ascii="Times New Roman" w:hAnsi="Times New Roman" w:cs="Times New Roman"/>
          <w:b/>
          <w:bCs/>
        </w:rPr>
      </w:pPr>
      <w:proofErr w:type="gramStart"/>
      <w:r>
        <w:rPr>
          <w:rFonts w:ascii="Times New Roman" w:hAnsi="Times New Roman" w:cs="Times New Roman"/>
          <w:b/>
          <w:bCs/>
        </w:rPr>
        <w:t>3.1.2  The</w:t>
      </w:r>
      <w:proofErr w:type="gramEnd"/>
      <w:r>
        <w:rPr>
          <w:rFonts w:ascii="Times New Roman" w:hAnsi="Times New Roman" w:cs="Times New Roman"/>
          <w:b/>
          <w:bCs/>
        </w:rPr>
        <w:t xml:space="preserve"> New Economics of </w:t>
      </w:r>
      <w:proofErr w:type="spellStart"/>
      <w:r>
        <w:rPr>
          <w:rFonts w:ascii="Times New Roman" w:hAnsi="Times New Roman" w:cs="Times New Roman"/>
          <w:b/>
          <w:bCs/>
        </w:rPr>
        <w:t>Labour</w:t>
      </w:r>
      <w:proofErr w:type="spellEnd"/>
      <w:r>
        <w:rPr>
          <w:rFonts w:ascii="Times New Roman" w:hAnsi="Times New Roman" w:cs="Times New Roman"/>
          <w:b/>
          <w:bCs/>
        </w:rPr>
        <w:t xml:space="preserve"> Migration (NELM)</w:t>
      </w:r>
    </w:p>
    <w:p w14:paraId="64E0551B"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(NELM), pioneered by Stark and Bloom (1985), shifts the unit of analysis from the individual to the household, offering a more nuanced account of migration decision-making. It posits that migration is a collective household strategy aimed at overcoming local market failures, such as limited access to credit or insurance (Stark &amp; Bloom, 1985). Within this framework, remittances serve as a risk diversification strategy, providing a stable, counter-cyclical income stream that cushions the household against domestic economic shocks (Rosenzweig &amp; Stark, 1989; Stark &amp; Bloom, 1985).</w:t>
      </w:r>
    </w:p>
    <w:p w14:paraId="0D2DDE7A"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 xml:space="preserve">NELM is particularly relevant for </w:t>
      </w:r>
      <w:proofErr w:type="spellStart"/>
      <w:r>
        <w:rPr>
          <w:rFonts w:ascii="Times New Roman" w:hAnsi="Times New Roman" w:cs="Times New Roman"/>
        </w:rPr>
        <w:t>analysing</w:t>
      </w:r>
      <w:proofErr w:type="spellEnd"/>
      <w:r>
        <w:rPr>
          <w:rFonts w:ascii="Times New Roman" w:hAnsi="Times New Roman" w:cs="Times New Roman"/>
        </w:rPr>
        <w:t xml:space="preserve"> per capita income (PCI) because it suggests that remittances can be "ploughed back" into productive investments, such as education and healthcare, which enhance long-term productive capacity (Adams &amp; Page, 2005; Giuliano &amp; Ruiz-Arranz, 2009). However, the theory also acknowledges that outward remittances (money sent by residents to migrants abroad) may represent a loss of domestic human capital or the "preliminary costs" of migration (</w:t>
      </w:r>
      <w:proofErr w:type="spellStart"/>
      <w:r>
        <w:rPr>
          <w:rFonts w:ascii="Times New Roman" w:hAnsi="Times New Roman" w:cs="Times New Roman"/>
        </w:rPr>
        <w:t>Oloyimgbo</w:t>
      </w:r>
      <w:proofErr w:type="spellEnd"/>
      <w:r>
        <w:rPr>
          <w:rFonts w:ascii="Times New Roman" w:hAnsi="Times New Roman" w:cs="Times New Roman"/>
        </w:rPr>
        <w:t xml:space="preserve"> et al., 2020).</w:t>
      </w:r>
    </w:p>
    <w:p w14:paraId="33BCB6DA" w14:textId="77777777" w:rsidR="00D55B20" w:rsidRPr="00A13E50" w:rsidRDefault="00D55B20" w:rsidP="00D55B20">
      <w:pPr>
        <w:spacing w:line="360" w:lineRule="auto"/>
        <w:jc w:val="both"/>
        <w:rPr>
          <w:rFonts w:ascii="Times New Roman" w:hAnsi="Times New Roman" w:cs="Times New Roman"/>
          <w:b/>
          <w:bCs/>
        </w:rPr>
      </w:pPr>
      <w:proofErr w:type="gramStart"/>
      <w:r>
        <w:rPr>
          <w:rFonts w:ascii="Times New Roman" w:hAnsi="Times New Roman" w:cs="Times New Roman"/>
          <w:b/>
          <w:bCs/>
        </w:rPr>
        <w:t>3.1.3  Theories</w:t>
      </w:r>
      <w:proofErr w:type="gramEnd"/>
      <w:r>
        <w:rPr>
          <w:rFonts w:ascii="Times New Roman" w:hAnsi="Times New Roman" w:cs="Times New Roman"/>
          <w:b/>
          <w:bCs/>
        </w:rPr>
        <w:t xml:space="preserve"> of Remittance Motives: Altruism vs. Self-Interest</w:t>
      </w:r>
    </w:p>
    <w:p w14:paraId="69BF9C70"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The literature identifies two primary motives for sending remittances: altruism and self-interest (Lucas &amp; Stark, 1985).</w:t>
      </w:r>
    </w:p>
    <w:p w14:paraId="76E16D52" w14:textId="77777777" w:rsidR="00D55B20" w:rsidRPr="00A13E50" w:rsidRDefault="00D55B20" w:rsidP="00D55B20">
      <w:pPr>
        <w:numPr>
          <w:ilvl w:val="0"/>
          <w:numId w:val="1"/>
        </w:numPr>
        <w:spacing w:line="360" w:lineRule="auto"/>
        <w:jc w:val="both"/>
        <w:rPr>
          <w:rFonts w:ascii="Times New Roman" w:hAnsi="Times New Roman" w:cs="Times New Roman"/>
        </w:rPr>
      </w:pPr>
      <w:r>
        <w:rPr>
          <w:rFonts w:ascii="Times New Roman" w:hAnsi="Times New Roman" w:cs="Times New Roman"/>
        </w:rPr>
        <w:t xml:space="preserve">Pure Altruism: The migrant remits funds out of concern for the family’s well-being, particularly during times of hardship (Becker, 1981; </w:t>
      </w:r>
      <w:proofErr w:type="spellStart"/>
      <w:r>
        <w:rPr>
          <w:rFonts w:ascii="Times New Roman" w:hAnsi="Times New Roman" w:cs="Times New Roman"/>
        </w:rPr>
        <w:t>Tchouassi</w:t>
      </w:r>
      <w:proofErr w:type="spellEnd"/>
      <w:r>
        <w:rPr>
          <w:rFonts w:ascii="Times New Roman" w:hAnsi="Times New Roman" w:cs="Times New Roman"/>
        </w:rPr>
        <w:t xml:space="preserve"> &amp; </w:t>
      </w:r>
      <w:proofErr w:type="spellStart"/>
      <w:r>
        <w:rPr>
          <w:rFonts w:ascii="Times New Roman" w:hAnsi="Times New Roman" w:cs="Times New Roman"/>
        </w:rPr>
        <w:t>Sikod</w:t>
      </w:r>
      <w:proofErr w:type="spellEnd"/>
      <w:r>
        <w:rPr>
          <w:rFonts w:ascii="Times New Roman" w:hAnsi="Times New Roman" w:cs="Times New Roman"/>
        </w:rPr>
        <w:t>, 2010).</w:t>
      </w:r>
    </w:p>
    <w:p w14:paraId="412BCD90" w14:textId="77777777" w:rsidR="00D55B20" w:rsidRPr="00A13E50" w:rsidRDefault="00D55B20" w:rsidP="00D55B20">
      <w:pPr>
        <w:numPr>
          <w:ilvl w:val="0"/>
          <w:numId w:val="1"/>
        </w:numPr>
        <w:spacing w:line="360" w:lineRule="auto"/>
        <w:jc w:val="both"/>
        <w:rPr>
          <w:rFonts w:ascii="Times New Roman" w:hAnsi="Times New Roman" w:cs="Times New Roman"/>
        </w:rPr>
      </w:pPr>
      <w:r>
        <w:rPr>
          <w:rFonts w:ascii="Times New Roman" w:hAnsi="Times New Roman" w:cs="Times New Roman"/>
        </w:rPr>
        <w:t>Tempered Altruism/Repayment: Remittances are viewed as a mutually beneficial "repayment package" for the household’s initial investment in the migrant's education and travel (Van-Dakin et al., 2005).</w:t>
      </w:r>
    </w:p>
    <w:p w14:paraId="4879E102"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The individual's choice of activity (working vs. relying on remittances) is often modeled through a discrete occupational choice model where the probability (</w:t>
      </w:r>
      <w:proofErr w:type="spellStart"/>
      <w:r>
        <w:rPr>
          <w:rFonts w:ascii="Times New Roman" w:hAnsi="Times New Roman" w:cs="Times New Roman"/>
        </w:rPr>
        <w:t>P</w:t>
      </w:r>
      <w:r>
        <w:rPr>
          <w:rFonts w:ascii="Times New Roman" w:hAnsi="Times New Roman" w:cs="Times New Roman"/>
          <w:i/>
          <w:iCs/>
          <w:vertAlign w:val="subscript"/>
        </w:rPr>
        <w:t>nj</w:t>
      </w:r>
      <w:proofErr w:type="spellEnd"/>
      <w:r>
        <w:rPr>
          <w:rFonts w:ascii="Times New Roman" w:hAnsi="Times New Roman" w:cs="Times New Roman"/>
        </w:rPr>
        <w:t xml:space="preserve">) that an individual chooses alternative </w:t>
      </w:r>
      <w:r>
        <w:rPr>
          <w:rFonts w:ascii="Times New Roman" w:hAnsi="Times New Roman" w:cs="Times New Roman"/>
          <w:i/>
          <w:iCs/>
        </w:rPr>
        <w:t xml:space="preserve">j </w:t>
      </w:r>
      <w:r>
        <w:rPr>
          <w:rFonts w:ascii="Times New Roman" w:hAnsi="Times New Roman" w:cs="Times New Roman"/>
        </w:rPr>
        <w:t xml:space="preserve">is based on the utility (U) derived: </w:t>
      </w:r>
    </w:p>
    <w:p w14:paraId="06B9DF73" w14:textId="77777777" w:rsidR="00D55B20" w:rsidRDefault="00000000" w:rsidP="00D55B20">
      <w:pPr>
        <w:spacing w:line="360" w:lineRule="auto"/>
        <w:ind w:left="1440" w:firstLine="720"/>
        <w:jc w:val="center"/>
        <w:rPr>
          <w:rFonts w:ascii="Times New Roman" w:hAnsi="Times New Roman" w:cs="Times New Roman"/>
        </w:rPr>
      </w:pPr>
      <m:oMath>
        <m:sSub>
          <m:sSubPr>
            <m:ctrlPr>
              <w:rPr>
                <w:rFonts w:ascii="Cambria Math" w:hAnsi="Cambria Math"/>
                <w:i/>
              </w:rPr>
            </m:ctrlPr>
          </m:sSubPr>
          <m:e>
            <m:r>
              <w:rPr>
                <w:rFonts w:ascii="Cambria Math"/>
              </w:rPr>
              <m:t>P</m:t>
            </m:r>
          </m:e>
          <m:sub>
            <m:r>
              <w:rPr>
                <w:rFonts w:ascii="Cambria Math"/>
              </w:rPr>
              <m:t>nj</m:t>
            </m:r>
          </m:sub>
        </m:sSub>
        <m:r>
          <w:rPr>
            <w:rFonts w:ascii="Cambria Math"/>
          </w:rPr>
          <m:t>=Prob(</m:t>
        </m:r>
        <m:sSub>
          <m:sSubPr>
            <m:ctrlPr>
              <w:rPr>
                <w:rFonts w:ascii="Cambria Math" w:hAnsi="Cambria Math"/>
                <w:i/>
              </w:rPr>
            </m:ctrlPr>
          </m:sSubPr>
          <m:e>
            <m:r>
              <w:rPr>
                <w:rFonts w:ascii="Cambria Math"/>
              </w:rPr>
              <m:t>U</m:t>
            </m:r>
          </m:e>
          <m:sub>
            <m:r>
              <w:rPr>
                <w:rFonts w:ascii="Cambria Math"/>
              </w:rPr>
              <m:t>nj</m:t>
            </m:r>
          </m:sub>
        </m:sSub>
        <m:r>
          <w:rPr>
            <w:rFonts w:ascii="Cambria Math"/>
          </w:rPr>
          <m:t>&gt;</m:t>
        </m:r>
        <m:sSub>
          <m:sSubPr>
            <m:ctrlPr>
              <w:rPr>
                <w:rFonts w:ascii="Cambria Math" w:hAnsi="Cambria Math"/>
                <w:i/>
              </w:rPr>
            </m:ctrlPr>
          </m:sSubPr>
          <m:e>
            <m:r>
              <w:rPr>
                <w:rFonts w:ascii="Cambria Math"/>
              </w:rPr>
              <m:t>U</m:t>
            </m:r>
          </m:e>
          <m:sub>
            <m:r>
              <w:rPr>
                <w:rFonts w:ascii="Cambria Math"/>
              </w:rPr>
              <m:t>ni</m:t>
            </m:r>
          </m:sub>
        </m:sSub>
        <m:sSub>
          <m:sSubPr>
            <m:ctrlPr>
              <w:rPr>
                <w:rFonts w:ascii="Cambria Math" w:hAnsi="Cambria Math"/>
                <w:i/>
              </w:rPr>
            </m:ctrlPr>
          </m:sSubPr>
          <m:e>
            <m:r>
              <w:rPr>
                <w:rFonts w:ascii="Cambria Math" w:hAnsi="Cambria Math" w:cs="Cambria Math"/>
              </w:rPr>
              <m:t>∀</m:t>
            </m:r>
          </m:e>
          <m:sub>
            <m:r>
              <w:rPr>
                <w:rFonts w:ascii="Cambria Math"/>
              </w:rPr>
              <m:t>j</m:t>
            </m:r>
          </m:sub>
        </m:sSub>
        <m:r>
          <w:rPr>
            <w:rFonts w:ascii="Cambria Math"/>
          </w:rPr>
          <m:t>≠</m:t>
        </m:r>
        <m:r>
          <w:rPr>
            <w:rFonts w:ascii="Cambria Math"/>
          </w:rPr>
          <m:t>i)</m:t>
        </m:r>
      </m:oMath>
      <w:r w:rsidR="002A02E5">
        <w:rPr>
          <w:rFonts w:ascii="Times New Roman" w:eastAsiaTheme="minorEastAsia" w:hAnsi="Times New Roman" w:cs="Times New Roman"/>
        </w:rPr>
        <w:t xml:space="preserve">                         </w:t>
      </w:r>
      <w:r w:rsidR="002A02E5">
        <w:rPr>
          <w:rFonts w:ascii="Times New Roman" w:eastAsiaTheme="minorEastAsia" w:hAnsi="Times New Roman" w:cs="Times New Roman"/>
        </w:rPr>
        <w:tab/>
      </w:r>
      <w:r w:rsidR="002A02E5">
        <w:rPr>
          <w:rFonts w:ascii="Times New Roman" w:eastAsiaTheme="minorEastAsia" w:hAnsi="Times New Roman" w:cs="Times New Roman"/>
        </w:rPr>
        <w:tab/>
        <w:t xml:space="preserve">                   (2)</w:t>
      </w:r>
    </w:p>
    <w:p w14:paraId="23BDEA76"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This model incorporates unobserved factors (</w:t>
      </w:r>
      <w:r>
        <w:rPr>
          <w:rFonts w:ascii="Times New Roman" w:hAnsi="Times New Roman" w:cs="Times New Roman"/>
          <w:i/>
          <w:iCs/>
        </w:rPr>
        <w:t>ε</w:t>
      </w:r>
      <w:r>
        <w:rPr>
          <w:rFonts w:ascii="Times New Roman" w:hAnsi="Times New Roman" w:cs="Times New Roman"/>
        </w:rPr>
        <w:t>) and observed characteristics (</w:t>
      </w:r>
      <w:r>
        <w:rPr>
          <w:rFonts w:ascii="Times New Roman" w:hAnsi="Times New Roman" w:cs="Times New Roman"/>
          <w:i/>
          <w:iCs/>
        </w:rPr>
        <w:t>X</w:t>
      </w:r>
      <w:r>
        <w:rPr>
          <w:rFonts w:ascii="Times New Roman" w:hAnsi="Times New Roman" w:cs="Times New Roman"/>
        </w:rPr>
        <w:t>), including the receipt of remittances (</w:t>
      </w:r>
      <w:proofErr w:type="spellStart"/>
      <w:r>
        <w:rPr>
          <w:rFonts w:ascii="Times New Roman" w:hAnsi="Times New Roman" w:cs="Times New Roman"/>
          <w:i/>
          <w:iCs/>
        </w:rPr>
        <w:t>rem</w:t>
      </w:r>
      <w:r>
        <w:rPr>
          <w:rFonts w:ascii="Times New Roman" w:hAnsi="Times New Roman" w:cs="Times New Roman"/>
          <w:i/>
          <w:iCs/>
          <w:vertAlign w:val="subscript"/>
        </w:rPr>
        <w:t>n</w:t>
      </w:r>
      <w:proofErr w:type="spellEnd"/>
      <w:r>
        <w:rPr>
          <w:rFonts w:ascii="Times New Roman" w:hAnsi="Times New Roman" w:cs="Times New Roman"/>
        </w:rPr>
        <w:t>) (</w:t>
      </w:r>
      <w:proofErr w:type="spellStart"/>
      <w:r>
        <w:rPr>
          <w:rFonts w:ascii="Times New Roman" w:hAnsi="Times New Roman" w:cs="Times New Roman"/>
        </w:rPr>
        <w:t>Vadean</w:t>
      </w:r>
      <w:proofErr w:type="spellEnd"/>
      <w:r>
        <w:rPr>
          <w:rFonts w:ascii="Times New Roman" w:hAnsi="Times New Roman" w:cs="Times New Roman"/>
        </w:rPr>
        <w:t xml:space="preserve"> et al., 2017).</w:t>
      </w:r>
    </w:p>
    <w:p w14:paraId="47D886BC" w14:textId="77777777" w:rsidR="00D55B20" w:rsidRDefault="00D55B20" w:rsidP="00D55B20">
      <w:pPr>
        <w:spacing w:line="360" w:lineRule="auto"/>
        <w:jc w:val="both"/>
        <w:rPr>
          <w:rFonts w:ascii="Times New Roman" w:hAnsi="Times New Roman" w:cs="Times New Roman"/>
          <w:b/>
          <w:bCs/>
        </w:rPr>
      </w:pPr>
      <w:bookmarkStart w:id="3" w:name="_Hlk223291646"/>
      <w:r>
        <w:rPr>
          <w:rFonts w:ascii="Times New Roman" w:hAnsi="Times New Roman" w:cs="Times New Roman"/>
          <w:b/>
          <w:bCs/>
        </w:rPr>
        <w:t>3.2 Empirical Review</w:t>
      </w:r>
    </w:p>
    <w:p w14:paraId="58B5BA47"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Empirical research on the relationship between remittances and income dynamics has yielded divergent results across various periods and regions, reflecting the complexity of the "remittance-growth nexus." Recent investigations in Nigeria for the 21st century by Ayo, Nnaji and Okorie (2024) used qualitative methods to show that while diaspora inflows constitute a large GDP share, they can induce a growth-retarding "brain drain," a finding contrasted by Abel, Nnamdi and Adekunle (2024) who </w:t>
      </w:r>
      <w:proofErr w:type="spellStart"/>
      <w:r>
        <w:rPr>
          <w:rFonts w:ascii="Times New Roman" w:hAnsi="Times New Roman" w:cs="Times New Roman"/>
        </w:rPr>
        <w:t>utilised</w:t>
      </w:r>
      <w:proofErr w:type="spellEnd"/>
      <w:r>
        <w:rPr>
          <w:rFonts w:ascii="Times New Roman" w:hAnsi="Times New Roman" w:cs="Times New Roman"/>
        </w:rPr>
        <w:t xml:space="preserve"> a housing finance perspective (2000–2023) to establish a positive long-run impact on commercial activities and household wealth. Nasiru et al. (2024) applied Unit Root and VECM (2000–2022) to variables like exchange rates, concluding that currency fluctuations negatively affect GDPPC, while </w:t>
      </w:r>
      <w:proofErr w:type="spellStart"/>
      <w:r>
        <w:rPr>
          <w:rFonts w:ascii="Times New Roman" w:hAnsi="Times New Roman" w:cs="Times New Roman"/>
        </w:rPr>
        <w:t>Oyegoke</w:t>
      </w:r>
      <w:proofErr w:type="spellEnd"/>
      <w:r>
        <w:rPr>
          <w:rFonts w:ascii="Times New Roman" w:hAnsi="Times New Roman" w:cs="Times New Roman"/>
        </w:rPr>
        <w:t xml:space="preserve"> and Amali (2022) used OLS (1977–2021) to confirm significant positive development effects in the same region. Non-linear threshold effects were </w:t>
      </w:r>
      <w:proofErr w:type="spellStart"/>
      <w:r>
        <w:rPr>
          <w:rFonts w:ascii="Times New Roman" w:hAnsi="Times New Roman" w:cs="Times New Roman"/>
        </w:rPr>
        <w:t>analysed</w:t>
      </w:r>
      <w:proofErr w:type="spellEnd"/>
      <w:r>
        <w:rPr>
          <w:rFonts w:ascii="Times New Roman" w:hAnsi="Times New Roman" w:cs="Times New Roman"/>
        </w:rPr>
        <w:t xml:space="preserve"> across 45 SSA countries (2000–2020) by Said, Said and Ochi (2024) using a dynamic panel threshold model, discovering growth-enhancing effects only above a 12.71% threshold, while </w:t>
      </w:r>
      <w:proofErr w:type="spellStart"/>
      <w:r>
        <w:rPr>
          <w:rFonts w:ascii="Times New Roman" w:hAnsi="Times New Roman" w:cs="Times New Roman"/>
        </w:rPr>
        <w:t>Kitessa</w:t>
      </w:r>
      <w:proofErr w:type="spellEnd"/>
      <w:r>
        <w:rPr>
          <w:rFonts w:ascii="Times New Roman" w:hAnsi="Times New Roman" w:cs="Times New Roman"/>
        </w:rPr>
        <w:t xml:space="preserve">, Tekie and Jonse (2024) </w:t>
      </w:r>
      <w:proofErr w:type="spellStart"/>
      <w:r>
        <w:rPr>
          <w:rFonts w:ascii="Times New Roman" w:hAnsi="Times New Roman" w:cs="Times New Roman"/>
        </w:rPr>
        <w:t>emphasised</w:t>
      </w:r>
      <w:proofErr w:type="spellEnd"/>
      <w:r>
        <w:rPr>
          <w:rFonts w:ascii="Times New Roman" w:hAnsi="Times New Roman" w:cs="Times New Roman"/>
        </w:rPr>
        <w:t xml:space="preserve"> through DOLS panel cointegration (2005–2019) that institutional quality is a pivotal moderator in these dynamics. The catalytic role of remittances was further supported in 48 African nations by Emeka, Nwodo and Rena (2024) via system GMM, and in 42 nations (2001–2020) by </w:t>
      </w:r>
      <w:proofErr w:type="spellStart"/>
      <w:r>
        <w:rPr>
          <w:rFonts w:ascii="Times New Roman" w:hAnsi="Times New Roman" w:cs="Times New Roman"/>
        </w:rPr>
        <w:t>Zobayer</w:t>
      </w:r>
      <w:proofErr w:type="spellEnd"/>
      <w:r>
        <w:rPr>
          <w:rFonts w:ascii="Times New Roman" w:hAnsi="Times New Roman" w:cs="Times New Roman"/>
        </w:rPr>
        <w:t xml:space="preserve"> Bin Amir and Khalid Bin Amir (2022) using fixed-effects models to argue for significant positive growth. Human capital benefits were highlighted by Khan (2024) across 61 developing nations (1995–2020) through Sys-GMM and by Wanger and Aras (2022) in Nigeria (1981–2019) using OLS, whereas Didia and Tahir (2021) applied VECM (1990–2018) to find that a 1% increase in remittances actually reduces short-run GDP growth by 0.9%. Asymmetric responses were identified by Olayungbo, Olaniyi and </w:t>
      </w:r>
      <w:proofErr w:type="spellStart"/>
      <w:r>
        <w:rPr>
          <w:rFonts w:ascii="Times New Roman" w:hAnsi="Times New Roman" w:cs="Times New Roman"/>
        </w:rPr>
        <w:t>Ojeyinka</w:t>
      </w:r>
      <w:proofErr w:type="spellEnd"/>
      <w:r>
        <w:rPr>
          <w:rFonts w:ascii="Times New Roman" w:hAnsi="Times New Roman" w:cs="Times New Roman"/>
        </w:rPr>
        <w:t xml:space="preserve"> (2020) using NARDL, concluding that both positive and negative variations dampen the productive base due to unproductive channeling of funds. Institutional interactions were noted by Mohammed (2022) in SSA (2004–2018) via system GMM, showing remittances effectively substitute for weak institutional environments. Financial development linkages were explored by Adekunle and Tella (2021) for 30 countries (2003–2017) and </w:t>
      </w:r>
      <w:proofErr w:type="spellStart"/>
      <w:r>
        <w:rPr>
          <w:rFonts w:ascii="Times New Roman" w:hAnsi="Times New Roman" w:cs="Times New Roman"/>
        </w:rPr>
        <w:t>Ulayungbo</w:t>
      </w:r>
      <w:proofErr w:type="spellEnd"/>
      <w:r>
        <w:rPr>
          <w:rFonts w:ascii="Times New Roman" w:hAnsi="Times New Roman" w:cs="Times New Roman"/>
        </w:rPr>
        <w:t xml:space="preserve"> and Quadri (2019) for 20 </w:t>
      </w:r>
      <w:r>
        <w:rPr>
          <w:rFonts w:ascii="Times New Roman" w:hAnsi="Times New Roman" w:cs="Times New Roman"/>
        </w:rPr>
        <w:lastRenderedPageBreak/>
        <w:t xml:space="preserve">nations (2000–2015), both identifying positive causal links between liquidity and growth. Macroeconomic stability tests by Ahmad (2019) using ARDL (1990–2018) found Naira depreciation follows inflows, while </w:t>
      </w:r>
      <w:proofErr w:type="spellStart"/>
      <w:r>
        <w:rPr>
          <w:rFonts w:ascii="Times New Roman" w:hAnsi="Times New Roman" w:cs="Times New Roman"/>
        </w:rPr>
        <w:t>Nwiado</w:t>
      </w:r>
      <w:proofErr w:type="spellEnd"/>
      <w:r>
        <w:rPr>
          <w:rFonts w:ascii="Times New Roman" w:hAnsi="Times New Roman" w:cs="Times New Roman"/>
        </w:rPr>
        <w:t xml:space="preserve">, </w:t>
      </w:r>
      <w:proofErr w:type="spellStart"/>
      <w:r>
        <w:rPr>
          <w:rFonts w:ascii="Times New Roman" w:hAnsi="Times New Roman" w:cs="Times New Roman"/>
        </w:rPr>
        <w:t>Korgbeelo</w:t>
      </w:r>
      <w:proofErr w:type="spellEnd"/>
      <w:r>
        <w:rPr>
          <w:rFonts w:ascii="Times New Roman" w:hAnsi="Times New Roman" w:cs="Times New Roman"/>
        </w:rPr>
        <w:t xml:space="preserve"> and </w:t>
      </w:r>
      <w:proofErr w:type="spellStart"/>
      <w:r>
        <w:rPr>
          <w:rFonts w:ascii="Times New Roman" w:hAnsi="Times New Roman" w:cs="Times New Roman"/>
        </w:rPr>
        <w:t>Ezebunwa</w:t>
      </w:r>
      <w:proofErr w:type="spellEnd"/>
      <w:r>
        <w:rPr>
          <w:rFonts w:ascii="Times New Roman" w:hAnsi="Times New Roman" w:cs="Times New Roman"/>
        </w:rPr>
        <w:t xml:space="preserve"> (2021) used Johansen tests to report insignificant domestic exchange market impacts. Poverty dynamics revealed sharp contradictions; Ogu (2022) found negative relationships with poverty in Nigeria (1985–2020) via ARDL, but </w:t>
      </w:r>
      <w:proofErr w:type="spellStart"/>
      <w:r>
        <w:rPr>
          <w:rFonts w:ascii="Times New Roman" w:hAnsi="Times New Roman" w:cs="Times New Roman"/>
        </w:rPr>
        <w:t>Ewubare</w:t>
      </w:r>
      <w:proofErr w:type="spellEnd"/>
      <w:r>
        <w:rPr>
          <w:rFonts w:ascii="Times New Roman" w:hAnsi="Times New Roman" w:cs="Times New Roman"/>
        </w:rPr>
        <w:t xml:space="preserve"> and </w:t>
      </w:r>
      <w:proofErr w:type="spellStart"/>
      <w:r>
        <w:rPr>
          <w:rFonts w:ascii="Times New Roman" w:hAnsi="Times New Roman" w:cs="Times New Roman"/>
        </w:rPr>
        <w:t>Okpoi</w:t>
      </w:r>
      <w:proofErr w:type="spellEnd"/>
      <w:r>
        <w:rPr>
          <w:rFonts w:ascii="Times New Roman" w:hAnsi="Times New Roman" w:cs="Times New Roman"/>
        </w:rPr>
        <w:t xml:space="preserve"> (2018) reported that inward flows intensified long-run poverty due to dependency. Cross-sectional impacts were observed by </w:t>
      </w:r>
      <w:proofErr w:type="spellStart"/>
      <w:r>
        <w:rPr>
          <w:rFonts w:ascii="Times New Roman" w:hAnsi="Times New Roman" w:cs="Times New Roman"/>
        </w:rPr>
        <w:t>Coruso</w:t>
      </w:r>
      <w:proofErr w:type="spellEnd"/>
      <w:r>
        <w:rPr>
          <w:rFonts w:ascii="Times New Roman" w:hAnsi="Times New Roman" w:cs="Times New Roman"/>
        </w:rPr>
        <w:t xml:space="preserve">, </w:t>
      </w:r>
      <w:proofErr w:type="spellStart"/>
      <w:r>
        <w:rPr>
          <w:rFonts w:ascii="Times New Roman" w:hAnsi="Times New Roman" w:cs="Times New Roman"/>
        </w:rPr>
        <w:t>Cucagna</w:t>
      </w:r>
      <w:proofErr w:type="spellEnd"/>
      <w:r>
        <w:rPr>
          <w:rFonts w:ascii="Times New Roman" w:hAnsi="Times New Roman" w:cs="Times New Roman"/>
        </w:rPr>
        <w:t xml:space="preserve"> and </w:t>
      </w:r>
      <w:proofErr w:type="spellStart"/>
      <w:r>
        <w:rPr>
          <w:rFonts w:ascii="Times New Roman" w:hAnsi="Times New Roman" w:cs="Times New Roman"/>
        </w:rPr>
        <w:t>Ladroms</w:t>
      </w:r>
      <w:proofErr w:type="spellEnd"/>
      <w:r>
        <w:rPr>
          <w:rFonts w:ascii="Times New Roman" w:hAnsi="Times New Roman" w:cs="Times New Roman"/>
        </w:rPr>
        <w:t xml:space="preserve"> (2023) in Central America and Fabo (2021) in the Caucasus, highlighting how global </w:t>
      </w:r>
      <w:proofErr w:type="spellStart"/>
      <w:r>
        <w:rPr>
          <w:rFonts w:ascii="Times New Roman" w:hAnsi="Times New Roman" w:cs="Times New Roman"/>
        </w:rPr>
        <w:t>labour</w:t>
      </w:r>
      <w:proofErr w:type="spellEnd"/>
      <w:r>
        <w:rPr>
          <w:rFonts w:ascii="Times New Roman" w:hAnsi="Times New Roman" w:cs="Times New Roman"/>
        </w:rPr>
        <w:t xml:space="preserve"> market shocks dictate home-country support. Further studies like Ofori and </w:t>
      </w:r>
      <w:proofErr w:type="spellStart"/>
      <w:r>
        <w:rPr>
          <w:rFonts w:ascii="Times New Roman" w:hAnsi="Times New Roman" w:cs="Times New Roman"/>
        </w:rPr>
        <w:t>Guechya</w:t>
      </w:r>
      <w:proofErr w:type="spellEnd"/>
      <w:r>
        <w:rPr>
          <w:rFonts w:ascii="Times New Roman" w:hAnsi="Times New Roman" w:cs="Times New Roman"/>
        </w:rPr>
        <w:t xml:space="preserve"> (2020) across 43 nations (1970–2017) using GMM established an unconditional positive growth effect, while Huay et al. (2019) used Sys-GMM (1980–2014) to link inflows to improved health and education indicators. Oumarou (2021) confirmed a long-run link between inflows and HDI using Engle-Granger causality (1980–2019), whereas John, Orok and Udoka (2020) and </w:t>
      </w:r>
      <w:proofErr w:type="spellStart"/>
      <w:r>
        <w:rPr>
          <w:rFonts w:ascii="Times New Roman" w:hAnsi="Times New Roman" w:cs="Times New Roman"/>
        </w:rPr>
        <w:t>Ediri</w:t>
      </w:r>
      <w:proofErr w:type="spellEnd"/>
      <w:r>
        <w:rPr>
          <w:rFonts w:ascii="Times New Roman" w:hAnsi="Times New Roman" w:cs="Times New Roman"/>
        </w:rPr>
        <w:t xml:space="preserve"> and Okonkwo (2019) used OLS to recommend that predictable regulatory frameworks are essential because worker-specific transfers often have insignificant effects compared to total diaspora flows. Finally, Adigun and </w:t>
      </w:r>
      <w:proofErr w:type="spellStart"/>
      <w:r>
        <w:rPr>
          <w:rFonts w:ascii="Times New Roman" w:hAnsi="Times New Roman" w:cs="Times New Roman"/>
        </w:rPr>
        <w:t>Ologunwa</w:t>
      </w:r>
      <w:proofErr w:type="spellEnd"/>
      <w:r>
        <w:rPr>
          <w:rFonts w:ascii="Times New Roman" w:hAnsi="Times New Roman" w:cs="Times New Roman"/>
        </w:rPr>
        <w:t xml:space="preserve"> (2018) for 1980–2015 and Anosike and </w:t>
      </w:r>
      <w:proofErr w:type="spellStart"/>
      <w:r>
        <w:rPr>
          <w:rFonts w:ascii="Times New Roman" w:hAnsi="Times New Roman" w:cs="Times New Roman"/>
        </w:rPr>
        <w:t>Alfadhel</w:t>
      </w:r>
      <w:proofErr w:type="spellEnd"/>
      <w:r>
        <w:rPr>
          <w:rFonts w:ascii="Times New Roman" w:hAnsi="Times New Roman" w:cs="Times New Roman"/>
        </w:rPr>
        <w:t xml:space="preserve"> (2023) for a 40-year period both recommended structural reforms and trade </w:t>
      </w:r>
      <w:proofErr w:type="spellStart"/>
      <w:r>
        <w:rPr>
          <w:rFonts w:ascii="Times New Roman" w:hAnsi="Times New Roman" w:cs="Times New Roman"/>
        </w:rPr>
        <w:t>liberalisation</w:t>
      </w:r>
      <w:proofErr w:type="spellEnd"/>
      <w:r>
        <w:rPr>
          <w:rFonts w:ascii="Times New Roman" w:hAnsi="Times New Roman" w:cs="Times New Roman"/>
        </w:rPr>
        <w:t>, noting that whilst remittances help the poor finance consumption, the magnitude of impact on genuine economic transformation remains small without productive investment.</w:t>
      </w:r>
    </w:p>
    <w:p w14:paraId="4EB829C8"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Empirical research on the relationship between remittances and per capita income across varying national income levels reveals that absorptive capacity and institutional quality dictate whether these inflows foster growth or induce dependency. Khan (2024) investigated 61 developing nations from 1995 to 2020 using two-step GMM and found that while remittances boost human capital, the impact is tiered: health expenditures saw the greatest rise in upper-middle-income countries, whereas education expenditures peaked in low-income countries. This complexity is mirrored in the growth-remittance nexus; </w:t>
      </w:r>
      <w:proofErr w:type="spellStart"/>
      <w:r>
        <w:rPr>
          <w:rFonts w:ascii="Times New Roman" w:hAnsi="Times New Roman" w:cs="Times New Roman"/>
        </w:rPr>
        <w:t>Issahaku</w:t>
      </w:r>
      <w:proofErr w:type="spellEnd"/>
      <w:r>
        <w:rPr>
          <w:rFonts w:ascii="Times New Roman" w:hAnsi="Times New Roman" w:cs="Times New Roman"/>
        </w:rPr>
        <w:t xml:space="preserve"> et al. (2018) conducted a comprehensive panel study of 106 countries (1996–2013) concluding that remittances significantly stimulate economic growth in low-income and lower-middle-income countries but fail to do so in upper-middle-income nations. Conversely, Ramirez and Sharma (2008) </w:t>
      </w:r>
      <w:proofErr w:type="spellStart"/>
      <w:r>
        <w:rPr>
          <w:rFonts w:ascii="Times New Roman" w:hAnsi="Times New Roman" w:cs="Times New Roman"/>
        </w:rPr>
        <w:t>utilised</w:t>
      </w:r>
      <w:proofErr w:type="spellEnd"/>
      <w:r>
        <w:rPr>
          <w:rFonts w:ascii="Times New Roman" w:hAnsi="Times New Roman" w:cs="Times New Roman"/>
        </w:rPr>
        <w:t xml:space="preserve"> Fully-Modified OLS for Latin American nations to argue that the growth effect is actually higher in upper-income countries because these households have superior opportunities for profitable investment. Threshold dynamics also vary </w:t>
      </w:r>
      <w:r>
        <w:rPr>
          <w:rFonts w:ascii="Times New Roman" w:hAnsi="Times New Roman" w:cs="Times New Roman"/>
        </w:rPr>
        <w:lastRenderedPageBreak/>
        <w:t xml:space="preserve">by income level, as Said, Said and Ochi (2024) demonstrated through a dynamic panel threshold model of 45 SSA countries (2000–2020), finding that remittances only enhance growth once they exceed a 12.71% GDP threshold, a level more common in smaller, lower-income "frontier" economies. Regarding poverty, Adams and Page (2003/2005) </w:t>
      </w:r>
      <w:proofErr w:type="spellStart"/>
      <w:r>
        <w:rPr>
          <w:rFonts w:ascii="Times New Roman" w:hAnsi="Times New Roman" w:cs="Times New Roman"/>
        </w:rPr>
        <w:t>analysed</w:t>
      </w:r>
      <w:proofErr w:type="spellEnd"/>
      <w:r>
        <w:rPr>
          <w:rFonts w:ascii="Times New Roman" w:hAnsi="Times New Roman" w:cs="Times New Roman"/>
        </w:rPr>
        <w:t xml:space="preserve"> 74 low- and middle-income countries (LMICs) and found that a 10% increase in the remittance-to-GDP ratio leads to a 1.6% decline in poverty; however, they noted that international migrants primarily originate from the non-poor in middle-income countries who can afford high migration costs. Institutional quality acts as a critical moderator, with </w:t>
      </w:r>
      <w:proofErr w:type="spellStart"/>
      <w:r>
        <w:rPr>
          <w:rFonts w:ascii="Times New Roman" w:hAnsi="Times New Roman" w:cs="Times New Roman"/>
        </w:rPr>
        <w:t>Kitessa</w:t>
      </w:r>
      <w:proofErr w:type="spellEnd"/>
      <w:r>
        <w:rPr>
          <w:rFonts w:ascii="Times New Roman" w:hAnsi="Times New Roman" w:cs="Times New Roman"/>
        </w:rPr>
        <w:t xml:space="preserve">, Tekie and Jonse (2024) utilizing DOLS panel cointegration (2005–2019) across 24 countries to conclude that macroeconomic stability is a prerequisite for remittance-led growth. In weak institutional environments typical of lower-income tiers, Mohammed (2022) found through System GMM (2004–2018) that remittances act as a crucial substitute for formal capital, boosting human development despite state fragility. However, Anosike and </w:t>
      </w:r>
      <w:proofErr w:type="spellStart"/>
      <w:r>
        <w:rPr>
          <w:rFonts w:ascii="Times New Roman" w:hAnsi="Times New Roman" w:cs="Times New Roman"/>
        </w:rPr>
        <w:t>Alfadhel</w:t>
      </w:r>
      <w:proofErr w:type="spellEnd"/>
      <w:r>
        <w:rPr>
          <w:rFonts w:ascii="Times New Roman" w:hAnsi="Times New Roman" w:cs="Times New Roman"/>
        </w:rPr>
        <w:t xml:space="preserve"> (2023) examined Nigeria over 40 years and found personal remittances statistically insignificant for growth, recommending trade </w:t>
      </w:r>
      <w:proofErr w:type="spellStart"/>
      <w:r>
        <w:rPr>
          <w:rFonts w:ascii="Times New Roman" w:hAnsi="Times New Roman" w:cs="Times New Roman"/>
        </w:rPr>
        <w:t>liberalisation</w:t>
      </w:r>
      <w:proofErr w:type="spellEnd"/>
      <w:r>
        <w:rPr>
          <w:rFonts w:ascii="Times New Roman" w:hAnsi="Times New Roman" w:cs="Times New Roman"/>
        </w:rPr>
        <w:t xml:space="preserve"> to supplement these flows. Finally, Emeka, Nwodo and Rena (2024) and the World Migration Report (2024) </w:t>
      </w:r>
      <w:proofErr w:type="spellStart"/>
      <w:r>
        <w:rPr>
          <w:rFonts w:ascii="Times New Roman" w:hAnsi="Times New Roman" w:cs="Times New Roman"/>
        </w:rPr>
        <w:t>emphasise</w:t>
      </w:r>
      <w:proofErr w:type="spellEnd"/>
      <w:r>
        <w:rPr>
          <w:rFonts w:ascii="Times New Roman" w:hAnsi="Times New Roman" w:cs="Times New Roman"/>
        </w:rPr>
        <w:t xml:space="preserve"> that whilst remittances are a significant catalyst for LMICs, governments must create policies to divert these funds from consumption into productive investments like housing and infrastructure to ensure sustainable per capita income growth.</w:t>
      </w:r>
    </w:p>
    <w:p w14:paraId="0A27BE64" w14:textId="322D39FD"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Despite the growing body of empirical literature on the remittance-growth nexus, several critical gaps remain that this study seeks to address. First, a primary limitation in existing research is the disproportionate focus on inward remittances—diaspora inflows—and their subsequent effects on GDP, household wealth, or human capital (Ayo, Nnaji </w:t>
      </w:r>
      <w:r w:rsidR="00587187">
        <w:rPr>
          <w:rFonts w:ascii="Times New Roman" w:hAnsi="Times New Roman" w:cs="Times New Roman"/>
        </w:rPr>
        <w:t>&amp;</w:t>
      </w:r>
      <w:r>
        <w:rPr>
          <w:rFonts w:ascii="Times New Roman" w:hAnsi="Times New Roman" w:cs="Times New Roman"/>
        </w:rPr>
        <w:t xml:space="preserve"> Okorie, 2024; Emeka, Nwodo </w:t>
      </w:r>
      <w:r w:rsidR="00587187">
        <w:rPr>
          <w:rFonts w:ascii="Times New Roman" w:hAnsi="Times New Roman" w:cs="Times New Roman"/>
        </w:rPr>
        <w:t>&amp;</w:t>
      </w:r>
      <w:r>
        <w:rPr>
          <w:rFonts w:ascii="Times New Roman" w:hAnsi="Times New Roman" w:cs="Times New Roman"/>
        </w:rPr>
        <w:t xml:space="preserve"> Rena, 2024; Khan, 2024). Consequently, there is a profound lack of empirical evidence concerning the impact of outward remittances on domestic per capita income within the sub-Saharan African (SSA) context, representing a significant omission in capital flow analysis. Second, while studies acknowledge that the impact of remittances is tiered based on a country's economic standing, findings remain contradictory; for instance, </w:t>
      </w:r>
      <w:proofErr w:type="spellStart"/>
      <w:r>
        <w:rPr>
          <w:rFonts w:ascii="Times New Roman" w:hAnsi="Times New Roman" w:cs="Times New Roman"/>
        </w:rPr>
        <w:t>Issahaku</w:t>
      </w:r>
      <w:proofErr w:type="spellEnd"/>
      <w:r>
        <w:rPr>
          <w:rFonts w:ascii="Times New Roman" w:hAnsi="Times New Roman" w:cs="Times New Roman"/>
        </w:rPr>
        <w:t xml:space="preserve"> et al. (2018) concluded that remittances significantly stimulate growth in low-income and lower-middle-income countries but fail to do so in upper-middle-income nations, whereas Ramirez and Sharma (2008) argued that benefits are actually more pronounced in higher-income nations with superior investment opportunities. This study addresses this discrepancy by specifically contrasting the income dynamics of low-income </w:t>
      </w:r>
      <w:r>
        <w:rPr>
          <w:rFonts w:ascii="Times New Roman" w:hAnsi="Times New Roman" w:cs="Times New Roman"/>
        </w:rPr>
        <w:lastRenderedPageBreak/>
        <w:t>and middle-income SSA countries. Finally, whil</w:t>
      </w:r>
      <w:r w:rsidR="00587187">
        <w:rPr>
          <w:rFonts w:ascii="Times New Roman" w:hAnsi="Times New Roman" w:cs="Times New Roman"/>
        </w:rPr>
        <w:t>st</w:t>
      </w:r>
      <w:r>
        <w:rPr>
          <w:rFonts w:ascii="Times New Roman" w:hAnsi="Times New Roman" w:cs="Times New Roman"/>
        </w:rPr>
        <w:t xml:space="preserve"> contemporary research has begun to incorporate data up to 2023 (Abel, Nnamdi </w:t>
      </w:r>
      <w:r w:rsidR="00587187">
        <w:rPr>
          <w:rFonts w:ascii="Times New Roman" w:hAnsi="Times New Roman" w:cs="Times New Roman"/>
        </w:rPr>
        <w:t>&amp;</w:t>
      </w:r>
      <w:r>
        <w:rPr>
          <w:rFonts w:ascii="Times New Roman" w:hAnsi="Times New Roman" w:cs="Times New Roman"/>
        </w:rPr>
        <w:t xml:space="preserve"> Adekunle, 2024), these investigations are often </w:t>
      </w:r>
      <w:proofErr w:type="spellStart"/>
      <w:r>
        <w:rPr>
          <w:rFonts w:ascii="Times New Roman" w:hAnsi="Times New Roman" w:cs="Times New Roman"/>
        </w:rPr>
        <w:t>localised</w:t>
      </w:r>
      <w:proofErr w:type="spellEnd"/>
      <w:r>
        <w:rPr>
          <w:rFonts w:ascii="Times New Roman" w:hAnsi="Times New Roman" w:cs="Times New Roman"/>
        </w:rPr>
        <w:t xml:space="preserve"> to specific nations like Nigeria or restricted to sectoral perspectives such as housing finance, leaving a gap for a comprehensive, region-wide longitudinal study covering the full 2000–2023 period to capture the long-term evolution of per capita income in response to dual-directional remittance flows.</w:t>
      </w:r>
    </w:p>
    <w:p w14:paraId="1B0C9A85" w14:textId="77777777" w:rsidR="00587187" w:rsidRDefault="00587187" w:rsidP="00D55B20">
      <w:pPr>
        <w:spacing w:line="360" w:lineRule="auto"/>
        <w:jc w:val="both"/>
        <w:rPr>
          <w:rFonts w:ascii="Times New Roman" w:hAnsi="Times New Roman" w:cs="Times New Roman"/>
        </w:rPr>
      </w:pPr>
    </w:p>
    <w:p w14:paraId="5F2EF357" w14:textId="77777777" w:rsidR="00587187" w:rsidRDefault="00587187" w:rsidP="00D55B20">
      <w:pPr>
        <w:spacing w:line="360" w:lineRule="auto"/>
        <w:jc w:val="both"/>
        <w:rPr>
          <w:rFonts w:ascii="Times New Roman" w:hAnsi="Times New Roman" w:cs="Times New Roman"/>
        </w:rPr>
      </w:pPr>
    </w:p>
    <w:bookmarkEnd w:id="2"/>
    <w:p w14:paraId="31BFC8E9" w14:textId="77777777" w:rsidR="00D55B20" w:rsidRPr="006E19E1" w:rsidRDefault="00D55B20" w:rsidP="00D55B20">
      <w:pPr>
        <w:spacing w:line="360" w:lineRule="auto"/>
        <w:jc w:val="both"/>
        <w:rPr>
          <w:rFonts w:ascii="Times New Roman" w:hAnsi="Times New Roman" w:cs="Times New Roman"/>
          <w:b/>
          <w:bCs/>
        </w:rPr>
      </w:pPr>
      <w:r>
        <w:rPr>
          <w:rFonts w:ascii="Times New Roman" w:hAnsi="Times New Roman" w:cs="Times New Roman"/>
          <w:b/>
          <w:bCs/>
        </w:rPr>
        <w:t>4. Methodology</w:t>
      </w:r>
    </w:p>
    <w:p w14:paraId="258B7088"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Research design refers to the blueprint that guides investigators in their enquiries and analyses, ensuring a coherent approach to the research problem (Zikmund, 2010). This view is reinforced by </w:t>
      </w:r>
      <w:proofErr w:type="spellStart"/>
      <w:r>
        <w:rPr>
          <w:rFonts w:ascii="Times New Roman" w:hAnsi="Times New Roman" w:cs="Times New Roman"/>
        </w:rPr>
        <w:t>Ihenetu</w:t>
      </w:r>
      <w:proofErr w:type="spellEnd"/>
      <w:r>
        <w:rPr>
          <w:rFonts w:ascii="Times New Roman" w:hAnsi="Times New Roman" w:cs="Times New Roman"/>
        </w:rPr>
        <w:t xml:space="preserve"> (2008), who </w:t>
      </w:r>
      <w:proofErr w:type="spellStart"/>
      <w:r>
        <w:rPr>
          <w:rFonts w:ascii="Times New Roman" w:hAnsi="Times New Roman" w:cs="Times New Roman"/>
        </w:rPr>
        <w:t>characterises</w:t>
      </w:r>
      <w:proofErr w:type="spellEnd"/>
      <w:r>
        <w:rPr>
          <w:rFonts w:ascii="Times New Roman" w:hAnsi="Times New Roman" w:cs="Times New Roman"/>
        </w:rPr>
        <w:t xml:space="preserve"> research design as a framework for data collection and analysis. Research design encompasses methods, strategies, and procedures aimed at achieving study objectives, influencing the validity, reliability, and </w:t>
      </w:r>
      <w:proofErr w:type="spellStart"/>
      <w:r>
        <w:rPr>
          <w:rFonts w:ascii="Times New Roman" w:hAnsi="Times New Roman" w:cs="Times New Roman"/>
        </w:rPr>
        <w:t>generalisability</w:t>
      </w:r>
      <w:proofErr w:type="spellEnd"/>
      <w:r>
        <w:rPr>
          <w:rFonts w:ascii="Times New Roman" w:hAnsi="Times New Roman" w:cs="Times New Roman"/>
        </w:rPr>
        <w:t xml:space="preserve"> of results (De Vaus, 2011). This study </w:t>
      </w:r>
      <w:proofErr w:type="spellStart"/>
      <w:r>
        <w:rPr>
          <w:rFonts w:ascii="Times New Roman" w:hAnsi="Times New Roman" w:cs="Times New Roman"/>
        </w:rPr>
        <w:t>utilisess</w:t>
      </w:r>
      <w:proofErr w:type="spellEnd"/>
      <w:r>
        <w:rPr>
          <w:rFonts w:ascii="Times New Roman" w:hAnsi="Times New Roman" w:cs="Times New Roman"/>
        </w:rPr>
        <w:t xml:space="preserve"> an ex-post facto research design, which involves </w:t>
      </w:r>
      <w:proofErr w:type="spellStart"/>
      <w:r>
        <w:rPr>
          <w:rFonts w:ascii="Times New Roman" w:hAnsi="Times New Roman" w:cs="Times New Roman"/>
        </w:rPr>
        <w:t>analysing</w:t>
      </w:r>
      <w:proofErr w:type="spellEnd"/>
      <w:r>
        <w:rPr>
          <w:rFonts w:ascii="Times New Roman" w:hAnsi="Times New Roman" w:cs="Times New Roman"/>
        </w:rPr>
        <w:t xml:space="preserve"> variables that cannot be manipulated by the researcher (Onwumere, 2009). This design is appropriate for examining how remittances affect per capita income across SSA countries, as it permits the analysis of naturally occurring events over the period 2000 to 2023. </w:t>
      </w:r>
    </w:p>
    <w:p w14:paraId="7168DBBC"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study outlines several pre-estimation tests essential for panel data analysis. The Multicollinearity Test identifies high correlations among independent variables, which can distort coefficient interpretations (Adams &amp; </w:t>
      </w:r>
      <w:proofErr w:type="spellStart"/>
      <w:r>
        <w:rPr>
          <w:rFonts w:ascii="Times New Roman" w:hAnsi="Times New Roman" w:cs="Times New Roman"/>
        </w:rPr>
        <w:t>Klobodu</w:t>
      </w:r>
      <w:proofErr w:type="spellEnd"/>
      <w:r>
        <w:rPr>
          <w:rFonts w:ascii="Times New Roman" w:hAnsi="Times New Roman" w:cs="Times New Roman"/>
        </w:rPr>
        <w:t xml:space="preserve">, 2017; Beckmann &amp; Czudaj, 2017; </w:t>
      </w:r>
      <w:proofErr w:type="spellStart"/>
      <w:r>
        <w:rPr>
          <w:rFonts w:ascii="Times New Roman" w:hAnsi="Times New Roman" w:cs="Times New Roman"/>
        </w:rPr>
        <w:t>Pesaran</w:t>
      </w:r>
      <w:proofErr w:type="spellEnd"/>
      <w:r>
        <w:rPr>
          <w:rFonts w:ascii="Times New Roman" w:hAnsi="Times New Roman" w:cs="Times New Roman"/>
        </w:rPr>
        <w:t xml:space="preserve">, 2004, 2015). The Cross-Sectional Dependence (CSD) Test assesses the assumption of independence in disturbances, crucial for estimator efficiency. The Panel Unit Root Test checks for non-stationarity, employing methods like the Levin, Lin, and Chu (LLC) Test, </w:t>
      </w:r>
      <w:proofErr w:type="spellStart"/>
      <w:r>
        <w:rPr>
          <w:rFonts w:ascii="Times New Roman" w:hAnsi="Times New Roman" w:cs="Times New Roman"/>
        </w:rPr>
        <w:t>Im</w:t>
      </w:r>
      <w:proofErr w:type="spellEnd"/>
      <w:r>
        <w:rPr>
          <w:rFonts w:ascii="Times New Roman" w:hAnsi="Times New Roman" w:cs="Times New Roman"/>
        </w:rPr>
        <w:t xml:space="preserve">, </w:t>
      </w:r>
      <w:proofErr w:type="spellStart"/>
      <w:r>
        <w:rPr>
          <w:rFonts w:ascii="Times New Roman" w:hAnsi="Times New Roman" w:cs="Times New Roman"/>
        </w:rPr>
        <w:t>Pesaran</w:t>
      </w:r>
      <w:proofErr w:type="spellEnd"/>
      <w:r>
        <w:rPr>
          <w:rFonts w:ascii="Times New Roman" w:hAnsi="Times New Roman" w:cs="Times New Roman"/>
        </w:rPr>
        <w:t xml:space="preserve">, and Shin (IPS) Test, and </w:t>
      </w:r>
      <w:proofErr w:type="spellStart"/>
      <w:r>
        <w:rPr>
          <w:rFonts w:ascii="Times New Roman" w:hAnsi="Times New Roman" w:cs="Times New Roman"/>
        </w:rPr>
        <w:t>Pesaran's</w:t>
      </w:r>
      <w:proofErr w:type="spellEnd"/>
      <w:r>
        <w:rPr>
          <w:rFonts w:ascii="Times New Roman" w:hAnsi="Times New Roman" w:cs="Times New Roman"/>
        </w:rPr>
        <w:t xml:space="preserve"> Cross-sectionally Augmented Dickey-Fuller (CADF) Test (Gujarati, Porter &amp; Gunasekar, 2012; Le &amp; Ozturk, 2020; Ullah et al., 2024). The Pedroni Cointegration Test evaluates long-run relationships among non-stationary series (Pedroni, 1999, 2004). Lastly, the Hausman Test distinguishes between fixed and random effects models (Gujarati, Porter &amp; Gunasekar, 2013).</w:t>
      </w:r>
    </w:p>
    <w:p w14:paraId="5EC29C54"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lastRenderedPageBreak/>
        <w:t xml:space="preserve">This study extends the frameworks of Acemoglu, </w:t>
      </w:r>
      <w:proofErr w:type="spellStart"/>
      <w:r>
        <w:rPr>
          <w:rFonts w:ascii="Times New Roman" w:hAnsi="Times New Roman" w:cs="Times New Roman"/>
        </w:rPr>
        <w:t>Akcigit</w:t>
      </w:r>
      <w:proofErr w:type="spellEnd"/>
      <w:r>
        <w:rPr>
          <w:rFonts w:ascii="Times New Roman" w:hAnsi="Times New Roman" w:cs="Times New Roman"/>
        </w:rPr>
        <w:t xml:space="preserve">, and Kerr (2016) and Dridi et al. (2019) to </w:t>
      </w:r>
      <w:proofErr w:type="spellStart"/>
      <w:r>
        <w:rPr>
          <w:rFonts w:ascii="Times New Roman" w:hAnsi="Times New Roman" w:cs="Times New Roman"/>
        </w:rPr>
        <w:t>analyse</w:t>
      </w:r>
      <w:proofErr w:type="spellEnd"/>
      <w:r>
        <w:rPr>
          <w:rFonts w:ascii="Times New Roman" w:hAnsi="Times New Roman" w:cs="Times New Roman"/>
        </w:rPr>
        <w:t xml:space="preserve"> how demand-side and supply-side shocks influence the economy. It incorporates remittances as money windfalls and technology transfer payments, impacting aggregate demand and propagating through various sectors. The framework assumes remittance flows are directed towards specific goods and services based on country preferences. Following Nasrin, Haider, and Ahsan (2024) and Dridi et al. (2019), it examines remittances' effects on </w:t>
      </w:r>
      <w:proofErr w:type="spellStart"/>
      <w:r>
        <w:rPr>
          <w:rFonts w:ascii="Times New Roman" w:hAnsi="Times New Roman" w:cs="Times New Roman"/>
        </w:rPr>
        <w:t>labour</w:t>
      </w:r>
      <w:proofErr w:type="spellEnd"/>
      <w:r>
        <w:rPr>
          <w:rFonts w:ascii="Times New Roman" w:hAnsi="Times New Roman" w:cs="Times New Roman"/>
        </w:rPr>
        <w:t xml:space="preserve"> income and outward flows to foreign nationals, which are linked to technology transfer that boosts productivity. Based on the above, the study specifies a functional relationship between remittances (paid and received) and per capita income in selected SSA economies as follows:</w:t>
      </w:r>
    </w:p>
    <w:p w14:paraId="6AF4250B" w14:textId="77777777" w:rsidR="00D55B20" w:rsidRDefault="00D55B20" w:rsidP="00D55B20">
      <w:pPr>
        <w:pStyle w:val="NoSpacing"/>
        <w:spacing w:line="360" w:lineRule="auto"/>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=f(in</m:t>
        </m:r>
        <m:sSub>
          <m:sSubPr>
            <m:ctrlPr>
              <w:rPr>
                <w:rFonts w:ascii="Cambria Math" w:hAnsi="Cambria Math"/>
                <w:i/>
              </w:rPr>
            </m:ctrlPr>
          </m:sSubPr>
          <m:e>
            <m:r>
              <w:rPr>
                <w:rFonts w:ascii="Cambria Math"/>
              </w:rPr>
              <m:t>r</m:t>
            </m:r>
          </m:e>
          <m:sub>
            <m:r>
              <w:rPr>
                <w:rFonts w:ascii="Cambria Math"/>
              </w:rPr>
              <m:t>it</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oMath>
      <w:r>
        <w:rPr>
          <w:rFonts w:eastAsiaTheme="minorEastAsia"/>
        </w:rPr>
        <w:t xml:space="preserve">                                                              </w:t>
      </w:r>
      <w:r>
        <w:rPr>
          <w:rFonts w:eastAsiaTheme="minorEastAsia"/>
        </w:rPr>
        <w:tab/>
      </w:r>
      <w:r>
        <w:rPr>
          <w:rFonts w:eastAsiaTheme="minorEastAsia"/>
        </w:rPr>
        <w:tab/>
      </w:r>
      <w:r>
        <w:rPr>
          <w:rFonts w:ascii="Times New Roman" w:eastAsiaTheme="minorEastAsia" w:hAnsi="Times New Roman" w:cs="Times New Roman"/>
        </w:rPr>
        <w:t>(3)</w:t>
      </w:r>
    </w:p>
    <w:p w14:paraId="333E11BB" w14:textId="77777777" w:rsidR="00D55B20" w:rsidRPr="006E19E1" w:rsidRDefault="00D55B20" w:rsidP="00D55B20">
      <w:pPr>
        <w:pStyle w:val="NoSpacing"/>
        <w:spacing w:line="360" w:lineRule="auto"/>
        <w:rPr>
          <w:rFonts w:ascii="Times New Roman" w:hAnsi="Times New Roman" w:cs="Times New Roman"/>
        </w:rPr>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=f(out</m:t>
        </m:r>
        <m:sSub>
          <m:sSubPr>
            <m:ctrlPr>
              <w:rPr>
                <w:rFonts w:ascii="Cambria Math" w:hAnsi="Cambria Math"/>
                <w:i/>
              </w:rPr>
            </m:ctrlPr>
          </m:sSubPr>
          <m:e>
            <m:r>
              <w:rPr>
                <w:rFonts w:ascii="Cambria Math"/>
              </w:rPr>
              <m:t>r</m:t>
            </m:r>
          </m:e>
          <m:sub>
            <m:r>
              <w:rPr>
                <w:rFonts w:ascii="Cambria Math"/>
              </w:rPr>
              <m:t>it</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t>(4)</w:t>
      </w:r>
    </w:p>
    <w:p w14:paraId="6F3AFACA" w14:textId="77777777" w:rsidR="00D55B20" w:rsidRDefault="00D55B20" w:rsidP="00D55B20">
      <w:pPr>
        <w:spacing w:after="0" w:line="360" w:lineRule="auto"/>
        <w:jc w:val="both"/>
        <w:rPr>
          <w:rFonts w:ascii="Times New Roman" w:hAnsi="Times New Roman" w:cs="Times New Roman"/>
        </w:rPr>
      </w:pPr>
      <w:r>
        <w:rPr>
          <w:rFonts w:ascii="Times New Roman" w:hAnsi="Times New Roman" w:cs="Times New Roman"/>
          <w:bCs/>
        </w:rPr>
        <w:t xml:space="preserve">Equations (3) and (4) are </w:t>
      </w:r>
      <w:r>
        <w:rPr>
          <w:rFonts w:ascii="Times New Roman" w:hAnsi="Times New Roman" w:cs="Times New Roman"/>
        </w:rPr>
        <w:t>transformed into the following panel regression specification:</w:t>
      </w:r>
    </w:p>
    <w:p w14:paraId="44B3F8A4" w14:textId="77777777" w:rsidR="00D55B20" w:rsidRDefault="00D55B20" w:rsidP="00D55B20">
      <w:pPr>
        <w:spacing w:after="0" w:line="360" w:lineRule="auto"/>
        <w:jc w:val="both"/>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α</m:t>
            </m:r>
          </m:e>
          <m:sub>
            <m:r>
              <w:rPr>
                <w:rFonts w:ascii="Cambria Math"/>
              </w:rPr>
              <m:t>0</m:t>
            </m:r>
          </m:sub>
        </m:sSub>
        <m:r>
          <w:rPr>
            <w:rFonts w:ascii="Cambria Math"/>
          </w:rPr>
          <m:t>+</m:t>
        </m:r>
        <m:sSub>
          <m:sSubPr>
            <m:ctrlPr>
              <w:rPr>
                <w:rFonts w:ascii="Cambria Math" w:hAnsi="Cambria Math"/>
                <w:i/>
              </w:rPr>
            </m:ctrlPr>
          </m:sSubPr>
          <m:e>
            <m:r>
              <w:rPr>
                <w:rFonts w:ascii="Cambria Math"/>
              </w:rPr>
              <m:t>β</m:t>
            </m:r>
          </m:e>
          <m:sub>
            <m:r>
              <w:rPr>
                <w:rFonts w:ascii="Cambria Math"/>
              </w:rPr>
              <m:t>1</m:t>
            </m:r>
          </m:sub>
        </m:sSub>
        <m:r>
          <w:rPr>
            <w:rFonts w:ascii="Cambria Math"/>
          </w:rPr>
          <m:t>in</m:t>
        </m:r>
        <m:sSub>
          <m:sSubPr>
            <m:ctrlPr>
              <w:rPr>
                <w:rFonts w:ascii="Cambria Math" w:hAnsi="Cambria Math"/>
                <w:i/>
              </w:rPr>
            </m:ctrlPr>
          </m:sSubPr>
          <m:e>
            <m:r>
              <w:rPr>
                <w:rFonts w:ascii="Cambria Math"/>
              </w:rPr>
              <m:t>r</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2</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3</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4</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5</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sSub>
          <m:sSubPr>
            <m:ctrlPr>
              <w:rPr>
                <w:rFonts w:ascii="Cambria Math" w:hAnsi="Cambria Math"/>
                <w:i/>
              </w:rPr>
            </m:ctrlPr>
          </m:sSubPr>
          <m:e>
            <m:r>
              <w:rPr>
                <w:rFonts w:ascii="Cambria Math"/>
              </w:rPr>
              <m:t>ε</m:t>
            </m:r>
          </m:e>
          <m:sub>
            <m:r>
              <w:rPr>
                <w:rFonts w:ascii="Cambria Math"/>
              </w:rPr>
              <m:t>it</m:t>
            </m:r>
          </m:sub>
        </m:sSub>
      </m:oMath>
      <w:r>
        <w:rPr>
          <w:rFonts w:eastAsiaTheme="minorEastAsia"/>
        </w:rPr>
        <w:t xml:space="preserve">            </w:t>
      </w:r>
      <w:r>
        <w:rPr>
          <w:rFonts w:eastAsiaTheme="minorEastAsia"/>
        </w:rPr>
        <w:tab/>
      </w:r>
      <w:r>
        <w:rPr>
          <w:rFonts w:eastAsiaTheme="minorEastAsia"/>
        </w:rPr>
        <w:tab/>
        <w:t xml:space="preserve"> </w:t>
      </w:r>
      <w:r>
        <w:rPr>
          <w:rFonts w:ascii="Times New Roman" w:eastAsiaTheme="minorEastAsia" w:hAnsi="Times New Roman" w:cs="Times New Roman"/>
        </w:rPr>
        <w:t>(5)</w:t>
      </w:r>
    </w:p>
    <w:p w14:paraId="47567CBA" w14:textId="77777777" w:rsidR="00D55B20" w:rsidRDefault="00D55B20" w:rsidP="00D55B20">
      <w:pPr>
        <w:spacing w:after="0" w:line="360" w:lineRule="auto"/>
        <w:jc w:val="both"/>
        <w:rPr>
          <w:rFonts w:ascii="Times New Roman" w:hAnsi="Times New Roman" w:cs="Times New Roman"/>
        </w:rPr>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α</m:t>
            </m:r>
          </m:e>
          <m:sub>
            <m:r>
              <w:rPr>
                <w:rFonts w:ascii="Cambria Math"/>
              </w:rPr>
              <m:t>0</m:t>
            </m:r>
          </m:sub>
        </m:sSub>
        <m:r>
          <w:rPr>
            <w:rFonts w:ascii="Cambria Math"/>
          </w:rPr>
          <m:t>+</m:t>
        </m:r>
        <m:sSub>
          <m:sSubPr>
            <m:ctrlPr>
              <w:rPr>
                <w:rFonts w:ascii="Cambria Math" w:hAnsi="Cambria Math"/>
                <w:i/>
              </w:rPr>
            </m:ctrlPr>
          </m:sSubPr>
          <m:e>
            <m:r>
              <w:rPr>
                <w:rFonts w:ascii="Cambria Math"/>
              </w:rPr>
              <m:t>β</m:t>
            </m:r>
          </m:e>
          <m:sub>
            <m:r>
              <w:rPr>
                <w:rFonts w:ascii="Cambria Math"/>
              </w:rPr>
              <m:t>1</m:t>
            </m:r>
          </m:sub>
        </m:sSub>
        <m:r>
          <w:rPr>
            <w:rFonts w:ascii="Cambria Math"/>
          </w:rPr>
          <m:t>out</m:t>
        </m:r>
        <m:sSub>
          <m:sSubPr>
            <m:ctrlPr>
              <w:rPr>
                <w:rFonts w:ascii="Cambria Math" w:hAnsi="Cambria Math"/>
                <w:i/>
              </w:rPr>
            </m:ctrlPr>
          </m:sSubPr>
          <m:e>
            <m:r>
              <w:rPr>
                <w:rFonts w:ascii="Cambria Math"/>
              </w:rPr>
              <m:t>r</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2</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3</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4</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5</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sSub>
          <m:sSubPr>
            <m:ctrlPr>
              <w:rPr>
                <w:rFonts w:ascii="Cambria Math" w:hAnsi="Cambria Math"/>
                <w:i/>
              </w:rPr>
            </m:ctrlPr>
          </m:sSubPr>
          <m:e>
            <m:r>
              <w:rPr>
                <w:rFonts w:ascii="Cambria Math"/>
              </w:rPr>
              <m:t>ε</m:t>
            </m:r>
          </m:e>
          <m:sub>
            <m:r>
              <w:rPr>
                <w:rFonts w:ascii="Cambria Math"/>
              </w:rPr>
              <m:t>it</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t xml:space="preserve"> (6)</w:t>
      </w:r>
    </w:p>
    <w:p w14:paraId="5BFBBA8B" w14:textId="0C166317" w:rsidR="00D55B20" w:rsidRPr="00DF5D04" w:rsidRDefault="00D55B20" w:rsidP="00D55B20">
      <w:pPr>
        <w:spacing w:line="360" w:lineRule="auto"/>
        <w:jc w:val="both"/>
      </w:pPr>
      <w:r>
        <w:rPr>
          <w:rFonts w:ascii="Times New Roman" w:hAnsi="Times New Roman" w:cs="Times New Roman"/>
        </w:rPr>
        <w:t xml:space="preserve">Equations (5) and (6) are estimated using the pool effect, fixed effect, </w:t>
      </w:r>
      <w:proofErr w:type="gramStart"/>
      <w:r>
        <w:rPr>
          <w:rFonts w:ascii="Times New Roman" w:hAnsi="Times New Roman" w:cs="Times New Roman"/>
        </w:rPr>
        <w:t>and  Driscoll</w:t>
      </w:r>
      <w:proofErr w:type="gramEnd"/>
      <w:r>
        <w:rPr>
          <w:rFonts w:ascii="Times New Roman" w:hAnsi="Times New Roman" w:cs="Times New Roman"/>
        </w:rPr>
        <w:t xml:space="preserve">–Kraay estimators. Pooled regression, fixed effects, and Driscoll-Kraay estimators are used together to establish a robust analytic framework that controls for unobserved entity-specific heterogeneity while ensuring that statistical inference remains valid against heteroskedasticity, serial correlation, and general forms of cross-sectional (spatial) and temporal dependence within a panel dataset (De Hoyos &amp; </w:t>
      </w:r>
      <w:proofErr w:type="spellStart"/>
      <w:r>
        <w:rPr>
          <w:rFonts w:ascii="Times New Roman" w:hAnsi="Times New Roman" w:cs="Times New Roman"/>
        </w:rPr>
        <w:t>Sarafidis</w:t>
      </w:r>
      <w:proofErr w:type="spellEnd"/>
      <w:r>
        <w:rPr>
          <w:rFonts w:ascii="Times New Roman" w:hAnsi="Times New Roman" w:cs="Times New Roman"/>
        </w:rPr>
        <w:t xml:space="preserve">, 2006; </w:t>
      </w:r>
      <w:proofErr w:type="gramStart"/>
      <w:r>
        <w:rPr>
          <w:rFonts w:ascii="Times New Roman" w:hAnsi="Times New Roman" w:cs="Times New Roman"/>
        </w:rPr>
        <w:t>Driscoll  &amp;</w:t>
      </w:r>
      <w:proofErr w:type="gramEnd"/>
      <w:r>
        <w:rPr>
          <w:rFonts w:ascii="Times New Roman" w:hAnsi="Times New Roman" w:cs="Times New Roman"/>
        </w:rPr>
        <w:t xml:space="preserve"> Kraay, 1998; </w:t>
      </w:r>
      <w:proofErr w:type="spellStart"/>
      <w:r>
        <w:rPr>
          <w:rFonts w:ascii="Times New Roman" w:hAnsi="Times New Roman" w:cs="Times New Roman"/>
        </w:rPr>
        <w:t>Hoechle</w:t>
      </w:r>
      <w:proofErr w:type="spellEnd"/>
      <w:r>
        <w:rPr>
          <w:rFonts w:ascii="Times New Roman" w:hAnsi="Times New Roman" w:cs="Times New Roman"/>
        </w:rPr>
        <w:t>, 2007). Equations (5) and (6) are also estimated for low</w:t>
      </w:r>
      <w:r w:rsidR="00587187">
        <w:rPr>
          <w:rFonts w:ascii="Times New Roman" w:hAnsi="Times New Roman" w:cs="Times New Roman"/>
        </w:rPr>
        <w:t>-</w:t>
      </w:r>
      <w:r>
        <w:rPr>
          <w:rFonts w:ascii="Times New Roman" w:hAnsi="Times New Roman" w:cs="Times New Roman"/>
        </w:rPr>
        <w:t xml:space="preserve"> and middle-income countries in SSA. </w:t>
      </w:r>
    </w:p>
    <w:p w14:paraId="63305191" w14:textId="77777777" w:rsidR="00D55B20" w:rsidRDefault="00D55B20" w:rsidP="00D55B20">
      <w:pPr>
        <w:spacing w:line="360" w:lineRule="auto"/>
        <w:jc w:val="both"/>
        <w:rPr>
          <w:rFonts w:ascii="Times New Roman" w:hAnsi="Times New Roman" w:cs="Times New Roman"/>
          <w:b/>
          <w:bCs/>
        </w:rPr>
      </w:pPr>
      <w:r>
        <w:rPr>
          <w:rFonts w:ascii="Times New Roman" w:hAnsi="Times New Roman" w:cs="Times New Roman"/>
          <w:b/>
          <w:bCs/>
        </w:rPr>
        <w:t>5. Results and Discussion</w:t>
      </w:r>
    </w:p>
    <w:p w14:paraId="4FB6172B" w14:textId="77777777" w:rsidR="00D55B20" w:rsidRDefault="00D55B20" w:rsidP="00D55B20">
      <w:pPr>
        <w:spacing w:line="360" w:lineRule="auto"/>
        <w:jc w:val="both"/>
        <w:rPr>
          <w:rFonts w:ascii="Times New Roman" w:hAnsi="Times New Roman" w:cs="Times New Roman"/>
          <w:b/>
          <w:bCs/>
        </w:rPr>
      </w:pPr>
      <w:r>
        <w:rPr>
          <w:rFonts w:ascii="Times New Roman" w:hAnsi="Times New Roman" w:cs="Times New Roman"/>
          <w:b/>
          <w:bCs/>
        </w:rPr>
        <w:t>5.1 Descriptive Statistics and Pre-estimation Diagnostics</w:t>
      </w:r>
    </w:p>
    <w:p w14:paraId="17A3B141" w14:textId="77777777" w:rsidR="00D55B20" w:rsidRDefault="00D55B20" w:rsidP="00D55B20">
      <w:pPr>
        <w:pStyle w:val="Body"/>
        <w:spacing w:line="360" w:lineRule="auto"/>
        <w:rPr>
          <w:lang w:val="en-US"/>
        </w:rPr>
      </w:pPr>
      <w:r>
        <w:rPr>
          <w:lang w:val="en-US"/>
        </w:rPr>
        <w:t xml:space="preserve">Table 1 </w:t>
      </w:r>
      <w:proofErr w:type="spellStart"/>
      <w:r>
        <w:rPr>
          <w:lang w:val="en-US"/>
        </w:rPr>
        <w:t>summarises</w:t>
      </w:r>
      <w:proofErr w:type="spellEnd"/>
      <w:r>
        <w:rPr>
          <w:lang w:val="en-US"/>
        </w:rPr>
        <w:t xml:space="preserve"> the dataset, including observations and cross-sections, with key statistics like mean, standard deviation, variance, minimum, and maximum. The average per capita income in SSA countries was $1706.06, with inward remittances averaging $0.86 billion and outward remittances $0.16 billion. PCI ranged from $252.81 in Ethiopia (2003) to $7596.1 in Gabon (2000). Nigeria received the highest inward remittances at $24.31 billion (2018), while Angola paid the most outward remittances at $2.75 billion (2014). Variances for PCI, inward, and outward remittances were 3,054,994; 27.23; and 5.50, indicating significant disparities (Table 1).</w:t>
      </w:r>
    </w:p>
    <w:p w14:paraId="7DD3BBEA"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lastRenderedPageBreak/>
        <w:t xml:space="preserve">The panel pairwise correlation analysis results in Table 2 show that correlation coefficients are within acceptable ranges, with the highest at 34.70% between inward remittances and per capita income, indicating no multicollinearity threat. </w:t>
      </w:r>
    </w:p>
    <w:p w14:paraId="1924B40B" w14:textId="77777777" w:rsidR="00D55B20" w:rsidRDefault="00D55B20" w:rsidP="00D55B20">
      <w:pPr>
        <w:spacing w:line="360" w:lineRule="auto"/>
        <w:jc w:val="both"/>
        <w:rPr>
          <w:rFonts w:ascii="Times New Roman" w:hAnsi="Times New Roman" w:cs="Times New Roman"/>
          <w:b/>
          <w:bCs/>
        </w:rPr>
      </w:pPr>
    </w:p>
    <w:p w14:paraId="301BC4AB" w14:textId="77777777" w:rsidR="00D55B20" w:rsidRDefault="00D55B20" w:rsidP="00D55B20">
      <w:pPr>
        <w:spacing w:line="360" w:lineRule="auto"/>
        <w:jc w:val="both"/>
        <w:rPr>
          <w:rFonts w:ascii="Times New Roman" w:hAnsi="Times New Roman" w:cs="Times New Roman"/>
          <w:b/>
          <w:bCs/>
        </w:rPr>
      </w:pPr>
    </w:p>
    <w:p w14:paraId="34549037" w14:textId="77777777" w:rsidR="00D55B20" w:rsidRDefault="00D55B20" w:rsidP="00D55B20">
      <w:pPr>
        <w:spacing w:line="360" w:lineRule="auto"/>
        <w:jc w:val="both"/>
        <w:rPr>
          <w:rFonts w:ascii="Times New Roman" w:hAnsi="Times New Roman" w:cs="Times New Roman"/>
          <w:b/>
          <w:bCs/>
        </w:rPr>
        <w:sectPr w:rsidR="00D55B20" w:rsidSect="00D55B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B2D5B62" w14:textId="77777777" w:rsidR="00D55B20" w:rsidRPr="00B85BCF" w:rsidRDefault="00D55B20" w:rsidP="00D55B20">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lastRenderedPageBreak/>
        <w:t>Table 1:</w:t>
      </w:r>
      <w:r>
        <w:rPr>
          <w:rFonts w:ascii="Times New Roman" w:hAnsi="Times New Roman" w:cs="Times New Roman"/>
          <w:b/>
          <w:bCs/>
        </w:rPr>
        <w:t xml:space="preserve"> </w:t>
      </w:r>
      <w:r>
        <w:rPr>
          <w:rFonts w:ascii="Times New Roman" w:hAnsi="Times New Roman" w:cs="Times New Roman"/>
        </w:rPr>
        <w:t>Summary statistics: annual data (2000–2023; observations= 720).</w:t>
      </w:r>
    </w:p>
    <w:tbl>
      <w:tblPr>
        <w:tblW w:w="13860" w:type="dxa"/>
        <w:tblLayout w:type="fixed"/>
        <w:tblLook w:val="0000" w:firstRow="0" w:lastRow="0" w:firstColumn="0" w:lastColumn="0" w:noHBand="0" w:noVBand="0"/>
      </w:tblPr>
      <w:tblGrid>
        <w:gridCol w:w="4680"/>
        <w:gridCol w:w="1260"/>
        <w:gridCol w:w="900"/>
        <w:gridCol w:w="1350"/>
        <w:gridCol w:w="990"/>
        <w:gridCol w:w="1080"/>
        <w:gridCol w:w="1170"/>
        <w:gridCol w:w="900"/>
        <w:gridCol w:w="1530"/>
      </w:tblGrid>
      <w:tr w:rsidR="00D55B20" w:rsidRPr="00B85BCF" w14:paraId="523A9939" w14:textId="77777777" w:rsidTr="00DF14B3">
        <w:trPr>
          <w:trHeight w:val="281"/>
        </w:trPr>
        <w:tc>
          <w:tcPr>
            <w:tcW w:w="4680" w:type="dxa"/>
            <w:tcBorders>
              <w:top w:val="single" w:sz="4" w:space="0" w:color="auto"/>
              <w:left w:val="nil"/>
              <w:bottom w:val="single" w:sz="10" w:space="0" w:color="auto"/>
              <w:right w:val="nil"/>
            </w:tcBorders>
          </w:tcPr>
          <w:p w14:paraId="06178A6F"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 xml:space="preserve"> Variable</w:t>
            </w:r>
          </w:p>
        </w:tc>
        <w:tc>
          <w:tcPr>
            <w:tcW w:w="1260" w:type="dxa"/>
            <w:tcBorders>
              <w:top w:val="single" w:sz="4" w:space="0" w:color="auto"/>
              <w:left w:val="nil"/>
              <w:bottom w:val="single" w:sz="10" w:space="0" w:color="auto"/>
              <w:right w:val="nil"/>
            </w:tcBorders>
          </w:tcPr>
          <w:p w14:paraId="502670E8"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Symbol</w:t>
            </w:r>
          </w:p>
        </w:tc>
        <w:tc>
          <w:tcPr>
            <w:tcW w:w="900" w:type="dxa"/>
            <w:tcBorders>
              <w:top w:val="single" w:sz="4" w:space="0" w:color="auto"/>
              <w:left w:val="nil"/>
              <w:bottom w:val="single" w:sz="10" w:space="0" w:color="auto"/>
              <w:right w:val="nil"/>
            </w:tcBorders>
          </w:tcPr>
          <w:p w14:paraId="6DC6510A"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Source</w:t>
            </w:r>
          </w:p>
        </w:tc>
        <w:tc>
          <w:tcPr>
            <w:tcW w:w="1350" w:type="dxa"/>
            <w:tcBorders>
              <w:top w:val="single" w:sz="4" w:space="0" w:color="auto"/>
              <w:left w:val="nil"/>
              <w:bottom w:val="single" w:sz="10" w:space="0" w:color="auto"/>
              <w:right w:val="nil"/>
            </w:tcBorders>
          </w:tcPr>
          <w:p w14:paraId="6C1FE7E3"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Unit</w:t>
            </w:r>
          </w:p>
        </w:tc>
        <w:tc>
          <w:tcPr>
            <w:tcW w:w="990" w:type="dxa"/>
            <w:tcBorders>
              <w:top w:val="single" w:sz="4" w:space="0" w:color="auto"/>
              <w:left w:val="nil"/>
              <w:bottom w:val="single" w:sz="10" w:space="0" w:color="auto"/>
              <w:right w:val="nil"/>
            </w:tcBorders>
          </w:tcPr>
          <w:p w14:paraId="1F0FE807"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Mean</w:t>
            </w:r>
          </w:p>
        </w:tc>
        <w:tc>
          <w:tcPr>
            <w:tcW w:w="1080" w:type="dxa"/>
            <w:tcBorders>
              <w:top w:val="single" w:sz="4" w:space="0" w:color="auto"/>
              <w:left w:val="nil"/>
              <w:bottom w:val="single" w:sz="10" w:space="0" w:color="auto"/>
              <w:right w:val="nil"/>
            </w:tcBorders>
          </w:tcPr>
          <w:p w14:paraId="4045120F"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Std. Dev.</w:t>
            </w:r>
          </w:p>
        </w:tc>
        <w:tc>
          <w:tcPr>
            <w:tcW w:w="1170" w:type="dxa"/>
            <w:tcBorders>
              <w:top w:val="single" w:sz="4" w:space="0" w:color="auto"/>
              <w:left w:val="nil"/>
              <w:bottom w:val="single" w:sz="10" w:space="0" w:color="auto"/>
              <w:right w:val="nil"/>
            </w:tcBorders>
          </w:tcPr>
          <w:p w14:paraId="34D2A829"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Variance</w:t>
            </w:r>
          </w:p>
        </w:tc>
        <w:tc>
          <w:tcPr>
            <w:tcW w:w="900" w:type="dxa"/>
            <w:tcBorders>
              <w:top w:val="single" w:sz="4" w:space="0" w:color="auto"/>
              <w:left w:val="nil"/>
              <w:bottom w:val="single" w:sz="10" w:space="0" w:color="auto"/>
              <w:right w:val="nil"/>
            </w:tcBorders>
          </w:tcPr>
          <w:p w14:paraId="1089F727"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Min</w:t>
            </w:r>
          </w:p>
        </w:tc>
        <w:tc>
          <w:tcPr>
            <w:tcW w:w="1530" w:type="dxa"/>
            <w:tcBorders>
              <w:top w:val="single" w:sz="4" w:space="0" w:color="auto"/>
              <w:left w:val="nil"/>
              <w:bottom w:val="single" w:sz="10" w:space="0" w:color="auto"/>
              <w:right w:val="nil"/>
            </w:tcBorders>
          </w:tcPr>
          <w:p w14:paraId="17DB46DF"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Max</w:t>
            </w:r>
          </w:p>
        </w:tc>
      </w:tr>
      <w:tr w:rsidR="00D55B20" w:rsidRPr="00B85BCF" w14:paraId="7752AC26" w14:textId="77777777" w:rsidTr="00DF14B3">
        <w:trPr>
          <w:trHeight w:val="263"/>
        </w:trPr>
        <w:tc>
          <w:tcPr>
            <w:tcW w:w="4680" w:type="dxa"/>
            <w:tcBorders>
              <w:top w:val="nil"/>
              <w:left w:val="nil"/>
              <w:bottom w:val="nil"/>
              <w:right w:val="nil"/>
            </w:tcBorders>
          </w:tcPr>
          <w:p w14:paraId="2D151319"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Per Capita Income</w:t>
            </w:r>
          </w:p>
        </w:tc>
        <w:tc>
          <w:tcPr>
            <w:tcW w:w="1260" w:type="dxa"/>
            <w:tcBorders>
              <w:top w:val="nil"/>
              <w:left w:val="nil"/>
              <w:bottom w:val="nil"/>
              <w:right w:val="nil"/>
            </w:tcBorders>
          </w:tcPr>
          <w:p w14:paraId="1C8A756F"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vertAlign w:val="subscript"/>
              </w:rPr>
            </w:pPr>
            <w:proofErr w:type="spellStart"/>
            <w:r>
              <w:rPr>
                <w:rFonts w:ascii="Times New Roman" w:eastAsiaTheme="minorEastAsia" w:hAnsi="Times New Roman" w:cs="Times New Roman"/>
                <w:i/>
                <w:iCs/>
                <w:kern w:val="0"/>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06C7E484"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UNDP</w:t>
            </w:r>
          </w:p>
        </w:tc>
        <w:tc>
          <w:tcPr>
            <w:tcW w:w="1350" w:type="dxa"/>
            <w:tcBorders>
              <w:top w:val="nil"/>
              <w:left w:val="nil"/>
              <w:bottom w:val="nil"/>
              <w:right w:val="nil"/>
            </w:tcBorders>
          </w:tcPr>
          <w:p w14:paraId="3D96507A"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US</w:t>
            </w:r>
          </w:p>
        </w:tc>
        <w:tc>
          <w:tcPr>
            <w:tcW w:w="990" w:type="dxa"/>
            <w:tcBorders>
              <w:top w:val="nil"/>
              <w:left w:val="nil"/>
              <w:bottom w:val="nil"/>
              <w:right w:val="nil"/>
            </w:tcBorders>
          </w:tcPr>
          <w:p w14:paraId="4A9A3ED2"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1706.06</w:t>
            </w:r>
          </w:p>
        </w:tc>
        <w:tc>
          <w:tcPr>
            <w:tcW w:w="1080" w:type="dxa"/>
            <w:tcBorders>
              <w:top w:val="nil"/>
              <w:left w:val="nil"/>
              <w:bottom w:val="nil"/>
              <w:right w:val="nil"/>
            </w:tcBorders>
          </w:tcPr>
          <w:p w14:paraId="1A68EAB7"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1747.85</w:t>
            </w:r>
          </w:p>
        </w:tc>
        <w:tc>
          <w:tcPr>
            <w:tcW w:w="1170" w:type="dxa"/>
            <w:tcBorders>
              <w:top w:val="nil"/>
              <w:left w:val="nil"/>
              <w:bottom w:val="nil"/>
              <w:right w:val="nil"/>
            </w:tcBorders>
          </w:tcPr>
          <w:p w14:paraId="46011B96"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3054994</w:t>
            </w:r>
          </w:p>
        </w:tc>
        <w:tc>
          <w:tcPr>
            <w:tcW w:w="900" w:type="dxa"/>
            <w:tcBorders>
              <w:top w:val="nil"/>
              <w:left w:val="nil"/>
              <w:bottom w:val="nil"/>
              <w:right w:val="nil"/>
            </w:tcBorders>
          </w:tcPr>
          <w:p w14:paraId="338C30AB"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252.81</w:t>
            </w:r>
          </w:p>
        </w:tc>
        <w:tc>
          <w:tcPr>
            <w:tcW w:w="1530" w:type="dxa"/>
            <w:tcBorders>
              <w:top w:val="nil"/>
              <w:left w:val="nil"/>
              <w:bottom w:val="nil"/>
              <w:right w:val="nil"/>
            </w:tcBorders>
          </w:tcPr>
          <w:p w14:paraId="2433EE88"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7596.10</w:t>
            </w:r>
          </w:p>
        </w:tc>
      </w:tr>
      <w:tr w:rsidR="00D55B20" w:rsidRPr="00B85BCF" w14:paraId="21B6F494" w14:textId="77777777" w:rsidTr="00DF14B3">
        <w:trPr>
          <w:trHeight w:val="281"/>
        </w:trPr>
        <w:tc>
          <w:tcPr>
            <w:tcW w:w="4680" w:type="dxa"/>
            <w:tcBorders>
              <w:top w:val="nil"/>
              <w:left w:val="nil"/>
              <w:bottom w:val="nil"/>
              <w:right w:val="nil"/>
            </w:tcBorders>
          </w:tcPr>
          <w:p w14:paraId="39A3185A"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Inward Remittances </w:t>
            </w:r>
          </w:p>
        </w:tc>
        <w:tc>
          <w:tcPr>
            <w:tcW w:w="1260" w:type="dxa"/>
            <w:tcBorders>
              <w:top w:val="nil"/>
              <w:left w:val="nil"/>
              <w:bottom w:val="nil"/>
              <w:right w:val="nil"/>
            </w:tcBorders>
          </w:tcPr>
          <w:p w14:paraId="40EA19EC"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eastAsiaTheme="minorEastAsia" w:hAnsi="Times New Roman" w:cs="Times New Roman"/>
                <w:i/>
                <w:iCs/>
                <w:kern w:val="0"/>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6FF15BC8"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195AFAD3"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US Billion</w:t>
            </w:r>
          </w:p>
        </w:tc>
        <w:tc>
          <w:tcPr>
            <w:tcW w:w="990" w:type="dxa"/>
            <w:tcBorders>
              <w:top w:val="nil"/>
              <w:left w:val="nil"/>
              <w:bottom w:val="nil"/>
              <w:right w:val="nil"/>
            </w:tcBorders>
          </w:tcPr>
          <w:p w14:paraId="52552B2C"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0.86</w:t>
            </w:r>
          </w:p>
        </w:tc>
        <w:tc>
          <w:tcPr>
            <w:tcW w:w="1080" w:type="dxa"/>
            <w:tcBorders>
              <w:top w:val="nil"/>
              <w:left w:val="nil"/>
              <w:bottom w:val="nil"/>
              <w:right w:val="nil"/>
            </w:tcBorders>
          </w:tcPr>
          <w:p w14:paraId="28660B8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3.19</w:t>
            </w:r>
          </w:p>
        </w:tc>
        <w:tc>
          <w:tcPr>
            <w:tcW w:w="1170" w:type="dxa"/>
            <w:tcBorders>
              <w:top w:val="nil"/>
              <w:left w:val="nil"/>
              <w:bottom w:val="nil"/>
              <w:right w:val="nil"/>
            </w:tcBorders>
          </w:tcPr>
          <w:p w14:paraId="6DD4298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10.18</w:t>
            </w:r>
          </w:p>
        </w:tc>
        <w:tc>
          <w:tcPr>
            <w:tcW w:w="900" w:type="dxa"/>
            <w:tcBorders>
              <w:top w:val="nil"/>
              <w:left w:val="nil"/>
              <w:bottom w:val="nil"/>
              <w:right w:val="nil"/>
            </w:tcBorders>
          </w:tcPr>
          <w:p w14:paraId="7F492B4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0.00</w:t>
            </w:r>
          </w:p>
        </w:tc>
        <w:tc>
          <w:tcPr>
            <w:tcW w:w="1530" w:type="dxa"/>
            <w:tcBorders>
              <w:top w:val="nil"/>
              <w:left w:val="nil"/>
              <w:bottom w:val="nil"/>
              <w:right w:val="nil"/>
            </w:tcBorders>
          </w:tcPr>
          <w:p w14:paraId="350F297A"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24.31</w:t>
            </w:r>
          </w:p>
        </w:tc>
      </w:tr>
      <w:tr w:rsidR="00D55B20" w:rsidRPr="00B85BCF" w14:paraId="1C031B4B" w14:textId="77777777" w:rsidTr="00DF14B3">
        <w:trPr>
          <w:trHeight w:val="281"/>
        </w:trPr>
        <w:tc>
          <w:tcPr>
            <w:tcW w:w="4680" w:type="dxa"/>
            <w:tcBorders>
              <w:top w:val="nil"/>
              <w:left w:val="nil"/>
              <w:bottom w:val="nil"/>
              <w:right w:val="nil"/>
            </w:tcBorders>
          </w:tcPr>
          <w:p w14:paraId="02D1A1A5"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Outward Remittances  </w:t>
            </w:r>
          </w:p>
        </w:tc>
        <w:tc>
          <w:tcPr>
            <w:tcW w:w="1260" w:type="dxa"/>
            <w:tcBorders>
              <w:top w:val="nil"/>
              <w:left w:val="nil"/>
              <w:bottom w:val="nil"/>
              <w:right w:val="nil"/>
            </w:tcBorders>
          </w:tcPr>
          <w:p w14:paraId="3F32DC2E"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eastAsiaTheme="minorEastAsia" w:hAnsi="Times New Roman" w:cs="Times New Roman"/>
                <w:i/>
                <w:iCs/>
                <w:kern w:val="0"/>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1D35B51F"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307219AA"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US Billion</w:t>
            </w:r>
          </w:p>
        </w:tc>
        <w:tc>
          <w:tcPr>
            <w:tcW w:w="990" w:type="dxa"/>
            <w:tcBorders>
              <w:top w:val="nil"/>
              <w:left w:val="nil"/>
              <w:bottom w:val="nil"/>
              <w:right w:val="nil"/>
            </w:tcBorders>
          </w:tcPr>
          <w:p w14:paraId="244F5977"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0.16</w:t>
            </w:r>
          </w:p>
        </w:tc>
        <w:tc>
          <w:tcPr>
            <w:tcW w:w="1080" w:type="dxa"/>
            <w:tcBorders>
              <w:top w:val="nil"/>
              <w:left w:val="nil"/>
              <w:bottom w:val="nil"/>
              <w:right w:val="nil"/>
            </w:tcBorders>
          </w:tcPr>
          <w:p w14:paraId="1327E16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0.29</w:t>
            </w:r>
          </w:p>
        </w:tc>
        <w:tc>
          <w:tcPr>
            <w:tcW w:w="1170" w:type="dxa"/>
            <w:tcBorders>
              <w:top w:val="nil"/>
              <w:left w:val="nil"/>
              <w:bottom w:val="nil"/>
              <w:right w:val="nil"/>
            </w:tcBorders>
          </w:tcPr>
          <w:p w14:paraId="7BFE1416"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0.08</w:t>
            </w:r>
          </w:p>
        </w:tc>
        <w:tc>
          <w:tcPr>
            <w:tcW w:w="900" w:type="dxa"/>
            <w:tcBorders>
              <w:top w:val="nil"/>
              <w:left w:val="nil"/>
              <w:bottom w:val="nil"/>
              <w:right w:val="nil"/>
            </w:tcBorders>
          </w:tcPr>
          <w:p w14:paraId="5D5585A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0.00</w:t>
            </w:r>
          </w:p>
        </w:tc>
        <w:tc>
          <w:tcPr>
            <w:tcW w:w="1530" w:type="dxa"/>
            <w:tcBorders>
              <w:top w:val="nil"/>
              <w:left w:val="nil"/>
              <w:bottom w:val="nil"/>
              <w:right w:val="nil"/>
            </w:tcBorders>
          </w:tcPr>
          <w:p w14:paraId="34F4523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2.75</w:t>
            </w:r>
          </w:p>
        </w:tc>
      </w:tr>
      <w:tr w:rsidR="00D55B20" w:rsidRPr="00B85BCF" w14:paraId="7F2EEED0" w14:textId="77777777" w:rsidTr="00DF14B3">
        <w:trPr>
          <w:trHeight w:val="281"/>
        </w:trPr>
        <w:tc>
          <w:tcPr>
            <w:tcW w:w="4680" w:type="dxa"/>
            <w:tcBorders>
              <w:top w:val="nil"/>
              <w:left w:val="nil"/>
              <w:bottom w:val="nil"/>
              <w:right w:val="nil"/>
            </w:tcBorders>
          </w:tcPr>
          <w:p w14:paraId="3E3AC3C5"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Foreign Direct Investment</w:t>
            </w:r>
          </w:p>
        </w:tc>
        <w:tc>
          <w:tcPr>
            <w:tcW w:w="1260" w:type="dxa"/>
            <w:tcBorders>
              <w:top w:val="nil"/>
              <w:left w:val="nil"/>
              <w:bottom w:val="nil"/>
              <w:right w:val="nil"/>
            </w:tcBorders>
          </w:tcPr>
          <w:p w14:paraId="6F7526E5"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7C620038"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WGI</w:t>
            </w:r>
          </w:p>
        </w:tc>
        <w:tc>
          <w:tcPr>
            <w:tcW w:w="1350" w:type="dxa"/>
            <w:tcBorders>
              <w:top w:val="nil"/>
              <w:left w:val="nil"/>
              <w:bottom w:val="nil"/>
              <w:right w:val="nil"/>
            </w:tcBorders>
          </w:tcPr>
          <w:p w14:paraId="56AF6D3D"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of GDP</w:t>
            </w:r>
          </w:p>
        </w:tc>
        <w:tc>
          <w:tcPr>
            <w:tcW w:w="990" w:type="dxa"/>
            <w:tcBorders>
              <w:top w:val="nil"/>
              <w:left w:val="nil"/>
              <w:bottom w:val="nil"/>
              <w:right w:val="nil"/>
            </w:tcBorders>
          </w:tcPr>
          <w:p w14:paraId="22FE919B"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2.94</w:t>
            </w:r>
          </w:p>
        </w:tc>
        <w:tc>
          <w:tcPr>
            <w:tcW w:w="1080" w:type="dxa"/>
            <w:tcBorders>
              <w:top w:val="nil"/>
              <w:left w:val="nil"/>
              <w:bottom w:val="nil"/>
              <w:right w:val="nil"/>
            </w:tcBorders>
          </w:tcPr>
          <w:p w14:paraId="1B24B5FC"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4.72</w:t>
            </w:r>
          </w:p>
        </w:tc>
        <w:tc>
          <w:tcPr>
            <w:tcW w:w="1170" w:type="dxa"/>
            <w:tcBorders>
              <w:top w:val="nil"/>
              <w:left w:val="nil"/>
              <w:bottom w:val="nil"/>
              <w:right w:val="nil"/>
            </w:tcBorders>
          </w:tcPr>
          <w:p w14:paraId="6A6653BE"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22.29</w:t>
            </w:r>
          </w:p>
        </w:tc>
        <w:tc>
          <w:tcPr>
            <w:tcW w:w="900" w:type="dxa"/>
            <w:tcBorders>
              <w:top w:val="nil"/>
              <w:left w:val="nil"/>
              <w:bottom w:val="nil"/>
              <w:right w:val="nil"/>
            </w:tcBorders>
          </w:tcPr>
          <w:p w14:paraId="72A7A000"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-17.29</w:t>
            </w:r>
          </w:p>
        </w:tc>
        <w:tc>
          <w:tcPr>
            <w:tcW w:w="1530" w:type="dxa"/>
            <w:tcBorders>
              <w:top w:val="nil"/>
              <w:left w:val="nil"/>
              <w:bottom w:val="nil"/>
              <w:right w:val="nil"/>
            </w:tcBorders>
          </w:tcPr>
          <w:p w14:paraId="23B20322"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38.94</w:t>
            </w:r>
          </w:p>
        </w:tc>
      </w:tr>
      <w:tr w:rsidR="00D55B20" w:rsidRPr="00B85BCF" w14:paraId="4F6BD026" w14:textId="77777777" w:rsidTr="00DF14B3">
        <w:trPr>
          <w:trHeight w:val="281"/>
        </w:trPr>
        <w:tc>
          <w:tcPr>
            <w:tcW w:w="4680" w:type="dxa"/>
            <w:tcBorders>
              <w:top w:val="nil"/>
              <w:left w:val="nil"/>
              <w:bottom w:val="nil"/>
              <w:right w:val="nil"/>
            </w:tcBorders>
          </w:tcPr>
          <w:p w14:paraId="468C9BFF"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Consumer Price Index </w:t>
            </w:r>
          </w:p>
        </w:tc>
        <w:tc>
          <w:tcPr>
            <w:tcW w:w="1260" w:type="dxa"/>
            <w:tcBorders>
              <w:top w:val="nil"/>
              <w:left w:val="nil"/>
              <w:bottom w:val="nil"/>
              <w:right w:val="nil"/>
            </w:tcBorders>
          </w:tcPr>
          <w:p w14:paraId="1B4957FC"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67C129EC"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78723898"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Index</w:t>
            </w:r>
          </w:p>
        </w:tc>
        <w:tc>
          <w:tcPr>
            <w:tcW w:w="990" w:type="dxa"/>
            <w:tcBorders>
              <w:top w:val="nil"/>
              <w:left w:val="nil"/>
              <w:bottom w:val="nil"/>
              <w:right w:val="nil"/>
            </w:tcBorders>
          </w:tcPr>
          <w:p w14:paraId="50F214B5"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8.87</w:t>
            </w:r>
          </w:p>
        </w:tc>
        <w:tc>
          <w:tcPr>
            <w:tcW w:w="1080" w:type="dxa"/>
            <w:tcBorders>
              <w:top w:val="nil"/>
              <w:left w:val="nil"/>
              <w:bottom w:val="nil"/>
              <w:right w:val="nil"/>
            </w:tcBorders>
          </w:tcPr>
          <w:p w14:paraId="72113666"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21.97</w:t>
            </w:r>
          </w:p>
        </w:tc>
        <w:tc>
          <w:tcPr>
            <w:tcW w:w="1170" w:type="dxa"/>
            <w:tcBorders>
              <w:top w:val="nil"/>
              <w:left w:val="nil"/>
              <w:bottom w:val="nil"/>
              <w:right w:val="nil"/>
            </w:tcBorders>
          </w:tcPr>
          <w:p w14:paraId="1960CE4F"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482.56</w:t>
            </w:r>
          </w:p>
        </w:tc>
        <w:tc>
          <w:tcPr>
            <w:tcW w:w="900" w:type="dxa"/>
            <w:tcBorders>
              <w:top w:val="nil"/>
              <w:left w:val="nil"/>
              <w:bottom w:val="nil"/>
              <w:right w:val="nil"/>
            </w:tcBorders>
          </w:tcPr>
          <w:p w14:paraId="31D76BD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-8.24</w:t>
            </w:r>
          </w:p>
        </w:tc>
        <w:tc>
          <w:tcPr>
            <w:tcW w:w="1530" w:type="dxa"/>
            <w:tcBorders>
              <w:top w:val="nil"/>
              <w:left w:val="nil"/>
              <w:bottom w:val="nil"/>
              <w:right w:val="nil"/>
            </w:tcBorders>
          </w:tcPr>
          <w:p w14:paraId="3051DBD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359.09</w:t>
            </w:r>
          </w:p>
        </w:tc>
      </w:tr>
      <w:tr w:rsidR="00D55B20" w:rsidRPr="00B85BCF" w14:paraId="6AAABAE2" w14:textId="77777777" w:rsidTr="00DF14B3">
        <w:trPr>
          <w:trHeight w:val="281"/>
        </w:trPr>
        <w:tc>
          <w:tcPr>
            <w:tcW w:w="4680" w:type="dxa"/>
            <w:tcBorders>
              <w:top w:val="nil"/>
              <w:left w:val="nil"/>
              <w:bottom w:val="nil"/>
              <w:right w:val="nil"/>
            </w:tcBorders>
          </w:tcPr>
          <w:p w14:paraId="761D241C"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Net Migration</w:t>
            </w:r>
          </w:p>
        </w:tc>
        <w:tc>
          <w:tcPr>
            <w:tcW w:w="1260" w:type="dxa"/>
            <w:tcBorders>
              <w:top w:val="nil"/>
              <w:left w:val="nil"/>
              <w:bottom w:val="nil"/>
              <w:right w:val="nil"/>
            </w:tcBorders>
          </w:tcPr>
          <w:p w14:paraId="56FF2C00"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1647D026"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5C08F49B"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Millions</w:t>
            </w:r>
          </w:p>
        </w:tc>
        <w:tc>
          <w:tcPr>
            <w:tcW w:w="990" w:type="dxa"/>
            <w:tcBorders>
              <w:top w:val="nil"/>
              <w:left w:val="nil"/>
              <w:bottom w:val="nil"/>
              <w:right w:val="nil"/>
            </w:tcBorders>
          </w:tcPr>
          <w:p w14:paraId="5E9CBDFE"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-0.01</w:t>
            </w:r>
          </w:p>
        </w:tc>
        <w:tc>
          <w:tcPr>
            <w:tcW w:w="1080" w:type="dxa"/>
            <w:tcBorders>
              <w:top w:val="nil"/>
              <w:left w:val="nil"/>
              <w:bottom w:val="nil"/>
              <w:right w:val="nil"/>
            </w:tcBorders>
          </w:tcPr>
          <w:p w14:paraId="3E319164"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0.10</w:t>
            </w:r>
          </w:p>
        </w:tc>
        <w:tc>
          <w:tcPr>
            <w:tcW w:w="1170" w:type="dxa"/>
            <w:tcBorders>
              <w:top w:val="nil"/>
              <w:left w:val="nil"/>
              <w:bottom w:val="nil"/>
              <w:right w:val="nil"/>
            </w:tcBorders>
          </w:tcPr>
          <w:p w14:paraId="0EA3742F"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0.01</w:t>
            </w:r>
          </w:p>
        </w:tc>
        <w:tc>
          <w:tcPr>
            <w:tcW w:w="900" w:type="dxa"/>
            <w:tcBorders>
              <w:top w:val="nil"/>
              <w:left w:val="nil"/>
              <w:bottom w:val="nil"/>
              <w:right w:val="nil"/>
            </w:tcBorders>
          </w:tcPr>
          <w:p w14:paraId="2FACF42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-1.35</w:t>
            </w:r>
          </w:p>
        </w:tc>
        <w:tc>
          <w:tcPr>
            <w:tcW w:w="1530" w:type="dxa"/>
            <w:tcBorders>
              <w:top w:val="nil"/>
              <w:left w:val="nil"/>
              <w:bottom w:val="nil"/>
              <w:right w:val="nil"/>
            </w:tcBorders>
          </w:tcPr>
          <w:p w14:paraId="191F8E8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0.64</w:t>
            </w:r>
          </w:p>
        </w:tc>
      </w:tr>
      <w:tr w:rsidR="00D55B20" w:rsidRPr="00B85BCF" w14:paraId="3EABF933" w14:textId="77777777" w:rsidTr="00DF14B3">
        <w:trPr>
          <w:trHeight w:val="281"/>
        </w:trPr>
        <w:tc>
          <w:tcPr>
            <w:tcW w:w="4680" w:type="dxa"/>
            <w:tcBorders>
              <w:top w:val="nil"/>
              <w:left w:val="nil"/>
              <w:bottom w:val="nil"/>
              <w:right w:val="nil"/>
            </w:tcBorders>
          </w:tcPr>
          <w:p w14:paraId="32D07001"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Domestic Credit to Private Sector</w:t>
            </w:r>
          </w:p>
        </w:tc>
        <w:tc>
          <w:tcPr>
            <w:tcW w:w="1260" w:type="dxa"/>
            <w:tcBorders>
              <w:top w:val="nil"/>
              <w:left w:val="nil"/>
              <w:bottom w:val="nil"/>
              <w:right w:val="nil"/>
            </w:tcBorders>
          </w:tcPr>
          <w:p w14:paraId="0165B287"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357EA88E"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57151C50"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of GDP</w:t>
            </w:r>
          </w:p>
        </w:tc>
        <w:tc>
          <w:tcPr>
            <w:tcW w:w="990" w:type="dxa"/>
            <w:tcBorders>
              <w:top w:val="nil"/>
              <w:left w:val="nil"/>
              <w:bottom w:val="nil"/>
              <w:right w:val="nil"/>
            </w:tcBorders>
          </w:tcPr>
          <w:p w14:paraId="5FEC0E5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16.12</w:t>
            </w:r>
          </w:p>
        </w:tc>
        <w:tc>
          <w:tcPr>
            <w:tcW w:w="1080" w:type="dxa"/>
            <w:tcBorders>
              <w:top w:val="nil"/>
              <w:left w:val="nil"/>
              <w:bottom w:val="nil"/>
              <w:right w:val="nil"/>
            </w:tcBorders>
          </w:tcPr>
          <w:p w14:paraId="7DEFF5C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13.56</w:t>
            </w:r>
          </w:p>
        </w:tc>
        <w:tc>
          <w:tcPr>
            <w:tcW w:w="1170" w:type="dxa"/>
            <w:tcBorders>
              <w:top w:val="nil"/>
              <w:left w:val="nil"/>
              <w:bottom w:val="nil"/>
              <w:right w:val="nil"/>
            </w:tcBorders>
          </w:tcPr>
          <w:p w14:paraId="79B5A883"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183.95</w:t>
            </w:r>
          </w:p>
        </w:tc>
        <w:tc>
          <w:tcPr>
            <w:tcW w:w="900" w:type="dxa"/>
            <w:tcBorders>
              <w:top w:val="nil"/>
              <w:left w:val="nil"/>
              <w:bottom w:val="nil"/>
              <w:right w:val="nil"/>
            </w:tcBorders>
          </w:tcPr>
          <w:p w14:paraId="490EB14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0.00</w:t>
            </w:r>
          </w:p>
        </w:tc>
        <w:tc>
          <w:tcPr>
            <w:tcW w:w="1530" w:type="dxa"/>
            <w:tcBorders>
              <w:top w:val="nil"/>
              <w:left w:val="nil"/>
              <w:bottom w:val="nil"/>
              <w:right w:val="nil"/>
            </w:tcBorders>
          </w:tcPr>
          <w:p w14:paraId="53B4158F"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70.38</w:t>
            </w:r>
          </w:p>
        </w:tc>
      </w:tr>
      <w:tr w:rsidR="00D55B20" w:rsidRPr="00587187" w14:paraId="062D33F5" w14:textId="77777777" w:rsidTr="00DF14B3">
        <w:trPr>
          <w:trHeight w:val="281"/>
        </w:trPr>
        <w:tc>
          <w:tcPr>
            <w:tcW w:w="4680" w:type="dxa"/>
            <w:tcBorders>
              <w:top w:val="nil"/>
              <w:left w:val="nil"/>
              <w:bottom w:val="nil"/>
              <w:right w:val="nil"/>
            </w:tcBorders>
          </w:tcPr>
          <w:p w14:paraId="6683E2BB"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            Countries (</w:t>
            </w:r>
            <w:r>
              <w:rPr>
                <w:rFonts w:ascii="Times New Roman" w:hAnsi="Times New Roman" w:cs="Times New Roman"/>
                <w:i/>
                <w:iCs/>
                <w:sz w:val="22"/>
                <w:szCs w:val="22"/>
              </w:rPr>
              <w:t>N</w:t>
            </w:r>
            <w:r>
              <w:rPr>
                <w:rFonts w:ascii="Times New Roman" w:hAnsi="Times New Roman" w:cs="Times New Roman"/>
                <w:sz w:val="22"/>
                <w:szCs w:val="22"/>
              </w:rPr>
              <w:t xml:space="preserve"> = 30)</w:t>
            </w:r>
          </w:p>
        </w:tc>
        <w:tc>
          <w:tcPr>
            <w:tcW w:w="9180" w:type="dxa"/>
            <w:gridSpan w:val="8"/>
            <w:tcBorders>
              <w:top w:val="nil"/>
              <w:left w:val="nil"/>
              <w:bottom w:val="nil"/>
              <w:right w:val="nil"/>
            </w:tcBorders>
          </w:tcPr>
          <w:p w14:paraId="6C9E0B87" w14:textId="77777777" w:rsidR="00D55B20" w:rsidRPr="00B85BCF" w:rsidRDefault="00D55B20" w:rsidP="00DF14B3">
            <w:pPr>
              <w:widowControl w:val="0"/>
              <w:autoSpaceDE w:val="0"/>
              <w:autoSpaceDN w:val="0"/>
              <w:adjustRightInd w:val="0"/>
              <w:spacing w:after="0" w:line="240" w:lineRule="auto"/>
              <w:jc w:val="both"/>
              <w:rPr>
                <w:rFonts w:ascii="Times New Roman" w:hAnsi="Times New Roman" w:cs="Times New Roman"/>
                <w:sz w:val="22"/>
                <w:szCs w:val="22"/>
                <w:lang w:val="it-IT"/>
              </w:rPr>
            </w:pPr>
            <w:r>
              <w:rPr>
                <w:rFonts w:ascii="Times New Roman" w:hAnsi="Times New Roman" w:cs="Times New Roman"/>
                <w:sz w:val="22"/>
                <w:szCs w:val="22"/>
                <w:lang w:val="it-IT"/>
              </w:rPr>
              <w:t>Angola, Benin, Botswana, Burkina Faso, Burundi, Cameroon, Congo, Rep., Cote d'Ivoire, Eswatini, Ethiopia, Gabon, Gambia, Guinea, Guinea-Bissau, Kenya, Malawi, Mali, Mozambique, Namibia, Niger, Nigeria, Rwanda, Senegal, Sierra Leone, South Africa, Sudan, Tanzania, Togo, Uganda, Zambia</w:t>
            </w:r>
          </w:p>
        </w:tc>
      </w:tr>
      <w:tr w:rsidR="00D55B20" w:rsidRPr="00B85BCF" w14:paraId="1440EC66" w14:textId="77777777" w:rsidTr="00DF14B3">
        <w:trPr>
          <w:trHeight w:val="281"/>
        </w:trPr>
        <w:tc>
          <w:tcPr>
            <w:tcW w:w="13860" w:type="dxa"/>
            <w:gridSpan w:val="9"/>
            <w:tcBorders>
              <w:top w:val="single" w:sz="6" w:space="0" w:color="auto"/>
              <w:left w:val="nil"/>
              <w:bottom w:val="nil"/>
              <w:right w:val="nil"/>
            </w:tcBorders>
          </w:tcPr>
          <w:p w14:paraId="0F2EDF80" w14:textId="77777777" w:rsidR="00D55B20" w:rsidRPr="00B85BCF" w:rsidRDefault="00D55B20" w:rsidP="00DF14B3">
            <w:pPr>
              <w:widowControl w:val="0"/>
              <w:autoSpaceDE w:val="0"/>
              <w:autoSpaceDN w:val="0"/>
              <w:adjustRightInd w:val="0"/>
              <w:spacing w:after="0" w:line="276" w:lineRule="auto"/>
              <w:jc w:val="both"/>
              <w:rPr>
                <w:rFonts w:ascii="Times New Roman" w:hAnsi="Times New Roman" w:cs="Times New Roman"/>
                <w:sz w:val="20"/>
                <w:szCs w:val="20"/>
              </w:rPr>
            </w:pPr>
            <w:r>
              <w:rPr>
                <w:rFonts w:ascii="Times New Roman" w:hAnsi="Times New Roman" w:cs="Times New Roman"/>
                <w:b/>
                <w:bCs/>
                <w:sz w:val="20"/>
                <w:szCs w:val="20"/>
              </w:rPr>
              <w:t>Note</w:t>
            </w:r>
            <w:r>
              <w:rPr>
                <w:rFonts w:ascii="Times New Roman" w:hAnsi="Times New Roman" w:cs="Times New Roman"/>
                <w:sz w:val="20"/>
                <w:szCs w:val="20"/>
              </w:rPr>
              <w:t xml:space="preserve">: UNDP = United Nations Development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 WDI = World Development Indicators; LCU = Local Currency Unit</w:t>
            </w:r>
          </w:p>
        </w:tc>
      </w:tr>
    </w:tbl>
    <w:p w14:paraId="19B9AFB1" w14:textId="77777777" w:rsidR="00D55B20" w:rsidRPr="00B85BCF" w:rsidRDefault="00D55B20" w:rsidP="00D55B20">
      <w:pPr>
        <w:spacing w:line="259" w:lineRule="auto"/>
        <w:ind w:left="-270" w:hanging="90"/>
        <w:rPr>
          <w:sz w:val="20"/>
          <w:szCs w:val="20"/>
        </w:rPr>
      </w:pPr>
      <w:r>
        <w:rPr>
          <w:rFonts w:ascii="Times New Roman" w:hAnsi="Times New Roman" w:cs="Times New Roman"/>
          <w:b/>
          <w:bCs/>
          <w:sz w:val="20"/>
          <w:szCs w:val="20"/>
        </w:rPr>
        <w:t xml:space="preserve">        Source</w:t>
      </w:r>
      <w:r>
        <w:rPr>
          <w:rFonts w:ascii="Times New Roman" w:hAnsi="Times New Roman" w:cs="Times New Roman"/>
          <w:sz w:val="20"/>
          <w:szCs w:val="20"/>
        </w:rPr>
        <w:t>: Author’s computation, 2025</w:t>
      </w:r>
    </w:p>
    <w:p w14:paraId="0395DA58" w14:textId="77777777" w:rsidR="00D55B20" w:rsidRPr="00683AB4" w:rsidRDefault="00D55B20" w:rsidP="00D55B20">
      <w:pPr>
        <w:pStyle w:val="NoSpacing"/>
        <w:rPr>
          <w:rFonts w:ascii="Times New Roman" w:hAnsi="Times New Roman" w:cs="Times New Roman"/>
        </w:rPr>
      </w:pPr>
      <w:r>
        <w:rPr>
          <w:rFonts w:ascii="Times New Roman" w:hAnsi="Times New Roman" w:cs="Times New Roman"/>
        </w:rPr>
        <w:t>Table 2:</w:t>
      </w:r>
      <w:r>
        <w:rPr>
          <w:rFonts w:ascii="Times New Roman" w:hAnsi="Times New Roman" w:cs="Times New Roman"/>
          <w:b/>
          <w:bCs/>
        </w:rPr>
        <w:t xml:space="preserve"> </w:t>
      </w:r>
      <w:r>
        <w:rPr>
          <w:rFonts w:ascii="Times New Roman" w:hAnsi="Times New Roman" w:cs="Times New Roman"/>
        </w:rPr>
        <w:t>Results of Correlation Matrix Analysis</w:t>
      </w:r>
    </w:p>
    <w:tbl>
      <w:tblPr>
        <w:tblW w:w="13634" w:type="dxa"/>
        <w:tblLayout w:type="fixed"/>
        <w:tblLook w:val="0000" w:firstRow="0" w:lastRow="0" w:firstColumn="0" w:lastColumn="0" w:noHBand="0" w:noVBand="0"/>
      </w:tblPr>
      <w:tblGrid>
        <w:gridCol w:w="2288"/>
        <w:gridCol w:w="1620"/>
        <w:gridCol w:w="1620"/>
        <w:gridCol w:w="1620"/>
        <w:gridCol w:w="1620"/>
        <w:gridCol w:w="1620"/>
        <w:gridCol w:w="1620"/>
        <w:gridCol w:w="1620"/>
        <w:gridCol w:w="6"/>
      </w:tblGrid>
      <w:tr w:rsidR="00D55B20" w14:paraId="6B0E0BE4" w14:textId="77777777" w:rsidTr="00DF14B3">
        <w:trPr>
          <w:gridAfter w:val="1"/>
          <w:wAfter w:w="6" w:type="dxa"/>
          <w:trHeight w:val="268"/>
        </w:trPr>
        <w:tc>
          <w:tcPr>
            <w:tcW w:w="2288" w:type="dxa"/>
            <w:tcBorders>
              <w:top w:val="single" w:sz="4" w:space="0" w:color="auto"/>
              <w:left w:val="nil"/>
              <w:bottom w:val="single" w:sz="6" w:space="0" w:color="auto"/>
              <w:right w:val="nil"/>
            </w:tcBorders>
          </w:tcPr>
          <w:p w14:paraId="26E6088F" w14:textId="77777777" w:rsidR="00D55B20" w:rsidRPr="00683AB4" w:rsidRDefault="00D55B20" w:rsidP="00DF14B3">
            <w:pPr>
              <w:widowControl w:val="0"/>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Variables</w:t>
            </w:r>
          </w:p>
        </w:tc>
        <w:tc>
          <w:tcPr>
            <w:tcW w:w="1620" w:type="dxa"/>
            <w:tcBorders>
              <w:top w:val="single" w:sz="4" w:space="0" w:color="auto"/>
              <w:left w:val="nil"/>
              <w:bottom w:val="single" w:sz="6" w:space="0" w:color="auto"/>
              <w:right w:val="nil"/>
            </w:tcBorders>
          </w:tcPr>
          <w:p w14:paraId="61E31E54"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(1)</w:t>
            </w:r>
          </w:p>
        </w:tc>
        <w:tc>
          <w:tcPr>
            <w:tcW w:w="1620" w:type="dxa"/>
            <w:tcBorders>
              <w:top w:val="single" w:sz="4" w:space="0" w:color="auto"/>
              <w:left w:val="nil"/>
              <w:bottom w:val="single" w:sz="6" w:space="0" w:color="auto"/>
              <w:right w:val="nil"/>
            </w:tcBorders>
          </w:tcPr>
          <w:p w14:paraId="610F6830"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(2)</w:t>
            </w:r>
          </w:p>
        </w:tc>
        <w:tc>
          <w:tcPr>
            <w:tcW w:w="1620" w:type="dxa"/>
            <w:tcBorders>
              <w:top w:val="single" w:sz="4" w:space="0" w:color="auto"/>
              <w:left w:val="nil"/>
              <w:bottom w:val="single" w:sz="6" w:space="0" w:color="auto"/>
              <w:right w:val="nil"/>
            </w:tcBorders>
          </w:tcPr>
          <w:p w14:paraId="271CD3F4"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(3)</w:t>
            </w:r>
          </w:p>
        </w:tc>
        <w:tc>
          <w:tcPr>
            <w:tcW w:w="1620" w:type="dxa"/>
            <w:tcBorders>
              <w:top w:val="single" w:sz="4" w:space="0" w:color="auto"/>
              <w:left w:val="nil"/>
              <w:bottom w:val="single" w:sz="6" w:space="0" w:color="auto"/>
              <w:right w:val="nil"/>
            </w:tcBorders>
          </w:tcPr>
          <w:p w14:paraId="17FBFB4E"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(4)</w:t>
            </w:r>
          </w:p>
        </w:tc>
        <w:tc>
          <w:tcPr>
            <w:tcW w:w="1620" w:type="dxa"/>
            <w:tcBorders>
              <w:top w:val="single" w:sz="4" w:space="0" w:color="auto"/>
              <w:left w:val="nil"/>
              <w:bottom w:val="single" w:sz="6" w:space="0" w:color="auto"/>
              <w:right w:val="nil"/>
            </w:tcBorders>
          </w:tcPr>
          <w:p w14:paraId="38E493A3"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(5)</w:t>
            </w:r>
          </w:p>
        </w:tc>
        <w:tc>
          <w:tcPr>
            <w:tcW w:w="1620" w:type="dxa"/>
            <w:tcBorders>
              <w:top w:val="single" w:sz="4" w:space="0" w:color="auto"/>
              <w:left w:val="nil"/>
              <w:bottom w:val="single" w:sz="6" w:space="0" w:color="auto"/>
              <w:right w:val="nil"/>
            </w:tcBorders>
          </w:tcPr>
          <w:p w14:paraId="3400A5D0"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(6)</w:t>
            </w:r>
          </w:p>
        </w:tc>
        <w:tc>
          <w:tcPr>
            <w:tcW w:w="1620" w:type="dxa"/>
            <w:tcBorders>
              <w:top w:val="single" w:sz="4" w:space="0" w:color="auto"/>
              <w:left w:val="nil"/>
              <w:bottom w:val="single" w:sz="6" w:space="0" w:color="auto"/>
              <w:right w:val="nil"/>
            </w:tcBorders>
          </w:tcPr>
          <w:p w14:paraId="17E5EEFD"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(7)</w:t>
            </w:r>
          </w:p>
        </w:tc>
      </w:tr>
      <w:tr w:rsidR="00D55B20" w14:paraId="4E4ACE10" w14:textId="77777777" w:rsidTr="00DF14B3">
        <w:trPr>
          <w:gridAfter w:val="1"/>
          <w:wAfter w:w="6" w:type="dxa"/>
          <w:trHeight w:val="268"/>
        </w:trPr>
        <w:tc>
          <w:tcPr>
            <w:tcW w:w="2288" w:type="dxa"/>
            <w:tcBorders>
              <w:top w:val="nil"/>
              <w:left w:val="nil"/>
              <w:bottom w:val="nil"/>
              <w:right w:val="nil"/>
            </w:tcBorders>
          </w:tcPr>
          <w:p w14:paraId="14EB1B92"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(1) </w:t>
            </w:r>
            <w:proofErr w:type="spellStart"/>
            <w:r>
              <w:rPr>
                <w:rFonts w:ascii="Times New Roman" w:hAnsi="Times New Roman" w:cs="Times New Roman"/>
                <w:i/>
                <w:iCs/>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1A8D7FB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41686000"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5C37AA6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5E91196B"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F88FC34"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5404B0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E8B3A5D"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88AFFC0" w14:textId="77777777" w:rsidTr="00DF14B3">
        <w:trPr>
          <w:gridAfter w:val="1"/>
          <w:wAfter w:w="6" w:type="dxa"/>
          <w:trHeight w:val="268"/>
        </w:trPr>
        <w:tc>
          <w:tcPr>
            <w:tcW w:w="2288" w:type="dxa"/>
            <w:tcBorders>
              <w:top w:val="nil"/>
              <w:left w:val="nil"/>
              <w:bottom w:val="nil"/>
              <w:right w:val="nil"/>
            </w:tcBorders>
          </w:tcPr>
          <w:p w14:paraId="26D01235"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17573F4B"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923D10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E16B689"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8657A11"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8089EEA"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DC54E73"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555F6AA4" w14:textId="77777777" w:rsidR="00D55B20" w:rsidRPr="00683AB4" w:rsidRDefault="00D55B20" w:rsidP="00DF14B3">
            <w:pPr>
              <w:pStyle w:val="NoSpacing"/>
              <w:jc w:val="center"/>
              <w:rPr>
                <w:rFonts w:ascii="Times New Roman" w:hAnsi="Times New Roman" w:cs="Times New Roman"/>
                <w:sz w:val="22"/>
                <w:szCs w:val="22"/>
              </w:rPr>
            </w:pPr>
          </w:p>
        </w:tc>
      </w:tr>
      <w:tr w:rsidR="00D55B20" w14:paraId="6592209D" w14:textId="77777777" w:rsidTr="00DF14B3">
        <w:trPr>
          <w:gridAfter w:val="1"/>
          <w:wAfter w:w="6" w:type="dxa"/>
          <w:trHeight w:val="290"/>
        </w:trPr>
        <w:tc>
          <w:tcPr>
            <w:tcW w:w="2288" w:type="dxa"/>
            <w:tcBorders>
              <w:top w:val="nil"/>
              <w:left w:val="nil"/>
              <w:bottom w:val="nil"/>
              <w:right w:val="nil"/>
            </w:tcBorders>
          </w:tcPr>
          <w:p w14:paraId="1782515A"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(2) </w:t>
            </w:r>
            <w:proofErr w:type="spellStart"/>
            <w:r>
              <w:rPr>
                <w:rFonts w:ascii="Times New Roman" w:hAnsi="Times New Roman" w:cs="Times New Roman"/>
                <w:i/>
                <w:iCs/>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7D77B30C" w14:textId="77777777" w:rsidR="00D55B20" w:rsidRPr="00683AB4" w:rsidRDefault="00D55B20" w:rsidP="00DF14B3">
            <w:pPr>
              <w:pStyle w:val="NoSpacing"/>
              <w:jc w:val="center"/>
              <w:rPr>
                <w:rFonts w:ascii="Times New Roman" w:hAnsi="Times New Roman" w:cs="Times New Roman"/>
                <w:sz w:val="22"/>
                <w:szCs w:val="22"/>
              </w:rPr>
            </w:pPr>
            <w:bookmarkStart w:id="4" w:name="_Hlk223510331"/>
            <w:r>
              <w:rPr>
                <w:rFonts w:ascii="Times New Roman" w:hAnsi="Times New Roman" w:cs="Times New Roman"/>
                <w:sz w:val="22"/>
                <w:szCs w:val="22"/>
              </w:rPr>
              <w:t>0.347</w:t>
            </w:r>
            <w:bookmarkEnd w:id="4"/>
          </w:p>
        </w:tc>
        <w:tc>
          <w:tcPr>
            <w:tcW w:w="1620" w:type="dxa"/>
            <w:tcBorders>
              <w:top w:val="nil"/>
              <w:left w:val="nil"/>
              <w:bottom w:val="nil"/>
              <w:right w:val="nil"/>
            </w:tcBorders>
          </w:tcPr>
          <w:p w14:paraId="741CCCE4"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0FED38A6"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AA2E87C"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6BDAF04"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65F021B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84A4DA9" w14:textId="77777777" w:rsidR="00D55B20" w:rsidRPr="00683AB4" w:rsidRDefault="00D55B20" w:rsidP="00DF14B3">
            <w:pPr>
              <w:pStyle w:val="NoSpacing"/>
              <w:jc w:val="center"/>
              <w:rPr>
                <w:rFonts w:ascii="Times New Roman" w:hAnsi="Times New Roman" w:cs="Times New Roman"/>
                <w:sz w:val="22"/>
                <w:szCs w:val="22"/>
              </w:rPr>
            </w:pPr>
          </w:p>
        </w:tc>
      </w:tr>
      <w:tr w:rsidR="00D55B20" w14:paraId="3CAFC843" w14:textId="77777777" w:rsidTr="00DF14B3">
        <w:trPr>
          <w:gridAfter w:val="1"/>
          <w:wAfter w:w="6" w:type="dxa"/>
          <w:trHeight w:val="268"/>
        </w:trPr>
        <w:tc>
          <w:tcPr>
            <w:tcW w:w="2288" w:type="dxa"/>
            <w:tcBorders>
              <w:top w:val="nil"/>
              <w:left w:val="nil"/>
              <w:bottom w:val="nil"/>
              <w:right w:val="nil"/>
            </w:tcBorders>
          </w:tcPr>
          <w:p w14:paraId="31FA072B"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5FF1D82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5BFF5B90"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6E689101"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C8FD092"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441389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5250AF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922875C"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D8D6ADC" w14:textId="77777777" w:rsidTr="00DF14B3">
        <w:trPr>
          <w:gridAfter w:val="1"/>
          <w:wAfter w:w="6" w:type="dxa"/>
          <w:trHeight w:val="268"/>
        </w:trPr>
        <w:tc>
          <w:tcPr>
            <w:tcW w:w="2288" w:type="dxa"/>
            <w:tcBorders>
              <w:top w:val="nil"/>
              <w:left w:val="nil"/>
              <w:bottom w:val="nil"/>
              <w:right w:val="nil"/>
            </w:tcBorders>
          </w:tcPr>
          <w:p w14:paraId="3EA28549"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(3) </w:t>
            </w:r>
            <w:proofErr w:type="spellStart"/>
            <w:r>
              <w:rPr>
                <w:rFonts w:ascii="Times New Roman" w:hAnsi="Times New Roman" w:cs="Times New Roman"/>
                <w:i/>
                <w:iCs/>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7BE01E4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0.050</w:t>
            </w:r>
          </w:p>
        </w:tc>
        <w:tc>
          <w:tcPr>
            <w:tcW w:w="1620" w:type="dxa"/>
            <w:tcBorders>
              <w:top w:val="nil"/>
              <w:left w:val="nil"/>
              <w:bottom w:val="nil"/>
              <w:right w:val="nil"/>
            </w:tcBorders>
          </w:tcPr>
          <w:p w14:paraId="5FF6850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0.032</w:t>
            </w:r>
          </w:p>
        </w:tc>
        <w:tc>
          <w:tcPr>
            <w:tcW w:w="1620" w:type="dxa"/>
            <w:tcBorders>
              <w:top w:val="nil"/>
              <w:left w:val="nil"/>
              <w:bottom w:val="nil"/>
              <w:right w:val="nil"/>
            </w:tcBorders>
          </w:tcPr>
          <w:p w14:paraId="0F5B15E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3464BC2D"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793E21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F555ABC"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88691A0" w14:textId="77777777" w:rsidR="00D55B20" w:rsidRPr="00683AB4" w:rsidRDefault="00D55B20" w:rsidP="00DF14B3">
            <w:pPr>
              <w:pStyle w:val="NoSpacing"/>
              <w:jc w:val="center"/>
              <w:rPr>
                <w:rFonts w:ascii="Times New Roman" w:hAnsi="Times New Roman" w:cs="Times New Roman"/>
                <w:sz w:val="22"/>
                <w:szCs w:val="22"/>
              </w:rPr>
            </w:pPr>
          </w:p>
        </w:tc>
      </w:tr>
      <w:tr w:rsidR="00D55B20" w14:paraId="04A9A551" w14:textId="77777777" w:rsidTr="00DF14B3">
        <w:trPr>
          <w:gridAfter w:val="1"/>
          <w:wAfter w:w="6" w:type="dxa"/>
          <w:trHeight w:val="268"/>
        </w:trPr>
        <w:tc>
          <w:tcPr>
            <w:tcW w:w="2288" w:type="dxa"/>
            <w:tcBorders>
              <w:top w:val="nil"/>
              <w:left w:val="nil"/>
              <w:bottom w:val="nil"/>
              <w:right w:val="nil"/>
            </w:tcBorders>
          </w:tcPr>
          <w:p w14:paraId="45495B8E"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2A4A241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(0.177)</w:t>
            </w:r>
          </w:p>
        </w:tc>
        <w:tc>
          <w:tcPr>
            <w:tcW w:w="1620" w:type="dxa"/>
            <w:tcBorders>
              <w:top w:val="nil"/>
              <w:left w:val="nil"/>
              <w:bottom w:val="nil"/>
              <w:right w:val="nil"/>
            </w:tcBorders>
          </w:tcPr>
          <w:p w14:paraId="79564C9B"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(0.396)</w:t>
            </w:r>
          </w:p>
        </w:tc>
        <w:tc>
          <w:tcPr>
            <w:tcW w:w="1620" w:type="dxa"/>
            <w:tcBorders>
              <w:top w:val="nil"/>
              <w:left w:val="nil"/>
              <w:bottom w:val="nil"/>
              <w:right w:val="nil"/>
            </w:tcBorders>
          </w:tcPr>
          <w:p w14:paraId="7EC5CB7E"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51CA44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6D6E2E1"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6CCA963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2F1E34C" w14:textId="77777777" w:rsidR="00D55B20" w:rsidRPr="00683AB4" w:rsidRDefault="00D55B20" w:rsidP="00DF14B3">
            <w:pPr>
              <w:pStyle w:val="NoSpacing"/>
              <w:jc w:val="center"/>
              <w:rPr>
                <w:rFonts w:ascii="Times New Roman" w:hAnsi="Times New Roman" w:cs="Times New Roman"/>
                <w:sz w:val="22"/>
                <w:szCs w:val="22"/>
              </w:rPr>
            </w:pPr>
          </w:p>
        </w:tc>
      </w:tr>
      <w:tr w:rsidR="00D55B20" w14:paraId="19F620F4" w14:textId="77777777" w:rsidTr="00DF14B3">
        <w:trPr>
          <w:gridAfter w:val="1"/>
          <w:wAfter w:w="6" w:type="dxa"/>
          <w:trHeight w:val="290"/>
        </w:trPr>
        <w:tc>
          <w:tcPr>
            <w:tcW w:w="2288" w:type="dxa"/>
            <w:tcBorders>
              <w:top w:val="nil"/>
              <w:left w:val="nil"/>
              <w:bottom w:val="nil"/>
              <w:right w:val="nil"/>
            </w:tcBorders>
          </w:tcPr>
          <w:p w14:paraId="7B37CB92"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2689944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-0.057</w:t>
            </w:r>
          </w:p>
        </w:tc>
        <w:tc>
          <w:tcPr>
            <w:tcW w:w="1620" w:type="dxa"/>
            <w:tcBorders>
              <w:top w:val="nil"/>
              <w:left w:val="nil"/>
              <w:bottom w:val="nil"/>
              <w:right w:val="nil"/>
            </w:tcBorders>
          </w:tcPr>
          <w:p w14:paraId="070950F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-0.074</w:t>
            </w:r>
          </w:p>
        </w:tc>
        <w:tc>
          <w:tcPr>
            <w:tcW w:w="1620" w:type="dxa"/>
            <w:tcBorders>
              <w:top w:val="nil"/>
              <w:left w:val="nil"/>
              <w:bottom w:val="nil"/>
              <w:right w:val="nil"/>
            </w:tcBorders>
          </w:tcPr>
          <w:p w14:paraId="0B73D4E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-0.063</w:t>
            </w:r>
          </w:p>
        </w:tc>
        <w:tc>
          <w:tcPr>
            <w:tcW w:w="1620" w:type="dxa"/>
            <w:tcBorders>
              <w:top w:val="nil"/>
              <w:left w:val="nil"/>
              <w:bottom w:val="nil"/>
              <w:right w:val="nil"/>
            </w:tcBorders>
          </w:tcPr>
          <w:p w14:paraId="75BC1642"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4BAEC87A"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B4DDCBF"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51A387E" w14:textId="77777777" w:rsidR="00D55B20" w:rsidRPr="00683AB4" w:rsidRDefault="00D55B20" w:rsidP="00DF14B3">
            <w:pPr>
              <w:pStyle w:val="NoSpacing"/>
              <w:jc w:val="center"/>
              <w:rPr>
                <w:rFonts w:ascii="Times New Roman" w:hAnsi="Times New Roman" w:cs="Times New Roman"/>
                <w:sz w:val="22"/>
                <w:szCs w:val="22"/>
              </w:rPr>
            </w:pPr>
          </w:p>
        </w:tc>
      </w:tr>
      <w:tr w:rsidR="00D55B20" w14:paraId="683E4CF5" w14:textId="77777777" w:rsidTr="00DF14B3">
        <w:trPr>
          <w:gridAfter w:val="1"/>
          <w:wAfter w:w="6" w:type="dxa"/>
          <w:trHeight w:val="268"/>
        </w:trPr>
        <w:tc>
          <w:tcPr>
            <w:tcW w:w="2288" w:type="dxa"/>
            <w:tcBorders>
              <w:top w:val="nil"/>
              <w:left w:val="nil"/>
              <w:bottom w:val="nil"/>
              <w:right w:val="nil"/>
            </w:tcBorders>
          </w:tcPr>
          <w:p w14:paraId="125AE8B1"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449D7CAE"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(0.125)</w:t>
            </w:r>
          </w:p>
        </w:tc>
        <w:tc>
          <w:tcPr>
            <w:tcW w:w="1620" w:type="dxa"/>
            <w:tcBorders>
              <w:top w:val="nil"/>
              <w:left w:val="nil"/>
              <w:bottom w:val="nil"/>
              <w:right w:val="nil"/>
            </w:tcBorders>
          </w:tcPr>
          <w:p w14:paraId="68C509C2"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(0.047)</w:t>
            </w:r>
          </w:p>
        </w:tc>
        <w:tc>
          <w:tcPr>
            <w:tcW w:w="1620" w:type="dxa"/>
            <w:tcBorders>
              <w:top w:val="nil"/>
              <w:left w:val="nil"/>
              <w:bottom w:val="nil"/>
              <w:right w:val="nil"/>
            </w:tcBorders>
          </w:tcPr>
          <w:p w14:paraId="6A143C8D"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(0.094)</w:t>
            </w:r>
          </w:p>
        </w:tc>
        <w:tc>
          <w:tcPr>
            <w:tcW w:w="1620" w:type="dxa"/>
            <w:tcBorders>
              <w:top w:val="nil"/>
              <w:left w:val="nil"/>
              <w:bottom w:val="nil"/>
              <w:right w:val="nil"/>
            </w:tcBorders>
          </w:tcPr>
          <w:p w14:paraId="2563EEB3"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5C91E13"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F93789A"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7865A2E"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3699BB4" w14:textId="77777777" w:rsidTr="00DF14B3">
        <w:trPr>
          <w:gridAfter w:val="1"/>
          <w:wAfter w:w="6" w:type="dxa"/>
          <w:trHeight w:val="268"/>
        </w:trPr>
        <w:tc>
          <w:tcPr>
            <w:tcW w:w="2288" w:type="dxa"/>
            <w:tcBorders>
              <w:top w:val="nil"/>
              <w:left w:val="nil"/>
              <w:bottom w:val="nil"/>
              <w:right w:val="nil"/>
            </w:tcBorders>
          </w:tcPr>
          <w:p w14:paraId="391B4053"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657F8A84"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-0.039</w:t>
            </w:r>
          </w:p>
        </w:tc>
        <w:tc>
          <w:tcPr>
            <w:tcW w:w="1620" w:type="dxa"/>
            <w:tcBorders>
              <w:top w:val="nil"/>
              <w:left w:val="nil"/>
              <w:bottom w:val="nil"/>
              <w:right w:val="nil"/>
            </w:tcBorders>
          </w:tcPr>
          <w:p w14:paraId="68F1C60A"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0.010</w:t>
            </w:r>
          </w:p>
        </w:tc>
        <w:tc>
          <w:tcPr>
            <w:tcW w:w="1620" w:type="dxa"/>
            <w:tcBorders>
              <w:top w:val="nil"/>
              <w:left w:val="nil"/>
              <w:bottom w:val="nil"/>
              <w:right w:val="nil"/>
            </w:tcBorders>
          </w:tcPr>
          <w:p w14:paraId="1E47508A"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0.033</w:t>
            </w:r>
          </w:p>
        </w:tc>
        <w:tc>
          <w:tcPr>
            <w:tcW w:w="1620" w:type="dxa"/>
            <w:tcBorders>
              <w:top w:val="nil"/>
              <w:left w:val="nil"/>
              <w:bottom w:val="nil"/>
              <w:right w:val="nil"/>
            </w:tcBorders>
          </w:tcPr>
          <w:p w14:paraId="30E98EFB"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0.095</w:t>
            </w:r>
          </w:p>
        </w:tc>
        <w:tc>
          <w:tcPr>
            <w:tcW w:w="1620" w:type="dxa"/>
            <w:tcBorders>
              <w:top w:val="nil"/>
              <w:left w:val="nil"/>
              <w:bottom w:val="nil"/>
              <w:right w:val="nil"/>
            </w:tcBorders>
          </w:tcPr>
          <w:p w14:paraId="0B1F0CA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41351180"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BED2322" w14:textId="77777777" w:rsidR="00D55B20" w:rsidRPr="00683AB4" w:rsidRDefault="00D55B20" w:rsidP="00DF14B3">
            <w:pPr>
              <w:pStyle w:val="NoSpacing"/>
              <w:jc w:val="center"/>
              <w:rPr>
                <w:rFonts w:ascii="Times New Roman" w:hAnsi="Times New Roman" w:cs="Times New Roman"/>
                <w:sz w:val="22"/>
                <w:szCs w:val="22"/>
              </w:rPr>
            </w:pPr>
          </w:p>
        </w:tc>
      </w:tr>
      <w:tr w:rsidR="00D55B20" w14:paraId="317A5B08" w14:textId="77777777" w:rsidTr="00DF14B3">
        <w:trPr>
          <w:gridAfter w:val="1"/>
          <w:wAfter w:w="6" w:type="dxa"/>
          <w:trHeight w:val="290"/>
        </w:trPr>
        <w:tc>
          <w:tcPr>
            <w:tcW w:w="2288" w:type="dxa"/>
            <w:tcBorders>
              <w:top w:val="nil"/>
              <w:left w:val="nil"/>
              <w:bottom w:val="nil"/>
              <w:right w:val="nil"/>
            </w:tcBorders>
          </w:tcPr>
          <w:p w14:paraId="458725C0"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6CC01D06"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(0.301)</w:t>
            </w:r>
          </w:p>
        </w:tc>
        <w:tc>
          <w:tcPr>
            <w:tcW w:w="1620" w:type="dxa"/>
            <w:tcBorders>
              <w:top w:val="nil"/>
              <w:left w:val="nil"/>
              <w:bottom w:val="nil"/>
              <w:right w:val="nil"/>
            </w:tcBorders>
          </w:tcPr>
          <w:p w14:paraId="21266D1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(0.787)</w:t>
            </w:r>
          </w:p>
        </w:tc>
        <w:tc>
          <w:tcPr>
            <w:tcW w:w="1620" w:type="dxa"/>
            <w:tcBorders>
              <w:top w:val="nil"/>
              <w:left w:val="nil"/>
              <w:bottom w:val="nil"/>
              <w:right w:val="nil"/>
            </w:tcBorders>
          </w:tcPr>
          <w:p w14:paraId="5A32B84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(0.375)</w:t>
            </w:r>
          </w:p>
        </w:tc>
        <w:tc>
          <w:tcPr>
            <w:tcW w:w="1620" w:type="dxa"/>
            <w:tcBorders>
              <w:top w:val="nil"/>
              <w:left w:val="nil"/>
              <w:bottom w:val="nil"/>
              <w:right w:val="nil"/>
            </w:tcBorders>
          </w:tcPr>
          <w:p w14:paraId="66D4883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(0.011)</w:t>
            </w:r>
          </w:p>
        </w:tc>
        <w:tc>
          <w:tcPr>
            <w:tcW w:w="1620" w:type="dxa"/>
            <w:tcBorders>
              <w:top w:val="nil"/>
              <w:left w:val="nil"/>
              <w:bottom w:val="nil"/>
              <w:right w:val="nil"/>
            </w:tcBorders>
          </w:tcPr>
          <w:p w14:paraId="027A423C"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74B9745"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9F6F0A3" w14:textId="77777777" w:rsidR="00D55B20" w:rsidRPr="00683AB4" w:rsidRDefault="00D55B20" w:rsidP="00DF14B3">
            <w:pPr>
              <w:pStyle w:val="NoSpacing"/>
              <w:jc w:val="center"/>
              <w:rPr>
                <w:rFonts w:ascii="Times New Roman" w:hAnsi="Times New Roman" w:cs="Times New Roman"/>
                <w:sz w:val="22"/>
                <w:szCs w:val="22"/>
              </w:rPr>
            </w:pPr>
          </w:p>
        </w:tc>
      </w:tr>
      <w:tr w:rsidR="00D55B20" w14:paraId="3738E414" w14:textId="77777777" w:rsidTr="00DF14B3">
        <w:trPr>
          <w:gridAfter w:val="1"/>
          <w:wAfter w:w="6" w:type="dxa"/>
          <w:trHeight w:val="268"/>
        </w:trPr>
        <w:tc>
          <w:tcPr>
            <w:tcW w:w="2288" w:type="dxa"/>
            <w:tcBorders>
              <w:top w:val="nil"/>
              <w:left w:val="nil"/>
              <w:bottom w:val="nil"/>
              <w:right w:val="nil"/>
            </w:tcBorders>
          </w:tcPr>
          <w:p w14:paraId="3E031620"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(6) </w:t>
            </w: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1774A9C3"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0.216</w:t>
            </w:r>
          </w:p>
        </w:tc>
        <w:tc>
          <w:tcPr>
            <w:tcW w:w="1620" w:type="dxa"/>
            <w:tcBorders>
              <w:top w:val="nil"/>
              <w:left w:val="nil"/>
              <w:bottom w:val="nil"/>
              <w:right w:val="nil"/>
            </w:tcBorders>
          </w:tcPr>
          <w:p w14:paraId="71A15309"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0.210</w:t>
            </w:r>
          </w:p>
        </w:tc>
        <w:tc>
          <w:tcPr>
            <w:tcW w:w="1620" w:type="dxa"/>
            <w:tcBorders>
              <w:top w:val="nil"/>
              <w:left w:val="nil"/>
              <w:bottom w:val="nil"/>
              <w:right w:val="nil"/>
            </w:tcBorders>
          </w:tcPr>
          <w:p w14:paraId="54FB7F1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-0.008</w:t>
            </w:r>
          </w:p>
        </w:tc>
        <w:tc>
          <w:tcPr>
            <w:tcW w:w="1620" w:type="dxa"/>
            <w:tcBorders>
              <w:top w:val="nil"/>
              <w:left w:val="nil"/>
              <w:bottom w:val="nil"/>
              <w:right w:val="nil"/>
            </w:tcBorders>
          </w:tcPr>
          <w:p w14:paraId="4F48B60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-0.023</w:t>
            </w:r>
          </w:p>
        </w:tc>
        <w:tc>
          <w:tcPr>
            <w:tcW w:w="1620" w:type="dxa"/>
            <w:tcBorders>
              <w:top w:val="nil"/>
              <w:left w:val="nil"/>
              <w:bottom w:val="nil"/>
              <w:right w:val="nil"/>
            </w:tcBorders>
          </w:tcPr>
          <w:p w14:paraId="337C2EB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0.058</w:t>
            </w:r>
          </w:p>
        </w:tc>
        <w:tc>
          <w:tcPr>
            <w:tcW w:w="1620" w:type="dxa"/>
            <w:tcBorders>
              <w:top w:val="nil"/>
              <w:left w:val="nil"/>
              <w:bottom w:val="nil"/>
              <w:right w:val="nil"/>
            </w:tcBorders>
          </w:tcPr>
          <w:p w14:paraId="3E190C34"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61F60C0B"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F2D6FD5" w14:textId="77777777" w:rsidTr="00DF14B3">
        <w:trPr>
          <w:gridAfter w:val="1"/>
          <w:wAfter w:w="6" w:type="dxa"/>
          <w:trHeight w:val="268"/>
        </w:trPr>
        <w:tc>
          <w:tcPr>
            <w:tcW w:w="2288" w:type="dxa"/>
            <w:tcBorders>
              <w:top w:val="nil"/>
              <w:left w:val="nil"/>
              <w:bottom w:val="nil"/>
              <w:right w:val="nil"/>
            </w:tcBorders>
          </w:tcPr>
          <w:p w14:paraId="1C92A431"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40B1A5D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7A352D1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650F6CF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(0.826)</w:t>
            </w:r>
          </w:p>
        </w:tc>
        <w:tc>
          <w:tcPr>
            <w:tcW w:w="1620" w:type="dxa"/>
            <w:tcBorders>
              <w:top w:val="nil"/>
              <w:left w:val="nil"/>
              <w:bottom w:val="nil"/>
              <w:right w:val="nil"/>
            </w:tcBorders>
          </w:tcPr>
          <w:p w14:paraId="1BD561E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(0.543)</w:t>
            </w:r>
          </w:p>
        </w:tc>
        <w:tc>
          <w:tcPr>
            <w:tcW w:w="1620" w:type="dxa"/>
            <w:tcBorders>
              <w:top w:val="nil"/>
              <w:left w:val="nil"/>
              <w:bottom w:val="nil"/>
              <w:right w:val="nil"/>
            </w:tcBorders>
          </w:tcPr>
          <w:p w14:paraId="6419D10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(0.117)</w:t>
            </w:r>
          </w:p>
        </w:tc>
        <w:tc>
          <w:tcPr>
            <w:tcW w:w="1620" w:type="dxa"/>
            <w:tcBorders>
              <w:top w:val="nil"/>
              <w:left w:val="nil"/>
              <w:bottom w:val="nil"/>
              <w:right w:val="nil"/>
            </w:tcBorders>
          </w:tcPr>
          <w:p w14:paraId="4D73F764"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4E6A3F9" w14:textId="77777777" w:rsidR="00D55B20" w:rsidRPr="00683AB4" w:rsidRDefault="00D55B20" w:rsidP="00DF14B3">
            <w:pPr>
              <w:pStyle w:val="NoSpacing"/>
              <w:jc w:val="center"/>
              <w:rPr>
                <w:rFonts w:ascii="Times New Roman" w:hAnsi="Times New Roman" w:cs="Times New Roman"/>
                <w:sz w:val="22"/>
                <w:szCs w:val="22"/>
              </w:rPr>
            </w:pPr>
          </w:p>
        </w:tc>
      </w:tr>
      <w:tr w:rsidR="00D55B20" w14:paraId="248A2104" w14:textId="77777777" w:rsidTr="00DF14B3">
        <w:trPr>
          <w:gridAfter w:val="1"/>
          <w:wAfter w:w="6" w:type="dxa"/>
          <w:trHeight w:val="290"/>
        </w:trPr>
        <w:tc>
          <w:tcPr>
            <w:tcW w:w="2288" w:type="dxa"/>
            <w:tcBorders>
              <w:top w:val="nil"/>
              <w:left w:val="nil"/>
              <w:bottom w:val="nil"/>
              <w:right w:val="nil"/>
            </w:tcBorders>
          </w:tcPr>
          <w:p w14:paraId="1D281945"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265E2C3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0.500</w:t>
            </w:r>
          </w:p>
        </w:tc>
        <w:tc>
          <w:tcPr>
            <w:tcW w:w="1620" w:type="dxa"/>
            <w:tcBorders>
              <w:top w:val="nil"/>
              <w:left w:val="nil"/>
              <w:bottom w:val="nil"/>
              <w:right w:val="nil"/>
            </w:tcBorders>
          </w:tcPr>
          <w:p w14:paraId="05D2B35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0.411</w:t>
            </w:r>
          </w:p>
        </w:tc>
        <w:tc>
          <w:tcPr>
            <w:tcW w:w="1620" w:type="dxa"/>
            <w:tcBorders>
              <w:top w:val="nil"/>
              <w:left w:val="nil"/>
              <w:bottom w:val="nil"/>
              <w:right w:val="nil"/>
            </w:tcBorders>
          </w:tcPr>
          <w:p w14:paraId="7F35D78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0.004</w:t>
            </w:r>
          </w:p>
        </w:tc>
        <w:tc>
          <w:tcPr>
            <w:tcW w:w="1620" w:type="dxa"/>
            <w:tcBorders>
              <w:top w:val="nil"/>
              <w:left w:val="nil"/>
              <w:bottom w:val="nil"/>
              <w:right w:val="nil"/>
            </w:tcBorders>
          </w:tcPr>
          <w:p w14:paraId="4F9A639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0.013</w:t>
            </w:r>
          </w:p>
        </w:tc>
        <w:tc>
          <w:tcPr>
            <w:tcW w:w="1620" w:type="dxa"/>
            <w:tcBorders>
              <w:top w:val="nil"/>
              <w:left w:val="nil"/>
              <w:bottom w:val="nil"/>
              <w:right w:val="nil"/>
            </w:tcBorders>
          </w:tcPr>
          <w:p w14:paraId="70EB299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-0.120</w:t>
            </w:r>
          </w:p>
        </w:tc>
        <w:tc>
          <w:tcPr>
            <w:tcW w:w="1620" w:type="dxa"/>
            <w:tcBorders>
              <w:top w:val="nil"/>
              <w:left w:val="nil"/>
              <w:bottom w:val="nil"/>
              <w:right w:val="nil"/>
            </w:tcBorders>
          </w:tcPr>
          <w:p w14:paraId="08A847C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0.192</w:t>
            </w:r>
          </w:p>
        </w:tc>
        <w:tc>
          <w:tcPr>
            <w:tcW w:w="1620" w:type="dxa"/>
            <w:tcBorders>
              <w:top w:val="nil"/>
              <w:left w:val="nil"/>
              <w:bottom w:val="nil"/>
              <w:right w:val="nil"/>
            </w:tcBorders>
          </w:tcPr>
          <w:p w14:paraId="3AD550D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r>
      <w:tr w:rsidR="00D55B20" w14:paraId="2001BDA9" w14:textId="77777777" w:rsidTr="00DF14B3">
        <w:trPr>
          <w:gridAfter w:val="1"/>
          <w:wAfter w:w="6" w:type="dxa"/>
          <w:trHeight w:val="268"/>
        </w:trPr>
        <w:tc>
          <w:tcPr>
            <w:tcW w:w="2288" w:type="dxa"/>
            <w:tcBorders>
              <w:top w:val="nil"/>
              <w:left w:val="nil"/>
              <w:bottom w:val="nil"/>
              <w:right w:val="nil"/>
            </w:tcBorders>
          </w:tcPr>
          <w:p w14:paraId="62216E0B"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378782C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64B1AE0A"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0F6E9EF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(0.913)</w:t>
            </w:r>
          </w:p>
        </w:tc>
        <w:tc>
          <w:tcPr>
            <w:tcW w:w="1620" w:type="dxa"/>
            <w:tcBorders>
              <w:top w:val="nil"/>
              <w:left w:val="nil"/>
              <w:bottom w:val="nil"/>
              <w:right w:val="nil"/>
            </w:tcBorders>
          </w:tcPr>
          <w:p w14:paraId="21D5EBD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(0.734)</w:t>
            </w:r>
          </w:p>
        </w:tc>
        <w:tc>
          <w:tcPr>
            <w:tcW w:w="1620" w:type="dxa"/>
            <w:tcBorders>
              <w:top w:val="nil"/>
              <w:left w:val="nil"/>
              <w:bottom w:val="nil"/>
              <w:right w:val="nil"/>
            </w:tcBorders>
          </w:tcPr>
          <w:p w14:paraId="26C6273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(0.001)</w:t>
            </w:r>
          </w:p>
        </w:tc>
        <w:tc>
          <w:tcPr>
            <w:tcW w:w="1620" w:type="dxa"/>
            <w:tcBorders>
              <w:top w:val="nil"/>
              <w:left w:val="nil"/>
              <w:bottom w:val="nil"/>
              <w:right w:val="nil"/>
            </w:tcBorders>
          </w:tcPr>
          <w:p w14:paraId="1ADC6AF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14FF44DE" w14:textId="77777777" w:rsidR="00D55B20" w:rsidRPr="00683AB4" w:rsidRDefault="00D55B20" w:rsidP="00DF14B3">
            <w:pPr>
              <w:pStyle w:val="NoSpacing"/>
              <w:jc w:val="center"/>
              <w:rPr>
                <w:rFonts w:ascii="Times New Roman" w:hAnsi="Times New Roman" w:cs="Times New Roman"/>
                <w:sz w:val="22"/>
                <w:szCs w:val="22"/>
              </w:rPr>
            </w:pPr>
          </w:p>
        </w:tc>
      </w:tr>
      <w:tr w:rsidR="00D55B20" w14:paraId="26CFE7C0" w14:textId="77777777" w:rsidTr="00DF14B3">
        <w:trPr>
          <w:trHeight w:val="268"/>
        </w:trPr>
        <w:tc>
          <w:tcPr>
            <w:tcW w:w="13634" w:type="dxa"/>
            <w:gridSpan w:val="9"/>
            <w:tcBorders>
              <w:top w:val="single" w:sz="6" w:space="0" w:color="auto"/>
              <w:left w:val="nil"/>
              <w:bottom w:val="nil"/>
              <w:right w:val="nil"/>
            </w:tcBorders>
          </w:tcPr>
          <w:p w14:paraId="7DD5BB08" w14:textId="77777777" w:rsidR="00D55B20" w:rsidRDefault="00D55B20" w:rsidP="00DF14B3">
            <w:pPr>
              <w:widowControl w:val="0"/>
              <w:autoSpaceDE w:val="0"/>
              <w:autoSpaceDN w:val="0"/>
              <w:adjustRightInd w:val="0"/>
              <w:spacing w:after="0" w:line="240" w:lineRule="auto"/>
              <w:rPr>
                <w:rFonts w:ascii="Times New Roman" w:eastAsiaTheme="minorEastAsia" w:hAnsi="Times New Roman" w:cs="Times New Roman"/>
                <w:kern w:val="0"/>
                <w:sz w:val="20"/>
                <w:szCs w:val="20"/>
              </w:rPr>
            </w:pPr>
            <w:r>
              <w:rPr>
                <w:rFonts w:ascii="Times New Roman" w:eastAsiaTheme="minorEastAsia" w:hAnsi="Times New Roman" w:cs="Times New Roman"/>
                <w:b/>
                <w:bCs/>
                <w:kern w:val="0"/>
                <w:sz w:val="20"/>
                <w:szCs w:val="20"/>
              </w:rPr>
              <w:t>Note</w:t>
            </w:r>
            <w:r>
              <w:rPr>
                <w:rFonts w:ascii="Times New Roman" w:eastAsiaTheme="minorEastAsia" w:hAnsi="Times New Roman" w:cs="Times New Roman"/>
                <w:kern w:val="0"/>
                <w:sz w:val="20"/>
                <w:szCs w:val="20"/>
              </w:rPr>
              <w:t>: P-value of correlation coefficients in parenthesis (…)</w:t>
            </w:r>
          </w:p>
          <w:p w14:paraId="0B751C6B" w14:textId="77777777" w:rsidR="00D55B20" w:rsidRDefault="00D55B20" w:rsidP="00DF14B3">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sz w:val="20"/>
                <w:szCs w:val="20"/>
              </w:rPr>
              <w:t>Source</w:t>
            </w:r>
            <w:r>
              <w:rPr>
                <w:rFonts w:ascii="Times New Roman" w:hAnsi="Times New Roman" w:cs="Times New Roman"/>
                <w:sz w:val="20"/>
                <w:szCs w:val="20"/>
              </w:rPr>
              <w:t>: Author’s computation, 2026</w:t>
            </w:r>
          </w:p>
        </w:tc>
      </w:tr>
    </w:tbl>
    <w:p w14:paraId="10FA710B" w14:textId="77777777" w:rsidR="00D55B20" w:rsidRPr="00B85BCF" w:rsidRDefault="00D55B20" w:rsidP="00D55B20">
      <w:pPr>
        <w:rPr>
          <w:rFonts w:ascii="Times New Roman" w:hAnsi="Times New Roman" w:cs="Times New Roman"/>
        </w:rPr>
        <w:sectPr w:rsidR="00D55B20" w:rsidRPr="00B85BCF" w:rsidSect="00D55B20">
          <w:pgSz w:w="15840" w:h="12240" w:orient="landscape"/>
          <w:pgMar w:top="1440" w:right="1440" w:bottom="1440" w:left="1440" w:header="720" w:footer="720" w:gutter="0"/>
          <w:cols w:space="720"/>
          <w:docGrid w:linePitch="360"/>
        </w:sectPr>
      </w:pPr>
    </w:p>
    <w:p w14:paraId="1612426B" w14:textId="042DE5AD" w:rsidR="00967389" w:rsidRDefault="00967389" w:rsidP="00967389">
      <w:pPr>
        <w:spacing w:line="360" w:lineRule="auto"/>
        <w:jc w:val="both"/>
        <w:rPr>
          <w:rFonts w:ascii="Times New Roman" w:hAnsi="Times New Roman" w:cs="Times New Roman"/>
        </w:rPr>
      </w:pPr>
      <w:r>
        <w:rPr>
          <w:rFonts w:ascii="Times New Roman" w:hAnsi="Times New Roman" w:cs="Times New Roman"/>
        </w:rPr>
        <w:lastRenderedPageBreak/>
        <w:t xml:space="preserve">The cross-sectional dependence tests by </w:t>
      </w:r>
      <w:proofErr w:type="spellStart"/>
      <w:r>
        <w:rPr>
          <w:rFonts w:ascii="Times New Roman" w:hAnsi="Times New Roman" w:cs="Times New Roman"/>
        </w:rPr>
        <w:t>Pesaran</w:t>
      </w:r>
      <w:proofErr w:type="spellEnd"/>
      <w:r>
        <w:rPr>
          <w:rFonts w:ascii="Times New Roman" w:hAnsi="Times New Roman" w:cs="Times New Roman"/>
        </w:rPr>
        <w:t xml:space="preserve"> (2015, 2021) and Fan et al. (2015) in Table 3 reveal significant cross-sectional dependence, rejecting the null hypothesis at the 1% significance level for </w:t>
      </w:r>
      <w:r w:rsidR="00587187">
        <w:rPr>
          <w:rFonts w:ascii="Times New Roman" w:hAnsi="Times New Roman" w:cs="Times New Roman"/>
        </w:rPr>
        <w:t xml:space="preserve">majority of the </w:t>
      </w:r>
      <w:r>
        <w:rPr>
          <w:rFonts w:ascii="Times New Roman" w:hAnsi="Times New Roman" w:cs="Times New Roman"/>
        </w:rPr>
        <w:t>variables</w:t>
      </w:r>
      <w:r w:rsidR="00587187">
        <w:rPr>
          <w:rFonts w:ascii="Times New Roman" w:hAnsi="Times New Roman" w:cs="Times New Roman"/>
        </w:rPr>
        <w:t>, in exception of net migration</w:t>
      </w:r>
      <w:r>
        <w:rPr>
          <w:rFonts w:ascii="Times New Roman" w:hAnsi="Times New Roman" w:cs="Times New Roman"/>
        </w:rPr>
        <w:t xml:space="preserve">. This led to the use of second-generation panel unit root tests. </w:t>
      </w:r>
    </w:p>
    <w:p w14:paraId="72CF60A0" w14:textId="66B3C5F0" w:rsidR="00D55B20" w:rsidRPr="00B3081E" w:rsidRDefault="00D55B20" w:rsidP="00D55B2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Table 3:</w:t>
      </w:r>
      <w:r>
        <w:rPr>
          <w:rFonts w:ascii="Times New Roman" w:hAnsi="Times New Roman" w:cs="Times New Roman"/>
          <w:b/>
          <w:bCs/>
        </w:rPr>
        <w:t xml:space="preserve"> </w:t>
      </w:r>
      <w:r>
        <w:rPr>
          <w:rFonts w:ascii="Times New Roman" w:hAnsi="Times New Roman" w:cs="Times New Roman"/>
        </w:rPr>
        <w:t>Results of panel cross-sectional dependence test for variables selected in various estimator to examine the impact of remittances on economic well-being in SSA</w:t>
      </w:r>
    </w:p>
    <w:tbl>
      <w:tblPr>
        <w:tblW w:w="9540" w:type="dxa"/>
        <w:tblLayout w:type="fixed"/>
        <w:tblLook w:val="0000" w:firstRow="0" w:lastRow="0" w:firstColumn="0" w:lastColumn="0" w:noHBand="0" w:noVBand="0"/>
      </w:tblPr>
      <w:tblGrid>
        <w:gridCol w:w="1800"/>
        <w:gridCol w:w="1800"/>
        <w:gridCol w:w="1080"/>
        <w:gridCol w:w="270"/>
        <w:gridCol w:w="1620"/>
        <w:gridCol w:w="990"/>
        <w:gridCol w:w="270"/>
        <w:gridCol w:w="1710"/>
      </w:tblGrid>
      <w:tr w:rsidR="00D55B20" w:rsidRPr="003B6238" w14:paraId="2835E8AD" w14:textId="77777777" w:rsidTr="00DF14B3">
        <w:trPr>
          <w:trHeight w:val="359"/>
        </w:trPr>
        <w:tc>
          <w:tcPr>
            <w:tcW w:w="1800" w:type="dxa"/>
            <w:vMerge w:val="restart"/>
            <w:tcBorders>
              <w:top w:val="single" w:sz="4" w:space="0" w:color="auto"/>
              <w:left w:val="nil"/>
              <w:right w:val="nil"/>
            </w:tcBorders>
          </w:tcPr>
          <w:p w14:paraId="18BACBB8"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p w14:paraId="51261368"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r>
              <w:rPr>
                <w:rFonts w:ascii="Times New Roman" w:hAnsi="Times New Roman" w:cs="Times New Roman"/>
              </w:rPr>
              <w:t>Variables</w:t>
            </w:r>
          </w:p>
        </w:tc>
        <w:tc>
          <w:tcPr>
            <w:tcW w:w="2880" w:type="dxa"/>
            <w:gridSpan w:val="2"/>
            <w:tcBorders>
              <w:top w:val="single" w:sz="4" w:space="0" w:color="auto"/>
              <w:left w:val="nil"/>
              <w:bottom w:val="single" w:sz="6" w:space="0" w:color="auto"/>
              <w:right w:val="nil"/>
            </w:tcBorders>
          </w:tcPr>
          <w:p w14:paraId="3CC35426"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roofErr w:type="spellStart"/>
            <w:r>
              <w:rPr>
                <w:rFonts w:ascii="Times New Roman" w:hAnsi="Times New Roman"/>
              </w:rPr>
              <w:t>Pesaran</w:t>
            </w:r>
            <w:proofErr w:type="spellEnd"/>
            <w:r>
              <w:rPr>
                <w:rFonts w:ascii="Times New Roman" w:hAnsi="Times New Roman"/>
              </w:rPr>
              <w:t xml:space="preserve"> (2015, 2021) CD  </w:t>
            </w:r>
          </w:p>
        </w:tc>
        <w:tc>
          <w:tcPr>
            <w:tcW w:w="270" w:type="dxa"/>
            <w:tcBorders>
              <w:top w:val="single" w:sz="4" w:space="0" w:color="auto"/>
              <w:left w:val="nil"/>
              <w:right w:val="nil"/>
            </w:tcBorders>
          </w:tcPr>
          <w:p w14:paraId="2C8007B4"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2610" w:type="dxa"/>
            <w:gridSpan w:val="2"/>
            <w:tcBorders>
              <w:top w:val="single" w:sz="4" w:space="0" w:color="auto"/>
              <w:left w:val="nil"/>
              <w:bottom w:val="single" w:sz="6" w:space="0" w:color="auto"/>
              <w:right w:val="nil"/>
            </w:tcBorders>
          </w:tcPr>
          <w:p w14:paraId="46B44C52"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i/>
                <w:iCs/>
              </w:rPr>
            </w:pPr>
            <w:r>
              <w:rPr>
                <w:rFonts w:ascii="Times New Roman" w:hAnsi="Times New Roman"/>
              </w:rPr>
              <w:t xml:space="preserve">Fan et. al. (2015) </w:t>
            </w:r>
            <w:proofErr w:type="spellStart"/>
            <w:r>
              <w:rPr>
                <w:rFonts w:ascii="Times New Roman" w:hAnsi="Times New Roman"/>
              </w:rPr>
              <w:t>CDw</w:t>
            </w:r>
            <w:proofErr w:type="spellEnd"/>
            <w:r>
              <w:rPr>
                <w:rFonts w:ascii="Times New Roman" w:hAnsi="Times New Roman"/>
              </w:rPr>
              <w:t>+</w:t>
            </w:r>
          </w:p>
        </w:tc>
        <w:tc>
          <w:tcPr>
            <w:tcW w:w="270" w:type="dxa"/>
            <w:tcBorders>
              <w:top w:val="single" w:sz="4" w:space="0" w:color="auto"/>
              <w:left w:val="nil"/>
              <w:right w:val="nil"/>
            </w:tcBorders>
          </w:tcPr>
          <w:p w14:paraId="0DE0CE05"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p>
        </w:tc>
        <w:tc>
          <w:tcPr>
            <w:tcW w:w="1710" w:type="dxa"/>
            <w:vMerge w:val="restart"/>
            <w:tcBorders>
              <w:top w:val="single" w:sz="4" w:space="0" w:color="auto"/>
              <w:left w:val="nil"/>
              <w:right w:val="nil"/>
            </w:tcBorders>
          </w:tcPr>
          <w:p w14:paraId="044C3C55" w14:textId="77777777" w:rsidR="00D55B20" w:rsidRDefault="00D55B20" w:rsidP="00DF14B3">
            <w:pPr>
              <w:widowControl w:val="0"/>
              <w:autoSpaceDE w:val="0"/>
              <w:autoSpaceDN w:val="0"/>
              <w:adjustRightInd w:val="0"/>
              <w:spacing w:after="0" w:line="276" w:lineRule="auto"/>
              <w:jc w:val="center"/>
              <w:rPr>
                <w:rFonts w:ascii="Times New Roman" w:hAnsi="Times New Roman"/>
              </w:rPr>
            </w:pPr>
          </w:p>
          <w:p w14:paraId="7BB34A4A"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r>
              <w:rPr>
                <w:rFonts w:ascii="Times New Roman" w:hAnsi="Times New Roman"/>
              </w:rPr>
              <w:t>Decision</w:t>
            </w:r>
          </w:p>
        </w:tc>
      </w:tr>
      <w:tr w:rsidR="00D55B20" w:rsidRPr="003B6238" w14:paraId="19C8184E" w14:textId="77777777" w:rsidTr="00DF14B3">
        <w:trPr>
          <w:trHeight w:val="359"/>
        </w:trPr>
        <w:tc>
          <w:tcPr>
            <w:tcW w:w="1800" w:type="dxa"/>
            <w:vMerge/>
            <w:tcBorders>
              <w:left w:val="nil"/>
              <w:bottom w:val="single" w:sz="6" w:space="0" w:color="auto"/>
              <w:right w:val="nil"/>
            </w:tcBorders>
          </w:tcPr>
          <w:p w14:paraId="372C0EFD"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tc>
        <w:tc>
          <w:tcPr>
            <w:tcW w:w="1800" w:type="dxa"/>
            <w:tcBorders>
              <w:top w:val="single" w:sz="4" w:space="0" w:color="auto"/>
              <w:left w:val="nil"/>
              <w:bottom w:val="single" w:sz="6" w:space="0" w:color="auto"/>
              <w:right w:val="nil"/>
            </w:tcBorders>
          </w:tcPr>
          <w:p w14:paraId="3047C718"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Statistics</w:t>
            </w:r>
          </w:p>
        </w:tc>
        <w:tc>
          <w:tcPr>
            <w:tcW w:w="1080" w:type="dxa"/>
            <w:tcBorders>
              <w:top w:val="single" w:sz="4" w:space="0" w:color="auto"/>
              <w:left w:val="nil"/>
              <w:bottom w:val="single" w:sz="6" w:space="0" w:color="auto"/>
              <w:right w:val="nil"/>
            </w:tcBorders>
          </w:tcPr>
          <w:p w14:paraId="4CADACA0"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P-value</w:t>
            </w:r>
          </w:p>
        </w:tc>
        <w:tc>
          <w:tcPr>
            <w:tcW w:w="270" w:type="dxa"/>
            <w:tcBorders>
              <w:left w:val="nil"/>
              <w:right w:val="nil"/>
            </w:tcBorders>
          </w:tcPr>
          <w:p w14:paraId="3DC445D9"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1620" w:type="dxa"/>
            <w:tcBorders>
              <w:top w:val="single" w:sz="4" w:space="0" w:color="auto"/>
              <w:left w:val="nil"/>
              <w:bottom w:val="single" w:sz="6" w:space="0" w:color="auto"/>
              <w:right w:val="nil"/>
            </w:tcBorders>
          </w:tcPr>
          <w:p w14:paraId="2DB879DD"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Statistics</w:t>
            </w:r>
          </w:p>
        </w:tc>
        <w:tc>
          <w:tcPr>
            <w:tcW w:w="990" w:type="dxa"/>
            <w:tcBorders>
              <w:top w:val="single" w:sz="4" w:space="0" w:color="auto"/>
              <w:left w:val="nil"/>
              <w:bottom w:val="single" w:sz="6" w:space="0" w:color="auto"/>
              <w:right w:val="nil"/>
            </w:tcBorders>
          </w:tcPr>
          <w:p w14:paraId="1927D992"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i/>
                <w:iCs/>
              </w:rPr>
            </w:pPr>
            <w:r>
              <w:rPr>
                <w:rFonts w:ascii="Times New Roman" w:hAnsi="Times New Roman"/>
              </w:rPr>
              <w:t>P-value</w:t>
            </w:r>
          </w:p>
        </w:tc>
        <w:tc>
          <w:tcPr>
            <w:tcW w:w="270" w:type="dxa"/>
            <w:tcBorders>
              <w:left w:val="nil"/>
              <w:right w:val="nil"/>
            </w:tcBorders>
          </w:tcPr>
          <w:p w14:paraId="28D2780D"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p>
        </w:tc>
        <w:tc>
          <w:tcPr>
            <w:tcW w:w="1710" w:type="dxa"/>
            <w:vMerge/>
            <w:tcBorders>
              <w:left w:val="nil"/>
              <w:bottom w:val="single" w:sz="6" w:space="0" w:color="auto"/>
              <w:right w:val="nil"/>
            </w:tcBorders>
          </w:tcPr>
          <w:p w14:paraId="2D54658A"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p>
        </w:tc>
      </w:tr>
      <w:tr w:rsidR="00D55B20" w:rsidRPr="003B6238" w14:paraId="32D0BEFB" w14:textId="77777777" w:rsidTr="00DF14B3">
        <w:trPr>
          <w:trHeight w:val="359"/>
        </w:trPr>
        <w:tc>
          <w:tcPr>
            <w:tcW w:w="1800" w:type="dxa"/>
            <w:tcBorders>
              <w:top w:val="nil"/>
              <w:left w:val="nil"/>
              <w:bottom w:val="nil"/>
              <w:right w:val="nil"/>
            </w:tcBorders>
          </w:tcPr>
          <w:p w14:paraId="2C593284"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74F3C50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45.35***</w:t>
            </w:r>
          </w:p>
        </w:tc>
        <w:tc>
          <w:tcPr>
            <w:tcW w:w="1080" w:type="dxa"/>
            <w:tcBorders>
              <w:top w:val="nil"/>
              <w:left w:val="nil"/>
              <w:bottom w:val="nil"/>
              <w:right w:val="nil"/>
            </w:tcBorders>
          </w:tcPr>
          <w:p w14:paraId="46DB480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left w:val="nil"/>
              <w:bottom w:val="nil"/>
              <w:right w:val="nil"/>
            </w:tcBorders>
          </w:tcPr>
          <w:p w14:paraId="6568341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69A39C5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1483.38***</w:t>
            </w:r>
          </w:p>
        </w:tc>
        <w:tc>
          <w:tcPr>
            <w:tcW w:w="990" w:type="dxa"/>
            <w:tcBorders>
              <w:top w:val="nil"/>
              <w:left w:val="nil"/>
              <w:bottom w:val="nil"/>
              <w:right w:val="nil"/>
            </w:tcBorders>
          </w:tcPr>
          <w:p w14:paraId="44B0A53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left w:val="nil"/>
              <w:bottom w:val="nil"/>
              <w:right w:val="nil"/>
            </w:tcBorders>
          </w:tcPr>
          <w:p w14:paraId="47BF2E5C"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0C62512C"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26D2F3A8" w14:textId="77777777" w:rsidTr="00DF14B3">
        <w:trPr>
          <w:trHeight w:val="359"/>
        </w:trPr>
        <w:tc>
          <w:tcPr>
            <w:tcW w:w="1800" w:type="dxa"/>
            <w:tcBorders>
              <w:top w:val="nil"/>
              <w:left w:val="nil"/>
              <w:bottom w:val="nil"/>
              <w:right w:val="nil"/>
            </w:tcBorders>
          </w:tcPr>
          <w:p w14:paraId="0D3B6D4B"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3BDC7C0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56.42***</w:t>
            </w:r>
          </w:p>
        </w:tc>
        <w:tc>
          <w:tcPr>
            <w:tcW w:w="1080" w:type="dxa"/>
            <w:tcBorders>
              <w:top w:val="nil"/>
              <w:left w:val="nil"/>
              <w:bottom w:val="nil"/>
              <w:right w:val="nil"/>
            </w:tcBorders>
          </w:tcPr>
          <w:p w14:paraId="148E478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315B922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21021F1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1201.56***</w:t>
            </w:r>
          </w:p>
        </w:tc>
        <w:tc>
          <w:tcPr>
            <w:tcW w:w="990" w:type="dxa"/>
            <w:tcBorders>
              <w:top w:val="nil"/>
              <w:left w:val="nil"/>
              <w:bottom w:val="nil"/>
              <w:right w:val="nil"/>
            </w:tcBorders>
          </w:tcPr>
          <w:p w14:paraId="6970393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114F7D66"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318A6F0C"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00002F67" w14:textId="77777777" w:rsidTr="00DF14B3">
        <w:trPr>
          <w:trHeight w:val="383"/>
        </w:trPr>
        <w:tc>
          <w:tcPr>
            <w:tcW w:w="1800" w:type="dxa"/>
            <w:tcBorders>
              <w:top w:val="nil"/>
              <w:left w:val="nil"/>
              <w:bottom w:val="nil"/>
              <w:right w:val="nil"/>
            </w:tcBorders>
          </w:tcPr>
          <w:p w14:paraId="05DA34C6"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1F27410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24.80***</w:t>
            </w:r>
          </w:p>
        </w:tc>
        <w:tc>
          <w:tcPr>
            <w:tcW w:w="1080" w:type="dxa"/>
            <w:tcBorders>
              <w:top w:val="nil"/>
              <w:left w:val="nil"/>
              <w:bottom w:val="nil"/>
              <w:right w:val="nil"/>
            </w:tcBorders>
          </w:tcPr>
          <w:p w14:paraId="3FF5C29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5237050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23C8C62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628.61***</w:t>
            </w:r>
          </w:p>
        </w:tc>
        <w:tc>
          <w:tcPr>
            <w:tcW w:w="990" w:type="dxa"/>
            <w:tcBorders>
              <w:top w:val="nil"/>
              <w:left w:val="nil"/>
              <w:bottom w:val="nil"/>
              <w:right w:val="nil"/>
            </w:tcBorders>
          </w:tcPr>
          <w:p w14:paraId="686642CB"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361D5F48"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1FDD1876"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6951D36F" w14:textId="77777777" w:rsidTr="00DF14B3">
        <w:trPr>
          <w:trHeight w:val="359"/>
        </w:trPr>
        <w:tc>
          <w:tcPr>
            <w:tcW w:w="1800" w:type="dxa"/>
            <w:tcBorders>
              <w:top w:val="nil"/>
              <w:left w:val="nil"/>
              <w:bottom w:val="nil"/>
              <w:right w:val="nil"/>
            </w:tcBorders>
          </w:tcPr>
          <w:p w14:paraId="22272F4D"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544E6F3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5.78***</w:t>
            </w:r>
          </w:p>
        </w:tc>
        <w:tc>
          <w:tcPr>
            <w:tcW w:w="1080" w:type="dxa"/>
            <w:tcBorders>
              <w:top w:val="nil"/>
              <w:left w:val="nil"/>
              <w:bottom w:val="nil"/>
              <w:right w:val="nil"/>
            </w:tcBorders>
          </w:tcPr>
          <w:p w14:paraId="600E961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2AA0876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6B78851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437.38***</w:t>
            </w:r>
          </w:p>
        </w:tc>
        <w:tc>
          <w:tcPr>
            <w:tcW w:w="990" w:type="dxa"/>
            <w:tcBorders>
              <w:top w:val="nil"/>
              <w:left w:val="nil"/>
              <w:bottom w:val="nil"/>
              <w:right w:val="nil"/>
            </w:tcBorders>
          </w:tcPr>
          <w:p w14:paraId="0995AB8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4DE31A10"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1C6BA97D"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18EAD7B9" w14:textId="77777777" w:rsidTr="00DF14B3">
        <w:trPr>
          <w:trHeight w:val="359"/>
        </w:trPr>
        <w:tc>
          <w:tcPr>
            <w:tcW w:w="1800" w:type="dxa"/>
            <w:tcBorders>
              <w:top w:val="nil"/>
              <w:left w:val="nil"/>
              <w:bottom w:val="nil"/>
              <w:right w:val="nil"/>
            </w:tcBorders>
          </w:tcPr>
          <w:p w14:paraId="03293DEB"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603905C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20.29***</w:t>
            </w:r>
          </w:p>
        </w:tc>
        <w:tc>
          <w:tcPr>
            <w:tcW w:w="1080" w:type="dxa"/>
            <w:tcBorders>
              <w:top w:val="nil"/>
              <w:left w:val="nil"/>
              <w:bottom w:val="nil"/>
              <w:right w:val="nil"/>
            </w:tcBorders>
          </w:tcPr>
          <w:p w14:paraId="069ED5D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167DAAD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6E0EB90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571.01***</w:t>
            </w:r>
          </w:p>
        </w:tc>
        <w:tc>
          <w:tcPr>
            <w:tcW w:w="990" w:type="dxa"/>
            <w:tcBorders>
              <w:top w:val="nil"/>
              <w:left w:val="nil"/>
              <w:bottom w:val="nil"/>
              <w:right w:val="nil"/>
            </w:tcBorders>
          </w:tcPr>
          <w:p w14:paraId="45DCA4E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3CAFBCE3"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3CEE316C"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471F204E" w14:textId="77777777" w:rsidTr="00DF14B3">
        <w:trPr>
          <w:trHeight w:val="359"/>
        </w:trPr>
        <w:tc>
          <w:tcPr>
            <w:tcW w:w="1800" w:type="dxa"/>
            <w:tcBorders>
              <w:top w:val="nil"/>
              <w:left w:val="nil"/>
              <w:bottom w:val="nil"/>
              <w:right w:val="nil"/>
            </w:tcBorders>
          </w:tcPr>
          <w:p w14:paraId="0462A5BC"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577CC26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-0.30</w:t>
            </w:r>
          </w:p>
        </w:tc>
        <w:tc>
          <w:tcPr>
            <w:tcW w:w="1080" w:type="dxa"/>
            <w:tcBorders>
              <w:top w:val="nil"/>
              <w:left w:val="nil"/>
              <w:bottom w:val="nil"/>
              <w:right w:val="nil"/>
            </w:tcBorders>
          </w:tcPr>
          <w:p w14:paraId="683A266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r>
              <w:t>.</w:t>
            </w:r>
            <w:r>
              <w:rPr>
                <w:rFonts w:ascii="Times New Roman" w:hAnsi="Times New Roman" w:cs="Times New Roman"/>
              </w:rPr>
              <w:t>763</w:t>
            </w:r>
          </w:p>
        </w:tc>
        <w:tc>
          <w:tcPr>
            <w:tcW w:w="270" w:type="dxa"/>
            <w:tcBorders>
              <w:top w:val="nil"/>
              <w:left w:val="nil"/>
              <w:bottom w:val="nil"/>
              <w:right w:val="nil"/>
            </w:tcBorders>
          </w:tcPr>
          <w:p w14:paraId="19E13B5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70ADD88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638.81***</w:t>
            </w:r>
          </w:p>
        </w:tc>
        <w:tc>
          <w:tcPr>
            <w:tcW w:w="990" w:type="dxa"/>
            <w:tcBorders>
              <w:top w:val="nil"/>
              <w:left w:val="nil"/>
              <w:bottom w:val="nil"/>
              <w:right w:val="nil"/>
            </w:tcBorders>
          </w:tcPr>
          <w:p w14:paraId="5858E37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651C7658"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0FF50DCD"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Weak CD</w:t>
            </w:r>
          </w:p>
        </w:tc>
      </w:tr>
      <w:tr w:rsidR="00D55B20" w:rsidRPr="003B6238" w14:paraId="1EBEE199" w14:textId="77777777" w:rsidTr="00DF14B3">
        <w:trPr>
          <w:trHeight w:val="359"/>
        </w:trPr>
        <w:tc>
          <w:tcPr>
            <w:tcW w:w="1800" w:type="dxa"/>
            <w:tcBorders>
              <w:top w:val="nil"/>
              <w:left w:val="nil"/>
              <w:bottom w:val="nil"/>
              <w:right w:val="nil"/>
            </w:tcBorders>
          </w:tcPr>
          <w:p w14:paraId="102717F8"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46CF517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35.24***</w:t>
            </w:r>
          </w:p>
        </w:tc>
        <w:tc>
          <w:tcPr>
            <w:tcW w:w="1080" w:type="dxa"/>
            <w:tcBorders>
              <w:top w:val="nil"/>
              <w:left w:val="nil"/>
              <w:bottom w:val="nil"/>
              <w:right w:val="nil"/>
            </w:tcBorders>
          </w:tcPr>
          <w:p w14:paraId="1A745FC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7D8B153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5BB969C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1101.13***</w:t>
            </w:r>
          </w:p>
        </w:tc>
        <w:tc>
          <w:tcPr>
            <w:tcW w:w="990" w:type="dxa"/>
            <w:tcBorders>
              <w:top w:val="nil"/>
              <w:left w:val="nil"/>
              <w:bottom w:val="nil"/>
              <w:right w:val="nil"/>
            </w:tcBorders>
          </w:tcPr>
          <w:p w14:paraId="731B8A66"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0299511C"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4EC961EF"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314E2DEE" w14:textId="77777777" w:rsidTr="00DF14B3">
        <w:trPr>
          <w:trHeight w:val="359"/>
        </w:trPr>
        <w:tc>
          <w:tcPr>
            <w:tcW w:w="9540" w:type="dxa"/>
            <w:gridSpan w:val="8"/>
            <w:tcBorders>
              <w:top w:val="single" w:sz="6" w:space="0" w:color="auto"/>
              <w:left w:val="nil"/>
              <w:bottom w:val="nil"/>
              <w:right w:val="nil"/>
            </w:tcBorders>
          </w:tcPr>
          <w:p w14:paraId="1BE177E9" w14:textId="77777777" w:rsidR="00D55B20" w:rsidRPr="00683AB4" w:rsidRDefault="00D55B20" w:rsidP="00DF14B3">
            <w:pPr>
              <w:pStyle w:val="NoSpacing"/>
              <w:jc w:val="both"/>
              <w:rPr>
                <w:rFonts w:ascii="Times New Roman" w:hAnsi="Times New Roman"/>
                <w:b/>
                <w:bCs/>
                <w:sz w:val="20"/>
                <w:szCs w:val="20"/>
              </w:rPr>
            </w:pPr>
            <w:r>
              <w:rPr>
                <w:rFonts w:ascii="Times New Roman" w:hAnsi="Times New Roman"/>
                <w:b/>
                <w:bCs/>
                <w:sz w:val="20"/>
                <w:szCs w:val="20"/>
              </w:rPr>
              <w:t xml:space="preserve">Note: </w:t>
            </w:r>
            <w:r>
              <w:rPr>
                <w:rFonts w:ascii="Times New Roman" w:hAnsi="Times New Roman"/>
                <w:sz w:val="20"/>
                <w:szCs w:val="20"/>
              </w:rPr>
              <w:t>***, **, and * signifies p-values less than 0.01, 0.05, and 0.10 respectively.</w:t>
            </w:r>
          </w:p>
          <w:p w14:paraId="33C1EA81" w14:textId="77777777" w:rsidR="00D55B20" w:rsidRPr="003B6238" w:rsidRDefault="00D55B20" w:rsidP="00DF14B3">
            <w:pPr>
              <w:pStyle w:val="NoSpacing"/>
              <w:jc w:val="both"/>
              <w:rPr>
                <w:rFonts w:ascii="Times New Roman" w:hAnsi="Times New Roman"/>
                <w:b/>
                <w:bCs/>
              </w:rPr>
            </w:pPr>
            <w:r>
              <w:rPr>
                <w:rFonts w:ascii="Times New Roman" w:hAnsi="Times New Roman" w:cs="Times New Roman"/>
                <w:b/>
                <w:bCs/>
                <w:sz w:val="20"/>
                <w:szCs w:val="20"/>
              </w:rPr>
              <w:t>Source</w:t>
            </w:r>
            <w:r>
              <w:rPr>
                <w:rFonts w:ascii="Times New Roman" w:hAnsi="Times New Roman" w:cs="Times New Roman"/>
                <w:sz w:val="20"/>
                <w:szCs w:val="20"/>
              </w:rPr>
              <w:t>: Author’s computation, 2026.</w:t>
            </w:r>
            <w:r>
              <w:rPr>
                <w:rFonts w:ascii="Times New Roman" w:hAnsi="Times New Roman" w:cs="Times New Roman"/>
              </w:rPr>
              <w:t xml:space="preserve"> </w:t>
            </w:r>
          </w:p>
        </w:tc>
      </w:tr>
    </w:tbl>
    <w:p w14:paraId="41685326" w14:textId="77777777" w:rsidR="00967389" w:rsidRDefault="00967389" w:rsidP="00967389">
      <w:pPr>
        <w:spacing w:line="360" w:lineRule="auto"/>
        <w:jc w:val="both"/>
        <w:rPr>
          <w:rFonts w:ascii="Times New Roman" w:hAnsi="Times New Roman" w:cs="Times New Roman"/>
        </w:rPr>
      </w:pPr>
    </w:p>
    <w:p w14:paraId="01A01093" w14:textId="329FC994" w:rsidR="00967389" w:rsidRPr="00967389" w:rsidRDefault="00967389" w:rsidP="00967389">
      <w:pPr>
        <w:spacing w:line="36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Pesaran</w:t>
      </w:r>
      <w:proofErr w:type="spellEnd"/>
      <w:r>
        <w:rPr>
          <w:rFonts w:ascii="Times New Roman" w:hAnsi="Times New Roman" w:cs="Times New Roman"/>
        </w:rPr>
        <w:t xml:space="preserve"> Cross-Sectionally Augmented IPS (CIPS) and Cross-Sectionally Augmented Dickey-Fuller (CADF) results in Table 4 indicate that </w:t>
      </w:r>
      <w:proofErr w:type="spellStart"/>
      <w:r w:rsidRPr="009B23BD">
        <w:rPr>
          <w:rFonts w:ascii="Times New Roman" w:hAnsi="Times New Roman" w:cs="Times New Roman"/>
          <w:i/>
          <w:iCs/>
        </w:rPr>
        <w:t>fdi</w:t>
      </w:r>
      <w:r w:rsidR="009B23BD">
        <w:rPr>
          <w:rFonts w:ascii="Times New Roman" w:hAnsi="Times New Roman" w:cs="Times New Roman"/>
          <w:i/>
          <w:iCs/>
          <w:vertAlign w:val="subscript"/>
        </w:rPr>
        <w:t>it</w:t>
      </w:r>
      <w:proofErr w:type="spellEnd"/>
      <w:r>
        <w:rPr>
          <w:rFonts w:ascii="Times New Roman" w:hAnsi="Times New Roman" w:cs="Times New Roman"/>
        </w:rPr>
        <w:t xml:space="preserve">, </w:t>
      </w:r>
      <w:proofErr w:type="spellStart"/>
      <w:r w:rsidRPr="009B23BD">
        <w:rPr>
          <w:rFonts w:ascii="Times New Roman" w:hAnsi="Times New Roman" w:cs="Times New Roman"/>
          <w:i/>
          <w:iCs/>
        </w:rPr>
        <w:t>cpi</w:t>
      </w:r>
      <w:r w:rsidR="009B23BD">
        <w:rPr>
          <w:rFonts w:ascii="Times New Roman" w:hAnsi="Times New Roman" w:cs="Times New Roman"/>
          <w:i/>
          <w:iCs/>
          <w:vertAlign w:val="subscript"/>
        </w:rPr>
        <w:t>it</w:t>
      </w:r>
      <w:proofErr w:type="spellEnd"/>
      <w:r>
        <w:rPr>
          <w:rFonts w:ascii="Times New Roman" w:hAnsi="Times New Roman" w:cs="Times New Roman"/>
        </w:rPr>
        <w:t xml:space="preserve">, and </w:t>
      </w:r>
      <w:proofErr w:type="spellStart"/>
      <w:r w:rsidRPr="009B23BD">
        <w:rPr>
          <w:rFonts w:ascii="Times New Roman" w:hAnsi="Times New Roman" w:cs="Times New Roman"/>
          <w:i/>
          <w:iCs/>
        </w:rPr>
        <w:t>nmig</w:t>
      </w:r>
      <w:r w:rsidR="009B23BD">
        <w:rPr>
          <w:rFonts w:ascii="Times New Roman" w:hAnsi="Times New Roman" w:cs="Times New Roman"/>
          <w:i/>
          <w:iCs/>
          <w:vertAlign w:val="subscript"/>
        </w:rPr>
        <w:t>it</w:t>
      </w:r>
      <w:proofErr w:type="spellEnd"/>
      <w:r>
        <w:rPr>
          <w:rFonts w:ascii="Times New Roman" w:hAnsi="Times New Roman" w:cs="Times New Roman"/>
        </w:rPr>
        <w:t xml:space="preserve"> are stationary at level under CIPS, while </w:t>
      </w:r>
      <w:proofErr w:type="spellStart"/>
      <w:r w:rsidRPr="009B23BD">
        <w:rPr>
          <w:rFonts w:ascii="Times New Roman" w:hAnsi="Times New Roman" w:cs="Times New Roman"/>
          <w:i/>
          <w:iCs/>
        </w:rPr>
        <w:t>outr</w:t>
      </w:r>
      <w:r w:rsidR="009B23BD" w:rsidRPr="009B23BD">
        <w:rPr>
          <w:rFonts w:ascii="Times New Roman" w:hAnsi="Times New Roman" w:cs="Times New Roman"/>
          <w:i/>
          <w:iCs/>
          <w:vertAlign w:val="subscript"/>
        </w:rPr>
        <w:t>it</w:t>
      </w:r>
      <w:proofErr w:type="spellEnd"/>
      <w:r>
        <w:rPr>
          <w:rFonts w:ascii="Times New Roman" w:hAnsi="Times New Roman" w:cs="Times New Roman"/>
        </w:rPr>
        <w:t xml:space="preserve">, </w:t>
      </w:r>
      <w:proofErr w:type="spellStart"/>
      <w:r w:rsidR="009B23BD" w:rsidRPr="009B23BD">
        <w:rPr>
          <w:rFonts w:ascii="Times New Roman" w:hAnsi="Times New Roman" w:cs="Times New Roman"/>
          <w:i/>
          <w:iCs/>
        </w:rPr>
        <w:t>fdi</w:t>
      </w:r>
      <w:r w:rsidR="009B23BD">
        <w:rPr>
          <w:rFonts w:ascii="Times New Roman" w:hAnsi="Times New Roman" w:cs="Times New Roman"/>
          <w:i/>
          <w:iCs/>
          <w:vertAlign w:val="subscript"/>
        </w:rPr>
        <w:t>it</w:t>
      </w:r>
      <w:proofErr w:type="spellEnd"/>
      <w:r w:rsidR="009B23BD">
        <w:rPr>
          <w:rFonts w:ascii="Times New Roman" w:hAnsi="Times New Roman" w:cs="Times New Roman"/>
        </w:rPr>
        <w:t xml:space="preserve">, </w:t>
      </w:r>
      <w:proofErr w:type="spellStart"/>
      <w:r w:rsidR="009B23BD" w:rsidRPr="009B23BD">
        <w:rPr>
          <w:rFonts w:ascii="Times New Roman" w:hAnsi="Times New Roman" w:cs="Times New Roman"/>
          <w:i/>
          <w:iCs/>
        </w:rPr>
        <w:t>cpi</w:t>
      </w:r>
      <w:r w:rsidR="009B23BD">
        <w:rPr>
          <w:rFonts w:ascii="Times New Roman" w:hAnsi="Times New Roman" w:cs="Times New Roman"/>
          <w:i/>
          <w:iCs/>
          <w:vertAlign w:val="subscript"/>
        </w:rPr>
        <w:t>it</w:t>
      </w:r>
      <w:proofErr w:type="spellEnd"/>
      <w:r w:rsidR="009B23BD">
        <w:rPr>
          <w:rFonts w:ascii="Times New Roman" w:hAnsi="Times New Roman" w:cs="Times New Roman"/>
        </w:rPr>
        <w:t xml:space="preserve">, and </w:t>
      </w:r>
      <w:proofErr w:type="spellStart"/>
      <w:r w:rsidR="009B23BD" w:rsidRPr="009B23BD">
        <w:rPr>
          <w:rFonts w:ascii="Times New Roman" w:hAnsi="Times New Roman" w:cs="Times New Roman"/>
          <w:i/>
          <w:iCs/>
        </w:rPr>
        <w:t>nmig</w:t>
      </w:r>
      <w:r w:rsidR="009B23BD">
        <w:rPr>
          <w:rFonts w:ascii="Times New Roman" w:hAnsi="Times New Roman" w:cs="Times New Roman"/>
          <w:i/>
          <w:iCs/>
          <w:vertAlign w:val="subscript"/>
        </w:rPr>
        <w:t>it</w:t>
      </w:r>
      <w:proofErr w:type="spellEnd"/>
      <w:r w:rsidR="009B23BD">
        <w:rPr>
          <w:rFonts w:ascii="Times New Roman" w:hAnsi="Times New Roman" w:cs="Times New Roman"/>
        </w:rPr>
        <w:t xml:space="preserve"> </w:t>
      </w:r>
      <w:r>
        <w:rPr>
          <w:rFonts w:ascii="Times New Roman" w:hAnsi="Times New Roman" w:cs="Times New Roman"/>
        </w:rPr>
        <w:t xml:space="preserve">are stationary at level under CADF. However, </w:t>
      </w:r>
      <w:proofErr w:type="spellStart"/>
      <w:r w:rsidRPr="009B23BD">
        <w:rPr>
          <w:rFonts w:ascii="Times New Roman" w:hAnsi="Times New Roman" w:cs="Times New Roman"/>
          <w:i/>
          <w:iCs/>
        </w:rPr>
        <w:t>pci</w:t>
      </w:r>
      <w:r w:rsidR="009B23BD">
        <w:rPr>
          <w:rFonts w:ascii="Times New Roman" w:hAnsi="Times New Roman" w:cs="Times New Roman"/>
          <w:vertAlign w:val="subscript"/>
        </w:rPr>
        <w:t>it</w:t>
      </w:r>
      <w:proofErr w:type="spellEnd"/>
      <w:r>
        <w:rPr>
          <w:rFonts w:ascii="Times New Roman" w:hAnsi="Times New Roman" w:cs="Times New Roman"/>
        </w:rPr>
        <w:t xml:space="preserve">, </w:t>
      </w:r>
      <w:proofErr w:type="spellStart"/>
      <w:r w:rsidR="009B23BD" w:rsidRPr="009B23BD">
        <w:rPr>
          <w:rFonts w:ascii="Times New Roman" w:hAnsi="Times New Roman" w:cs="Times New Roman"/>
          <w:i/>
          <w:iCs/>
        </w:rPr>
        <w:t>outr</w:t>
      </w:r>
      <w:r w:rsidR="009B23BD" w:rsidRPr="009B23BD">
        <w:rPr>
          <w:rFonts w:ascii="Times New Roman" w:hAnsi="Times New Roman" w:cs="Times New Roman"/>
          <w:i/>
          <w:iCs/>
          <w:vertAlign w:val="subscript"/>
        </w:rPr>
        <w:t>it</w:t>
      </w:r>
      <w:proofErr w:type="spellEnd"/>
      <w:r>
        <w:rPr>
          <w:rFonts w:ascii="Times New Roman" w:hAnsi="Times New Roman" w:cs="Times New Roman"/>
        </w:rPr>
        <w:t>, and</w:t>
      </w:r>
      <w:r w:rsidRPr="009B23BD">
        <w:rPr>
          <w:rFonts w:ascii="Times New Roman" w:hAnsi="Times New Roman" w:cs="Times New Roman"/>
          <w:i/>
          <w:iCs/>
        </w:rPr>
        <w:t xml:space="preserve"> </w:t>
      </w:r>
      <w:proofErr w:type="spellStart"/>
      <w:proofErr w:type="gramStart"/>
      <w:r w:rsidRPr="009B23BD">
        <w:rPr>
          <w:rFonts w:ascii="Times New Roman" w:hAnsi="Times New Roman" w:cs="Times New Roman"/>
          <w:i/>
          <w:iCs/>
        </w:rPr>
        <w:t>dcps</w:t>
      </w:r>
      <w:r w:rsidR="009B23BD">
        <w:rPr>
          <w:rFonts w:ascii="Times New Roman" w:hAnsi="Times New Roman" w:cs="Times New Roman"/>
          <w:i/>
          <w:iCs/>
          <w:vertAlign w:val="subscript"/>
        </w:rPr>
        <w:t>it</w:t>
      </w:r>
      <w:proofErr w:type="spellEnd"/>
      <w:r w:rsidR="009B23BD">
        <w:rPr>
          <w:rFonts w:ascii="Times New Roman" w:hAnsi="Times New Roman" w:cs="Times New Roman"/>
          <w:i/>
          <w:iCs/>
          <w:vertAlign w:val="subscript"/>
        </w:rPr>
        <w:t xml:space="preserve"> </w:t>
      </w:r>
      <w:r>
        <w:rPr>
          <w:rFonts w:ascii="Times New Roman" w:hAnsi="Times New Roman" w:cs="Times New Roman"/>
        </w:rPr>
        <w:t xml:space="preserve"> require</w:t>
      </w:r>
      <w:proofErr w:type="gramEnd"/>
      <w:r>
        <w:rPr>
          <w:rFonts w:ascii="Times New Roman" w:hAnsi="Times New Roman" w:cs="Times New Roman"/>
        </w:rPr>
        <w:t xml:space="preserve"> first differencing for stationarity in both tests. </w:t>
      </w:r>
    </w:p>
    <w:p w14:paraId="304C6040" w14:textId="77777777" w:rsidR="00D55B20" w:rsidRPr="00A50F6D" w:rsidRDefault="00D55B20" w:rsidP="00D55B20">
      <w:pPr>
        <w:pStyle w:val="Body"/>
        <w:spacing w:line="240" w:lineRule="auto"/>
      </w:pPr>
      <w:r>
        <w:rPr>
          <w:szCs w:val="24"/>
        </w:rPr>
        <w:t xml:space="preserve">Table 4: Results of the second-generation panel unit root tests </w:t>
      </w:r>
    </w:p>
    <w:tbl>
      <w:tblPr>
        <w:tblW w:w="9450" w:type="dxa"/>
        <w:tblLayout w:type="fixed"/>
        <w:tblLook w:val="0000" w:firstRow="0" w:lastRow="0" w:firstColumn="0" w:lastColumn="0" w:noHBand="0" w:noVBand="0"/>
      </w:tblPr>
      <w:tblGrid>
        <w:gridCol w:w="2070"/>
        <w:gridCol w:w="1170"/>
        <w:gridCol w:w="1260"/>
        <w:gridCol w:w="990"/>
        <w:gridCol w:w="270"/>
        <w:gridCol w:w="1260"/>
        <w:gridCol w:w="1440"/>
        <w:gridCol w:w="990"/>
      </w:tblGrid>
      <w:tr w:rsidR="00D55B20" w:rsidRPr="003B6238" w14:paraId="250EAF97" w14:textId="77777777" w:rsidTr="00DF14B3">
        <w:trPr>
          <w:trHeight w:val="368"/>
        </w:trPr>
        <w:tc>
          <w:tcPr>
            <w:tcW w:w="2070" w:type="dxa"/>
            <w:vMerge w:val="restart"/>
            <w:tcBorders>
              <w:top w:val="single" w:sz="4" w:space="0" w:color="auto"/>
              <w:left w:val="nil"/>
              <w:right w:val="nil"/>
            </w:tcBorders>
          </w:tcPr>
          <w:p w14:paraId="7D15379C"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p w14:paraId="32035D00"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r>
              <w:rPr>
                <w:rFonts w:ascii="Times New Roman" w:hAnsi="Times New Roman" w:cs="Times New Roman"/>
              </w:rPr>
              <w:t>Variables</w:t>
            </w:r>
          </w:p>
        </w:tc>
        <w:tc>
          <w:tcPr>
            <w:tcW w:w="3420" w:type="dxa"/>
            <w:gridSpan w:val="3"/>
            <w:tcBorders>
              <w:top w:val="single" w:sz="4" w:space="0" w:color="auto"/>
              <w:left w:val="nil"/>
              <w:bottom w:val="single" w:sz="6" w:space="0" w:color="auto"/>
              <w:right w:val="nil"/>
            </w:tcBorders>
          </w:tcPr>
          <w:p w14:paraId="46139042" w14:textId="77777777" w:rsidR="00D55B20" w:rsidRPr="004907DF" w:rsidRDefault="00D55B20" w:rsidP="00DF14B3">
            <w:pPr>
              <w:widowControl w:val="0"/>
              <w:autoSpaceDE w:val="0"/>
              <w:autoSpaceDN w:val="0"/>
              <w:adjustRightInd w:val="0"/>
              <w:spacing w:after="0" w:line="276" w:lineRule="auto"/>
              <w:jc w:val="center"/>
              <w:rPr>
                <w:rFonts w:ascii="Times New Roman" w:hAnsi="Times New Roman" w:cs="Times New Roman"/>
              </w:rPr>
            </w:pPr>
            <w:proofErr w:type="spellStart"/>
            <w:r>
              <w:rPr>
                <w:rFonts w:ascii="Times New Roman" w:hAnsi="Times New Roman"/>
              </w:rPr>
              <w:t>Pesaran’s</w:t>
            </w:r>
            <w:proofErr w:type="spellEnd"/>
            <w:r>
              <w:rPr>
                <w:rFonts w:ascii="Times New Roman" w:hAnsi="Times New Roman"/>
              </w:rPr>
              <w:t xml:space="preserve"> CIPS</w:t>
            </w:r>
          </w:p>
        </w:tc>
        <w:tc>
          <w:tcPr>
            <w:tcW w:w="270" w:type="dxa"/>
            <w:tcBorders>
              <w:top w:val="single" w:sz="4" w:space="0" w:color="auto"/>
              <w:left w:val="nil"/>
              <w:right w:val="nil"/>
            </w:tcBorders>
          </w:tcPr>
          <w:p w14:paraId="779203D9"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3690" w:type="dxa"/>
            <w:gridSpan w:val="3"/>
            <w:tcBorders>
              <w:top w:val="single" w:sz="4" w:space="0" w:color="auto"/>
              <w:left w:val="nil"/>
              <w:bottom w:val="single" w:sz="6" w:space="0" w:color="auto"/>
              <w:right w:val="nil"/>
            </w:tcBorders>
          </w:tcPr>
          <w:p w14:paraId="37AA8DCC"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bookmarkStart w:id="5" w:name="_Hlk200214276"/>
            <w:proofErr w:type="spellStart"/>
            <w:r>
              <w:rPr>
                <w:rFonts w:ascii="Times New Roman" w:hAnsi="Times New Roman"/>
              </w:rPr>
              <w:t>Pesaran’s</w:t>
            </w:r>
            <w:proofErr w:type="spellEnd"/>
            <w:r>
              <w:rPr>
                <w:rFonts w:ascii="Times New Roman" w:hAnsi="Times New Roman"/>
              </w:rPr>
              <w:t xml:space="preserve"> CADF</w:t>
            </w:r>
            <w:bookmarkEnd w:id="5"/>
          </w:p>
        </w:tc>
      </w:tr>
      <w:tr w:rsidR="00D55B20" w:rsidRPr="003B6238" w14:paraId="43D192E9" w14:textId="77777777" w:rsidTr="00DF14B3">
        <w:trPr>
          <w:trHeight w:val="368"/>
        </w:trPr>
        <w:tc>
          <w:tcPr>
            <w:tcW w:w="2070" w:type="dxa"/>
            <w:vMerge/>
            <w:tcBorders>
              <w:left w:val="nil"/>
              <w:bottom w:val="single" w:sz="6" w:space="0" w:color="auto"/>
              <w:right w:val="nil"/>
            </w:tcBorders>
          </w:tcPr>
          <w:p w14:paraId="3F72FD96"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tc>
        <w:tc>
          <w:tcPr>
            <w:tcW w:w="1170" w:type="dxa"/>
            <w:tcBorders>
              <w:top w:val="single" w:sz="4" w:space="0" w:color="auto"/>
              <w:left w:val="nil"/>
              <w:bottom w:val="single" w:sz="6" w:space="0" w:color="auto"/>
              <w:right w:val="nil"/>
            </w:tcBorders>
          </w:tcPr>
          <w:p w14:paraId="39773324"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Level</w:t>
            </w:r>
          </w:p>
        </w:tc>
        <w:tc>
          <w:tcPr>
            <w:tcW w:w="1260" w:type="dxa"/>
            <w:tcBorders>
              <w:top w:val="single" w:sz="4" w:space="0" w:color="auto"/>
              <w:left w:val="nil"/>
              <w:bottom w:val="single" w:sz="6" w:space="0" w:color="auto"/>
              <w:right w:val="nil"/>
            </w:tcBorders>
          </w:tcPr>
          <w:p w14:paraId="2CF1C924"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First Diff.</w:t>
            </w:r>
          </w:p>
        </w:tc>
        <w:tc>
          <w:tcPr>
            <w:tcW w:w="990" w:type="dxa"/>
            <w:tcBorders>
              <w:top w:val="single" w:sz="4" w:space="0" w:color="auto"/>
              <w:left w:val="nil"/>
              <w:bottom w:val="single" w:sz="4" w:space="0" w:color="auto"/>
              <w:right w:val="nil"/>
            </w:tcBorders>
          </w:tcPr>
          <w:p w14:paraId="52BE347B" w14:textId="77777777" w:rsidR="00D55B20" w:rsidRPr="004907DF"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Status</w:t>
            </w:r>
          </w:p>
        </w:tc>
        <w:tc>
          <w:tcPr>
            <w:tcW w:w="270" w:type="dxa"/>
            <w:tcBorders>
              <w:left w:val="nil"/>
              <w:right w:val="nil"/>
            </w:tcBorders>
          </w:tcPr>
          <w:p w14:paraId="65F03AAF"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4C0829E9"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Level</w:t>
            </w:r>
          </w:p>
        </w:tc>
        <w:tc>
          <w:tcPr>
            <w:tcW w:w="1440" w:type="dxa"/>
            <w:tcBorders>
              <w:top w:val="single" w:sz="4" w:space="0" w:color="auto"/>
              <w:left w:val="nil"/>
              <w:bottom w:val="single" w:sz="6" w:space="0" w:color="auto"/>
              <w:right w:val="nil"/>
            </w:tcBorders>
          </w:tcPr>
          <w:p w14:paraId="703C9D6B"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i/>
                <w:iCs/>
              </w:rPr>
            </w:pPr>
            <w:r>
              <w:rPr>
                <w:rFonts w:ascii="Times New Roman" w:hAnsi="Times New Roman"/>
              </w:rPr>
              <w:t>First Diff.</w:t>
            </w:r>
          </w:p>
        </w:tc>
        <w:tc>
          <w:tcPr>
            <w:tcW w:w="990" w:type="dxa"/>
            <w:tcBorders>
              <w:top w:val="single" w:sz="4" w:space="0" w:color="auto"/>
              <w:left w:val="nil"/>
              <w:bottom w:val="single" w:sz="6" w:space="0" w:color="auto"/>
              <w:right w:val="nil"/>
            </w:tcBorders>
          </w:tcPr>
          <w:p w14:paraId="6070008A"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r>
              <w:rPr>
                <w:rFonts w:ascii="Times New Roman" w:hAnsi="Times New Roman"/>
              </w:rPr>
              <w:t>Status</w:t>
            </w:r>
          </w:p>
        </w:tc>
      </w:tr>
      <w:tr w:rsidR="00D55B20" w:rsidRPr="003B6238" w14:paraId="5EF15FA1" w14:textId="77777777" w:rsidTr="00DF14B3">
        <w:trPr>
          <w:trHeight w:val="368"/>
        </w:trPr>
        <w:tc>
          <w:tcPr>
            <w:tcW w:w="2070" w:type="dxa"/>
            <w:tcBorders>
              <w:top w:val="nil"/>
              <w:left w:val="nil"/>
              <w:bottom w:val="nil"/>
              <w:right w:val="nil"/>
            </w:tcBorders>
          </w:tcPr>
          <w:p w14:paraId="59FDDA3F"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7AAA886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p>
        </w:tc>
        <w:tc>
          <w:tcPr>
            <w:tcW w:w="1260" w:type="dxa"/>
            <w:tcBorders>
              <w:top w:val="single" w:sz="4" w:space="0" w:color="auto"/>
              <w:left w:val="nil"/>
              <w:bottom w:val="nil"/>
              <w:right w:val="nil"/>
            </w:tcBorders>
          </w:tcPr>
          <w:p w14:paraId="7B40291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3.62***</w:t>
            </w:r>
          </w:p>
        </w:tc>
        <w:tc>
          <w:tcPr>
            <w:tcW w:w="990" w:type="dxa"/>
            <w:tcBorders>
              <w:top w:val="single" w:sz="4" w:space="0" w:color="auto"/>
              <w:left w:val="nil"/>
              <w:bottom w:val="nil"/>
              <w:right w:val="nil"/>
            </w:tcBorders>
          </w:tcPr>
          <w:p w14:paraId="67745401"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left w:val="nil"/>
              <w:bottom w:val="nil"/>
              <w:right w:val="nil"/>
            </w:tcBorders>
          </w:tcPr>
          <w:p w14:paraId="74C79AA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2885E9C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3.62</w:t>
            </w:r>
          </w:p>
        </w:tc>
        <w:tc>
          <w:tcPr>
            <w:tcW w:w="1440" w:type="dxa"/>
            <w:tcBorders>
              <w:top w:val="nil"/>
              <w:left w:val="nil"/>
              <w:bottom w:val="nil"/>
              <w:right w:val="nil"/>
            </w:tcBorders>
          </w:tcPr>
          <w:p w14:paraId="3465D50D"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4.58***</w:t>
            </w:r>
          </w:p>
        </w:tc>
        <w:tc>
          <w:tcPr>
            <w:tcW w:w="990" w:type="dxa"/>
            <w:tcBorders>
              <w:top w:val="nil"/>
              <w:left w:val="nil"/>
              <w:bottom w:val="nil"/>
              <w:right w:val="nil"/>
            </w:tcBorders>
          </w:tcPr>
          <w:p w14:paraId="41AB2D30"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r>
      <w:tr w:rsidR="00D55B20" w:rsidRPr="003B6238" w14:paraId="0D406CB5" w14:textId="77777777" w:rsidTr="00DF14B3">
        <w:trPr>
          <w:trHeight w:val="368"/>
        </w:trPr>
        <w:tc>
          <w:tcPr>
            <w:tcW w:w="2070" w:type="dxa"/>
            <w:tcBorders>
              <w:top w:val="nil"/>
              <w:left w:val="nil"/>
              <w:bottom w:val="nil"/>
              <w:right w:val="nil"/>
            </w:tcBorders>
          </w:tcPr>
          <w:p w14:paraId="6CEE917B"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17500E6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1.12</w:t>
            </w:r>
          </w:p>
        </w:tc>
        <w:tc>
          <w:tcPr>
            <w:tcW w:w="1260" w:type="dxa"/>
            <w:tcBorders>
              <w:top w:val="nil"/>
              <w:left w:val="nil"/>
              <w:bottom w:val="nil"/>
              <w:right w:val="nil"/>
            </w:tcBorders>
          </w:tcPr>
          <w:p w14:paraId="75453C7D"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4.13***</w:t>
            </w:r>
          </w:p>
        </w:tc>
        <w:tc>
          <w:tcPr>
            <w:tcW w:w="990" w:type="dxa"/>
            <w:tcBorders>
              <w:top w:val="nil"/>
              <w:left w:val="nil"/>
              <w:bottom w:val="nil"/>
              <w:right w:val="nil"/>
            </w:tcBorders>
          </w:tcPr>
          <w:p w14:paraId="7C2E74A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top w:val="nil"/>
              <w:left w:val="nil"/>
              <w:bottom w:val="nil"/>
              <w:right w:val="nil"/>
            </w:tcBorders>
          </w:tcPr>
          <w:p w14:paraId="1D3E249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740E099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3.88</w:t>
            </w:r>
          </w:p>
        </w:tc>
        <w:tc>
          <w:tcPr>
            <w:tcW w:w="1440" w:type="dxa"/>
            <w:tcBorders>
              <w:top w:val="nil"/>
              <w:left w:val="nil"/>
              <w:bottom w:val="nil"/>
              <w:right w:val="nil"/>
            </w:tcBorders>
          </w:tcPr>
          <w:p w14:paraId="5993FA0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5.09***</w:t>
            </w:r>
          </w:p>
        </w:tc>
        <w:tc>
          <w:tcPr>
            <w:tcW w:w="990" w:type="dxa"/>
            <w:tcBorders>
              <w:top w:val="nil"/>
              <w:left w:val="nil"/>
              <w:bottom w:val="nil"/>
              <w:right w:val="nil"/>
            </w:tcBorders>
          </w:tcPr>
          <w:p w14:paraId="1CEB62F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r>
      <w:tr w:rsidR="00D55B20" w:rsidRPr="003B6238" w14:paraId="3FE5B04E" w14:textId="77777777" w:rsidTr="00DF14B3">
        <w:trPr>
          <w:trHeight w:val="393"/>
        </w:trPr>
        <w:tc>
          <w:tcPr>
            <w:tcW w:w="2070" w:type="dxa"/>
            <w:tcBorders>
              <w:top w:val="nil"/>
              <w:left w:val="nil"/>
              <w:bottom w:val="nil"/>
              <w:right w:val="nil"/>
            </w:tcBorders>
          </w:tcPr>
          <w:p w14:paraId="7B972076"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6FC53E5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2.11*</w:t>
            </w:r>
          </w:p>
        </w:tc>
        <w:tc>
          <w:tcPr>
            <w:tcW w:w="1260" w:type="dxa"/>
            <w:tcBorders>
              <w:top w:val="nil"/>
              <w:left w:val="nil"/>
              <w:bottom w:val="nil"/>
              <w:right w:val="nil"/>
            </w:tcBorders>
          </w:tcPr>
          <w:p w14:paraId="7CF6340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4.31***</w:t>
            </w:r>
          </w:p>
        </w:tc>
        <w:tc>
          <w:tcPr>
            <w:tcW w:w="990" w:type="dxa"/>
            <w:tcBorders>
              <w:top w:val="nil"/>
              <w:left w:val="nil"/>
              <w:bottom w:val="nil"/>
              <w:right w:val="nil"/>
            </w:tcBorders>
          </w:tcPr>
          <w:p w14:paraId="0C37AE7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top w:val="nil"/>
              <w:left w:val="nil"/>
              <w:bottom w:val="nil"/>
              <w:right w:val="nil"/>
            </w:tcBorders>
          </w:tcPr>
          <w:p w14:paraId="4F2CD9A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06A7C8D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1.74**</w:t>
            </w:r>
          </w:p>
        </w:tc>
        <w:tc>
          <w:tcPr>
            <w:tcW w:w="1440" w:type="dxa"/>
            <w:tcBorders>
              <w:top w:val="nil"/>
              <w:left w:val="nil"/>
              <w:bottom w:val="nil"/>
              <w:right w:val="nil"/>
            </w:tcBorders>
          </w:tcPr>
          <w:p w14:paraId="6DD1D2A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258A2622"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6FD89038" w14:textId="77777777" w:rsidTr="00DF14B3">
        <w:trPr>
          <w:trHeight w:val="368"/>
        </w:trPr>
        <w:tc>
          <w:tcPr>
            <w:tcW w:w="2070" w:type="dxa"/>
            <w:tcBorders>
              <w:top w:val="nil"/>
              <w:left w:val="nil"/>
              <w:bottom w:val="nil"/>
              <w:right w:val="nil"/>
            </w:tcBorders>
          </w:tcPr>
          <w:p w14:paraId="69A984E3"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275BEF8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3.18***</w:t>
            </w:r>
          </w:p>
        </w:tc>
        <w:tc>
          <w:tcPr>
            <w:tcW w:w="1260" w:type="dxa"/>
            <w:tcBorders>
              <w:top w:val="nil"/>
              <w:left w:val="nil"/>
              <w:bottom w:val="nil"/>
              <w:right w:val="nil"/>
            </w:tcBorders>
          </w:tcPr>
          <w:p w14:paraId="0D00D99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74A7937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c>
          <w:tcPr>
            <w:tcW w:w="270" w:type="dxa"/>
            <w:tcBorders>
              <w:top w:val="nil"/>
              <w:left w:val="nil"/>
              <w:bottom w:val="nil"/>
              <w:right w:val="nil"/>
            </w:tcBorders>
          </w:tcPr>
          <w:p w14:paraId="5BD1763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0DB07C7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4.87***</w:t>
            </w:r>
          </w:p>
        </w:tc>
        <w:tc>
          <w:tcPr>
            <w:tcW w:w="1440" w:type="dxa"/>
            <w:tcBorders>
              <w:top w:val="nil"/>
              <w:left w:val="nil"/>
              <w:bottom w:val="nil"/>
              <w:right w:val="nil"/>
            </w:tcBorders>
          </w:tcPr>
          <w:p w14:paraId="46A29C7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675981E1"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260258B2" w14:textId="77777777" w:rsidTr="00DF14B3">
        <w:trPr>
          <w:trHeight w:val="368"/>
        </w:trPr>
        <w:tc>
          <w:tcPr>
            <w:tcW w:w="2070" w:type="dxa"/>
            <w:tcBorders>
              <w:top w:val="nil"/>
              <w:left w:val="nil"/>
              <w:bottom w:val="nil"/>
              <w:right w:val="nil"/>
            </w:tcBorders>
          </w:tcPr>
          <w:p w14:paraId="62219B5E"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3E525C0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3.36***</w:t>
            </w:r>
          </w:p>
        </w:tc>
        <w:tc>
          <w:tcPr>
            <w:tcW w:w="1260" w:type="dxa"/>
            <w:tcBorders>
              <w:top w:val="nil"/>
              <w:left w:val="nil"/>
              <w:bottom w:val="nil"/>
              <w:right w:val="nil"/>
            </w:tcBorders>
          </w:tcPr>
          <w:p w14:paraId="78A28F6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0F64481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c>
          <w:tcPr>
            <w:tcW w:w="270" w:type="dxa"/>
            <w:tcBorders>
              <w:top w:val="nil"/>
              <w:left w:val="nil"/>
              <w:bottom w:val="nil"/>
              <w:right w:val="nil"/>
            </w:tcBorders>
          </w:tcPr>
          <w:p w14:paraId="152EAD4B"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3ABAD14A"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4.29***</w:t>
            </w:r>
          </w:p>
        </w:tc>
        <w:tc>
          <w:tcPr>
            <w:tcW w:w="1440" w:type="dxa"/>
            <w:tcBorders>
              <w:top w:val="nil"/>
              <w:left w:val="nil"/>
              <w:bottom w:val="nil"/>
              <w:right w:val="nil"/>
            </w:tcBorders>
          </w:tcPr>
          <w:p w14:paraId="2BFBE2D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79394B15"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75A0D9A9" w14:textId="77777777" w:rsidTr="00DF14B3">
        <w:trPr>
          <w:trHeight w:val="368"/>
        </w:trPr>
        <w:tc>
          <w:tcPr>
            <w:tcW w:w="2070" w:type="dxa"/>
            <w:tcBorders>
              <w:top w:val="nil"/>
              <w:left w:val="nil"/>
              <w:bottom w:val="nil"/>
              <w:right w:val="nil"/>
            </w:tcBorders>
          </w:tcPr>
          <w:p w14:paraId="43116614" w14:textId="77777777" w:rsidR="00D55B20" w:rsidRPr="00232B9D"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0D85D6B3" w14:textId="77777777" w:rsidR="00D55B20" w:rsidRPr="001941E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2.50***</w:t>
            </w:r>
          </w:p>
        </w:tc>
        <w:tc>
          <w:tcPr>
            <w:tcW w:w="1260" w:type="dxa"/>
            <w:tcBorders>
              <w:top w:val="nil"/>
              <w:left w:val="nil"/>
              <w:bottom w:val="nil"/>
              <w:right w:val="nil"/>
            </w:tcBorders>
          </w:tcPr>
          <w:p w14:paraId="628A44CD" w14:textId="77777777" w:rsidR="00D55B20"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6D7E5A04" w14:textId="77777777" w:rsidR="00D55B20" w:rsidRPr="0002650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c>
          <w:tcPr>
            <w:tcW w:w="270" w:type="dxa"/>
            <w:tcBorders>
              <w:top w:val="nil"/>
              <w:left w:val="nil"/>
              <w:bottom w:val="nil"/>
              <w:right w:val="nil"/>
            </w:tcBorders>
          </w:tcPr>
          <w:p w14:paraId="23503AB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57E99B01" w14:textId="77777777" w:rsidR="00D55B20" w:rsidRPr="00047EB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3.32***</w:t>
            </w:r>
          </w:p>
        </w:tc>
        <w:tc>
          <w:tcPr>
            <w:tcW w:w="1440" w:type="dxa"/>
            <w:tcBorders>
              <w:top w:val="nil"/>
              <w:left w:val="nil"/>
              <w:bottom w:val="nil"/>
              <w:right w:val="nil"/>
            </w:tcBorders>
          </w:tcPr>
          <w:p w14:paraId="37EC605D" w14:textId="77777777" w:rsidR="00D55B20"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023991F3" w14:textId="77777777" w:rsidR="00D55B20" w:rsidRPr="0002650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40581649" w14:textId="77777777" w:rsidTr="00DF14B3">
        <w:trPr>
          <w:trHeight w:val="368"/>
        </w:trPr>
        <w:tc>
          <w:tcPr>
            <w:tcW w:w="2070" w:type="dxa"/>
            <w:tcBorders>
              <w:top w:val="nil"/>
              <w:left w:val="nil"/>
              <w:bottom w:val="nil"/>
              <w:right w:val="nil"/>
            </w:tcBorders>
          </w:tcPr>
          <w:p w14:paraId="36CB260D"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2A7FA2A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2.09*</w:t>
            </w:r>
          </w:p>
        </w:tc>
        <w:tc>
          <w:tcPr>
            <w:tcW w:w="1260" w:type="dxa"/>
            <w:tcBorders>
              <w:top w:val="nil"/>
              <w:left w:val="nil"/>
              <w:bottom w:val="nil"/>
              <w:right w:val="nil"/>
            </w:tcBorders>
          </w:tcPr>
          <w:p w14:paraId="7D8FCA0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4.48***</w:t>
            </w:r>
          </w:p>
        </w:tc>
        <w:tc>
          <w:tcPr>
            <w:tcW w:w="990" w:type="dxa"/>
            <w:tcBorders>
              <w:top w:val="nil"/>
              <w:left w:val="nil"/>
              <w:bottom w:val="nil"/>
              <w:right w:val="nil"/>
            </w:tcBorders>
          </w:tcPr>
          <w:p w14:paraId="1045E42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top w:val="nil"/>
              <w:left w:val="nil"/>
              <w:bottom w:val="nil"/>
              <w:right w:val="nil"/>
            </w:tcBorders>
          </w:tcPr>
          <w:p w14:paraId="644D966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0F8F29F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1.18</w:t>
            </w:r>
          </w:p>
        </w:tc>
        <w:tc>
          <w:tcPr>
            <w:tcW w:w="1440" w:type="dxa"/>
            <w:tcBorders>
              <w:top w:val="nil"/>
              <w:left w:val="nil"/>
              <w:bottom w:val="nil"/>
              <w:right w:val="nil"/>
            </w:tcBorders>
          </w:tcPr>
          <w:p w14:paraId="024A701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-8.28***</w:t>
            </w:r>
          </w:p>
        </w:tc>
        <w:tc>
          <w:tcPr>
            <w:tcW w:w="990" w:type="dxa"/>
            <w:tcBorders>
              <w:top w:val="nil"/>
              <w:left w:val="nil"/>
              <w:bottom w:val="nil"/>
              <w:right w:val="nil"/>
            </w:tcBorders>
          </w:tcPr>
          <w:p w14:paraId="7CBB8130"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r>
      <w:tr w:rsidR="00D55B20" w:rsidRPr="003B6238" w14:paraId="335A95EC" w14:textId="77777777" w:rsidTr="00DF14B3">
        <w:trPr>
          <w:trHeight w:val="368"/>
        </w:trPr>
        <w:tc>
          <w:tcPr>
            <w:tcW w:w="9450" w:type="dxa"/>
            <w:gridSpan w:val="8"/>
            <w:tcBorders>
              <w:top w:val="single" w:sz="6" w:space="0" w:color="auto"/>
              <w:left w:val="nil"/>
              <w:bottom w:val="nil"/>
              <w:right w:val="nil"/>
            </w:tcBorders>
          </w:tcPr>
          <w:p w14:paraId="0E5BC511" w14:textId="32E7F529" w:rsidR="00D55B20" w:rsidRPr="00A904F2"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 and * implies significance at 1% (i.e., p-value ˂ 0.01) and 5% levels (i.e., p-value ˂ 0.05) of significant errors respectively. </w:t>
            </w:r>
          </w:p>
          <w:p w14:paraId="71A3C8C8" w14:textId="77777777" w:rsidR="00D55B20" w:rsidRPr="003B6238" w:rsidRDefault="00D55B20" w:rsidP="00DF14B3">
            <w:pPr>
              <w:pStyle w:val="NoSpacing"/>
              <w:jc w:val="both"/>
              <w:rPr>
                <w:rFonts w:ascii="Times New Roman" w:hAnsi="Times New Roman"/>
                <w:b/>
                <w:bCs/>
              </w:rPr>
            </w:pPr>
            <w:r>
              <w:rPr>
                <w:rFonts w:ascii="Times New Roman" w:hAnsi="Times New Roman" w:cs="Times New Roman"/>
                <w:b/>
                <w:bCs/>
                <w:sz w:val="20"/>
                <w:szCs w:val="20"/>
              </w:rPr>
              <w:t>Source</w:t>
            </w:r>
            <w:r>
              <w:rPr>
                <w:rFonts w:ascii="Times New Roman" w:hAnsi="Times New Roman" w:cs="Times New Roman"/>
                <w:sz w:val="20"/>
                <w:szCs w:val="20"/>
              </w:rPr>
              <w:t>: Author’s computation, 2026.</w:t>
            </w:r>
            <w:r>
              <w:rPr>
                <w:rFonts w:ascii="Times New Roman" w:hAnsi="Times New Roman" w:cs="Times New Roman"/>
              </w:rPr>
              <w:t xml:space="preserve"> </w:t>
            </w:r>
          </w:p>
        </w:tc>
      </w:tr>
    </w:tbl>
    <w:p w14:paraId="35363C8D" w14:textId="77777777" w:rsidR="00D55B20" w:rsidRDefault="00D55B20" w:rsidP="00D55B20">
      <w:pPr>
        <w:widowControl w:val="0"/>
        <w:autoSpaceDE w:val="0"/>
        <w:autoSpaceDN w:val="0"/>
        <w:adjustRightInd w:val="0"/>
        <w:spacing w:after="0" w:line="240" w:lineRule="auto"/>
        <w:rPr>
          <w:rFonts w:ascii="Times New Roman" w:hAnsi="Times New Roman" w:cs="Times New Roman"/>
        </w:rPr>
      </w:pPr>
    </w:p>
    <w:p w14:paraId="3E855E6E" w14:textId="460653EE" w:rsidR="00967389" w:rsidRDefault="00967389" w:rsidP="00967389">
      <w:pPr>
        <w:spacing w:line="360" w:lineRule="auto"/>
        <w:jc w:val="both"/>
        <w:rPr>
          <w:rFonts w:ascii="Times New Roman" w:hAnsi="Times New Roman" w:cs="Times New Roman"/>
        </w:rPr>
      </w:pPr>
      <w:r>
        <w:rPr>
          <w:rFonts w:ascii="Times New Roman" w:hAnsi="Times New Roman" w:cs="Times New Roman"/>
        </w:rPr>
        <w:t>The Pedroni cointegration test results in Table 5 show that the null hypothesis of no cointegration can be rejected for Model</w:t>
      </w:r>
      <w:r w:rsidR="00587187">
        <w:rPr>
          <w:rFonts w:ascii="Times New Roman" w:hAnsi="Times New Roman" w:cs="Times New Roman"/>
        </w:rPr>
        <w:t xml:space="preserve"> </w:t>
      </w:r>
      <w:r>
        <w:rPr>
          <w:rFonts w:ascii="Times New Roman" w:hAnsi="Times New Roman" w:cs="Times New Roman"/>
        </w:rPr>
        <w:t>1, indicating evidence of cointegration only among variables examining the effect of inward remittances on per capita income.</w:t>
      </w:r>
    </w:p>
    <w:p w14:paraId="7CBDC170" w14:textId="27B75004" w:rsidR="00D55B20" w:rsidRPr="00A904F2" w:rsidRDefault="00D55B20" w:rsidP="00313EFB">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Table 5</w:t>
      </w:r>
      <w:r>
        <w:rPr>
          <w:rFonts w:ascii="Times New Roman" w:hAnsi="Times New Roman" w:cs="Times New Roman"/>
          <w:b/>
          <w:bCs/>
        </w:rPr>
        <w:t xml:space="preserve">: </w:t>
      </w:r>
      <w:r>
        <w:rPr>
          <w:rFonts w:ascii="Times New Roman" w:hAnsi="Times New Roman" w:cs="Times New Roman"/>
        </w:rPr>
        <w:t xml:space="preserve">The results of Pedroni test of Cointegration among variables in models estimated to examine the nexus between </w:t>
      </w:r>
      <w:bookmarkStart w:id="6" w:name="_Hlk199158058"/>
      <w:r>
        <w:rPr>
          <w:rFonts w:ascii="Times New Roman" w:hAnsi="Times New Roman" w:cs="Times New Roman"/>
        </w:rPr>
        <w:t xml:space="preserve">remittances and per capita income </w:t>
      </w:r>
      <w:bookmarkEnd w:id="6"/>
    </w:p>
    <w:tbl>
      <w:tblPr>
        <w:tblW w:w="9360" w:type="dxa"/>
        <w:tblLayout w:type="fixed"/>
        <w:tblLook w:val="0000" w:firstRow="0" w:lastRow="0" w:firstColumn="0" w:lastColumn="0" w:noHBand="0" w:noVBand="0"/>
      </w:tblPr>
      <w:tblGrid>
        <w:gridCol w:w="1566"/>
        <w:gridCol w:w="1854"/>
        <w:gridCol w:w="2070"/>
        <w:gridCol w:w="1800"/>
        <w:gridCol w:w="2070"/>
      </w:tblGrid>
      <w:tr w:rsidR="00D55B20" w:rsidRPr="00047EBE" w14:paraId="7850026A" w14:textId="77777777" w:rsidTr="00313EFB">
        <w:trPr>
          <w:trHeight w:val="287"/>
        </w:trPr>
        <w:tc>
          <w:tcPr>
            <w:tcW w:w="1566" w:type="dxa"/>
            <w:tcBorders>
              <w:top w:val="single" w:sz="4" w:space="0" w:color="auto"/>
              <w:left w:val="nil"/>
              <w:bottom w:val="single" w:sz="6" w:space="0" w:color="auto"/>
              <w:right w:val="nil"/>
            </w:tcBorders>
          </w:tcPr>
          <w:p w14:paraId="16B2EC30" w14:textId="77777777" w:rsidR="00D55B20" w:rsidRPr="005F1490" w:rsidRDefault="00D55B20" w:rsidP="00DF14B3">
            <w:pPr>
              <w:pStyle w:val="NoSpacing"/>
              <w:rPr>
                <w:rFonts w:ascii="Times New Roman" w:hAnsi="Times New Roman" w:cs="Times New Roman"/>
              </w:rPr>
            </w:pPr>
          </w:p>
          <w:p w14:paraId="691BA2B6" w14:textId="77777777" w:rsidR="00D55B20" w:rsidRPr="005F1490" w:rsidRDefault="00D55B20" w:rsidP="00DF14B3">
            <w:pPr>
              <w:pStyle w:val="NoSpacing"/>
              <w:rPr>
                <w:rFonts w:ascii="Times New Roman" w:hAnsi="Times New Roman" w:cs="Times New Roman"/>
              </w:rPr>
            </w:pPr>
            <w:r>
              <w:rPr>
                <w:rFonts w:ascii="Times New Roman" w:hAnsi="Times New Roman" w:cs="Times New Roman"/>
              </w:rPr>
              <w:t>Models</w:t>
            </w:r>
          </w:p>
        </w:tc>
        <w:tc>
          <w:tcPr>
            <w:tcW w:w="1854" w:type="dxa"/>
            <w:tcBorders>
              <w:top w:val="single" w:sz="4" w:space="0" w:color="auto"/>
              <w:left w:val="nil"/>
              <w:bottom w:val="single" w:sz="6" w:space="0" w:color="auto"/>
              <w:right w:val="nil"/>
            </w:tcBorders>
          </w:tcPr>
          <w:p w14:paraId="643DFF93"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Modified</w:t>
            </w:r>
          </w:p>
          <w:p w14:paraId="398293FA"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 xml:space="preserve">Phillips–Perron </w:t>
            </w:r>
            <w:r>
              <w:rPr>
                <w:rFonts w:ascii="Times New Roman" w:hAnsi="Times New Roman" w:cs="Times New Roman"/>
                <w:i/>
                <w:iCs/>
              </w:rPr>
              <w:t>t</w:t>
            </w:r>
          </w:p>
        </w:tc>
        <w:tc>
          <w:tcPr>
            <w:tcW w:w="2070" w:type="dxa"/>
            <w:tcBorders>
              <w:top w:val="single" w:sz="4" w:space="0" w:color="auto"/>
              <w:left w:val="nil"/>
              <w:bottom w:val="single" w:sz="6" w:space="0" w:color="auto"/>
              <w:right w:val="nil"/>
            </w:tcBorders>
          </w:tcPr>
          <w:p w14:paraId="6173B509" w14:textId="77777777" w:rsidR="00D55B20" w:rsidRPr="005F1490" w:rsidRDefault="00D55B20" w:rsidP="00DF14B3">
            <w:pPr>
              <w:pStyle w:val="NoSpacing"/>
              <w:jc w:val="center"/>
              <w:rPr>
                <w:rFonts w:ascii="Times New Roman" w:hAnsi="Times New Roman" w:cs="Times New Roman"/>
              </w:rPr>
            </w:pPr>
          </w:p>
          <w:p w14:paraId="2EF50498"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 xml:space="preserve">Phillips–Perron </w:t>
            </w:r>
            <w:r>
              <w:rPr>
                <w:rFonts w:ascii="Times New Roman" w:hAnsi="Times New Roman" w:cs="Times New Roman"/>
                <w:i/>
                <w:iCs/>
              </w:rPr>
              <w:t>t</w:t>
            </w:r>
          </w:p>
        </w:tc>
        <w:tc>
          <w:tcPr>
            <w:tcW w:w="1800" w:type="dxa"/>
            <w:tcBorders>
              <w:top w:val="single" w:sz="4" w:space="0" w:color="auto"/>
              <w:left w:val="nil"/>
              <w:bottom w:val="single" w:sz="6" w:space="0" w:color="auto"/>
              <w:right w:val="nil"/>
            </w:tcBorders>
          </w:tcPr>
          <w:p w14:paraId="08BE0B65"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Augmented</w:t>
            </w:r>
          </w:p>
          <w:p w14:paraId="7DC7E2CD"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 xml:space="preserve">Dickey–Fuller </w:t>
            </w:r>
            <w:r>
              <w:rPr>
                <w:rFonts w:ascii="Times New Roman" w:hAnsi="Times New Roman" w:cs="Times New Roman"/>
                <w:i/>
                <w:iCs/>
              </w:rPr>
              <w:t>t</w:t>
            </w:r>
          </w:p>
        </w:tc>
        <w:tc>
          <w:tcPr>
            <w:tcW w:w="2070" w:type="dxa"/>
            <w:tcBorders>
              <w:top w:val="single" w:sz="4" w:space="0" w:color="auto"/>
              <w:left w:val="nil"/>
              <w:bottom w:val="single" w:sz="6" w:space="0" w:color="auto"/>
            </w:tcBorders>
          </w:tcPr>
          <w:p w14:paraId="7854CCC1" w14:textId="77777777" w:rsidR="00D55B20" w:rsidRPr="005F1490" w:rsidRDefault="00D55B20" w:rsidP="00DF14B3">
            <w:pPr>
              <w:pStyle w:val="NoSpacing"/>
              <w:jc w:val="center"/>
              <w:rPr>
                <w:rFonts w:ascii="Times New Roman" w:hAnsi="Times New Roman" w:cs="Times New Roman"/>
              </w:rPr>
            </w:pPr>
          </w:p>
          <w:p w14:paraId="683FF2BC" w14:textId="77777777" w:rsidR="00D55B20" w:rsidRPr="005F1490" w:rsidRDefault="00D55B20" w:rsidP="00DF14B3">
            <w:pPr>
              <w:pStyle w:val="NoSpacing"/>
              <w:rPr>
                <w:rFonts w:ascii="Times New Roman" w:hAnsi="Times New Roman" w:cs="Times New Roman"/>
              </w:rPr>
            </w:pPr>
            <w:r>
              <w:rPr>
                <w:rFonts w:ascii="Times New Roman" w:hAnsi="Times New Roman" w:cs="Times New Roman"/>
              </w:rPr>
              <w:t>Comment</w:t>
            </w:r>
          </w:p>
        </w:tc>
      </w:tr>
      <w:tr w:rsidR="00D55B20" w:rsidRPr="00047EBE" w14:paraId="61F5C016" w14:textId="77777777" w:rsidTr="00313EFB">
        <w:trPr>
          <w:trHeight w:val="287"/>
        </w:trPr>
        <w:tc>
          <w:tcPr>
            <w:tcW w:w="1566" w:type="dxa"/>
            <w:tcBorders>
              <w:top w:val="nil"/>
              <w:left w:val="nil"/>
              <w:bottom w:val="nil"/>
              <w:right w:val="nil"/>
            </w:tcBorders>
          </w:tcPr>
          <w:p w14:paraId="3079A0D5"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Model</w:t>
            </w:r>
            <w:r>
              <w:rPr>
                <w:rFonts w:ascii="Times New Roman" w:hAnsi="Times New Roman" w:cs="Times New Roman"/>
                <w:b/>
                <w:bCs/>
                <w:i/>
                <w:iCs/>
                <w:vertAlign w:val="subscript"/>
              </w:rPr>
              <w:t>1</w:t>
            </w:r>
          </w:p>
        </w:tc>
        <w:tc>
          <w:tcPr>
            <w:tcW w:w="1854" w:type="dxa"/>
            <w:tcBorders>
              <w:top w:val="nil"/>
              <w:left w:val="nil"/>
              <w:bottom w:val="nil"/>
              <w:right w:val="nil"/>
            </w:tcBorders>
          </w:tcPr>
          <w:p w14:paraId="451BDCD3"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6.71***</w:t>
            </w:r>
          </w:p>
        </w:tc>
        <w:tc>
          <w:tcPr>
            <w:tcW w:w="2070" w:type="dxa"/>
            <w:tcBorders>
              <w:top w:val="nil"/>
              <w:left w:val="nil"/>
              <w:bottom w:val="nil"/>
              <w:right w:val="nil"/>
            </w:tcBorders>
          </w:tcPr>
          <w:p w14:paraId="58F37580"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0.72</w:t>
            </w:r>
          </w:p>
        </w:tc>
        <w:tc>
          <w:tcPr>
            <w:tcW w:w="1800" w:type="dxa"/>
            <w:tcBorders>
              <w:top w:val="nil"/>
              <w:left w:val="nil"/>
              <w:bottom w:val="nil"/>
              <w:right w:val="nil"/>
            </w:tcBorders>
          </w:tcPr>
          <w:p w14:paraId="0EEF8A17"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1.94***</w:t>
            </w:r>
          </w:p>
        </w:tc>
        <w:tc>
          <w:tcPr>
            <w:tcW w:w="2070" w:type="dxa"/>
            <w:tcBorders>
              <w:top w:val="nil"/>
              <w:left w:val="nil"/>
              <w:bottom w:val="nil"/>
            </w:tcBorders>
          </w:tcPr>
          <w:p w14:paraId="16915EFD"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 xml:space="preserve">Cointegration </w:t>
            </w:r>
          </w:p>
        </w:tc>
      </w:tr>
      <w:tr w:rsidR="00D55B20" w:rsidRPr="00047EBE" w14:paraId="2A71861E" w14:textId="77777777" w:rsidTr="00313EFB">
        <w:trPr>
          <w:trHeight w:val="287"/>
        </w:trPr>
        <w:tc>
          <w:tcPr>
            <w:tcW w:w="1566" w:type="dxa"/>
            <w:tcBorders>
              <w:top w:val="nil"/>
              <w:left w:val="nil"/>
              <w:bottom w:val="nil"/>
              <w:right w:val="nil"/>
            </w:tcBorders>
          </w:tcPr>
          <w:p w14:paraId="2BD70454"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Model</w:t>
            </w:r>
            <w:r>
              <w:rPr>
                <w:rFonts w:ascii="Times New Roman" w:hAnsi="Times New Roman" w:cs="Times New Roman"/>
                <w:b/>
                <w:bCs/>
                <w:i/>
                <w:iCs/>
                <w:vertAlign w:val="subscript"/>
              </w:rPr>
              <w:t>2</w:t>
            </w:r>
          </w:p>
        </w:tc>
        <w:tc>
          <w:tcPr>
            <w:tcW w:w="1854" w:type="dxa"/>
            <w:tcBorders>
              <w:top w:val="nil"/>
              <w:left w:val="nil"/>
              <w:bottom w:val="nil"/>
              <w:right w:val="nil"/>
            </w:tcBorders>
          </w:tcPr>
          <w:p w14:paraId="72CDD96A"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6.63***</w:t>
            </w:r>
          </w:p>
        </w:tc>
        <w:tc>
          <w:tcPr>
            <w:tcW w:w="2070" w:type="dxa"/>
            <w:tcBorders>
              <w:top w:val="nil"/>
              <w:left w:val="nil"/>
              <w:bottom w:val="nil"/>
              <w:right w:val="nil"/>
            </w:tcBorders>
          </w:tcPr>
          <w:p w14:paraId="5E1A9B9C"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-0.15</w:t>
            </w:r>
          </w:p>
        </w:tc>
        <w:tc>
          <w:tcPr>
            <w:tcW w:w="1800" w:type="dxa"/>
            <w:tcBorders>
              <w:top w:val="nil"/>
              <w:left w:val="nil"/>
              <w:bottom w:val="nil"/>
              <w:right w:val="nil"/>
            </w:tcBorders>
          </w:tcPr>
          <w:p w14:paraId="3DD0A349"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1.43*</w:t>
            </w:r>
          </w:p>
        </w:tc>
        <w:tc>
          <w:tcPr>
            <w:tcW w:w="2070" w:type="dxa"/>
            <w:tcBorders>
              <w:top w:val="nil"/>
              <w:left w:val="nil"/>
              <w:bottom w:val="nil"/>
            </w:tcBorders>
          </w:tcPr>
          <w:p w14:paraId="08150BC7"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No Cointegration</w:t>
            </w:r>
          </w:p>
        </w:tc>
      </w:tr>
      <w:tr w:rsidR="00D55B20" w:rsidRPr="00047EBE" w14:paraId="3FDB5F19" w14:textId="77777777" w:rsidTr="00313EFB">
        <w:trPr>
          <w:trHeight w:val="287"/>
        </w:trPr>
        <w:tc>
          <w:tcPr>
            <w:tcW w:w="9360" w:type="dxa"/>
            <w:gridSpan w:val="5"/>
            <w:tcBorders>
              <w:top w:val="single" w:sz="6" w:space="0" w:color="auto"/>
              <w:left w:val="nil"/>
              <w:bottom w:val="nil"/>
              <w:right w:val="nil"/>
            </w:tcBorders>
          </w:tcPr>
          <w:p w14:paraId="603308E9" w14:textId="77777777" w:rsidR="00D55B20" w:rsidRPr="00A904F2" w:rsidRDefault="00D55B20" w:rsidP="00DF14B3">
            <w:pPr>
              <w:pStyle w:val="NoSpacing"/>
              <w:jc w:val="both"/>
              <w:rPr>
                <w:rFonts w:ascii="Times New Roman" w:hAnsi="Times New Roman" w:cs="Times New Roman"/>
                <w:sz w:val="20"/>
                <w:szCs w:val="20"/>
              </w:rPr>
            </w:pPr>
            <w:r>
              <w:rPr>
                <w:rFonts w:ascii="Times New Roman" w:hAnsi="Times New Roman" w:cs="Times New Roman"/>
                <w:b/>
                <w:bCs/>
                <w:sz w:val="20"/>
                <w:szCs w:val="20"/>
              </w:rPr>
              <w:t>Note 1</w:t>
            </w:r>
            <w:r>
              <w:rPr>
                <w:rFonts w:ascii="Times New Roman" w:hAnsi="Times New Roman" w:cs="Times New Roman"/>
                <w:sz w:val="20"/>
                <w:szCs w:val="20"/>
              </w:rPr>
              <w:t xml:space="preserve">: ***, ** and * implies significance at 1%, 5%, and 10% levels of significant errors respectively. </w:t>
            </w:r>
          </w:p>
          <w:p w14:paraId="20E9AE95" w14:textId="77777777" w:rsidR="00D55B20" w:rsidRPr="00047EBE" w:rsidRDefault="00D55B20" w:rsidP="00DF14B3">
            <w:pPr>
              <w:pStyle w:val="NoSpacing"/>
              <w:jc w:val="both"/>
              <w:rPr>
                <w:rFonts w:ascii="Times New Roman" w:hAnsi="Times New Roman" w:cs="Times New Roman"/>
              </w:rPr>
            </w:pPr>
            <w:r>
              <w:rPr>
                <w:rFonts w:ascii="Times New Roman" w:hAnsi="Times New Roman" w:cs="Times New Roman"/>
                <w:b/>
                <w:bCs/>
                <w:sz w:val="20"/>
                <w:szCs w:val="20"/>
              </w:rPr>
              <w:t xml:space="preserve">Source: </w:t>
            </w:r>
            <w:r>
              <w:rPr>
                <w:rFonts w:ascii="Times New Roman" w:hAnsi="Times New Roman" w:cs="Times New Roman"/>
                <w:sz w:val="20"/>
                <w:szCs w:val="20"/>
              </w:rPr>
              <w:t>Authors’ computation, 2024.</w:t>
            </w:r>
          </w:p>
        </w:tc>
      </w:tr>
    </w:tbl>
    <w:p w14:paraId="5840F30B" w14:textId="77777777" w:rsidR="00967389" w:rsidRDefault="00967389" w:rsidP="00D55B20">
      <w:pPr>
        <w:spacing w:line="360" w:lineRule="auto"/>
        <w:jc w:val="both"/>
        <w:rPr>
          <w:rFonts w:ascii="Times New Roman" w:hAnsi="Times New Roman" w:cs="Times New Roman"/>
          <w:b/>
          <w:bCs/>
        </w:rPr>
      </w:pPr>
    </w:p>
    <w:p w14:paraId="5DDC1B2C" w14:textId="2E24E3B9" w:rsidR="00D55B20" w:rsidRPr="009A0A87" w:rsidRDefault="00D55B20" w:rsidP="00D55B20">
      <w:pPr>
        <w:spacing w:line="360" w:lineRule="auto"/>
        <w:jc w:val="both"/>
        <w:rPr>
          <w:rFonts w:ascii="Times New Roman" w:hAnsi="Times New Roman" w:cs="Times New Roman"/>
          <w:b/>
          <w:bCs/>
        </w:rPr>
      </w:pPr>
      <w:r>
        <w:rPr>
          <w:rFonts w:ascii="Times New Roman" w:hAnsi="Times New Roman" w:cs="Times New Roman"/>
          <w:b/>
          <w:bCs/>
        </w:rPr>
        <w:t>5.2 Impact of Remittances on Income</w:t>
      </w:r>
    </w:p>
    <w:bookmarkEnd w:id="3"/>
    <w:p w14:paraId="45E08FE7" w14:textId="77777777" w:rsidR="00967389" w:rsidRDefault="00D55B20" w:rsidP="00967389">
      <w:pPr>
        <w:pStyle w:val="NoSpacing"/>
        <w:spacing w:line="360" w:lineRule="auto"/>
        <w:jc w:val="both"/>
        <w:rPr>
          <w:rFonts w:ascii="Times New Roman" w:hAnsi="Times New Roman"/>
        </w:rPr>
      </w:pPr>
      <w:r>
        <w:rPr>
          <w:rFonts w:ascii="Times New Roman" w:hAnsi="Times New Roman"/>
          <w:lang w:val="en-GB"/>
        </w:rPr>
        <w:t xml:space="preserve">Model (1) estimates the impact of inward remittances on per capita income, while Model (2) estimates the impact of inward </w:t>
      </w:r>
      <w:proofErr w:type="gramStart"/>
      <w:r>
        <w:rPr>
          <w:rFonts w:ascii="Times New Roman" w:hAnsi="Times New Roman"/>
          <w:lang w:val="en-GB"/>
        </w:rPr>
        <w:t>remittances  in</w:t>
      </w:r>
      <w:proofErr w:type="gramEnd"/>
      <w:r>
        <w:rPr>
          <w:rFonts w:ascii="Times New Roman" w:hAnsi="Times New Roman"/>
          <w:lang w:val="en-GB"/>
        </w:rPr>
        <w:t xml:space="preserve"> the results presented in Tables 6 to 8. Table 6 presents the impact of remittances on per capita income amongst the selected thirty (30) Sub-Saharan African countries. Tables 7 and 8 present the impact of remittances on per capita income for the low-income and middle-income country sub-samples, respectively, drawn from the selected thirty (30) Sub-Saharan African countries.  </w:t>
      </w:r>
      <w:bookmarkStart w:id="7" w:name="_Hlk223632603"/>
      <w:r>
        <w:rPr>
          <w:rFonts w:ascii="Times New Roman" w:hAnsi="Times New Roman"/>
        </w:rPr>
        <w:t>Table 6 indicates that the fixed effect model is more appropriate than the pooled OLS model, as evidenced by the F-statistic p-value being less than 0.05. However, the tests for serial correlation and heteroscedasticity under the fixed effect estimators do not reject the null hypothesis, which supports the use of the Driscoll-Kraay estimator. This estimator is beneficial as it accounts for unobserved entity-specific heterogeneity while maintaining valid statistical inference against heteroskedasticity, serial correlation, and various forms of cross-sectional and temporal dependence. The results show that a billion-dollar increase in inward remittances (</w:t>
      </w:r>
      <w:proofErr w:type="spellStart"/>
      <w:r>
        <w:rPr>
          <w:rFonts w:ascii="Times New Roman" w:hAnsi="Times New Roman"/>
        </w:rPr>
        <w:t>inrit</w:t>
      </w:r>
      <w:proofErr w:type="spellEnd"/>
      <w:r>
        <w:rPr>
          <w:rFonts w:ascii="Times New Roman" w:hAnsi="Times New Roman"/>
        </w:rPr>
        <w:t>) leads to a significant increase of 43.64 US dollars in per capita income, with a standard error of 6.08 and a p-value less than 0.05. Conversely, outward remittances (</w:t>
      </w:r>
      <w:proofErr w:type="spellStart"/>
      <w:r>
        <w:rPr>
          <w:rFonts w:ascii="Times New Roman" w:hAnsi="Times New Roman"/>
        </w:rPr>
        <w:t>outrit</w:t>
      </w:r>
      <w:proofErr w:type="spellEnd"/>
      <w:r>
        <w:rPr>
          <w:rFonts w:ascii="Times New Roman" w:hAnsi="Times New Roman"/>
        </w:rPr>
        <w:t>) yield a more substantial increase of 352.25 US dollars in per capita income per billion dollars, with a standard error of 77.67 and a p-value less than 0.05. Additionally, inflation (</w:t>
      </w:r>
      <w:proofErr w:type="spellStart"/>
      <w:r>
        <w:rPr>
          <w:rFonts w:ascii="Times New Roman" w:hAnsi="Times New Roman"/>
        </w:rPr>
        <w:t>cpiit</w:t>
      </w:r>
      <w:proofErr w:type="spellEnd"/>
      <w:r>
        <w:rPr>
          <w:rFonts w:ascii="Times New Roman" w:hAnsi="Times New Roman"/>
        </w:rPr>
        <w:t>) negatively impacts per capita income, while net migration (</w:t>
      </w:r>
      <w:proofErr w:type="spellStart"/>
      <w:r>
        <w:rPr>
          <w:rFonts w:ascii="Times New Roman" w:hAnsi="Times New Roman"/>
        </w:rPr>
        <w:t>nmigit</w:t>
      </w:r>
      <w:proofErr w:type="spellEnd"/>
      <w:r>
        <w:rPr>
          <w:rFonts w:ascii="Times New Roman" w:hAnsi="Times New Roman"/>
        </w:rPr>
        <w:t>) and financial development (</w:t>
      </w:r>
      <w:proofErr w:type="spellStart"/>
      <w:r>
        <w:rPr>
          <w:rFonts w:ascii="Times New Roman" w:hAnsi="Times New Roman"/>
        </w:rPr>
        <w:t>dcpsit</w:t>
      </w:r>
      <w:proofErr w:type="spellEnd"/>
      <w:r>
        <w:rPr>
          <w:rFonts w:ascii="Times New Roman" w:hAnsi="Times New Roman"/>
        </w:rPr>
        <w:t xml:space="preserve">) </w:t>
      </w:r>
      <w:r>
        <w:rPr>
          <w:rFonts w:ascii="Times New Roman" w:hAnsi="Times New Roman"/>
        </w:rPr>
        <w:lastRenderedPageBreak/>
        <w:t>positively influence it. Notably, the positive impact of outward remittances on per capita income is significantly greater than that of inward remittances.</w:t>
      </w:r>
    </w:p>
    <w:p w14:paraId="7479AF80" w14:textId="52FD73F9" w:rsidR="00967389" w:rsidRPr="00967389" w:rsidRDefault="00967389" w:rsidP="00967389">
      <w:pPr>
        <w:pStyle w:val="NoSpacing"/>
        <w:spacing w:line="360" w:lineRule="auto"/>
        <w:jc w:val="both"/>
        <w:rPr>
          <w:rFonts w:ascii="Times New Roman" w:hAnsi="Times New Roman"/>
        </w:rPr>
      </w:pPr>
      <w:r>
        <w:rPr>
          <w:rFonts w:ascii="Times New Roman" w:hAnsi="Times New Roman"/>
        </w:rPr>
        <w:t>Table 7 focuses on low-income countries within the SSA context. Similar to Table 6, the fixed effect model is deemed more appropriate, and the Driscoll-Kraay estimator is justified. The coefficient for inward remittances in Model (1) indicates that a billion-dollar increase results in a 248.03 US dollar increase in per capita income, with a standard error of 47.39 and a p-value less than 0.05. Outward remittances in Model (2) show a coefficient of 306.98 US dollars per billion dollars, with a standard error of 104.02 and a p-value less than 0.05. Inflation again negatively affects per capita income, while foreign direct investment (FDI), net migration, and financial development positively contribute to income levels. The results reaffirm that the positive impact of outward remittances exceeds that of inward remittances amongst low-income countries.</w:t>
      </w:r>
      <w:r>
        <w:rPr>
          <w:rFonts w:ascii="Times New Roman" w:hAnsi="Times New Roman"/>
        </w:rPr>
        <w:br/>
        <w:t>Table 8 presents findings for middle-income countries, maintaining the same methodological rigor as previous tables. The inward remittances coefficient indicates a 35.76 US dollar increase in per capita income per billion dollars, with a standard error of 6.22 and a p-value less than 0.05. Outward remittances yield a coefficient of 220.44 US dollars per billion dollars, with a standard error of 62.59 and a p-value less than 0.05. Inflation continues to negatively affect per capita income, while financial development positively influences it. Again, the results confirm that the positive impact of outward remittances is significantly greater than that of inward remittances among middle-income countries.</w:t>
      </w:r>
    </w:p>
    <w:p w14:paraId="217AA4AF" w14:textId="7B4EB03E" w:rsidR="00D55B20" w:rsidRDefault="00D55B20" w:rsidP="00967389">
      <w:pPr>
        <w:pStyle w:val="NoSpacing"/>
        <w:spacing w:line="360" w:lineRule="auto"/>
        <w:jc w:val="both"/>
        <w:rPr>
          <w:rFonts w:ascii="Times New Roman" w:hAnsi="Times New Roman"/>
          <w:lang w:val="en-GB"/>
        </w:rPr>
        <w:sectPr w:rsidR="00D55B20" w:rsidSect="00D55B20">
          <w:pgSz w:w="12240" w:h="15840"/>
          <w:pgMar w:top="1440" w:right="1440" w:bottom="1440" w:left="1440" w:header="720" w:footer="720" w:gutter="0"/>
          <w:cols w:space="720"/>
          <w:docGrid w:linePitch="360"/>
        </w:sectPr>
      </w:pPr>
      <w:r>
        <w:rPr>
          <w:rFonts w:ascii="Times New Roman" w:hAnsi="Times New Roman"/>
          <w:lang w:val="en-GB"/>
        </w:rPr>
        <w:t xml:space="preserve">The foregoing analysis reveals that, irrespective of the sub-sample examined, outward remittances exerted a greater impact on per capita income than inward remittances. However, whilst this difference in magnitude is substantial amongst all selected countries and middle-income countries, the disparity is comparatively modest amongst low-income countries, where outward remittances exhibited an impact approximately 19% greater than that of inward remittances. Both </w:t>
      </w:r>
      <w:r>
        <w:rPr>
          <w:rFonts w:ascii="Times New Roman" w:hAnsi="Times New Roman" w:cs="Times New Roman"/>
        </w:rPr>
        <w:t xml:space="preserve">inflation and financial development proved to be consistent predictors of per capita income in all the models. </w:t>
      </w:r>
      <w:r>
        <w:rPr>
          <w:rFonts w:ascii="Times New Roman" w:hAnsi="Times New Roman"/>
          <w:lang w:val="en-GB"/>
        </w:rPr>
        <w:t xml:space="preserve"> Furthermore, whilst FDI and net migration significantly increase per capita income amongst low-income countries, net migration significantly increases per capita income across all selected SSA countries. </w:t>
      </w:r>
    </w:p>
    <w:bookmarkEnd w:id="7"/>
    <w:p w14:paraId="790C816C" w14:textId="77777777" w:rsidR="00D55B20" w:rsidRPr="00B45295" w:rsidRDefault="00D55B20" w:rsidP="00967389">
      <w:pPr>
        <w:pStyle w:val="NoSpacing"/>
        <w:jc w:val="both"/>
        <w:rPr>
          <w:rFonts w:ascii="Times New Roman" w:hAnsi="Times New Roman"/>
          <w:lang w:val="en-GB"/>
        </w:rPr>
      </w:pPr>
      <w:r>
        <w:rPr>
          <w:rFonts w:ascii="Times New Roman" w:hAnsi="Times New Roman"/>
          <w:lang w:val="en-GB"/>
        </w:rPr>
        <w:lastRenderedPageBreak/>
        <w:t>T</w:t>
      </w:r>
      <w:r>
        <w:rPr>
          <w:rFonts w:ascii="Times New Roman" w:hAnsi="Times New Roman"/>
        </w:rPr>
        <w:t>able 6:</w:t>
      </w:r>
      <w:r>
        <w:rPr>
          <w:rFonts w:ascii="Times New Roman" w:hAnsi="Times New Roman"/>
          <w:b/>
          <w:bCs/>
        </w:rPr>
        <w:t xml:space="preserve"> </w:t>
      </w:r>
      <w:r>
        <w:rPr>
          <w:rFonts w:ascii="Times New Roman" w:hAnsi="Times New Roman"/>
        </w:rPr>
        <w:t>Estimators for examining the impact of inward remittances on per capita income among the selected SSA countries (Dependent variable = GDP per capita at 2015 constant prices)</w:t>
      </w:r>
    </w:p>
    <w:tbl>
      <w:tblPr>
        <w:tblW w:w="9720" w:type="dxa"/>
        <w:tblLayout w:type="fixed"/>
        <w:tblLook w:val="0000" w:firstRow="0" w:lastRow="0" w:firstColumn="0" w:lastColumn="0" w:noHBand="0" w:noVBand="0"/>
      </w:tblPr>
      <w:tblGrid>
        <w:gridCol w:w="1170"/>
        <w:gridCol w:w="1440"/>
        <w:gridCol w:w="1440"/>
        <w:gridCol w:w="1440"/>
        <w:gridCol w:w="1440"/>
        <w:gridCol w:w="1440"/>
        <w:gridCol w:w="1350"/>
      </w:tblGrid>
      <w:tr w:rsidR="00D55B20" w:rsidRPr="00D50D6E" w14:paraId="7FFC31DC" w14:textId="77777777" w:rsidTr="00967389">
        <w:trPr>
          <w:trHeight w:val="219"/>
        </w:trPr>
        <w:tc>
          <w:tcPr>
            <w:tcW w:w="1170" w:type="dxa"/>
            <w:vMerge w:val="restart"/>
            <w:tcBorders>
              <w:top w:val="single" w:sz="4" w:space="0" w:color="auto"/>
              <w:left w:val="nil"/>
              <w:right w:val="nil"/>
            </w:tcBorders>
          </w:tcPr>
          <w:p w14:paraId="6FCE00BF" w14:textId="77777777" w:rsidR="00D55B20" w:rsidRDefault="00D55B20" w:rsidP="00DF14B3">
            <w:pPr>
              <w:pStyle w:val="NoSpacing"/>
              <w:rPr>
                <w:rFonts w:ascii="Times New Roman" w:hAnsi="Times New Roman"/>
              </w:rPr>
            </w:pPr>
          </w:p>
          <w:p w14:paraId="4CFF8A9C" w14:textId="77777777" w:rsidR="00D55B20" w:rsidRPr="0028474B" w:rsidRDefault="00D55B20" w:rsidP="00DF14B3">
            <w:pPr>
              <w:pStyle w:val="NoSpacing"/>
              <w:rPr>
                <w:rFonts w:ascii="Times New Roman" w:hAnsi="Times New Roman"/>
              </w:rPr>
            </w:pPr>
            <w:r>
              <w:rPr>
                <w:rFonts w:ascii="Times New Roman" w:hAnsi="Times New Roman"/>
              </w:rPr>
              <w:t>Variables</w:t>
            </w:r>
          </w:p>
        </w:tc>
        <w:tc>
          <w:tcPr>
            <w:tcW w:w="2880" w:type="dxa"/>
            <w:gridSpan w:val="2"/>
            <w:tcBorders>
              <w:top w:val="single" w:sz="4" w:space="0" w:color="auto"/>
              <w:left w:val="nil"/>
              <w:bottom w:val="nil"/>
              <w:right w:val="nil"/>
            </w:tcBorders>
          </w:tcPr>
          <w:p w14:paraId="027559D1"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Pooled OLS</w:t>
            </w:r>
          </w:p>
        </w:tc>
        <w:tc>
          <w:tcPr>
            <w:tcW w:w="2880" w:type="dxa"/>
            <w:gridSpan w:val="2"/>
            <w:tcBorders>
              <w:top w:val="single" w:sz="4" w:space="0" w:color="auto"/>
              <w:left w:val="nil"/>
              <w:bottom w:val="nil"/>
              <w:right w:val="nil"/>
            </w:tcBorders>
          </w:tcPr>
          <w:p w14:paraId="6B0363EA"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Fixed Effect</w:t>
            </w:r>
          </w:p>
        </w:tc>
        <w:tc>
          <w:tcPr>
            <w:tcW w:w="2790" w:type="dxa"/>
            <w:gridSpan w:val="2"/>
            <w:tcBorders>
              <w:top w:val="single" w:sz="4" w:space="0" w:color="auto"/>
              <w:left w:val="nil"/>
              <w:bottom w:val="nil"/>
              <w:right w:val="nil"/>
            </w:tcBorders>
          </w:tcPr>
          <w:p w14:paraId="7C1D02AA"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Driscoll-Kraay</w:t>
            </w:r>
          </w:p>
        </w:tc>
      </w:tr>
      <w:tr w:rsidR="00D55B20" w:rsidRPr="00D50D6E" w14:paraId="2E032CD2" w14:textId="77777777" w:rsidTr="00967389">
        <w:trPr>
          <w:trHeight w:val="219"/>
        </w:trPr>
        <w:tc>
          <w:tcPr>
            <w:tcW w:w="1170" w:type="dxa"/>
            <w:vMerge/>
            <w:tcBorders>
              <w:left w:val="nil"/>
              <w:bottom w:val="nil"/>
              <w:right w:val="nil"/>
            </w:tcBorders>
          </w:tcPr>
          <w:p w14:paraId="0911B9BD" w14:textId="77777777" w:rsidR="00D55B20" w:rsidRPr="0028474B" w:rsidRDefault="00D55B20" w:rsidP="00DF14B3">
            <w:pPr>
              <w:pStyle w:val="NoSpacing"/>
              <w:rPr>
                <w:rFonts w:ascii="Times New Roman" w:hAnsi="Times New Roman"/>
                <w:i/>
                <w:iCs/>
              </w:rPr>
            </w:pPr>
          </w:p>
        </w:tc>
        <w:tc>
          <w:tcPr>
            <w:tcW w:w="1440" w:type="dxa"/>
            <w:tcBorders>
              <w:top w:val="single" w:sz="4" w:space="0" w:color="auto"/>
              <w:left w:val="nil"/>
              <w:bottom w:val="nil"/>
              <w:right w:val="nil"/>
            </w:tcBorders>
          </w:tcPr>
          <w:p w14:paraId="080F4208" w14:textId="77777777" w:rsidR="00D55B20" w:rsidRPr="0028474B"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4C64F37D" w14:textId="77777777" w:rsidR="00D55B20" w:rsidRPr="009F2E2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57DDE04B" w14:textId="77777777" w:rsidR="00D55B20" w:rsidRPr="00F053EF"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75F28DEF"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753C1137" w14:textId="77777777" w:rsidR="00D55B20" w:rsidRPr="003F1B67" w:rsidRDefault="00D55B20" w:rsidP="00DF14B3">
            <w:pPr>
              <w:pStyle w:val="NoSpacing"/>
              <w:jc w:val="center"/>
              <w:rPr>
                <w:rFonts w:ascii="Times New Roman" w:hAnsi="Times New Roman"/>
              </w:rPr>
            </w:pPr>
            <w:r>
              <w:rPr>
                <w:rFonts w:ascii="Times New Roman" w:hAnsi="Times New Roman"/>
              </w:rPr>
              <w:t>(1)</w:t>
            </w:r>
          </w:p>
        </w:tc>
        <w:tc>
          <w:tcPr>
            <w:tcW w:w="1350" w:type="dxa"/>
            <w:tcBorders>
              <w:top w:val="single" w:sz="4" w:space="0" w:color="auto"/>
              <w:left w:val="nil"/>
              <w:bottom w:val="nil"/>
              <w:right w:val="nil"/>
            </w:tcBorders>
          </w:tcPr>
          <w:p w14:paraId="1C6D73E1"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r>
      <w:tr w:rsidR="00D55B20" w:rsidRPr="00D50D6E" w14:paraId="53BB4559" w14:textId="77777777" w:rsidTr="00967389">
        <w:trPr>
          <w:trHeight w:val="219"/>
        </w:trPr>
        <w:tc>
          <w:tcPr>
            <w:tcW w:w="1170" w:type="dxa"/>
            <w:tcBorders>
              <w:top w:val="single" w:sz="4" w:space="0" w:color="auto"/>
              <w:left w:val="nil"/>
              <w:right w:val="nil"/>
            </w:tcBorders>
          </w:tcPr>
          <w:p w14:paraId="4ADB42F7" w14:textId="77777777" w:rsidR="00D55B20" w:rsidRPr="0030484F" w:rsidRDefault="00D55B20" w:rsidP="00DF14B3">
            <w:pPr>
              <w:pStyle w:val="NoSpacing"/>
              <w:spacing w:line="480" w:lineRule="auto"/>
              <w:rPr>
                <w:rFonts w:ascii="Times New Roman" w:hAnsi="Times New Roman" w:cs="Times New Roman"/>
                <w:b/>
                <w:bCs/>
                <w:i/>
                <w:iCs/>
                <w:sz w:val="22"/>
                <w:szCs w:val="22"/>
              </w:rPr>
            </w:pPr>
            <w:bookmarkStart w:id="8" w:name="_Hlk223629514"/>
            <w:proofErr w:type="spellStart"/>
            <w:r>
              <w:rPr>
                <w:rFonts w:ascii="Times New Roman" w:hAnsi="Times New Roman" w:cs="Times New Roman"/>
                <w:b/>
                <w:bCs/>
                <w:i/>
                <w:iCs/>
                <w:sz w:val="22"/>
                <w:szCs w:val="22"/>
              </w:rPr>
              <w:t>inr</w:t>
            </w:r>
            <w:r>
              <w:rPr>
                <w:rFonts w:ascii="Times New Roman" w:hAnsi="Times New Roman" w:cs="Times New Roman"/>
                <w:b/>
                <w:bCs/>
                <w:i/>
                <w:iCs/>
                <w:sz w:val="22"/>
                <w:szCs w:val="22"/>
                <w:vertAlign w:val="subscript"/>
              </w:rPr>
              <w:t>it</w:t>
            </w:r>
            <w:bookmarkEnd w:id="8"/>
            <w:proofErr w:type="spellEnd"/>
            <w:r>
              <w:rPr>
                <w:rFonts w:ascii="Times New Roman" w:hAnsi="Times New Roman" w:cs="Times New Roman"/>
                <w:b/>
                <w:bCs/>
                <w:i/>
                <w:iCs/>
                <w:sz w:val="22"/>
                <w:szCs w:val="22"/>
              </w:rPr>
              <w:t xml:space="preserve">       </w:t>
            </w:r>
          </w:p>
        </w:tc>
        <w:tc>
          <w:tcPr>
            <w:tcW w:w="1440" w:type="dxa"/>
            <w:tcBorders>
              <w:top w:val="single" w:sz="4" w:space="0" w:color="auto"/>
              <w:left w:val="nil"/>
              <w:right w:val="nil"/>
            </w:tcBorders>
          </w:tcPr>
          <w:p w14:paraId="58A4CCEE"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43.64***</w:t>
            </w:r>
          </w:p>
          <w:p w14:paraId="4556A013"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(5.97)</w:t>
            </w:r>
          </w:p>
        </w:tc>
        <w:tc>
          <w:tcPr>
            <w:tcW w:w="1440" w:type="dxa"/>
            <w:tcBorders>
              <w:top w:val="single" w:sz="4" w:space="0" w:color="auto"/>
              <w:left w:val="nil"/>
              <w:right w:val="nil"/>
            </w:tcBorders>
          </w:tcPr>
          <w:p w14:paraId="2747DC09"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0AD104AA" w14:textId="77777777" w:rsidR="00D55B20" w:rsidRPr="00AF3324"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43.64***</w:t>
            </w:r>
          </w:p>
          <w:p w14:paraId="0FAC948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(5.97)</w:t>
            </w:r>
          </w:p>
        </w:tc>
        <w:tc>
          <w:tcPr>
            <w:tcW w:w="1440" w:type="dxa"/>
            <w:tcBorders>
              <w:top w:val="single" w:sz="4" w:space="0" w:color="auto"/>
              <w:left w:val="nil"/>
              <w:right w:val="nil"/>
            </w:tcBorders>
          </w:tcPr>
          <w:p w14:paraId="6AC9A274"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c>
          <w:tcPr>
            <w:tcW w:w="1440" w:type="dxa"/>
            <w:tcBorders>
              <w:top w:val="single" w:sz="4" w:space="0" w:color="auto"/>
              <w:left w:val="nil"/>
              <w:right w:val="nil"/>
            </w:tcBorders>
          </w:tcPr>
          <w:p w14:paraId="546A1F92" w14:textId="77777777" w:rsidR="00D55B20" w:rsidRPr="00AF3324" w:rsidRDefault="00D55B20" w:rsidP="00DF14B3">
            <w:pPr>
              <w:pStyle w:val="NoSpacing"/>
              <w:spacing w:line="480" w:lineRule="auto"/>
              <w:jc w:val="center"/>
              <w:rPr>
                <w:rFonts w:ascii="Times New Roman" w:hAnsi="Times New Roman" w:cs="Times New Roman"/>
                <w:b/>
                <w:bCs/>
                <w:sz w:val="22"/>
                <w:szCs w:val="22"/>
              </w:rPr>
            </w:pPr>
            <w:bookmarkStart w:id="9" w:name="_Hlk223629538"/>
            <w:r>
              <w:rPr>
                <w:rFonts w:ascii="Times New Roman" w:hAnsi="Times New Roman" w:cs="Times New Roman"/>
                <w:b/>
                <w:bCs/>
                <w:sz w:val="22"/>
                <w:szCs w:val="22"/>
              </w:rPr>
              <w:t>43.64</w:t>
            </w:r>
            <w:bookmarkEnd w:id="9"/>
            <w:r>
              <w:rPr>
                <w:rFonts w:ascii="Times New Roman" w:hAnsi="Times New Roman" w:cs="Times New Roman"/>
                <w:b/>
                <w:bCs/>
                <w:sz w:val="22"/>
                <w:szCs w:val="22"/>
              </w:rPr>
              <w:t>***</w:t>
            </w:r>
          </w:p>
          <w:p w14:paraId="0649FF6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(6.08)</w:t>
            </w:r>
          </w:p>
        </w:tc>
        <w:tc>
          <w:tcPr>
            <w:tcW w:w="1350" w:type="dxa"/>
            <w:tcBorders>
              <w:top w:val="single" w:sz="4" w:space="0" w:color="auto"/>
              <w:left w:val="nil"/>
              <w:right w:val="nil"/>
            </w:tcBorders>
          </w:tcPr>
          <w:p w14:paraId="5FD6EFD2"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r>
      <w:tr w:rsidR="00D55B20" w:rsidRPr="00D50D6E" w14:paraId="3E12AA8C" w14:textId="77777777" w:rsidTr="00967389">
        <w:trPr>
          <w:trHeight w:val="219"/>
        </w:trPr>
        <w:tc>
          <w:tcPr>
            <w:tcW w:w="1170" w:type="dxa"/>
            <w:tcBorders>
              <w:left w:val="nil"/>
              <w:bottom w:val="nil"/>
              <w:right w:val="nil"/>
            </w:tcBorders>
          </w:tcPr>
          <w:p w14:paraId="52603D0D"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outr</w:t>
            </w:r>
            <w:r>
              <w:rPr>
                <w:rFonts w:ascii="Times New Roman" w:hAnsi="Times New Roman" w:cs="Times New Roman"/>
                <w:b/>
                <w:bCs/>
                <w:i/>
                <w:iCs/>
                <w:sz w:val="22"/>
                <w:szCs w:val="22"/>
                <w:vertAlign w:val="subscript"/>
              </w:rPr>
              <w:t>it</w:t>
            </w:r>
            <w:proofErr w:type="spellEnd"/>
          </w:p>
        </w:tc>
        <w:tc>
          <w:tcPr>
            <w:tcW w:w="1440" w:type="dxa"/>
            <w:tcBorders>
              <w:left w:val="nil"/>
              <w:bottom w:val="nil"/>
              <w:right w:val="nil"/>
            </w:tcBorders>
          </w:tcPr>
          <w:p w14:paraId="5112EDC5"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E38746F"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352.25***</w:t>
            </w:r>
          </w:p>
          <w:p w14:paraId="36D7A64F"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(58.81)</w:t>
            </w:r>
          </w:p>
        </w:tc>
        <w:tc>
          <w:tcPr>
            <w:tcW w:w="1440" w:type="dxa"/>
            <w:tcBorders>
              <w:left w:val="nil"/>
              <w:bottom w:val="nil"/>
              <w:right w:val="nil"/>
            </w:tcBorders>
          </w:tcPr>
          <w:p w14:paraId="0A13F254"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440" w:type="dxa"/>
            <w:tcBorders>
              <w:left w:val="nil"/>
              <w:bottom w:val="nil"/>
              <w:right w:val="nil"/>
            </w:tcBorders>
          </w:tcPr>
          <w:p w14:paraId="3A443AE3"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352.25***</w:t>
            </w:r>
          </w:p>
          <w:p w14:paraId="6693DD0C"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(58.81)</w:t>
            </w:r>
          </w:p>
        </w:tc>
        <w:tc>
          <w:tcPr>
            <w:tcW w:w="1440" w:type="dxa"/>
            <w:tcBorders>
              <w:left w:val="nil"/>
              <w:bottom w:val="nil"/>
              <w:right w:val="nil"/>
            </w:tcBorders>
          </w:tcPr>
          <w:p w14:paraId="5193F33E"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350" w:type="dxa"/>
            <w:tcBorders>
              <w:left w:val="nil"/>
              <w:bottom w:val="nil"/>
              <w:right w:val="nil"/>
            </w:tcBorders>
          </w:tcPr>
          <w:p w14:paraId="33E78237"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bookmarkStart w:id="10" w:name="_Hlk223630156"/>
            <w:r>
              <w:rPr>
                <w:rFonts w:ascii="Times New Roman" w:hAnsi="Times New Roman" w:cs="Times New Roman"/>
                <w:b/>
                <w:bCs/>
                <w:sz w:val="22"/>
                <w:szCs w:val="22"/>
              </w:rPr>
              <w:t>352.25</w:t>
            </w:r>
            <w:bookmarkEnd w:id="10"/>
            <w:r>
              <w:rPr>
                <w:rFonts w:ascii="Times New Roman" w:hAnsi="Times New Roman" w:cs="Times New Roman"/>
                <w:b/>
                <w:bCs/>
                <w:sz w:val="22"/>
                <w:szCs w:val="22"/>
              </w:rPr>
              <w:t>***</w:t>
            </w:r>
          </w:p>
          <w:p w14:paraId="537B5903"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w:t>
            </w:r>
            <w:bookmarkStart w:id="11" w:name="_Hlk223630169"/>
            <w:r>
              <w:rPr>
                <w:rFonts w:ascii="Times New Roman" w:hAnsi="Times New Roman" w:cs="Times New Roman"/>
                <w:b/>
                <w:bCs/>
                <w:sz w:val="22"/>
                <w:szCs w:val="22"/>
              </w:rPr>
              <w:t>77.67</w:t>
            </w:r>
            <w:bookmarkEnd w:id="11"/>
            <w:r>
              <w:rPr>
                <w:rFonts w:ascii="Times New Roman" w:hAnsi="Times New Roman" w:cs="Times New Roman"/>
                <w:b/>
                <w:bCs/>
                <w:sz w:val="22"/>
                <w:szCs w:val="22"/>
              </w:rPr>
              <w:t>)</w:t>
            </w:r>
          </w:p>
        </w:tc>
      </w:tr>
      <w:tr w:rsidR="00D55B20" w:rsidRPr="00D50D6E" w14:paraId="45D05F47" w14:textId="77777777" w:rsidTr="00967389">
        <w:trPr>
          <w:trHeight w:val="612"/>
        </w:trPr>
        <w:tc>
          <w:tcPr>
            <w:tcW w:w="1170" w:type="dxa"/>
            <w:tcBorders>
              <w:top w:val="nil"/>
              <w:left w:val="nil"/>
              <w:bottom w:val="nil"/>
              <w:right w:val="nil"/>
            </w:tcBorders>
          </w:tcPr>
          <w:p w14:paraId="6D258A42"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5435F82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0.54</w:t>
            </w:r>
          </w:p>
          <w:p w14:paraId="357E5C9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(2.177)</w:t>
            </w:r>
          </w:p>
        </w:tc>
        <w:tc>
          <w:tcPr>
            <w:tcW w:w="1440" w:type="dxa"/>
            <w:tcBorders>
              <w:top w:val="nil"/>
              <w:left w:val="nil"/>
              <w:bottom w:val="nil"/>
              <w:right w:val="nil"/>
            </w:tcBorders>
          </w:tcPr>
          <w:p w14:paraId="4BB2037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0.65</w:t>
            </w:r>
          </w:p>
          <w:p w14:paraId="073AB49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(2.20)</w:t>
            </w:r>
          </w:p>
        </w:tc>
        <w:tc>
          <w:tcPr>
            <w:tcW w:w="1440" w:type="dxa"/>
            <w:tcBorders>
              <w:top w:val="nil"/>
              <w:left w:val="nil"/>
              <w:bottom w:val="nil"/>
              <w:right w:val="nil"/>
            </w:tcBorders>
          </w:tcPr>
          <w:p w14:paraId="722E8A3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0.54</w:t>
            </w:r>
          </w:p>
          <w:p w14:paraId="7E7A961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(2.17)</w:t>
            </w:r>
          </w:p>
        </w:tc>
        <w:tc>
          <w:tcPr>
            <w:tcW w:w="1440" w:type="dxa"/>
            <w:tcBorders>
              <w:top w:val="nil"/>
              <w:left w:val="nil"/>
              <w:bottom w:val="nil"/>
              <w:right w:val="nil"/>
            </w:tcBorders>
          </w:tcPr>
          <w:p w14:paraId="3FDCA5E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0.65</w:t>
            </w:r>
          </w:p>
          <w:p w14:paraId="0ED67082"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(2.20)</w:t>
            </w:r>
          </w:p>
        </w:tc>
        <w:tc>
          <w:tcPr>
            <w:tcW w:w="1440" w:type="dxa"/>
            <w:tcBorders>
              <w:top w:val="nil"/>
              <w:left w:val="nil"/>
              <w:bottom w:val="nil"/>
              <w:right w:val="nil"/>
            </w:tcBorders>
          </w:tcPr>
          <w:p w14:paraId="53A6E4E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0.538</w:t>
            </w:r>
          </w:p>
          <w:p w14:paraId="44A9065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(2.748)</w:t>
            </w:r>
          </w:p>
        </w:tc>
        <w:tc>
          <w:tcPr>
            <w:tcW w:w="1350" w:type="dxa"/>
            <w:tcBorders>
              <w:top w:val="nil"/>
              <w:left w:val="nil"/>
              <w:bottom w:val="nil"/>
              <w:right w:val="nil"/>
            </w:tcBorders>
          </w:tcPr>
          <w:p w14:paraId="2364A12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0.65</w:t>
            </w:r>
          </w:p>
          <w:p w14:paraId="668635F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(2.20)</w:t>
            </w:r>
          </w:p>
        </w:tc>
      </w:tr>
      <w:tr w:rsidR="00D55B20" w:rsidRPr="00D50D6E" w14:paraId="22F1A1CA" w14:textId="77777777" w:rsidTr="00967389">
        <w:trPr>
          <w:trHeight w:val="612"/>
        </w:trPr>
        <w:tc>
          <w:tcPr>
            <w:tcW w:w="1170" w:type="dxa"/>
            <w:tcBorders>
              <w:top w:val="nil"/>
              <w:left w:val="nil"/>
              <w:bottom w:val="nil"/>
              <w:right w:val="nil"/>
            </w:tcBorders>
          </w:tcPr>
          <w:p w14:paraId="65E402E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774F54A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-1.88*** </w:t>
            </w:r>
          </w:p>
          <w:p w14:paraId="396F0EC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(0.45)</w:t>
            </w:r>
          </w:p>
        </w:tc>
        <w:tc>
          <w:tcPr>
            <w:tcW w:w="1440" w:type="dxa"/>
            <w:tcBorders>
              <w:top w:val="nil"/>
              <w:left w:val="nil"/>
              <w:bottom w:val="nil"/>
              <w:right w:val="nil"/>
            </w:tcBorders>
          </w:tcPr>
          <w:p w14:paraId="749734E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-1.48*** </w:t>
            </w:r>
          </w:p>
          <w:p w14:paraId="67D61DE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(0.46)</w:t>
            </w:r>
          </w:p>
        </w:tc>
        <w:tc>
          <w:tcPr>
            <w:tcW w:w="1440" w:type="dxa"/>
            <w:tcBorders>
              <w:top w:val="nil"/>
              <w:left w:val="nil"/>
              <w:bottom w:val="nil"/>
              <w:right w:val="nil"/>
            </w:tcBorders>
          </w:tcPr>
          <w:p w14:paraId="1C45C438"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-1.88*** </w:t>
            </w:r>
          </w:p>
          <w:p w14:paraId="3B854CA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(0.45)</w:t>
            </w:r>
          </w:p>
        </w:tc>
        <w:tc>
          <w:tcPr>
            <w:tcW w:w="1440" w:type="dxa"/>
            <w:tcBorders>
              <w:top w:val="nil"/>
              <w:left w:val="nil"/>
              <w:bottom w:val="nil"/>
              <w:right w:val="nil"/>
            </w:tcBorders>
          </w:tcPr>
          <w:p w14:paraId="03DA278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-1.48*** </w:t>
            </w:r>
          </w:p>
          <w:p w14:paraId="632BAB8D"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(0.46)</w:t>
            </w:r>
          </w:p>
        </w:tc>
        <w:tc>
          <w:tcPr>
            <w:tcW w:w="1440" w:type="dxa"/>
            <w:tcBorders>
              <w:top w:val="nil"/>
              <w:left w:val="nil"/>
              <w:bottom w:val="nil"/>
              <w:right w:val="nil"/>
            </w:tcBorders>
          </w:tcPr>
          <w:p w14:paraId="1D6138E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-1.879*** </w:t>
            </w:r>
          </w:p>
          <w:p w14:paraId="35D1F43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(0.479)</w:t>
            </w:r>
          </w:p>
        </w:tc>
        <w:tc>
          <w:tcPr>
            <w:tcW w:w="1350" w:type="dxa"/>
            <w:tcBorders>
              <w:top w:val="nil"/>
              <w:left w:val="nil"/>
              <w:bottom w:val="nil"/>
              <w:right w:val="nil"/>
            </w:tcBorders>
          </w:tcPr>
          <w:p w14:paraId="52923E6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-1.48*** </w:t>
            </w:r>
          </w:p>
          <w:p w14:paraId="4F705174"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(0.36)</w:t>
            </w:r>
          </w:p>
        </w:tc>
      </w:tr>
      <w:tr w:rsidR="00D55B20" w:rsidRPr="00D50D6E" w14:paraId="5078DABE" w14:textId="77777777" w:rsidTr="00967389">
        <w:trPr>
          <w:trHeight w:val="612"/>
        </w:trPr>
        <w:tc>
          <w:tcPr>
            <w:tcW w:w="1170" w:type="dxa"/>
            <w:tcBorders>
              <w:top w:val="nil"/>
              <w:left w:val="nil"/>
              <w:bottom w:val="nil"/>
              <w:right w:val="nil"/>
            </w:tcBorders>
          </w:tcPr>
          <w:p w14:paraId="2AD88346"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4F30D37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408.38*** (100.66)</w:t>
            </w:r>
          </w:p>
        </w:tc>
        <w:tc>
          <w:tcPr>
            <w:tcW w:w="1440" w:type="dxa"/>
            <w:tcBorders>
              <w:top w:val="nil"/>
              <w:left w:val="nil"/>
              <w:bottom w:val="nil"/>
              <w:right w:val="nil"/>
            </w:tcBorders>
          </w:tcPr>
          <w:p w14:paraId="1F2C8D0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293.45*** </w:t>
            </w:r>
          </w:p>
          <w:p w14:paraId="0B2B7D3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(102.39)</w:t>
            </w:r>
          </w:p>
        </w:tc>
        <w:tc>
          <w:tcPr>
            <w:tcW w:w="1440" w:type="dxa"/>
            <w:tcBorders>
              <w:top w:val="nil"/>
              <w:left w:val="nil"/>
              <w:bottom w:val="nil"/>
              <w:right w:val="nil"/>
            </w:tcBorders>
          </w:tcPr>
          <w:p w14:paraId="1E6EA25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408.38*** </w:t>
            </w:r>
          </w:p>
          <w:p w14:paraId="155769E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(100.66)</w:t>
            </w:r>
          </w:p>
        </w:tc>
        <w:tc>
          <w:tcPr>
            <w:tcW w:w="1440" w:type="dxa"/>
            <w:tcBorders>
              <w:top w:val="nil"/>
              <w:left w:val="nil"/>
              <w:bottom w:val="nil"/>
              <w:right w:val="nil"/>
            </w:tcBorders>
          </w:tcPr>
          <w:p w14:paraId="5587A66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293.45*** </w:t>
            </w:r>
          </w:p>
          <w:p w14:paraId="5006A5B0"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(102.39)</w:t>
            </w:r>
          </w:p>
        </w:tc>
        <w:tc>
          <w:tcPr>
            <w:tcW w:w="1440" w:type="dxa"/>
            <w:tcBorders>
              <w:top w:val="nil"/>
              <w:left w:val="nil"/>
              <w:bottom w:val="nil"/>
              <w:right w:val="nil"/>
            </w:tcBorders>
          </w:tcPr>
          <w:p w14:paraId="2A0F319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408.381*** </w:t>
            </w:r>
          </w:p>
          <w:p w14:paraId="23EE7A3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(177.791)</w:t>
            </w:r>
          </w:p>
        </w:tc>
        <w:tc>
          <w:tcPr>
            <w:tcW w:w="1350" w:type="dxa"/>
            <w:tcBorders>
              <w:top w:val="nil"/>
              <w:left w:val="nil"/>
              <w:bottom w:val="nil"/>
              <w:right w:val="nil"/>
            </w:tcBorders>
          </w:tcPr>
          <w:p w14:paraId="0ED2B22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293.45* </w:t>
            </w:r>
          </w:p>
          <w:p w14:paraId="440A0BF0"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(142.88)</w:t>
            </w:r>
          </w:p>
        </w:tc>
      </w:tr>
      <w:tr w:rsidR="00D55B20" w:rsidRPr="00D50D6E" w14:paraId="4F937A97" w14:textId="77777777" w:rsidTr="00967389">
        <w:trPr>
          <w:trHeight w:val="612"/>
        </w:trPr>
        <w:tc>
          <w:tcPr>
            <w:tcW w:w="1170" w:type="dxa"/>
            <w:tcBorders>
              <w:top w:val="nil"/>
              <w:left w:val="nil"/>
              <w:bottom w:val="nil"/>
              <w:right w:val="nil"/>
            </w:tcBorders>
          </w:tcPr>
          <w:p w14:paraId="476C7BB9"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27D333B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18.740*** </w:t>
            </w:r>
          </w:p>
          <w:p w14:paraId="6C7490B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(1.67)</w:t>
            </w:r>
          </w:p>
        </w:tc>
        <w:tc>
          <w:tcPr>
            <w:tcW w:w="1440" w:type="dxa"/>
            <w:tcBorders>
              <w:top w:val="nil"/>
              <w:left w:val="nil"/>
              <w:bottom w:val="nil"/>
              <w:right w:val="nil"/>
            </w:tcBorders>
          </w:tcPr>
          <w:p w14:paraId="4EE1432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17.30*** </w:t>
            </w:r>
          </w:p>
          <w:p w14:paraId="32DB0F4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(1.75)</w:t>
            </w:r>
          </w:p>
        </w:tc>
        <w:tc>
          <w:tcPr>
            <w:tcW w:w="1440" w:type="dxa"/>
            <w:tcBorders>
              <w:top w:val="nil"/>
              <w:left w:val="nil"/>
              <w:bottom w:val="nil"/>
              <w:right w:val="nil"/>
            </w:tcBorders>
          </w:tcPr>
          <w:p w14:paraId="18E51EC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18.74*** </w:t>
            </w:r>
          </w:p>
          <w:p w14:paraId="28D9D2C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(1.67)</w:t>
            </w:r>
          </w:p>
        </w:tc>
        <w:tc>
          <w:tcPr>
            <w:tcW w:w="1440" w:type="dxa"/>
            <w:tcBorders>
              <w:top w:val="nil"/>
              <w:left w:val="nil"/>
              <w:bottom w:val="nil"/>
              <w:right w:val="nil"/>
            </w:tcBorders>
          </w:tcPr>
          <w:p w14:paraId="47777E5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17.30*** </w:t>
            </w:r>
          </w:p>
          <w:p w14:paraId="4E35F6D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(1.75)</w:t>
            </w:r>
          </w:p>
        </w:tc>
        <w:tc>
          <w:tcPr>
            <w:tcW w:w="1440" w:type="dxa"/>
            <w:tcBorders>
              <w:top w:val="nil"/>
              <w:left w:val="nil"/>
              <w:bottom w:val="nil"/>
              <w:right w:val="nil"/>
            </w:tcBorders>
          </w:tcPr>
          <w:p w14:paraId="074A806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18.740*** </w:t>
            </w:r>
          </w:p>
          <w:p w14:paraId="502CA60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(3.415)</w:t>
            </w:r>
          </w:p>
        </w:tc>
        <w:tc>
          <w:tcPr>
            <w:tcW w:w="1350" w:type="dxa"/>
            <w:tcBorders>
              <w:top w:val="nil"/>
              <w:left w:val="nil"/>
              <w:bottom w:val="nil"/>
              <w:right w:val="nil"/>
            </w:tcBorders>
          </w:tcPr>
          <w:p w14:paraId="5BEAB76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17.30*** </w:t>
            </w:r>
          </w:p>
          <w:p w14:paraId="568BE315"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(3.10)</w:t>
            </w:r>
          </w:p>
        </w:tc>
      </w:tr>
      <w:tr w:rsidR="00D55B20" w:rsidRPr="00D50D6E" w14:paraId="3803E02B" w14:textId="77777777" w:rsidTr="00967389">
        <w:trPr>
          <w:trHeight w:val="219"/>
        </w:trPr>
        <w:tc>
          <w:tcPr>
            <w:tcW w:w="1170" w:type="dxa"/>
            <w:tcBorders>
              <w:top w:val="nil"/>
              <w:left w:val="nil"/>
              <w:bottom w:val="single" w:sz="4" w:space="0" w:color="auto"/>
              <w:right w:val="nil"/>
            </w:tcBorders>
          </w:tcPr>
          <w:p w14:paraId="67D2C427" w14:textId="77777777" w:rsidR="00D55B20" w:rsidRPr="0030484F" w:rsidRDefault="00D55B20" w:rsidP="00DF14B3">
            <w:pPr>
              <w:pStyle w:val="NoSpacing"/>
              <w:spacing w:line="480" w:lineRule="auto"/>
              <w:rPr>
                <w:rFonts w:ascii="Times New Roman" w:hAnsi="Times New Roman" w:cs="Times New Roman"/>
                <w:i/>
                <w:iCs/>
                <w:sz w:val="22"/>
                <w:szCs w:val="22"/>
              </w:rPr>
            </w:pPr>
            <w:r>
              <w:rPr>
                <w:rFonts w:ascii="Times New Roman" w:hAnsi="Times New Roman" w:cs="Times New Roman"/>
                <w:i/>
                <w:iCs/>
                <w:sz w:val="22"/>
                <w:szCs w:val="22"/>
              </w:rPr>
              <w:t>constant</w:t>
            </w:r>
          </w:p>
        </w:tc>
        <w:tc>
          <w:tcPr>
            <w:tcW w:w="1440" w:type="dxa"/>
            <w:tcBorders>
              <w:top w:val="nil"/>
              <w:left w:val="nil"/>
              <w:bottom w:val="single" w:sz="4" w:space="0" w:color="auto"/>
              <w:right w:val="nil"/>
            </w:tcBorders>
          </w:tcPr>
          <w:p w14:paraId="1BBBE91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2528.15*** (55.72)</w:t>
            </w:r>
          </w:p>
        </w:tc>
        <w:tc>
          <w:tcPr>
            <w:tcW w:w="1440" w:type="dxa"/>
            <w:tcBorders>
              <w:top w:val="nil"/>
              <w:left w:val="nil"/>
              <w:bottom w:val="single" w:sz="4" w:space="0" w:color="auto"/>
              <w:right w:val="nil"/>
            </w:tcBorders>
          </w:tcPr>
          <w:p w14:paraId="12E9871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2260.30*** </w:t>
            </w:r>
          </w:p>
          <w:p w14:paraId="23F093F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(70.02)</w:t>
            </w:r>
          </w:p>
        </w:tc>
        <w:tc>
          <w:tcPr>
            <w:tcW w:w="1440" w:type="dxa"/>
            <w:tcBorders>
              <w:top w:val="nil"/>
              <w:left w:val="nil"/>
              <w:bottom w:val="single" w:sz="4" w:space="0" w:color="auto"/>
              <w:right w:val="nil"/>
            </w:tcBorders>
          </w:tcPr>
          <w:p w14:paraId="5F6921F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1386.31*** </w:t>
            </w:r>
          </w:p>
          <w:p w14:paraId="5F48627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(28.98)</w:t>
            </w:r>
          </w:p>
        </w:tc>
        <w:tc>
          <w:tcPr>
            <w:tcW w:w="1440" w:type="dxa"/>
            <w:tcBorders>
              <w:top w:val="nil"/>
              <w:left w:val="nil"/>
              <w:bottom w:val="single" w:sz="4" w:space="0" w:color="auto"/>
              <w:right w:val="nil"/>
            </w:tcBorders>
          </w:tcPr>
          <w:p w14:paraId="76F6140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1386.62*** </w:t>
            </w:r>
          </w:p>
          <w:p w14:paraId="596AE4C6"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(29.35)</w:t>
            </w:r>
          </w:p>
        </w:tc>
        <w:tc>
          <w:tcPr>
            <w:tcW w:w="1440" w:type="dxa"/>
            <w:tcBorders>
              <w:top w:val="nil"/>
              <w:left w:val="nil"/>
              <w:bottom w:val="single" w:sz="4" w:space="0" w:color="auto"/>
              <w:right w:val="nil"/>
            </w:tcBorders>
          </w:tcPr>
          <w:p w14:paraId="74D75B9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1386.306*** </w:t>
            </w:r>
          </w:p>
          <w:p w14:paraId="04E0A92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(61.965)</w:t>
            </w:r>
          </w:p>
        </w:tc>
        <w:tc>
          <w:tcPr>
            <w:tcW w:w="1350" w:type="dxa"/>
            <w:tcBorders>
              <w:top w:val="nil"/>
              <w:left w:val="nil"/>
              <w:bottom w:val="single" w:sz="4" w:space="0" w:color="auto"/>
              <w:right w:val="nil"/>
            </w:tcBorders>
          </w:tcPr>
          <w:p w14:paraId="39C5671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1386.62*** </w:t>
            </w:r>
          </w:p>
          <w:p w14:paraId="6510290E"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(72.36)</w:t>
            </w:r>
          </w:p>
        </w:tc>
      </w:tr>
      <w:tr w:rsidR="00D55B20" w:rsidRPr="00D50D6E" w14:paraId="14880055" w14:textId="77777777" w:rsidTr="00967389">
        <w:trPr>
          <w:trHeight w:val="219"/>
        </w:trPr>
        <w:tc>
          <w:tcPr>
            <w:tcW w:w="1170" w:type="dxa"/>
            <w:tcBorders>
              <w:top w:val="single" w:sz="4" w:space="0" w:color="auto"/>
              <w:left w:val="nil"/>
              <w:right w:val="nil"/>
            </w:tcBorders>
          </w:tcPr>
          <w:p w14:paraId="07BBA28C"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Obs.</w:t>
            </w:r>
          </w:p>
        </w:tc>
        <w:tc>
          <w:tcPr>
            <w:tcW w:w="1440" w:type="dxa"/>
            <w:tcBorders>
              <w:top w:val="single" w:sz="4" w:space="0" w:color="auto"/>
              <w:left w:val="nil"/>
              <w:right w:val="nil"/>
            </w:tcBorders>
          </w:tcPr>
          <w:p w14:paraId="44578EEE"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6E13118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6C947CC6"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1783A733"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30B21F5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350" w:type="dxa"/>
            <w:tcBorders>
              <w:top w:val="single" w:sz="4" w:space="0" w:color="auto"/>
              <w:left w:val="nil"/>
              <w:right w:val="nil"/>
            </w:tcBorders>
          </w:tcPr>
          <w:p w14:paraId="3C689E2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r>
      <w:tr w:rsidR="00D55B20" w:rsidRPr="00D50D6E" w14:paraId="2FE9E592" w14:textId="77777777" w:rsidTr="00967389">
        <w:trPr>
          <w:trHeight w:val="219"/>
        </w:trPr>
        <w:tc>
          <w:tcPr>
            <w:tcW w:w="1170" w:type="dxa"/>
            <w:tcBorders>
              <w:left w:val="nil"/>
              <w:right w:val="nil"/>
            </w:tcBorders>
          </w:tcPr>
          <w:p w14:paraId="40817F44"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CS</w:t>
            </w:r>
          </w:p>
        </w:tc>
        <w:tc>
          <w:tcPr>
            <w:tcW w:w="1440" w:type="dxa"/>
            <w:tcBorders>
              <w:left w:val="nil"/>
              <w:right w:val="nil"/>
            </w:tcBorders>
          </w:tcPr>
          <w:p w14:paraId="42FC2AF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5F0A439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27CEDDB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461D106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640BCFA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350" w:type="dxa"/>
            <w:tcBorders>
              <w:left w:val="nil"/>
              <w:right w:val="nil"/>
            </w:tcBorders>
          </w:tcPr>
          <w:p w14:paraId="34294FD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r>
      <w:tr w:rsidR="00D55B20" w:rsidRPr="00B9537B" w14:paraId="54DADE0F" w14:textId="77777777" w:rsidTr="00967389">
        <w:trPr>
          <w:trHeight w:val="219"/>
        </w:trPr>
        <w:tc>
          <w:tcPr>
            <w:tcW w:w="1170" w:type="dxa"/>
            <w:tcBorders>
              <w:left w:val="nil"/>
              <w:bottom w:val="single" w:sz="4" w:space="0" w:color="auto"/>
              <w:right w:val="nil"/>
            </w:tcBorders>
          </w:tcPr>
          <w:p w14:paraId="3B18D76C"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 xml:space="preserve">Sample </w:t>
            </w:r>
          </w:p>
        </w:tc>
        <w:tc>
          <w:tcPr>
            <w:tcW w:w="1440" w:type="dxa"/>
            <w:tcBorders>
              <w:left w:val="nil"/>
              <w:bottom w:val="single" w:sz="4" w:space="0" w:color="auto"/>
              <w:right w:val="nil"/>
            </w:tcBorders>
          </w:tcPr>
          <w:p w14:paraId="430D2BB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440" w:type="dxa"/>
            <w:tcBorders>
              <w:left w:val="nil"/>
              <w:bottom w:val="single" w:sz="4" w:space="0" w:color="auto"/>
              <w:right w:val="nil"/>
            </w:tcBorders>
          </w:tcPr>
          <w:p w14:paraId="6B52F16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440" w:type="dxa"/>
            <w:tcBorders>
              <w:left w:val="nil"/>
              <w:bottom w:val="single" w:sz="4" w:space="0" w:color="auto"/>
              <w:right w:val="nil"/>
            </w:tcBorders>
          </w:tcPr>
          <w:p w14:paraId="680317A3"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hAnsi="Times New Roman"/>
                <w:sz w:val="22"/>
                <w:szCs w:val="22"/>
              </w:rPr>
              <w:t>2000-2023</w:t>
            </w:r>
          </w:p>
        </w:tc>
        <w:tc>
          <w:tcPr>
            <w:tcW w:w="1440" w:type="dxa"/>
            <w:tcBorders>
              <w:left w:val="nil"/>
              <w:bottom w:val="single" w:sz="4" w:space="0" w:color="auto"/>
              <w:right w:val="nil"/>
            </w:tcBorders>
          </w:tcPr>
          <w:p w14:paraId="59AEBCB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440" w:type="dxa"/>
            <w:tcBorders>
              <w:left w:val="nil"/>
              <w:bottom w:val="single" w:sz="4" w:space="0" w:color="auto"/>
              <w:right w:val="nil"/>
            </w:tcBorders>
          </w:tcPr>
          <w:p w14:paraId="1F8B16B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350" w:type="dxa"/>
            <w:tcBorders>
              <w:left w:val="nil"/>
              <w:bottom w:val="single" w:sz="4" w:space="0" w:color="auto"/>
              <w:right w:val="nil"/>
            </w:tcBorders>
          </w:tcPr>
          <w:p w14:paraId="35F360F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r>
      <w:tr w:rsidR="00D55B20" w:rsidRPr="00B9537B" w14:paraId="78450422" w14:textId="77777777" w:rsidTr="00967389">
        <w:trPr>
          <w:trHeight w:val="219"/>
        </w:trPr>
        <w:tc>
          <w:tcPr>
            <w:tcW w:w="1170" w:type="dxa"/>
            <w:tcBorders>
              <w:top w:val="single" w:sz="4" w:space="0" w:color="auto"/>
              <w:left w:val="nil"/>
              <w:right w:val="nil"/>
            </w:tcBorders>
          </w:tcPr>
          <w:p w14:paraId="6B85BD7D" w14:textId="77777777" w:rsidR="00D55B20" w:rsidRPr="0030484F" w:rsidRDefault="00D55B20" w:rsidP="00DF14B3">
            <w:pPr>
              <w:pStyle w:val="NoSpacing"/>
              <w:spacing w:line="480" w:lineRule="auto"/>
              <w:rPr>
                <w:rFonts w:ascii="Times New Roman" w:hAnsi="Times New Roman"/>
                <w:i/>
                <w:iCs/>
                <w:sz w:val="22"/>
                <w:szCs w:val="22"/>
              </w:rPr>
            </w:pPr>
            <w:r>
              <w:rPr>
                <w:rFonts w:ascii="Times New Roman" w:hAnsi="Times New Roman"/>
                <w:sz w:val="22"/>
                <w:szCs w:val="22"/>
              </w:rPr>
              <w:t>F-stat. (</w:t>
            </w:r>
            <w:r>
              <w:rPr>
                <w:rFonts w:ascii="Times New Roman" w:hAnsi="Times New Roman"/>
                <w:i/>
                <w:iCs/>
                <w:sz w:val="22"/>
                <w:szCs w:val="22"/>
              </w:rPr>
              <w:t>p</w:t>
            </w:r>
            <w:r>
              <w:rPr>
                <w:rFonts w:ascii="Times New Roman" w:hAnsi="Times New Roman"/>
                <w:sz w:val="22"/>
                <w:szCs w:val="22"/>
              </w:rPr>
              <w:t>)</w:t>
            </w:r>
          </w:p>
        </w:tc>
        <w:tc>
          <w:tcPr>
            <w:tcW w:w="1440" w:type="dxa"/>
            <w:tcBorders>
              <w:top w:val="single" w:sz="4" w:space="0" w:color="auto"/>
              <w:left w:val="nil"/>
              <w:right w:val="nil"/>
            </w:tcBorders>
          </w:tcPr>
          <w:p w14:paraId="04C34EAA"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sz w:val="22"/>
                <w:szCs w:val="22"/>
              </w:rPr>
              <w:t>0.00</w:t>
            </w:r>
          </w:p>
        </w:tc>
        <w:tc>
          <w:tcPr>
            <w:tcW w:w="1440" w:type="dxa"/>
            <w:tcBorders>
              <w:top w:val="single" w:sz="4" w:space="0" w:color="auto"/>
              <w:left w:val="nil"/>
              <w:right w:val="nil"/>
            </w:tcBorders>
          </w:tcPr>
          <w:p w14:paraId="53AD72C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0.00</w:t>
            </w:r>
          </w:p>
        </w:tc>
        <w:tc>
          <w:tcPr>
            <w:tcW w:w="1440" w:type="dxa"/>
            <w:tcBorders>
              <w:top w:val="single" w:sz="4" w:space="0" w:color="auto"/>
              <w:left w:val="nil"/>
              <w:right w:val="nil"/>
            </w:tcBorders>
          </w:tcPr>
          <w:p w14:paraId="401802EC"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sz w:val="22"/>
                <w:szCs w:val="22"/>
              </w:rPr>
              <w:t>-</w:t>
            </w:r>
          </w:p>
        </w:tc>
        <w:tc>
          <w:tcPr>
            <w:tcW w:w="1440" w:type="dxa"/>
            <w:tcBorders>
              <w:top w:val="single" w:sz="4" w:space="0" w:color="auto"/>
              <w:left w:val="nil"/>
              <w:right w:val="nil"/>
            </w:tcBorders>
          </w:tcPr>
          <w:p w14:paraId="7434E309"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nil"/>
              <w:right w:val="nil"/>
            </w:tcBorders>
          </w:tcPr>
          <w:p w14:paraId="2BF6BF2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350" w:type="dxa"/>
            <w:tcBorders>
              <w:top w:val="single" w:sz="4" w:space="0" w:color="auto"/>
              <w:left w:val="nil"/>
              <w:right w:val="nil"/>
            </w:tcBorders>
          </w:tcPr>
          <w:p w14:paraId="3410818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r>
      <w:tr w:rsidR="00D55B20" w:rsidRPr="00B9537B" w14:paraId="0F591735" w14:textId="77777777" w:rsidTr="00967389">
        <w:trPr>
          <w:trHeight w:val="219"/>
        </w:trPr>
        <w:tc>
          <w:tcPr>
            <w:tcW w:w="1170" w:type="dxa"/>
            <w:tcBorders>
              <w:left w:val="nil"/>
              <w:right w:val="nil"/>
            </w:tcBorders>
          </w:tcPr>
          <w:p w14:paraId="0ABC7721"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cs="Times New Roman"/>
                <w:sz w:val="22"/>
                <w:szCs w:val="22"/>
              </w:rPr>
              <w:t xml:space="preserve">SC </w:t>
            </w:r>
            <w:r>
              <w:rPr>
                <w:rFonts w:ascii="Times New Roman" w:hAnsi="Times New Roman"/>
                <w:sz w:val="22"/>
                <w:szCs w:val="22"/>
              </w:rPr>
              <w:t>(</w:t>
            </w:r>
            <w:r>
              <w:rPr>
                <w:rFonts w:ascii="Times New Roman" w:hAnsi="Times New Roman"/>
                <w:i/>
                <w:iCs/>
                <w:sz w:val="22"/>
                <w:szCs w:val="22"/>
              </w:rPr>
              <w:t>p</w:t>
            </w:r>
            <w:r>
              <w:rPr>
                <w:rFonts w:ascii="Times New Roman" w:hAnsi="Times New Roman"/>
                <w:sz w:val="22"/>
                <w:szCs w:val="22"/>
              </w:rPr>
              <w:t>)</w:t>
            </w:r>
          </w:p>
        </w:tc>
        <w:tc>
          <w:tcPr>
            <w:tcW w:w="1440" w:type="dxa"/>
            <w:tcBorders>
              <w:left w:val="nil"/>
              <w:right w:val="nil"/>
            </w:tcBorders>
          </w:tcPr>
          <w:p w14:paraId="7B32DA5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right w:val="nil"/>
            </w:tcBorders>
          </w:tcPr>
          <w:p w14:paraId="68EE518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right w:val="nil"/>
            </w:tcBorders>
          </w:tcPr>
          <w:p w14:paraId="19B9BA47"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sz w:val="22"/>
                <w:szCs w:val="22"/>
                <w:lang w:val="en-GB"/>
              </w:rPr>
              <w:t>0.00</w:t>
            </w:r>
          </w:p>
        </w:tc>
        <w:tc>
          <w:tcPr>
            <w:tcW w:w="1440" w:type="dxa"/>
            <w:tcBorders>
              <w:left w:val="nil"/>
              <w:right w:val="nil"/>
            </w:tcBorders>
          </w:tcPr>
          <w:p w14:paraId="052BE54D"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0.00</w:t>
            </w:r>
          </w:p>
        </w:tc>
        <w:tc>
          <w:tcPr>
            <w:tcW w:w="1440" w:type="dxa"/>
            <w:tcBorders>
              <w:left w:val="nil"/>
              <w:right w:val="nil"/>
            </w:tcBorders>
          </w:tcPr>
          <w:p w14:paraId="00087499"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c>
          <w:tcPr>
            <w:tcW w:w="1350" w:type="dxa"/>
            <w:tcBorders>
              <w:left w:val="nil"/>
              <w:right w:val="nil"/>
            </w:tcBorders>
          </w:tcPr>
          <w:p w14:paraId="5F6DB8D8"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265D3275" w14:textId="77777777" w:rsidTr="00967389">
        <w:trPr>
          <w:trHeight w:val="219"/>
        </w:trPr>
        <w:tc>
          <w:tcPr>
            <w:tcW w:w="1170" w:type="dxa"/>
            <w:tcBorders>
              <w:left w:val="nil"/>
              <w:bottom w:val="nil"/>
              <w:right w:val="nil"/>
            </w:tcBorders>
          </w:tcPr>
          <w:p w14:paraId="67DBFA1C" w14:textId="77777777" w:rsidR="00D55B20" w:rsidRPr="0030484F" w:rsidRDefault="00D55B20" w:rsidP="00DF14B3">
            <w:pPr>
              <w:pStyle w:val="NoSpacing"/>
              <w:spacing w:line="480" w:lineRule="auto"/>
              <w:rPr>
                <w:rFonts w:ascii="Times New Roman" w:hAnsi="Times New Roman"/>
                <w:sz w:val="22"/>
                <w:szCs w:val="22"/>
              </w:rPr>
            </w:pPr>
            <w:proofErr w:type="gramStart"/>
            <w:r>
              <w:rPr>
                <w:rFonts w:ascii="Times New Roman" w:hAnsi="Times New Roman" w:cs="Times New Roman"/>
                <w:sz w:val="22"/>
                <w:szCs w:val="22"/>
              </w:rPr>
              <w:t>Het.</w:t>
            </w:r>
            <w:r>
              <w:rPr>
                <w:rFonts w:ascii="Times New Roman" w:hAnsi="Times New Roman"/>
                <w:sz w:val="22"/>
                <w:szCs w:val="22"/>
              </w:rPr>
              <w:t>(</w:t>
            </w:r>
            <w:proofErr w:type="gramEnd"/>
            <w:r>
              <w:rPr>
                <w:rFonts w:ascii="Times New Roman" w:hAnsi="Times New Roman"/>
                <w:i/>
                <w:iCs/>
                <w:sz w:val="22"/>
                <w:szCs w:val="22"/>
              </w:rPr>
              <w:t>p</w:t>
            </w:r>
            <w:r>
              <w:rPr>
                <w:rFonts w:ascii="Times New Roman" w:hAnsi="Times New Roman"/>
                <w:sz w:val="22"/>
                <w:szCs w:val="22"/>
              </w:rPr>
              <w:t>)</w:t>
            </w:r>
          </w:p>
        </w:tc>
        <w:tc>
          <w:tcPr>
            <w:tcW w:w="1440" w:type="dxa"/>
            <w:tcBorders>
              <w:left w:val="nil"/>
              <w:bottom w:val="nil"/>
              <w:right w:val="nil"/>
            </w:tcBorders>
          </w:tcPr>
          <w:p w14:paraId="7D16E44D"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bottom w:val="nil"/>
              <w:right w:val="nil"/>
            </w:tcBorders>
          </w:tcPr>
          <w:p w14:paraId="72415FE5"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bottom w:val="nil"/>
              <w:right w:val="nil"/>
            </w:tcBorders>
          </w:tcPr>
          <w:p w14:paraId="5108D332"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sz w:val="22"/>
                <w:szCs w:val="22"/>
                <w:lang w:val="en-GB"/>
              </w:rPr>
              <w:t>0.17</w:t>
            </w:r>
          </w:p>
        </w:tc>
        <w:tc>
          <w:tcPr>
            <w:tcW w:w="1440" w:type="dxa"/>
            <w:tcBorders>
              <w:left w:val="nil"/>
              <w:bottom w:val="nil"/>
              <w:right w:val="nil"/>
            </w:tcBorders>
          </w:tcPr>
          <w:p w14:paraId="5A9AFA82"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0.56</w:t>
            </w:r>
          </w:p>
        </w:tc>
        <w:tc>
          <w:tcPr>
            <w:tcW w:w="1440" w:type="dxa"/>
            <w:tcBorders>
              <w:left w:val="nil"/>
              <w:bottom w:val="nil"/>
              <w:right w:val="nil"/>
            </w:tcBorders>
          </w:tcPr>
          <w:p w14:paraId="068922CC"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c>
          <w:tcPr>
            <w:tcW w:w="1350" w:type="dxa"/>
            <w:tcBorders>
              <w:left w:val="nil"/>
              <w:bottom w:val="nil"/>
              <w:right w:val="nil"/>
            </w:tcBorders>
          </w:tcPr>
          <w:p w14:paraId="5608B038"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62CEB613" w14:textId="77777777" w:rsidTr="00967389">
        <w:trPr>
          <w:trHeight w:val="219"/>
        </w:trPr>
        <w:tc>
          <w:tcPr>
            <w:tcW w:w="9720" w:type="dxa"/>
            <w:gridSpan w:val="7"/>
            <w:tcBorders>
              <w:top w:val="single" w:sz="6" w:space="0" w:color="auto"/>
              <w:left w:val="nil"/>
              <w:bottom w:val="nil"/>
              <w:right w:val="nil"/>
            </w:tcBorders>
          </w:tcPr>
          <w:p w14:paraId="60656B5F" w14:textId="77777777" w:rsidR="00D55B20" w:rsidRPr="00B9537B"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Standard error statistic in parentheses (…). </w:t>
            </w:r>
            <w:r>
              <w:rPr>
                <w:rFonts w:ascii="Times New Roman" w:hAnsi="Times New Roman"/>
                <w:b/>
                <w:bCs/>
                <w:sz w:val="20"/>
                <w:szCs w:val="20"/>
              </w:rPr>
              <w:t>Note 2</w:t>
            </w:r>
            <w:r>
              <w:rPr>
                <w:rFonts w:ascii="Times New Roman" w:hAnsi="Times New Roman"/>
                <w:sz w:val="20"/>
                <w:szCs w:val="20"/>
              </w:rPr>
              <w:t xml:space="preserve">: ***, **, and * signify p-values less than 0.01, 0.05, and 0.10, respectively. SC= </w:t>
            </w:r>
            <w:r>
              <w:rPr>
                <w:rFonts w:ascii="Times New Roman" w:hAnsi="Times New Roman" w:cs="Times New Roman"/>
                <w:sz w:val="20"/>
                <w:szCs w:val="20"/>
              </w:rPr>
              <w:t>Serial Correlation, p = p-value, Het. = Heteroskedasticity</w:t>
            </w:r>
          </w:p>
          <w:p w14:paraId="2DD5168C" w14:textId="77777777" w:rsidR="00D55B20" w:rsidRPr="00B9537B" w:rsidRDefault="00D55B20" w:rsidP="00DF14B3">
            <w:pPr>
              <w:pStyle w:val="NoSpacing"/>
              <w:jc w:val="both"/>
              <w:rPr>
                <w:rFonts w:ascii="Times New Roman" w:hAnsi="Times New Roman"/>
                <w:b/>
                <w:bCs/>
                <w:sz w:val="20"/>
                <w:szCs w:val="20"/>
              </w:rPr>
            </w:pPr>
            <w:r>
              <w:rPr>
                <w:rFonts w:ascii="Times New Roman" w:hAnsi="Times New Roman"/>
                <w:b/>
                <w:bCs/>
                <w:sz w:val="20"/>
                <w:szCs w:val="20"/>
              </w:rPr>
              <w:t>Source</w:t>
            </w:r>
            <w:r>
              <w:rPr>
                <w:rFonts w:ascii="Times New Roman" w:hAnsi="Times New Roman"/>
                <w:sz w:val="20"/>
                <w:szCs w:val="20"/>
              </w:rPr>
              <w:t xml:space="preserve">: Author’s computation, 2026.  </w:t>
            </w:r>
          </w:p>
        </w:tc>
      </w:tr>
    </w:tbl>
    <w:p w14:paraId="2F2BE01A" w14:textId="77777777" w:rsidR="00D55B20" w:rsidRDefault="00D55B20" w:rsidP="00D55B20">
      <w:pPr>
        <w:pStyle w:val="NoSpacing"/>
        <w:jc w:val="both"/>
        <w:rPr>
          <w:rFonts w:ascii="Times New Roman" w:hAnsi="Times New Roman"/>
          <w:lang w:val="en-GB"/>
        </w:rPr>
      </w:pPr>
    </w:p>
    <w:p w14:paraId="4141202F" w14:textId="77777777" w:rsidR="00D55B20" w:rsidRDefault="00D55B20" w:rsidP="00D55B20">
      <w:pPr>
        <w:pStyle w:val="NoSpacing"/>
        <w:ind w:right="-450"/>
        <w:jc w:val="both"/>
        <w:rPr>
          <w:rFonts w:ascii="Times New Roman" w:hAnsi="Times New Roman"/>
          <w:lang w:val="en-GB"/>
        </w:rPr>
        <w:sectPr w:rsidR="00D55B20" w:rsidSect="00D55B20">
          <w:pgSz w:w="12240" w:h="15840"/>
          <w:pgMar w:top="1440" w:right="1440" w:bottom="1440" w:left="1440" w:header="720" w:footer="720" w:gutter="0"/>
          <w:cols w:space="720"/>
          <w:docGrid w:linePitch="360"/>
        </w:sectPr>
      </w:pPr>
    </w:p>
    <w:p w14:paraId="7A7C83A3" w14:textId="77777777" w:rsidR="00D55B20" w:rsidRPr="00371AA0" w:rsidRDefault="00D55B20" w:rsidP="00D55B20">
      <w:pPr>
        <w:pStyle w:val="NoSpacing"/>
        <w:ind w:right="-450"/>
        <w:jc w:val="both"/>
        <w:rPr>
          <w:rFonts w:ascii="Times New Roman" w:hAnsi="Times New Roman"/>
          <w:b/>
          <w:bCs/>
          <w:highlight w:val="yellow"/>
        </w:rPr>
      </w:pPr>
      <w:bookmarkStart w:id="12" w:name="_Hlk223630679"/>
      <w:r>
        <w:rPr>
          <w:rFonts w:ascii="Times New Roman" w:hAnsi="Times New Roman"/>
          <w:lang w:val="en-GB"/>
        </w:rPr>
        <w:lastRenderedPageBreak/>
        <w:t>T</w:t>
      </w:r>
      <w:r>
        <w:rPr>
          <w:rFonts w:ascii="Times New Roman" w:hAnsi="Times New Roman"/>
        </w:rPr>
        <w:t>able 7:</w:t>
      </w:r>
      <w:r>
        <w:rPr>
          <w:rFonts w:ascii="Times New Roman" w:hAnsi="Times New Roman"/>
          <w:b/>
          <w:bCs/>
        </w:rPr>
        <w:t xml:space="preserve"> </w:t>
      </w:r>
      <w:r>
        <w:rPr>
          <w:rFonts w:ascii="Times New Roman" w:hAnsi="Times New Roman"/>
        </w:rPr>
        <w:t>Estimators for examining the impact of inward remittances on per capita income among the selected low-income SSA countries (Dependent variable = GDP per capita at 2015 constant prices)</w:t>
      </w:r>
    </w:p>
    <w:tbl>
      <w:tblPr>
        <w:tblW w:w="9810" w:type="dxa"/>
        <w:tblLayout w:type="fixed"/>
        <w:tblLook w:val="0000" w:firstRow="0" w:lastRow="0" w:firstColumn="0" w:lastColumn="0" w:noHBand="0" w:noVBand="0"/>
      </w:tblPr>
      <w:tblGrid>
        <w:gridCol w:w="1170"/>
        <w:gridCol w:w="1440"/>
        <w:gridCol w:w="1440"/>
        <w:gridCol w:w="1440"/>
        <w:gridCol w:w="1440"/>
        <w:gridCol w:w="1440"/>
        <w:gridCol w:w="1440"/>
      </w:tblGrid>
      <w:tr w:rsidR="00D55B20" w:rsidRPr="00D50D6E" w14:paraId="2DCC37D7" w14:textId="77777777" w:rsidTr="00DF14B3">
        <w:trPr>
          <w:trHeight w:val="219"/>
        </w:trPr>
        <w:tc>
          <w:tcPr>
            <w:tcW w:w="1170" w:type="dxa"/>
            <w:vMerge w:val="restart"/>
            <w:tcBorders>
              <w:top w:val="single" w:sz="4" w:space="0" w:color="auto"/>
              <w:left w:val="nil"/>
              <w:right w:val="nil"/>
            </w:tcBorders>
          </w:tcPr>
          <w:p w14:paraId="15D2F8E2" w14:textId="77777777" w:rsidR="00D55B20" w:rsidRDefault="00D55B20" w:rsidP="00DF14B3">
            <w:pPr>
              <w:pStyle w:val="NoSpacing"/>
              <w:rPr>
                <w:rFonts w:ascii="Times New Roman" w:hAnsi="Times New Roman"/>
              </w:rPr>
            </w:pPr>
          </w:p>
          <w:p w14:paraId="59A2A288" w14:textId="77777777" w:rsidR="00D55B20" w:rsidRPr="0028474B" w:rsidRDefault="00D55B20" w:rsidP="00DF14B3">
            <w:pPr>
              <w:pStyle w:val="NoSpacing"/>
              <w:rPr>
                <w:rFonts w:ascii="Times New Roman" w:hAnsi="Times New Roman"/>
              </w:rPr>
            </w:pPr>
            <w:r>
              <w:rPr>
                <w:rFonts w:ascii="Times New Roman" w:hAnsi="Times New Roman"/>
              </w:rPr>
              <w:t>Variables</w:t>
            </w:r>
          </w:p>
        </w:tc>
        <w:tc>
          <w:tcPr>
            <w:tcW w:w="2880" w:type="dxa"/>
            <w:gridSpan w:val="2"/>
            <w:tcBorders>
              <w:top w:val="single" w:sz="4" w:space="0" w:color="auto"/>
              <w:left w:val="nil"/>
              <w:bottom w:val="nil"/>
              <w:right w:val="nil"/>
            </w:tcBorders>
          </w:tcPr>
          <w:p w14:paraId="4F423098"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Pooled OLS</w:t>
            </w:r>
          </w:p>
        </w:tc>
        <w:tc>
          <w:tcPr>
            <w:tcW w:w="2880" w:type="dxa"/>
            <w:gridSpan w:val="2"/>
            <w:tcBorders>
              <w:top w:val="single" w:sz="4" w:space="0" w:color="auto"/>
              <w:left w:val="nil"/>
              <w:bottom w:val="nil"/>
              <w:right w:val="nil"/>
            </w:tcBorders>
          </w:tcPr>
          <w:p w14:paraId="394F145B"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Fixed Effect</w:t>
            </w:r>
          </w:p>
        </w:tc>
        <w:tc>
          <w:tcPr>
            <w:tcW w:w="2880" w:type="dxa"/>
            <w:gridSpan w:val="2"/>
            <w:tcBorders>
              <w:top w:val="single" w:sz="4" w:space="0" w:color="auto"/>
              <w:left w:val="nil"/>
              <w:bottom w:val="nil"/>
              <w:right w:val="nil"/>
            </w:tcBorders>
          </w:tcPr>
          <w:p w14:paraId="29CCB86F"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Driscoll-Kraay</w:t>
            </w:r>
          </w:p>
        </w:tc>
      </w:tr>
      <w:tr w:rsidR="00D55B20" w:rsidRPr="00D50D6E" w14:paraId="6BCC55ED" w14:textId="77777777" w:rsidTr="00DF14B3">
        <w:trPr>
          <w:trHeight w:val="219"/>
        </w:trPr>
        <w:tc>
          <w:tcPr>
            <w:tcW w:w="1170" w:type="dxa"/>
            <w:vMerge/>
            <w:tcBorders>
              <w:left w:val="nil"/>
              <w:bottom w:val="nil"/>
              <w:right w:val="nil"/>
            </w:tcBorders>
          </w:tcPr>
          <w:p w14:paraId="0E8711D1" w14:textId="77777777" w:rsidR="00D55B20" w:rsidRPr="0028474B" w:rsidRDefault="00D55B20" w:rsidP="00DF14B3">
            <w:pPr>
              <w:pStyle w:val="NoSpacing"/>
              <w:rPr>
                <w:rFonts w:ascii="Times New Roman" w:hAnsi="Times New Roman"/>
                <w:i/>
                <w:iCs/>
              </w:rPr>
            </w:pPr>
          </w:p>
        </w:tc>
        <w:tc>
          <w:tcPr>
            <w:tcW w:w="1440" w:type="dxa"/>
            <w:tcBorders>
              <w:top w:val="single" w:sz="4" w:space="0" w:color="auto"/>
              <w:left w:val="nil"/>
              <w:bottom w:val="nil"/>
              <w:right w:val="nil"/>
            </w:tcBorders>
          </w:tcPr>
          <w:p w14:paraId="6EC3492D" w14:textId="77777777" w:rsidR="00D55B20" w:rsidRPr="0028474B"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54DB43C6" w14:textId="77777777" w:rsidR="00D55B20" w:rsidRPr="009F2E2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7AC3E9A7" w14:textId="77777777" w:rsidR="00D55B20" w:rsidRPr="00F053EF"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48E7ACFE"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7AE479E4" w14:textId="77777777" w:rsidR="00D55B20" w:rsidRPr="003F1B67"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2A251611"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r>
      <w:tr w:rsidR="00D55B20" w:rsidRPr="00D50D6E" w14:paraId="30FA40BC" w14:textId="77777777" w:rsidTr="00DF14B3">
        <w:trPr>
          <w:trHeight w:val="219"/>
        </w:trPr>
        <w:tc>
          <w:tcPr>
            <w:tcW w:w="1170" w:type="dxa"/>
            <w:tcBorders>
              <w:top w:val="single" w:sz="4" w:space="0" w:color="auto"/>
              <w:left w:val="nil"/>
              <w:right w:val="nil"/>
            </w:tcBorders>
          </w:tcPr>
          <w:p w14:paraId="19095771"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inr</w:t>
            </w:r>
            <w:r>
              <w:rPr>
                <w:rFonts w:ascii="Times New Roman" w:hAnsi="Times New Roman" w:cs="Times New Roman"/>
                <w:b/>
                <w:bCs/>
                <w:i/>
                <w:iCs/>
                <w:sz w:val="22"/>
                <w:szCs w:val="22"/>
                <w:vertAlign w:val="subscript"/>
              </w:rPr>
              <w:t>it</w:t>
            </w:r>
            <w:proofErr w:type="spellEnd"/>
            <w:r>
              <w:rPr>
                <w:rFonts w:ascii="Times New Roman" w:hAnsi="Times New Roman" w:cs="Times New Roman"/>
                <w:b/>
                <w:bCs/>
                <w:i/>
                <w:iCs/>
                <w:sz w:val="22"/>
                <w:szCs w:val="22"/>
              </w:rPr>
              <w:t xml:space="preserve">       </w:t>
            </w:r>
          </w:p>
        </w:tc>
        <w:tc>
          <w:tcPr>
            <w:tcW w:w="1440" w:type="dxa"/>
            <w:tcBorders>
              <w:top w:val="single" w:sz="4" w:space="0" w:color="auto"/>
              <w:left w:val="nil"/>
              <w:right w:val="nil"/>
            </w:tcBorders>
          </w:tcPr>
          <w:p w14:paraId="166C44B9" w14:textId="77777777" w:rsidR="00D55B20" w:rsidRPr="0030317C"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248.03***</w:t>
            </w:r>
          </w:p>
          <w:p w14:paraId="5295294C"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(21.80)</w:t>
            </w:r>
          </w:p>
        </w:tc>
        <w:tc>
          <w:tcPr>
            <w:tcW w:w="1440" w:type="dxa"/>
            <w:tcBorders>
              <w:top w:val="single" w:sz="4" w:space="0" w:color="auto"/>
              <w:left w:val="nil"/>
              <w:right w:val="nil"/>
            </w:tcBorders>
          </w:tcPr>
          <w:p w14:paraId="3F5E3C60"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1D3EFAB4" w14:textId="77777777" w:rsidR="00D55B20" w:rsidRPr="0030317C"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248.03***</w:t>
            </w:r>
          </w:p>
          <w:p w14:paraId="14249E5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(21.80)</w:t>
            </w:r>
          </w:p>
        </w:tc>
        <w:tc>
          <w:tcPr>
            <w:tcW w:w="1440" w:type="dxa"/>
            <w:tcBorders>
              <w:top w:val="single" w:sz="4" w:space="0" w:color="auto"/>
              <w:left w:val="nil"/>
              <w:right w:val="nil"/>
            </w:tcBorders>
          </w:tcPr>
          <w:p w14:paraId="5BDB260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c>
          <w:tcPr>
            <w:tcW w:w="1440" w:type="dxa"/>
            <w:tcBorders>
              <w:top w:val="single" w:sz="4" w:space="0" w:color="auto"/>
              <w:left w:val="nil"/>
              <w:right w:val="nil"/>
            </w:tcBorders>
          </w:tcPr>
          <w:p w14:paraId="014DC943" w14:textId="77777777" w:rsidR="00D55B20" w:rsidRPr="0030317C"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248.03***</w:t>
            </w:r>
          </w:p>
          <w:p w14:paraId="202EBB1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(47.39)</w:t>
            </w:r>
          </w:p>
        </w:tc>
        <w:tc>
          <w:tcPr>
            <w:tcW w:w="1440" w:type="dxa"/>
            <w:tcBorders>
              <w:top w:val="single" w:sz="4" w:space="0" w:color="auto"/>
              <w:left w:val="nil"/>
              <w:right w:val="nil"/>
            </w:tcBorders>
          </w:tcPr>
          <w:p w14:paraId="3BCC8AEC"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r>
      <w:tr w:rsidR="00D55B20" w:rsidRPr="00D50D6E" w14:paraId="25EE83C6" w14:textId="77777777" w:rsidTr="00DF14B3">
        <w:trPr>
          <w:trHeight w:val="219"/>
        </w:trPr>
        <w:tc>
          <w:tcPr>
            <w:tcW w:w="1170" w:type="dxa"/>
            <w:tcBorders>
              <w:left w:val="nil"/>
              <w:bottom w:val="nil"/>
              <w:right w:val="nil"/>
            </w:tcBorders>
          </w:tcPr>
          <w:p w14:paraId="0B9248E9"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outr</w:t>
            </w:r>
            <w:r>
              <w:rPr>
                <w:rFonts w:ascii="Times New Roman" w:hAnsi="Times New Roman" w:cs="Times New Roman"/>
                <w:b/>
                <w:bCs/>
                <w:i/>
                <w:iCs/>
                <w:sz w:val="22"/>
                <w:szCs w:val="22"/>
                <w:vertAlign w:val="subscript"/>
              </w:rPr>
              <w:t>it</w:t>
            </w:r>
            <w:proofErr w:type="spellEnd"/>
          </w:p>
        </w:tc>
        <w:tc>
          <w:tcPr>
            <w:tcW w:w="1440" w:type="dxa"/>
            <w:tcBorders>
              <w:left w:val="nil"/>
              <w:bottom w:val="nil"/>
              <w:right w:val="nil"/>
            </w:tcBorders>
          </w:tcPr>
          <w:p w14:paraId="0603D99B"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CBFC34F"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306.98***</w:t>
            </w:r>
          </w:p>
          <w:p w14:paraId="43B489C9"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(108.83)</w:t>
            </w:r>
          </w:p>
        </w:tc>
        <w:tc>
          <w:tcPr>
            <w:tcW w:w="1440" w:type="dxa"/>
            <w:tcBorders>
              <w:left w:val="nil"/>
              <w:bottom w:val="nil"/>
              <w:right w:val="nil"/>
            </w:tcBorders>
          </w:tcPr>
          <w:p w14:paraId="0016C6EE"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440" w:type="dxa"/>
            <w:tcBorders>
              <w:left w:val="nil"/>
              <w:bottom w:val="nil"/>
              <w:right w:val="nil"/>
            </w:tcBorders>
          </w:tcPr>
          <w:p w14:paraId="04DA42F3"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306.98***</w:t>
            </w:r>
          </w:p>
          <w:p w14:paraId="4447176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(108.83)</w:t>
            </w:r>
          </w:p>
        </w:tc>
        <w:tc>
          <w:tcPr>
            <w:tcW w:w="1440" w:type="dxa"/>
            <w:tcBorders>
              <w:left w:val="nil"/>
              <w:bottom w:val="nil"/>
              <w:right w:val="nil"/>
            </w:tcBorders>
          </w:tcPr>
          <w:p w14:paraId="7658C716"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440" w:type="dxa"/>
            <w:tcBorders>
              <w:left w:val="nil"/>
              <w:bottom w:val="nil"/>
              <w:right w:val="nil"/>
            </w:tcBorders>
          </w:tcPr>
          <w:p w14:paraId="46DA7F5E"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306.98***</w:t>
            </w:r>
          </w:p>
          <w:p w14:paraId="47551409"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(104.02)</w:t>
            </w:r>
          </w:p>
        </w:tc>
      </w:tr>
      <w:tr w:rsidR="00D55B20" w:rsidRPr="00D50D6E" w14:paraId="58E53D7A" w14:textId="77777777" w:rsidTr="00DF14B3">
        <w:trPr>
          <w:trHeight w:val="612"/>
        </w:trPr>
        <w:tc>
          <w:tcPr>
            <w:tcW w:w="1170" w:type="dxa"/>
            <w:tcBorders>
              <w:top w:val="nil"/>
              <w:left w:val="nil"/>
              <w:bottom w:val="nil"/>
              <w:right w:val="nil"/>
            </w:tcBorders>
          </w:tcPr>
          <w:p w14:paraId="4A4208FD"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625FA561"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4.06*** </w:t>
            </w:r>
          </w:p>
          <w:p w14:paraId="0A58616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(1.32)</w:t>
            </w:r>
          </w:p>
        </w:tc>
        <w:tc>
          <w:tcPr>
            <w:tcW w:w="1440" w:type="dxa"/>
            <w:tcBorders>
              <w:top w:val="nil"/>
              <w:left w:val="nil"/>
              <w:bottom w:val="nil"/>
              <w:right w:val="nil"/>
            </w:tcBorders>
          </w:tcPr>
          <w:p w14:paraId="7B9DFDEA" w14:textId="77777777" w:rsidR="00D55B20"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4.57*** </w:t>
            </w:r>
          </w:p>
          <w:p w14:paraId="7722F51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(1.53)</w:t>
            </w:r>
          </w:p>
        </w:tc>
        <w:tc>
          <w:tcPr>
            <w:tcW w:w="1440" w:type="dxa"/>
            <w:tcBorders>
              <w:top w:val="nil"/>
              <w:left w:val="nil"/>
              <w:bottom w:val="nil"/>
              <w:right w:val="nil"/>
            </w:tcBorders>
          </w:tcPr>
          <w:p w14:paraId="13224429"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4.06*** </w:t>
            </w:r>
          </w:p>
          <w:p w14:paraId="249D9EA8"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(1.32)</w:t>
            </w:r>
          </w:p>
        </w:tc>
        <w:tc>
          <w:tcPr>
            <w:tcW w:w="1440" w:type="dxa"/>
            <w:tcBorders>
              <w:top w:val="nil"/>
              <w:left w:val="nil"/>
              <w:bottom w:val="nil"/>
              <w:right w:val="nil"/>
            </w:tcBorders>
          </w:tcPr>
          <w:p w14:paraId="4DDC4AA1" w14:textId="77777777" w:rsidR="00D55B20"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4.57*** </w:t>
            </w:r>
          </w:p>
          <w:p w14:paraId="1727D3CA"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(1.53)</w:t>
            </w:r>
          </w:p>
        </w:tc>
        <w:tc>
          <w:tcPr>
            <w:tcW w:w="1440" w:type="dxa"/>
            <w:tcBorders>
              <w:top w:val="nil"/>
              <w:left w:val="nil"/>
              <w:bottom w:val="nil"/>
              <w:right w:val="nil"/>
            </w:tcBorders>
          </w:tcPr>
          <w:p w14:paraId="6DF4A2EE"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4.06** </w:t>
            </w:r>
          </w:p>
          <w:p w14:paraId="5D1B674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(1.55)</w:t>
            </w:r>
          </w:p>
        </w:tc>
        <w:tc>
          <w:tcPr>
            <w:tcW w:w="1440" w:type="dxa"/>
            <w:tcBorders>
              <w:top w:val="nil"/>
              <w:left w:val="nil"/>
              <w:bottom w:val="nil"/>
              <w:right w:val="nil"/>
            </w:tcBorders>
          </w:tcPr>
          <w:p w14:paraId="7F567232" w14:textId="77777777" w:rsidR="00D55B20"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4.57** </w:t>
            </w:r>
          </w:p>
          <w:p w14:paraId="3267F315"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(2.01)</w:t>
            </w:r>
          </w:p>
        </w:tc>
      </w:tr>
      <w:tr w:rsidR="00D55B20" w:rsidRPr="00D50D6E" w14:paraId="2B9DDC39" w14:textId="77777777" w:rsidTr="00DF14B3">
        <w:trPr>
          <w:trHeight w:val="612"/>
        </w:trPr>
        <w:tc>
          <w:tcPr>
            <w:tcW w:w="1170" w:type="dxa"/>
            <w:tcBorders>
              <w:top w:val="nil"/>
              <w:left w:val="nil"/>
              <w:bottom w:val="nil"/>
              <w:right w:val="nil"/>
            </w:tcBorders>
          </w:tcPr>
          <w:p w14:paraId="6D744AC8"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2165D637"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-0.82*** </w:t>
            </w:r>
          </w:p>
          <w:p w14:paraId="5AD7C3A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(0.25)</w:t>
            </w:r>
          </w:p>
        </w:tc>
        <w:tc>
          <w:tcPr>
            <w:tcW w:w="1440" w:type="dxa"/>
            <w:tcBorders>
              <w:top w:val="nil"/>
              <w:left w:val="nil"/>
              <w:bottom w:val="nil"/>
              <w:right w:val="nil"/>
            </w:tcBorders>
          </w:tcPr>
          <w:p w14:paraId="227B0A4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-0.82*** </w:t>
            </w:r>
          </w:p>
          <w:p w14:paraId="65455F3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(0.30)</w:t>
            </w:r>
          </w:p>
        </w:tc>
        <w:tc>
          <w:tcPr>
            <w:tcW w:w="1440" w:type="dxa"/>
            <w:tcBorders>
              <w:top w:val="nil"/>
              <w:left w:val="nil"/>
              <w:bottom w:val="nil"/>
              <w:right w:val="nil"/>
            </w:tcBorders>
          </w:tcPr>
          <w:p w14:paraId="3162A7A2"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-0.82*** </w:t>
            </w:r>
          </w:p>
          <w:p w14:paraId="30C5C5D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(0.25)</w:t>
            </w:r>
          </w:p>
        </w:tc>
        <w:tc>
          <w:tcPr>
            <w:tcW w:w="1440" w:type="dxa"/>
            <w:tcBorders>
              <w:top w:val="nil"/>
              <w:left w:val="nil"/>
              <w:bottom w:val="nil"/>
              <w:right w:val="nil"/>
            </w:tcBorders>
          </w:tcPr>
          <w:p w14:paraId="2E43E11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-0.82*** </w:t>
            </w:r>
          </w:p>
          <w:p w14:paraId="7D1DE45F"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(0.30)</w:t>
            </w:r>
          </w:p>
        </w:tc>
        <w:tc>
          <w:tcPr>
            <w:tcW w:w="1440" w:type="dxa"/>
            <w:tcBorders>
              <w:top w:val="nil"/>
              <w:left w:val="nil"/>
              <w:bottom w:val="nil"/>
              <w:right w:val="nil"/>
            </w:tcBorders>
          </w:tcPr>
          <w:p w14:paraId="7ECF0E3D"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-0.82** </w:t>
            </w:r>
          </w:p>
          <w:p w14:paraId="6862329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(0.30)</w:t>
            </w:r>
          </w:p>
        </w:tc>
        <w:tc>
          <w:tcPr>
            <w:tcW w:w="1440" w:type="dxa"/>
            <w:tcBorders>
              <w:top w:val="nil"/>
              <w:left w:val="nil"/>
              <w:bottom w:val="nil"/>
              <w:right w:val="nil"/>
            </w:tcBorders>
          </w:tcPr>
          <w:p w14:paraId="1A3AE0F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-0.82** </w:t>
            </w:r>
          </w:p>
          <w:p w14:paraId="5FD5E422"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(0.32)</w:t>
            </w:r>
          </w:p>
        </w:tc>
      </w:tr>
      <w:tr w:rsidR="00D55B20" w:rsidRPr="00D50D6E" w14:paraId="3B1137A8" w14:textId="77777777" w:rsidTr="00DF14B3">
        <w:trPr>
          <w:trHeight w:val="612"/>
        </w:trPr>
        <w:tc>
          <w:tcPr>
            <w:tcW w:w="1170" w:type="dxa"/>
            <w:tcBorders>
              <w:top w:val="nil"/>
              <w:left w:val="nil"/>
              <w:bottom w:val="nil"/>
              <w:right w:val="nil"/>
            </w:tcBorders>
          </w:tcPr>
          <w:p w14:paraId="62163173"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0873F23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328.51*** (56.71)</w:t>
            </w:r>
          </w:p>
        </w:tc>
        <w:tc>
          <w:tcPr>
            <w:tcW w:w="1440" w:type="dxa"/>
            <w:tcBorders>
              <w:top w:val="nil"/>
              <w:left w:val="nil"/>
              <w:bottom w:val="nil"/>
              <w:right w:val="nil"/>
            </w:tcBorders>
          </w:tcPr>
          <w:p w14:paraId="631F7E2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288.07*** </w:t>
            </w:r>
          </w:p>
          <w:p w14:paraId="4A382A3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(65.98)</w:t>
            </w:r>
          </w:p>
        </w:tc>
        <w:tc>
          <w:tcPr>
            <w:tcW w:w="1440" w:type="dxa"/>
            <w:tcBorders>
              <w:top w:val="nil"/>
              <w:left w:val="nil"/>
              <w:bottom w:val="nil"/>
              <w:right w:val="nil"/>
            </w:tcBorders>
          </w:tcPr>
          <w:p w14:paraId="67B742DC"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328.51*** </w:t>
            </w:r>
          </w:p>
          <w:p w14:paraId="7C8CE07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(56.70)</w:t>
            </w:r>
          </w:p>
        </w:tc>
        <w:tc>
          <w:tcPr>
            <w:tcW w:w="1440" w:type="dxa"/>
            <w:tcBorders>
              <w:top w:val="nil"/>
              <w:left w:val="nil"/>
              <w:bottom w:val="nil"/>
              <w:right w:val="nil"/>
            </w:tcBorders>
          </w:tcPr>
          <w:p w14:paraId="438B25D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288.07*** </w:t>
            </w:r>
          </w:p>
          <w:p w14:paraId="4C36A9F4"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(65.98)</w:t>
            </w:r>
          </w:p>
        </w:tc>
        <w:tc>
          <w:tcPr>
            <w:tcW w:w="1440" w:type="dxa"/>
            <w:tcBorders>
              <w:top w:val="nil"/>
              <w:left w:val="nil"/>
              <w:bottom w:val="nil"/>
              <w:right w:val="nil"/>
            </w:tcBorders>
          </w:tcPr>
          <w:p w14:paraId="6822C61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328.51*** (53.15)</w:t>
            </w:r>
          </w:p>
        </w:tc>
        <w:tc>
          <w:tcPr>
            <w:tcW w:w="1440" w:type="dxa"/>
            <w:tcBorders>
              <w:top w:val="nil"/>
              <w:left w:val="nil"/>
              <w:bottom w:val="nil"/>
              <w:right w:val="nil"/>
            </w:tcBorders>
          </w:tcPr>
          <w:p w14:paraId="1917238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288.07*** </w:t>
            </w:r>
          </w:p>
          <w:p w14:paraId="27BA8F1E"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(54.78)</w:t>
            </w:r>
          </w:p>
        </w:tc>
      </w:tr>
      <w:tr w:rsidR="00D55B20" w:rsidRPr="00D50D6E" w14:paraId="3A89C979" w14:textId="77777777" w:rsidTr="00DF14B3">
        <w:trPr>
          <w:trHeight w:val="612"/>
        </w:trPr>
        <w:tc>
          <w:tcPr>
            <w:tcW w:w="1170" w:type="dxa"/>
            <w:tcBorders>
              <w:top w:val="nil"/>
              <w:left w:val="nil"/>
              <w:bottom w:val="nil"/>
              <w:right w:val="nil"/>
            </w:tcBorders>
          </w:tcPr>
          <w:p w14:paraId="1E9105FE"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3C9FB292"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3.04*** </w:t>
            </w:r>
          </w:p>
          <w:p w14:paraId="559267F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(0.98)</w:t>
            </w:r>
          </w:p>
        </w:tc>
        <w:tc>
          <w:tcPr>
            <w:tcW w:w="1440" w:type="dxa"/>
            <w:tcBorders>
              <w:top w:val="nil"/>
              <w:left w:val="nil"/>
              <w:bottom w:val="nil"/>
              <w:right w:val="nil"/>
            </w:tcBorders>
          </w:tcPr>
          <w:p w14:paraId="6CAAB81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5.04*** </w:t>
            </w:r>
          </w:p>
          <w:p w14:paraId="6C65D40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(1.15)</w:t>
            </w:r>
          </w:p>
        </w:tc>
        <w:tc>
          <w:tcPr>
            <w:tcW w:w="1440" w:type="dxa"/>
            <w:tcBorders>
              <w:top w:val="nil"/>
              <w:left w:val="nil"/>
              <w:bottom w:val="nil"/>
              <w:right w:val="nil"/>
            </w:tcBorders>
          </w:tcPr>
          <w:p w14:paraId="1984D476"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3.04*** </w:t>
            </w:r>
          </w:p>
          <w:p w14:paraId="17D76F5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(0.98)</w:t>
            </w:r>
          </w:p>
        </w:tc>
        <w:tc>
          <w:tcPr>
            <w:tcW w:w="1440" w:type="dxa"/>
            <w:tcBorders>
              <w:top w:val="nil"/>
              <w:left w:val="nil"/>
              <w:bottom w:val="nil"/>
              <w:right w:val="nil"/>
            </w:tcBorders>
          </w:tcPr>
          <w:p w14:paraId="3ED7001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5.04*** </w:t>
            </w:r>
          </w:p>
          <w:p w14:paraId="592C82D9"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(1.15)</w:t>
            </w:r>
          </w:p>
        </w:tc>
        <w:tc>
          <w:tcPr>
            <w:tcW w:w="1440" w:type="dxa"/>
            <w:tcBorders>
              <w:top w:val="nil"/>
              <w:left w:val="nil"/>
              <w:bottom w:val="nil"/>
              <w:right w:val="nil"/>
            </w:tcBorders>
          </w:tcPr>
          <w:p w14:paraId="1BA493A7"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3.04** </w:t>
            </w:r>
          </w:p>
          <w:p w14:paraId="13C138D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(1.22)</w:t>
            </w:r>
          </w:p>
        </w:tc>
        <w:tc>
          <w:tcPr>
            <w:tcW w:w="1440" w:type="dxa"/>
            <w:tcBorders>
              <w:top w:val="nil"/>
              <w:left w:val="nil"/>
              <w:bottom w:val="nil"/>
              <w:right w:val="nil"/>
            </w:tcBorders>
          </w:tcPr>
          <w:p w14:paraId="76ADB13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5.04*** </w:t>
            </w:r>
          </w:p>
          <w:p w14:paraId="0075996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(1.08)</w:t>
            </w:r>
          </w:p>
        </w:tc>
      </w:tr>
      <w:tr w:rsidR="00D55B20" w:rsidRPr="00D50D6E" w14:paraId="61C5545D" w14:textId="77777777" w:rsidTr="00DF14B3">
        <w:trPr>
          <w:trHeight w:val="219"/>
        </w:trPr>
        <w:tc>
          <w:tcPr>
            <w:tcW w:w="1170" w:type="dxa"/>
            <w:tcBorders>
              <w:top w:val="nil"/>
              <w:left w:val="nil"/>
              <w:bottom w:val="single" w:sz="4" w:space="0" w:color="auto"/>
              <w:right w:val="nil"/>
            </w:tcBorders>
          </w:tcPr>
          <w:p w14:paraId="5302F961" w14:textId="77777777" w:rsidR="00D55B20" w:rsidRPr="0030484F" w:rsidRDefault="00D55B20" w:rsidP="00DF14B3">
            <w:pPr>
              <w:pStyle w:val="NoSpacing"/>
              <w:spacing w:line="480" w:lineRule="auto"/>
              <w:rPr>
                <w:rFonts w:ascii="Times New Roman" w:hAnsi="Times New Roman" w:cs="Times New Roman"/>
                <w:i/>
                <w:iCs/>
                <w:sz w:val="22"/>
                <w:szCs w:val="22"/>
              </w:rPr>
            </w:pPr>
            <w:r>
              <w:rPr>
                <w:rFonts w:ascii="Times New Roman" w:hAnsi="Times New Roman" w:cs="Times New Roman"/>
                <w:i/>
                <w:iCs/>
                <w:sz w:val="22"/>
                <w:szCs w:val="22"/>
              </w:rPr>
              <w:t>constant</w:t>
            </w:r>
          </w:p>
        </w:tc>
        <w:tc>
          <w:tcPr>
            <w:tcW w:w="1440" w:type="dxa"/>
            <w:tcBorders>
              <w:top w:val="nil"/>
              <w:left w:val="nil"/>
              <w:bottom w:val="single" w:sz="4" w:space="0" w:color="auto"/>
              <w:right w:val="nil"/>
            </w:tcBorders>
          </w:tcPr>
          <w:p w14:paraId="3425DC0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467.90*** (27.08)</w:t>
            </w:r>
          </w:p>
        </w:tc>
        <w:tc>
          <w:tcPr>
            <w:tcW w:w="1440" w:type="dxa"/>
            <w:tcBorders>
              <w:top w:val="nil"/>
              <w:left w:val="nil"/>
              <w:bottom w:val="single" w:sz="4" w:space="0" w:color="auto"/>
              <w:right w:val="nil"/>
            </w:tcBorders>
          </w:tcPr>
          <w:p w14:paraId="2B77A21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455.76*** </w:t>
            </w:r>
          </w:p>
          <w:p w14:paraId="2791E4C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(31.68)</w:t>
            </w:r>
          </w:p>
        </w:tc>
        <w:tc>
          <w:tcPr>
            <w:tcW w:w="1440" w:type="dxa"/>
            <w:tcBorders>
              <w:top w:val="nil"/>
              <w:left w:val="nil"/>
              <w:bottom w:val="single" w:sz="4" w:space="0" w:color="auto"/>
              <w:right w:val="nil"/>
            </w:tcBorders>
          </w:tcPr>
          <w:p w14:paraId="2302AEBD"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560.94*** </w:t>
            </w:r>
          </w:p>
          <w:p w14:paraId="38F6599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(12.76)</w:t>
            </w:r>
          </w:p>
        </w:tc>
        <w:tc>
          <w:tcPr>
            <w:tcW w:w="1440" w:type="dxa"/>
            <w:tcBorders>
              <w:top w:val="nil"/>
              <w:left w:val="nil"/>
              <w:bottom w:val="single" w:sz="4" w:space="0" w:color="auto"/>
              <w:right w:val="nil"/>
            </w:tcBorders>
          </w:tcPr>
          <w:p w14:paraId="5DD7898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585.56*** </w:t>
            </w:r>
          </w:p>
          <w:p w14:paraId="30C52A63"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(14.62)</w:t>
            </w:r>
          </w:p>
        </w:tc>
        <w:tc>
          <w:tcPr>
            <w:tcW w:w="1440" w:type="dxa"/>
            <w:tcBorders>
              <w:top w:val="nil"/>
              <w:left w:val="nil"/>
              <w:bottom w:val="single" w:sz="4" w:space="0" w:color="auto"/>
              <w:right w:val="nil"/>
            </w:tcBorders>
          </w:tcPr>
          <w:p w14:paraId="16F7DFF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560.94*** (25.459)</w:t>
            </w:r>
          </w:p>
        </w:tc>
        <w:tc>
          <w:tcPr>
            <w:tcW w:w="1440" w:type="dxa"/>
            <w:tcBorders>
              <w:top w:val="nil"/>
              <w:left w:val="nil"/>
              <w:bottom w:val="single" w:sz="4" w:space="0" w:color="auto"/>
              <w:right w:val="nil"/>
            </w:tcBorders>
          </w:tcPr>
          <w:p w14:paraId="3E581C4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585.56*** </w:t>
            </w:r>
          </w:p>
          <w:p w14:paraId="55420BA3"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(29.12)</w:t>
            </w:r>
          </w:p>
        </w:tc>
      </w:tr>
      <w:tr w:rsidR="00D55B20" w:rsidRPr="00D50D6E" w14:paraId="1865169E" w14:textId="77777777" w:rsidTr="00DF14B3">
        <w:trPr>
          <w:trHeight w:val="219"/>
        </w:trPr>
        <w:tc>
          <w:tcPr>
            <w:tcW w:w="1170" w:type="dxa"/>
            <w:tcBorders>
              <w:top w:val="single" w:sz="4" w:space="0" w:color="auto"/>
              <w:left w:val="nil"/>
              <w:right w:val="nil"/>
            </w:tcBorders>
          </w:tcPr>
          <w:p w14:paraId="6A42600E"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Obs.</w:t>
            </w:r>
          </w:p>
        </w:tc>
        <w:tc>
          <w:tcPr>
            <w:tcW w:w="1440" w:type="dxa"/>
            <w:tcBorders>
              <w:top w:val="single" w:sz="4" w:space="0" w:color="auto"/>
              <w:left w:val="nil"/>
              <w:right w:val="nil"/>
            </w:tcBorders>
          </w:tcPr>
          <w:p w14:paraId="0F6BE4F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393C609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5C52D19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7040031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62C39D1D"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056F42D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r>
      <w:tr w:rsidR="00D55B20" w:rsidRPr="00D50D6E" w14:paraId="57AB3D97" w14:textId="77777777" w:rsidTr="00DF14B3">
        <w:trPr>
          <w:trHeight w:val="219"/>
        </w:trPr>
        <w:tc>
          <w:tcPr>
            <w:tcW w:w="1170" w:type="dxa"/>
            <w:tcBorders>
              <w:left w:val="nil"/>
              <w:right w:val="nil"/>
            </w:tcBorders>
          </w:tcPr>
          <w:p w14:paraId="79216850"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CS</w:t>
            </w:r>
          </w:p>
        </w:tc>
        <w:tc>
          <w:tcPr>
            <w:tcW w:w="1440" w:type="dxa"/>
            <w:tcBorders>
              <w:left w:val="nil"/>
              <w:right w:val="nil"/>
            </w:tcBorders>
          </w:tcPr>
          <w:p w14:paraId="11ABB8C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03DB88F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18228F8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00E8E41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0182389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7BC1DF9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r>
      <w:tr w:rsidR="00D55B20" w:rsidRPr="00B9537B" w14:paraId="006EDC84" w14:textId="77777777" w:rsidTr="00DF14B3">
        <w:trPr>
          <w:trHeight w:val="219"/>
        </w:trPr>
        <w:tc>
          <w:tcPr>
            <w:tcW w:w="1170" w:type="dxa"/>
            <w:tcBorders>
              <w:left w:val="nil"/>
              <w:bottom w:val="single" w:sz="4" w:space="0" w:color="auto"/>
              <w:right w:val="nil"/>
            </w:tcBorders>
          </w:tcPr>
          <w:p w14:paraId="5F66AF15"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 xml:space="preserve">Sample </w:t>
            </w:r>
          </w:p>
        </w:tc>
        <w:tc>
          <w:tcPr>
            <w:tcW w:w="1440" w:type="dxa"/>
            <w:tcBorders>
              <w:left w:val="nil"/>
              <w:bottom w:val="single" w:sz="4" w:space="0" w:color="auto"/>
              <w:right w:val="nil"/>
            </w:tcBorders>
          </w:tcPr>
          <w:p w14:paraId="0157A1A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19E25D0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1C171CE7"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hAnsi="Times New Roman"/>
              </w:rPr>
              <w:t>2000-2023</w:t>
            </w:r>
          </w:p>
        </w:tc>
        <w:tc>
          <w:tcPr>
            <w:tcW w:w="1440" w:type="dxa"/>
            <w:tcBorders>
              <w:left w:val="nil"/>
              <w:bottom w:val="single" w:sz="4" w:space="0" w:color="auto"/>
              <w:right w:val="nil"/>
            </w:tcBorders>
          </w:tcPr>
          <w:p w14:paraId="3DBC7C9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03052EB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78DE3A4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r>
      <w:tr w:rsidR="00D55B20" w:rsidRPr="00B9537B" w14:paraId="775121F4" w14:textId="77777777" w:rsidTr="00DF14B3">
        <w:trPr>
          <w:trHeight w:val="219"/>
        </w:trPr>
        <w:tc>
          <w:tcPr>
            <w:tcW w:w="1170" w:type="dxa"/>
            <w:tcBorders>
              <w:top w:val="single" w:sz="4" w:space="0" w:color="auto"/>
              <w:left w:val="nil"/>
              <w:right w:val="nil"/>
            </w:tcBorders>
          </w:tcPr>
          <w:p w14:paraId="380E5DD7" w14:textId="77777777" w:rsidR="00D55B20" w:rsidRPr="0030484F" w:rsidRDefault="00D55B20" w:rsidP="00DF14B3">
            <w:pPr>
              <w:pStyle w:val="NoSpacing"/>
              <w:spacing w:line="480" w:lineRule="auto"/>
              <w:rPr>
                <w:rFonts w:ascii="Times New Roman" w:hAnsi="Times New Roman"/>
                <w:i/>
                <w:iCs/>
                <w:sz w:val="22"/>
                <w:szCs w:val="22"/>
              </w:rPr>
            </w:pPr>
            <w:r>
              <w:rPr>
                <w:rFonts w:ascii="Times New Roman" w:hAnsi="Times New Roman"/>
                <w:sz w:val="22"/>
                <w:szCs w:val="22"/>
              </w:rPr>
              <w:t>F-stat. (</w:t>
            </w:r>
            <w:r>
              <w:rPr>
                <w:rFonts w:ascii="Times New Roman" w:hAnsi="Times New Roman"/>
                <w:i/>
                <w:iCs/>
                <w:sz w:val="22"/>
                <w:szCs w:val="22"/>
              </w:rPr>
              <w:t>p</w:t>
            </w:r>
            <w:r>
              <w:rPr>
                <w:rFonts w:ascii="Times New Roman" w:hAnsi="Times New Roman"/>
                <w:sz w:val="22"/>
                <w:szCs w:val="22"/>
              </w:rPr>
              <w:t>)</w:t>
            </w:r>
          </w:p>
        </w:tc>
        <w:tc>
          <w:tcPr>
            <w:tcW w:w="1440" w:type="dxa"/>
            <w:tcBorders>
              <w:top w:val="single" w:sz="4" w:space="0" w:color="auto"/>
              <w:left w:val="nil"/>
              <w:right w:val="nil"/>
            </w:tcBorders>
          </w:tcPr>
          <w:p w14:paraId="1A32C931"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0.00</w:t>
            </w:r>
          </w:p>
        </w:tc>
        <w:tc>
          <w:tcPr>
            <w:tcW w:w="1440" w:type="dxa"/>
            <w:tcBorders>
              <w:top w:val="single" w:sz="4" w:space="0" w:color="auto"/>
              <w:left w:val="nil"/>
              <w:right w:val="nil"/>
            </w:tcBorders>
          </w:tcPr>
          <w:p w14:paraId="295D11B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0.00</w:t>
            </w:r>
          </w:p>
        </w:tc>
        <w:tc>
          <w:tcPr>
            <w:tcW w:w="1440" w:type="dxa"/>
            <w:tcBorders>
              <w:top w:val="single" w:sz="4" w:space="0" w:color="auto"/>
              <w:left w:val="nil"/>
              <w:right w:val="nil"/>
            </w:tcBorders>
          </w:tcPr>
          <w:p w14:paraId="727CE301"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w:t>
            </w:r>
          </w:p>
        </w:tc>
        <w:tc>
          <w:tcPr>
            <w:tcW w:w="1440" w:type="dxa"/>
            <w:tcBorders>
              <w:top w:val="single" w:sz="4" w:space="0" w:color="auto"/>
              <w:left w:val="nil"/>
              <w:right w:val="nil"/>
            </w:tcBorders>
          </w:tcPr>
          <w:p w14:paraId="3C1D9B8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nil"/>
              <w:right w:val="nil"/>
            </w:tcBorders>
          </w:tcPr>
          <w:p w14:paraId="56E4F8D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w:t>
            </w:r>
          </w:p>
        </w:tc>
        <w:tc>
          <w:tcPr>
            <w:tcW w:w="1440" w:type="dxa"/>
            <w:tcBorders>
              <w:top w:val="single" w:sz="4" w:space="0" w:color="auto"/>
              <w:left w:val="nil"/>
              <w:right w:val="nil"/>
            </w:tcBorders>
          </w:tcPr>
          <w:p w14:paraId="292B25AD"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r>
      <w:tr w:rsidR="00D55B20" w:rsidRPr="00B9537B" w14:paraId="5DEA93D0" w14:textId="77777777" w:rsidTr="00DF14B3">
        <w:trPr>
          <w:trHeight w:val="219"/>
        </w:trPr>
        <w:tc>
          <w:tcPr>
            <w:tcW w:w="1170" w:type="dxa"/>
            <w:tcBorders>
              <w:left w:val="nil"/>
              <w:right w:val="nil"/>
            </w:tcBorders>
          </w:tcPr>
          <w:p w14:paraId="7E90921C"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cs="Times New Roman"/>
                <w:sz w:val="22"/>
                <w:szCs w:val="22"/>
              </w:rPr>
              <w:t xml:space="preserve">SC </w:t>
            </w:r>
            <w:r>
              <w:rPr>
                <w:rFonts w:ascii="Times New Roman" w:hAnsi="Times New Roman"/>
                <w:sz w:val="22"/>
                <w:szCs w:val="22"/>
              </w:rPr>
              <w:t>(</w:t>
            </w:r>
            <w:r>
              <w:rPr>
                <w:rFonts w:ascii="Times New Roman" w:hAnsi="Times New Roman"/>
                <w:i/>
                <w:iCs/>
                <w:sz w:val="22"/>
                <w:szCs w:val="22"/>
              </w:rPr>
              <w:t>p</w:t>
            </w:r>
            <w:r>
              <w:rPr>
                <w:rFonts w:ascii="Times New Roman" w:hAnsi="Times New Roman"/>
                <w:sz w:val="22"/>
                <w:szCs w:val="22"/>
              </w:rPr>
              <w:t>)</w:t>
            </w:r>
          </w:p>
        </w:tc>
        <w:tc>
          <w:tcPr>
            <w:tcW w:w="1440" w:type="dxa"/>
            <w:tcBorders>
              <w:left w:val="nil"/>
              <w:right w:val="nil"/>
            </w:tcBorders>
          </w:tcPr>
          <w:p w14:paraId="0B4241C6"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right w:val="nil"/>
            </w:tcBorders>
          </w:tcPr>
          <w:p w14:paraId="07E1F75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right w:val="nil"/>
            </w:tcBorders>
          </w:tcPr>
          <w:p w14:paraId="02D97C40"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w:t>
            </w:r>
          </w:p>
        </w:tc>
        <w:tc>
          <w:tcPr>
            <w:tcW w:w="1440" w:type="dxa"/>
            <w:tcBorders>
              <w:left w:val="nil"/>
              <w:right w:val="nil"/>
            </w:tcBorders>
          </w:tcPr>
          <w:p w14:paraId="6C8061F6"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0.00</w:t>
            </w:r>
          </w:p>
        </w:tc>
        <w:tc>
          <w:tcPr>
            <w:tcW w:w="1440" w:type="dxa"/>
            <w:tcBorders>
              <w:left w:val="nil"/>
              <w:right w:val="nil"/>
            </w:tcBorders>
          </w:tcPr>
          <w:p w14:paraId="143B1BD9"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right w:val="nil"/>
            </w:tcBorders>
          </w:tcPr>
          <w:p w14:paraId="3AA81997"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26A4B241" w14:textId="77777777" w:rsidTr="00DF14B3">
        <w:trPr>
          <w:trHeight w:val="219"/>
        </w:trPr>
        <w:tc>
          <w:tcPr>
            <w:tcW w:w="1170" w:type="dxa"/>
            <w:tcBorders>
              <w:left w:val="nil"/>
              <w:bottom w:val="nil"/>
              <w:right w:val="nil"/>
            </w:tcBorders>
          </w:tcPr>
          <w:p w14:paraId="0B358A3A" w14:textId="77777777" w:rsidR="00D55B20" w:rsidRPr="0030484F" w:rsidRDefault="00D55B20" w:rsidP="00DF14B3">
            <w:pPr>
              <w:pStyle w:val="NoSpacing"/>
              <w:spacing w:line="480" w:lineRule="auto"/>
              <w:rPr>
                <w:rFonts w:ascii="Times New Roman" w:hAnsi="Times New Roman"/>
                <w:sz w:val="22"/>
                <w:szCs w:val="22"/>
              </w:rPr>
            </w:pPr>
            <w:proofErr w:type="gramStart"/>
            <w:r>
              <w:rPr>
                <w:rFonts w:ascii="Times New Roman" w:hAnsi="Times New Roman" w:cs="Times New Roman"/>
                <w:sz w:val="22"/>
                <w:szCs w:val="22"/>
              </w:rPr>
              <w:t>Het.</w:t>
            </w:r>
            <w:r>
              <w:rPr>
                <w:rFonts w:ascii="Times New Roman" w:hAnsi="Times New Roman"/>
                <w:sz w:val="22"/>
                <w:szCs w:val="22"/>
              </w:rPr>
              <w:t>(</w:t>
            </w:r>
            <w:proofErr w:type="gramEnd"/>
            <w:r>
              <w:rPr>
                <w:rFonts w:ascii="Times New Roman" w:hAnsi="Times New Roman"/>
                <w:i/>
                <w:iCs/>
                <w:sz w:val="22"/>
                <w:szCs w:val="22"/>
              </w:rPr>
              <w:t>p</w:t>
            </w:r>
            <w:r>
              <w:rPr>
                <w:rFonts w:ascii="Times New Roman" w:hAnsi="Times New Roman"/>
                <w:sz w:val="22"/>
                <w:szCs w:val="22"/>
              </w:rPr>
              <w:t>)</w:t>
            </w:r>
          </w:p>
        </w:tc>
        <w:tc>
          <w:tcPr>
            <w:tcW w:w="1440" w:type="dxa"/>
            <w:tcBorders>
              <w:left w:val="nil"/>
              <w:bottom w:val="nil"/>
              <w:right w:val="nil"/>
            </w:tcBorders>
          </w:tcPr>
          <w:p w14:paraId="2004899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bottom w:val="nil"/>
              <w:right w:val="nil"/>
            </w:tcBorders>
          </w:tcPr>
          <w:p w14:paraId="6920553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bottom w:val="nil"/>
              <w:right w:val="nil"/>
            </w:tcBorders>
          </w:tcPr>
          <w:p w14:paraId="18728251"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w:t>
            </w:r>
          </w:p>
        </w:tc>
        <w:tc>
          <w:tcPr>
            <w:tcW w:w="1440" w:type="dxa"/>
            <w:tcBorders>
              <w:left w:val="nil"/>
              <w:bottom w:val="nil"/>
              <w:right w:val="nil"/>
            </w:tcBorders>
          </w:tcPr>
          <w:p w14:paraId="7BFE14A5"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0.40</w:t>
            </w:r>
          </w:p>
        </w:tc>
        <w:tc>
          <w:tcPr>
            <w:tcW w:w="1440" w:type="dxa"/>
            <w:tcBorders>
              <w:left w:val="nil"/>
              <w:bottom w:val="nil"/>
              <w:right w:val="nil"/>
            </w:tcBorders>
          </w:tcPr>
          <w:p w14:paraId="5D6AF91F"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bottom w:val="nil"/>
              <w:right w:val="nil"/>
            </w:tcBorders>
          </w:tcPr>
          <w:p w14:paraId="6BE40BC7"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77FBBA4E" w14:textId="77777777" w:rsidTr="00DF14B3">
        <w:trPr>
          <w:trHeight w:val="219"/>
        </w:trPr>
        <w:tc>
          <w:tcPr>
            <w:tcW w:w="9810" w:type="dxa"/>
            <w:gridSpan w:val="7"/>
            <w:tcBorders>
              <w:top w:val="single" w:sz="6" w:space="0" w:color="auto"/>
              <w:left w:val="nil"/>
              <w:bottom w:val="nil"/>
              <w:right w:val="nil"/>
            </w:tcBorders>
          </w:tcPr>
          <w:p w14:paraId="17571CE4" w14:textId="77777777" w:rsidR="00D55B20" w:rsidRPr="00B9537B"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Standard error statistic in parentheses (…). </w:t>
            </w:r>
            <w:r>
              <w:rPr>
                <w:rFonts w:ascii="Times New Roman" w:hAnsi="Times New Roman"/>
                <w:b/>
                <w:bCs/>
                <w:sz w:val="20"/>
                <w:szCs w:val="20"/>
              </w:rPr>
              <w:t>Note 2</w:t>
            </w:r>
            <w:r>
              <w:rPr>
                <w:rFonts w:ascii="Times New Roman" w:hAnsi="Times New Roman"/>
                <w:sz w:val="20"/>
                <w:szCs w:val="20"/>
              </w:rPr>
              <w:t xml:space="preserve">: ***, **, and * signify p-values less than 0.01, 0.05, and 0.10, respectively. SC= </w:t>
            </w:r>
            <w:r>
              <w:rPr>
                <w:rFonts w:ascii="Times New Roman" w:hAnsi="Times New Roman" w:cs="Times New Roman"/>
                <w:sz w:val="20"/>
                <w:szCs w:val="20"/>
              </w:rPr>
              <w:t>Serial Correlation, p = p-value, Het. = Heteroskedasticity</w:t>
            </w:r>
          </w:p>
          <w:p w14:paraId="03FC0FED" w14:textId="77777777" w:rsidR="00D55B20" w:rsidRPr="00B9537B" w:rsidRDefault="00D55B20" w:rsidP="00DF14B3">
            <w:pPr>
              <w:pStyle w:val="NoSpacing"/>
              <w:jc w:val="both"/>
              <w:rPr>
                <w:rFonts w:ascii="Times New Roman" w:hAnsi="Times New Roman"/>
                <w:b/>
                <w:bCs/>
                <w:sz w:val="20"/>
                <w:szCs w:val="20"/>
              </w:rPr>
            </w:pPr>
            <w:r>
              <w:rPr>
                <w:rFonts w:ascii="Times New Roman" w:hAnsi="Times New Roman"/>
                <w:b/>
                <w:bCs/>
                <w:sz w:val="20"/>
                <w:szCs w:val="20"/>
              </w:rPr>
              <w:t>Source</w:t>
            </w:r>
            <w:r>
              <w:rPr>
                <w:rFonts w:ascii="Times New Roman" w:hAnsi="Times New Roman"/>
                <w:sz w:val="20"/>
                <w:szCs w:val="20"/>
              </w:rPr>
              <w:t xml:space="preserve">: Author’s computation, 2026.  </w:t>
            </w:r>
          </w:p>
        </w:tc>
      </w:tr>
    </w:tbl>
    <w:p w14:paraId="0F273FEB" w14:textId="77777777" w:rsidR="00D55B20" w:rsidRPr="00371AA0" w:rsidRDefault="00D55B20" w:rsidP="00D55B20">
      <w:pPr>
        <w:pStyle w:val="NoSpacing"/>
        <w:ind w:right="-450"/>
        <w:jc w:val="both"/>
        <w:rPr>
          <w:rFonts w:ascii="Times New Roman" w:hAnsi="Times New Roman"/>
          <w:b/>
          <w:bCs/>
          <w:highlight w:val="yellow"/>
        </w:rPr>
      </w:pPr>
      <w:r>
        <w:rPr>
          <w:rFonts w:ascii="Times New Roman" w:hAnsi="Times New Roman"/>
          <w:lang w:val="en-GB"/>
        </w:rPr>
        <w:lastRenderedPageBreak/>
        <w:t>T</w:t>
      </w:r>
      <w:r>
        <w:rPr>
          <w:rFonts w:ascii="Times New Roman" w:hAnsi="Times New Roman"/>
        </w:rPr>
        <w:t>able 8:</w:t>
      </w:r>
      <w:r>
        <w:rPr>
          <w:rFonts w:ascii="Times New Roman" w:hAnsi="Times New Roman"/>
          <w:b/>
          <w:bCs/>
        </w:rPr>
        <w:t xml:space="preserve"> </w:t>
      </w:r>
      <w:r>
        <w:rPr>
          <w:rFonts w:ascii="Times New Roman" w:hAnsi="Times New Roman"/>
        </w:rPr>
        <w:t>Estimators for examining the impact of inward remittances on per capita income among the selected middle-income SSA countries (Dependent variable = GDP per capita at 2015 constant prices)</w:t>
      </w:r>
    </w:p>
    <w:tbl>
      <w:tblPr>
        <w:tblW w:w="9810" w:type="dxa"/>
        <w:tblLayout w:type="fixed"/>
        <w:tblLook w:val="0000" w:firstRow="0" w:lastRow="0" w:firstColumn="0" w:lastColumn="0" w:noHBand="0" w:noVBand="0"/>
      </w:tblPr>
      <w:tblGrid>
        <w:gridCol w:w="1170"/>
        <w:gridCol w:w="1440"/>
        <w:gridCol w:w="1440"/>
        <w:gridCol w:w="1440"/>
        <w:gridCol w:w="1440"/>
        <w:gridCol w:w="1440"/>
        <w:gridCol w:w="1440"/>
      </w:tblGrid>
      <w:tr w:rsidR="00D55B20" w:rsidRPr="00D50D6E" w14:paraId="37736C9D" w14:textId="77777777" w:rsidTr="00DF14B3">
        <w:trPr>
          <w:trHeight w:val="219"/>
        </w:trPr>
        <w:tc>
          <w:tcPr>
            <w:tcW w:w="1170" w:type="dxa"/>
            <w:vMerge w:val="restart"/>
            <w:tcBorders>
              <w:top w:val="single" w:sz="4" w:space="0" w:color="auto"/>
              <w:left w:val="nil"/>
              <w:right w:val="nil"/>
            </w:tcBorders>
          </w:tcPr>
          <w:p w14:paraId="6FCBDE54" w14:textId="77777777" w:rsidR="00D55B20" w:rsidRDefault="00D55B20" w:rsidP="00DF14B3">
            <w:pPr>
              <w:pStyle w:val="NoSpacing"/>
              <w:rPr>
                <w:rFonts w:ascii="Times New Roman" w:hAnsi="Times New Roman"/>
              </w:rPr>
            </w:pPr>
          </w:p>
          <w:p w14:paraId="7B1D330D" w14:textId="77777777" w:rsidR="00D55B20" w:rsidRPr="0028474B" w:rsidRDefault="00D55B20" w:rsidP="00DF14B3">
            <w:pPr>
              <w:pStyle w:val="NoSpacing"/>
              <w:rPr>
                <w:rFonts w:ascii="Times New Roman" w:hAnsi="Times New Roman"/>
              </w:rPr>
            </w:pPr>
            <w:r>
              <w:rPr>
                <w:rFonts w:ascii="Times New Roman" w:hAnsi="Times New Roman"/>
              </w:rPr>
              <w:t>Variables</w:t>
            </w:r>
          </w:p>
        </w:tc>
        <w:tc>
          <w:tcPr>
            <w:tcW w:w="2880" w:type="dxa"/>
            <w:gridSpan w:val="2"/>
            <w:tcBorders>
              <w:top w:val="single" w:sz="4" w:space="0" w:color="auto"/>
              <w:left w:val="nil"/>
              <w:bottom w:val="nil"/>
              <w:right w:val="nil"/>
            </w:tcBorders>
          </w:tcPr>
          <w:p w14:paraId="2A3C615A"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Pooled OLS</w:t>
            </w:r>
          </w:p>
        </w:tc>
        <w:tc>
          <w:tcPr>
            <w:tcW w:w="2880" w:type="dxa"/>
            <w:gridSpan w:val="2"/>
            <w:tcBorders>
              <w:top w:val="single" w:sz="4" w:space="0" w:color="auto"/>
              <w:left w:val="nil"/>
              <w:bottom w:val="nil"/>
              <w:right w:val="nil"/>
            </w:tcBorders>
          </w:tcPr>
          <w:p w14:paraId="696F7543"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Fixed Effect</w:t>
            </w:r>
          </w:p>
        </w:tc>
        <w:tc>
          <w:tcPr>
            <w:tcW w:w="2880" w:type="dxa"/>
            <w:gridSpan w:val="2"/>
            <w:tcBorders>
              <w:top w:val="single" w:sz="4" w:space="0" w:color="auto"/>
              <w:left w:val="nil"/>
              <w:bottom w:val="nil"/>
              <w:right w:val="nil"/>
            </w:tcBorders>
          </w:tcPr>
          <w:p w14:paraId="73F274B0"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Driscoll-Kraay</w:t>
            </w:r>
          </w:p>
        </w:tc>
      </w:tr>
      <w:tr w:rsidR="00D55B20" w:rsidRPr="00D50D6E" w14:paraId="7AD10F77" w14:textId="77777777" w:rsidTr="00DF14B3">
        <w:trPr>
          <w:trHeight w:val="219"/>
        </w:trPr>
        <w:tc>
          <w:tcPr>
            <w:tcW w:w="1170" w:type="dxa"/>
            <w:vMerge/>
            <w:tcBorders>
              <w:left w:val="nil"/>
              <w:bottom w:val="nil"/>
              <w:right w:val="nil"/>
            </w:tcBorders>
          </w:tcPr>
          <w:p w14:paraId="621A936E" w14:textId="77777777" w:rsidR="00D55B20" w:rsidRPr="0028474B" w:rsidRDefault="00D55B20" w:rsidP="00DF14B3">
            <w:pPr>
              <w:pStyle w:val="NoSpacing"/>
              <w:rPr>
                <w:rFonts w:ascii="Times New Roman" w:hAnsi="Times New Roman"/>
                <w:i/>
                <w:iCs/>
              </w:rPr>
            </w:pPr>
          </w:p>
        </w:tc>
        <w:tc>
          <w:tcPr>
            <w:tcW w:w="1440" w:type="dxa"/>
            <w:tcBorders>
              <w:top w:val="single" w:sz="4" w:space="0" w:color="auto"/>
              <w:left w:val="nil"/>
              <w:bottom w:val="nil"/>
              <w:right w:val="nil"/>
            </w:tcBorders>
          </w:tcPr>
          <w:p w14:paraId="3096DF58" w14:textId="77777777" w:rsidR="00D55B20" w:rsidRPr="0028474B"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2702FA87" w14:textId="77777777" w:rsidR="00D55B20" w:rsidRPr="009F2E2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3851D26D" w14:textId="77777777" w:rsidR="00D55B20" w:rsidRPr="00F053EF"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36028115"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191EC22C" w14:textId="77777777" w:rsidR="00D55B20" w:rsidRPr="003F1B67"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4C0BC6A9"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r>
      <w:tr w:rsidR="00D55B20" w:rsidRPr="00D50D6E" w14:paraId="5499941B" w14:textId="77777777" w:rsidTr="00DF14B3">
        <w:trPr>
          <w:trHeight w:val="219"/>
        </w:trPr>
        <w:tc>
          <w:tcPr>
            <w:tcW w:w="1170" w:type="dxa"/>
            <w:tcBorders>
              <w:top w:val="single" w:sz="4" w:space="0" w:color="auto"/>
              <w:left w:val="nil"/>
              <w:right w:val="nil"/>
            </w:tcBorders>
          </w:tcPr>
          <w:p w14:paraId="414B52C6"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inr</w:t>
            </w:r>
            <w:r>
              <w:rPr>
                <w:rFonts w:ascii="Times New Roman" w:hAnsi="Times New Roman" w:cs="Times New Roman"/>
                <w:b/>
                <w:bCs/>
                <w:i/>
                <w:iCs/>
                <w:sz w:val="22"/>
                <w:szCs w:val="22"/>
                <w:vertAlign w:val="subscript"/>
              </w:rPr>
              <w:t>it</w:t>
            </w:r>
            <w:proofErr w:type="spellEnd"/>
            <w:r>
              <w:rPr>
                <w:rFonts w:ascii="Times New Roman" w:hAnsi="Times New Roman" w:cs="Times New Roman"/>
                <w:b/>
                <w:bCs/>
                <w:i/>
                <w:iCs/>
                <w:sz w:val="22"/>
                <w:szCs w:val="22"/>
              </w:rPr>
              <w:t xml:space="preserve">       </w:t>
            </w:r>
          </w:p>
        </w:tc>
        <w:tc>
          <w:tcPr>
            <w:tcW w:w="1440" w:type="dxa"/>
            <w:tcBorders>
              <w:top w:val="single" w:sz="4" w:space="0" w:color="auto"/>
              <w:left w:val="nil"/>
              <w:right w:val="nil"/>
            </w:tcBorders>
          </w:tcPr>
          <w:p w14:paraId="01B34A3A"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35.76***</w:t>
            </w:r>
          </w:p>
          <w:p w14:paraId="563353CF"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(7.70)</w:t>
            </w:r>
          </w:p>
        </w:tc>
        <w:tc>
          <w:tcPr>
            <w:tcW w:w="1440" w:type="dxa"/>
            <w:tcBorders>
              <w:top w:val="single" w:sz="4" w:space="0" w:color="auto"/>
              <w:left w:val="nil"/>
              <w:right w:val="nil"/>
            </w:tcBorders>
          </w:tcPr>
          <w:p w14:paraId="0A2303A6"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7C4F9A71"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35.76***</w:t>
            </w:r>
          </w:p>
          <w:p w14:paraId="14E4E886"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(7.70)</w:t>
            </w:r>
          </w:p>
        </w:tc>
        <w:tc>
          <w:tcPr>
            <w:tcW w:w="1440" w:type="dxa"/>
            <w:tcBorders>
              <w:top w:val="single" w:sz="4" w:space="0" w:color="auto"/>
              <w:left w:val="nil"/>
              <w:right w:val="nil"/>
            </w:tcBorders>
          </w:tcPr>
          <w:p w14:paraId="2CB91FBE"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5503854D"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35.76***</w:t>
            </w:r>
          </w:p>
          <w:p w14:paraId="031DCD8B"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(6.22)</w:t>
            </w:r>
          </w:p>
        </w:tc>
        <w:tc>
          <w:tcPr>
            <w:tcW w:w="1440" w:type="dxa"/>
            <w:tcBorders>
              <w:top w:val="single" w:sz="4" w:space="0" w:color="auto"/>
              <w:left w:val="nil"/>
              <w:right w:val="nil"/>
            </w:tcBorders>
          </w:tcPr>
          <w:p w14:paraId="2962F68F"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w:t>
            </w:r>
          </w:p>
        </w:tc>
      </w:tr>
      <w:tr w:rsidR="00D55B20" w:rsidRPr="00D50D6E" w14:paraId="2F69CD6E" w14:textId="77777777" w:rsidTr="00DF14B3">
        <w:trPr>
          <w:trHeight w:val="219"/>
        </w:trPr>
        <w:tc>
          <w:tcPr>
            <w:tcW w:w="1170" w:type="dxa"/>
            <w:tcBorders>
              <w:left w:val="nil"/>
              <w:bottom w:val="nil"/>
              <w:right w:val="nil"/>
            </w:tcBorders>
          </w:tcPr>
          <w:p w14:paraId="22D3BD95"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outr</w:t>
            </w:r>
            <w:r>
              <w:rPr>
                <w:rFonts w:ascii="Times New Roman" w:hAnsi="Times New Roman" w:cs="Times New Roman"/>
                <w:b/>
                <w:bCs/>
                <w:i/>
                <w:iCs/>
                <w:sz w:val="22"/>
                <w:szCs w:val="22"/>
                <w:vertAlign w:val="subscript"/>
              </w:rPr>
              <w:t>it</w:t>
            </w:r>
            <w:proofErr w:type="spellEnd"/>
          </w:p>
        </w:tc>
        <w:tc>
          <w:tcPr>
            <w:tcW w:w="1440" w:type="dxa"/>
            <w:tcBorders>
              <w:left w:val="nil"/>
              <w:bottom w:val="nil"/>
              <w:right w:val="nil"/>
            </w:tcBorders>
          </w:tcPr>
          <w:p w14:paraId="301CB494"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8485520"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220.44***</w:t>
            </w:r>
          </w:p>
          <w:p w14:paraId="69F691C7"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(82.25)</w:t>
            </w:r>
          </w:p>
        </w:tc>
        <w:tc>
          <w:tcPr>
            <w:tcW w:w="1440" w:type="dxa"/>
            <w:tcBorders>
              <w:left w:val="nil"/>
              <w:bottom w:val="nil"/>
              <w:right w:val="nil"/>
            </w:tcBorders>
          </w:tcPr>
          <w:p w14:paraId="33436160"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3AFB70CC"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220.44***</w:t>
            </w:r>
          </w:p>
          <w:p w14:paraId="5B23228A"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(82.25)</w:t>
            </w:r>
          </w:p>
        </w:tc>
        <w:tc>
          <w:tcPr>
            <w:tcW w:w="1440" w:type="dxa"/>
            <w:tcBorders>
              <w:left w:val="nil"/>
              <w:bottom w:val="nil"/>
              <w:right w:val="nil"/>
            </w:tcBorders>
          </w:tcPr>
          <w:p w14:paraId="6DF0FF91"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1894C0B"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220.44***</w:t>
            </w:r>
          </w:p>
          <w:p w14:paraId="1B373144"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(62.59)</w:t>
            </w:r>
          </w:p>
        </w:tc>
      </w:tr>
      <w:tr w:rsidR="00D55B20" w:rsidRPr="00D50D6E" w14:paraId="32713015" w14:textId="77777777" w:rsidTr="00DF14B3">
        <w:trPr>
          <w:trHeight w:val="612"/>
        </w:trPr>
        <w:tc>
          <w:tcPr>
            <w:tcW w:w="1170" w:type="dxa"/>
            <w:tcBorders>
              <w:top w:val="nil"/>
              <w:left w:val="nil"/>
              <w:bottom w:val="nil"/>
              <w:right w:val="nil"/>
            </w:tcBorders>
          </w:tcPr>
          <w:p w14:paraId="08FAB2A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14A390C6"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4.91</w:t>
            </w:r>
          </w:p>
          <w:p w14:paraId="61F5BDF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(4.12)</w:t>
            </w:r>
          </w:p>
        </w:tc>
        <w:tc>
          <w:tcPr>
            <w:tcW w:w="1440" w:type="dxa"/>
            <w:tcBorders>
              <w:top w:val="nil"/>
              <w:left w:val="nil"/>
              <w:bottom w:val="nil"/>
              <w:right w:val="nil"/>
            </w:tcBorders>
          </w:tcPr>
          <w:p w14:paraId="2B84A15E"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4.42</w:t>
            </w:r>
          </w:p>
          <w:p w14:paraId="1A2F4C5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(4.22)</w:t>
            </w:r>
          </w:p>
        </w:tc>
        <w:tc>
          <w:tcPr>
            <w:tcW w:w="1440" w:type="dxa"/>
            <w:tcBorders>
              <w:top w:val="nil"/>
              <w:left w:val="nil"/>
              <w:bottom w:val="nil"/>
              <w:right w:val="nil"/>
            </w:tcBorders>
          </w:tcPr>
          <w:p w14:paraId="238FAFF8"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4.91</w:t>
            </w:r>
          </w:p>
          <w:p w14:paraId="5A5E903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(4.12)</w:t>
            </w:r>
          </w:p>
        </w:tc>
        <w:tc>
          <w:tcPr>
            <w:tcW w:w="1440" w:type="dxa"/>
            <w:tcBorders>
              <w:top w:val="nil"/>
              <w:left w:val="nil"/>
              <w:bottom w:val="nil"/>
              <w:right w:val="nil"/>
            </w:tcBorders>
          </w:tcPr>
          <w:p w14:paraId="78CE6C2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4.42</w:t>
            </w:r>
          </w:p>
          <w:p w14:paraId="2217475E"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(4.22)</w:t>
            </w:r>
          </w:p>
        </w:tc>
        <w:tc>
          <w:tcPr>
            <w:tcW w:w="1440" w:type="dxa"/>
            <w:tcBorders>
              <w:top w:val="nil"/>
              <w:left w:val="nil"/>
              <w:bottom w:val="nil"/>
              <w:right w:val="nil"/>
            </w:tcBorders>
          </w:tcPr>
          <w:p w14:paraId="7219B417"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4.91</w:t>
            </w:r>
          </w:p>
          <w:p w14:paraId="5F1ED97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(5.68)</w:t>
            </w:r>
          </w:p>
        </w:tc>
        <w:tc>
          <w:tcPr>
            <w:tcW w:w="1440" w:type="dxa"/>
            <w:tcBorders>
              <w:top w:val="nil"/>
              <w:left w:val="nil"/>
              <w:bottom w:val="nil"/>
              <w:right w:val="nil"/>
            </w:tcBorders>
          </w:tcPr>
          <w:p w14:paraId="3D8A18B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4.42</w:t>
            </w:r>
          </w:p>
          <w:p w14:paraId="75E377A0"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(5.14)</w:t>
            </w:r>
          </w:p>
        </w:tc>
      </w:tr>
      <w:tr w:rsidR="00D55B20" w:rsidRPr="00D50D6E" w14:paraId="15D2F677" w14:textId="77777777" w:rsidTr="00DF14B3">
        <w:trPr>
          <w:trHeight w:val="612"/>
        </w:trPr>
        <w:tc>
          <w:tcPr>
            <w:tcW w:w="1170" w:type="dxa"/>
            <w:tcBorders>
              <w:top w:val="nil"/>
              <w:left w:val="nil"/>
              <w:bottom w:val="nil"/>
              <w:right w:val="nil"/>
            </w:tcBorders>
          </w:tcPr>
          <w:p w14:paraId="3B4E725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4B845B5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-2.56***</w:t>
            </w:r>
          </w:p>
          <w:p w14:paraId="2FB161F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(0.93)</w:t>
            </w:r>
          </w:p>
        </w:tc>
        <w:tc>
          <w:tcPr>
            <w:tcW w:w="1440" w:type="dxa"/>
            <w:tcBorders>
              <w:top w:val="nil"/>
              <w:left w:val="nil"/>
              <w:bottom w:val="nil"/>
              <w:right w:val="nil"/>
            </w:tcBorders>
          </w:tcPr>
          <w:p w14:paraId="430710A6"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-1.85*</w:t>
            </w:r>
          </w:p>
          <w:p w14:paraId="01168FB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(0.97)</w:t>
            </w:r>
          </w:p>
        </w:tc>
        <w:tc>
          <w:tcPr>
            <w:tcW w:w="1440" w:type="dxa"/>
            <w:tcBorders>
              <w:top w:val="nil"/>
              <w:left w:val="nil"/>
              <w:bottom w:val="nil"/>
              <w:right w:val="nil"/>
            </w:tcBorders>
          </w:tcPr>
          <w:p w14:paraId="5993358B"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-2.56***</w:t>
            </w:r>
          </w:p>
          <w:p w14:paraId="7F79F0D5"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(0.93)</w:t>
            </w:r>
          </w:p>
        </w:tc>
        <w:tc>
          <w:tcPr>
            <w:tcW w:w="1440" w:type="dxa"/>
            <w:tcBorders>
              <w:top w:val="nil"/>
              <w:left w:val="nil"/>
              <w:bottom w:val="nil"/>
              <w:right w:val="nil"/>
            </w:tcBorders>
          </w:tcPr>
          <w:p w14:paraId="041910CC"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-1.85*</w:t>
            </w:r>
          </w:p>
          <w:p w14:paraId="50A6077F"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(0.97)</w:t>
            </w:r>
          </w:p>
        </w:tc>
        <w:tc>
          <w:tcPr>
            <w:tcW w:w="1440" w:type="dxa"/>
            <w:tcBorders>
              <w:top w:val="nil"/>
              <w:left w:val="nil"/>
              <w:bottom w:val="nil"/>
              <w:right w:val="nil"/>
            </w:tcBorders>
          </w:tcPr>
          <w:p w14:paraId="0C7A857B"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-2.56**</w:t>
            </w:r>
          </w:p>
          <w:p w14:paraId="535F7A34"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(0.98)</w:t>
            </w:r>
          </w:p>
        </w:tc>
        <w:tc>
          <w:tcPr>
            <w:tcW w:w="1440" w:type="dxa"/>
            <w:tcBorders>
              <w:top w:val="nil"/>
              <w:left w:val="nil"/>
              <w:bottom w:val="nil"/>
              <w:right w:val="nil"/>
            </w:tcBorders>
          </w:tcPr>
          <w:p w14:paraId="10DFF16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-1.85*</w:t>
            </w:r>
          </w:p>
          <w:p w14:paraId="7A3D1EC9"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(0.95)</w:t>
            </w:r>
          </w:p>
        </w:tc>
      </w:tr>
      <w:tr w:rsidR="00D55B20" w:rsidRPr="00D50D6E" w14:paraId="252DB84F" w14:textId="77777777" w:rsidTr="00DF14B3">
        <w:trPr>
          <w:trHeight w:val="612"/>
        </w:trPr>
        <w:tc>
          <w:tcPr>
            <w:tcW w:w="1170" w:type="dxa"/>
            <w:tcBorders>
              <w:top w:val="nil"/>
              <w:left w:val="nil"/>
              <w:bottom w:val="nil"/>
              <w:right w:val="nil"/>
            </w:tcBorders>
          </w:tcPr>
          <w:p w14:paraId="5945E70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69BBFEE8"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456.08** (197.17)</w:t>
            </w:r>
          </w:p>
        </w:tc>
        <w:tc>
          <w:tcPr>
            <w:tcW w:w="1440" w:type="dxa"/>
            <w:tcBorders>
              <w:top w:val="nil"/>
              <w:left w:val="nil"/>
              <w:bottom w:val="nil"/>
              <w:right w:val="nil"/>
            </w:tcBorders>
          </w:tcPr>
          <w:p w14:paraId="6C2EF98C"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316.17</w:t>
            </w:r>
          </w:p>
          <w:p w14:paraId="612865F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(201.96)</w:t>
            </w:r>
          </w:p>
        </w:tc>
        <w:tc>
          <w:tcPr>
            <w:tcW w:w="1440" w:type="dxa"/>
            <w:tcBorders>
              <w:top w:val="nil"/>
              <w:left w:val="nil"/>
              <w:bottom w:val="nil"/>
              <w:right w:val="nil"/>
            </w:tcBorders>
          </w:tcPr>
          <w:p w14:paraId="65DBD8F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456.08**</w:t>
            </w:r>
          </w:p>
          <w:p w14:paraId="3E1E823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(197.17)</w:t>
            </w:r>
          </w:p>
        </w:tc>
        <w:tc>
          <w:tcPr>
            <w:tcW w:w="1440" w:type="dxa"/>
            <w:tcBorders>
              <w:top w:val="nil"/>
              <w:left w:val="nil"/>
              <w:bottom w:val="nil"/>
              <w:right w:val="nil"/>
            </w:tcBorders>
          </w:tcPr>
          <w:p w14:paraId="3375A08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316.17</w:t>
            </w:r>
          </w:p>
          <w:p w14:paraId="429CA8F2"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(201.96)</w:t>
            </w:r>
          </w:p>
        </w:tc>
        <w:tc>
          <w:tcPr>
            <w:tcW w:w="1440" w:type="dxa"/>
            <w:tcBorders>
              <w:top w:val="nil"/>
              <w:left w:val="nil"/>
              <w:bottom w:val="nil"/>
              <w:right w:val="nil"/>
            </w:tcBorders>
          </w:tcPr>
          <w:p w14:paraId="0F0A2B73"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456.08</w:t>
            </w:r>
          </w:p>
          <w:p w14:paraId="1431A4F6"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(398.63)</w:t>
            </w:r>
          </w:p>
        </w:tc>
        <w:tc>
          <w:tcPr>
            <w:tcW w:w="1440" w:type="dxa"/>
            <w:tcBorders>
              <w:top w:val="nil"/>
              <w:left w:val="nil"/>
              <w:bottom w:val="nil"/>
              <w:right w:val="nil"/>
            </w:tcBorders>
          </w:tcPr>
          <w:p w14:paraId="4F921E19"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316.17</w:t>
            </w:r>
          </w:p>
          <w:p w14:paraId="33998FC8"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(313.58)</w:t>
            </w:r>
          </w:p>
        </w:tc>
      </w:tr>
      <w:tr w:rsidR="00D55B20" w:rsidRPr="00D50D6E" w14:paraId="5F97A6FA" w14:textId="77777777" w:rsidTr="00DF14B3">
        <w:trPr>
          <w:trHeight w:val="612"/>
        </w:trPr>
        <w:tc>
          <w:tcPr>
            <w:tcW w:w="1170" w:type="dxa"/>
            <w:tcBorders>
              <w:top w:val="nil"/>
              <w:left w:val="nil"/>
              <w:bottom w:val="nil"/>
              <w:right w:val="nil"/>
            </w:tcBorders>
          </w:tcPr>
          <w:p w14:paraId="6604819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55EB93D5"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36.33***</w:t>
            </w:r>
          </w:p>
          <w:p w14:paraId="49932B65"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(3.36)</w:t>
            </w:r>
          </w:p>
        </w:tc>
        <w:tc>
          <w:tcPr>
            <w:tcW w:w="1440" w:type="dxa"/>
            <w:tcBorders>
              <w:top w:val="nil"/>
              <w:left w:val="nil"/>
              <w:bottom w:val="nil"/>
              <w:right w:val="nil"/>
            </w:tcBorders>
          </w:tcPr>
          <w:p w14:paraId="2DF4937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35.69***</w:t>
            </w:r>
          </w:p>
          <w:p w14:paraId="1AC9100C"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(3.58)</w:t>
            </w:r>
          </w:p>
        </w:tc>
        <w:tc>
          <w:tcPr>
            <w:tcW w:w="1440" w:type="dxa"/>
            <w:tcBorders>
              <w:top w:val="nil"/>
              <w:left w:val="nil"/>
              <w:bottom w:val="nil"/>
              <w:right w:val="nil"/>
            </w:tcBorders>
          </w:tcPr>
          <w:p w14:paraId="2E796677"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36.33***</w:t>
            </w:r>
          </w:p>
          <w:p w14:paraId="025CAF5D"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(3.36)</w:t>
            </w:r>
          </w:p>
        </w:tc>
        <w:tc>
          <w:tcPr>
            <w:tcW w:w="1440" w:type="dxa"/>
            <w:tcBorders>
              <w:top w:val="nil"/>
              <w:left w:val="nil"/>
              <w:bottom w:val="nil"/>
              <w:right w:val="nil"/>
            </w:tcBorders>
          </w:tcPr>
          <w:p w14:paraId="38C024E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35.69***</w:t>
            </w:r>
          </w:p>
          <w:p w14:paraId="3E539805"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(3.58)</w:t>
            </w:r>
          </w:p>
        </w:tc>
        <w:tc>
          <w:tcPr>
            <w:tcW w:w="1440" w:type="dxa"/>
            <w:tcBorders>
              <w:top w:val="nil"/>
              <w:left w:val="nil"/>
              <w:bottom w:val="nil"/>
              <w:right w:val="nil"/>
            </w:tcBorders>
          </w:tcPr>
          <w:p w14:paraId="27FBBED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36.33***</w:t>
            </w:r>
          </w:p>
          <w:p w14:paraId="7FD56C29"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(5.96)</w:t>
            </w:r>
          </w:p>
        </w:tc>
        <w:tc>
          <w:tcPr>
            <w:tcW w:w="1440" w:type="dxa"/>
            <w:tcBorders>
              <w:top w:val="nil"/>
              <w:left w:val="nil"/>
              <w:bottom w:val="nil"/>
              <w:right w:val="nil"/>
            </w:tcBorders>
          </w:tcPr>
          <w:p w14:paraId="39A35F39"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35.70***</w:t>
            </w:r>
          </w:p>
          <w:p w14:paraId="4B88F123"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(6.19)</w:t>
            </w:r>
          </w:p>
        </w:tc>
      </w:tr>
      <w:tr w:rsidR="00D55B20" w:rsidRPr="00D50D6E" w14:paraId="3E6C714A" w14:textId="77777777" w:rsidTr="00DF14B3">
        <w:trPr>
          <w:trHeight w:val="219"/>
        </w:trPr>
        <w:tc>
          <w:tcPr>
            <w:tcW w:w="1170" w:type="dxa"/>
            <w:tcBorders>
              <w:top w:val="nil"/>
              <w:left w:val="nil"/>
              <w:bottom w:val="single" w:sz="4" w:space="0" w:color="auto"/>
              <w:right w:val="nil"/>
            </w:tcBorders>
          </w:tcPr>
          <w:p w14:paraId="57EDA7CD" w14:textId="77777777" w:rsidR="00D55B20" w:rsidRPr="0030484F" w:rsidRDefault="00D55B20" w:rsidP="00DF14B3">
            <w:pPr>
              <w:pStyle w:val="NoSpacing"/>
              <w:spacing w:line="480" w:lineRule="auto"/>
              <w:rPr>
                <w:rFonts w:ascii="Times New Roman" w:hAnsi="Times New Roman" w:cs="Times New Roman"/>
                <w:i/>
                <w:iCs/>
                <w:sz w:val="22"/>
                <w:szCs w:val="22"/>
              </w:rPr>
            </w:pPr>
            <w:r>
              <w:rPr>
                <w:rFonts w:ascii="Times New Roman" w:hAnsi="Times New Roman" w:cs="Times New Roman"/>
                <w:i/>
                <w:iCs/>
                <w:sz w:val="22"/>
                <w:szCs w:val="22"/>
              </w:rPr>
              <w:t>constant</w:t>
            </w:r>
          </w:p>
        </w:tc>
        <w:tc>
          <w:tcPr>
            <w:tcW w:w="1440" w:type="dxa"/>
            <w:tcBorders>
              <w:top w:val="nil"/>
              <w:left w:val="nil"/>
              <w:bottom w:val="single" w:sz="4" w:space="0" w:color="auto"/>
              <w:right w:val="nil"/>
            </w:tcBorders>
          </w:tcPr>
          <w:p w14:paraId="534B3B4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2330.20*** (87.85)</w:t>
            </w:r>
          </w:p>
        </w:tc>
        <w:tc>
          <w:tcPr>
            <w:tcW w:w="1440" w:type="dxa"/>
            <w:tcBorders>
              <w:top w:val="nil"/>
              <w:left w:val="nil"/>
              <w:bottom w:val="single" w:sz="4" w:space="0" w:color="auto"/>
              <w:right w:val="nil"/>
            </w:tcBorders>
          </w:tcPr>
          <w:p w14:paraId="082E5B3B"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2145.15***</w:t>
            </w:r>
          </w:p>
          <w:p w14:paraId="756E95A3"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(106.62)</w:t>
            </w:r>
          </w:p>
        </w:tc>
        <w:tc>
          <w:tcPr>
            <w:tcW w:w="1440" w:type="dxa"/>
            <w:tcBorders>
              <w:top w:val="nil"/>
              <w:left w:val="nil"/>
              <w:bottom w:val="single" w:sz="4" w:space="0" w:color="auto"/>
              <w:right w:val="nil"/>
            </w:tcBorders>
          </w:tcPr>
          <w:p w14:paraId="2E6F78B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2073.01***</w:t>
            </w:r>
          </w:p>
          <w:p w14:paraId="0575D62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(75.09)</w:t>
            </w:r>
          </w:p>
        </w:tc>
        <w:tc>
          <w:tcPr>
            <w:tcW w:w="1440" w:type="dxa"/>
            <w:tcBorders>
              <w:top w:val="nil"/>
              <w:left w:val="nil"/>
              <w:bottom w:val="single" w:sz="4" w:space="0" w:color="auto"/>
              <w:right w:val="nil"/>
            </w:tcBorders>
          </w:tcPr>
          <w:p w14:paraId="14A44978"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2081.39***</w:t>
            </w:r>
          </w:p>
          <w:p w14:paraId="7DA32AC6"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(76.82)</w:t>
            </w:r>
          </w:p>
        </w:tc>
        <w:tc>
          <w:tcPr>
            <w:tcW w:w="1440" w:type="dxa"/>
            <w:tcBorders>
              <w:top w:val="nil"/>
              <w:left w:val="nil"/>
              <w:bottom w:val="single" w:sz="4" w:space="0" w:color="auto"/>
              <w:right w:val="nil"/>
            </w:tcBorders>
          </w:tcPr>
          <w:p w14:paraId="77ACF83F"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2073.01*** (133.48)</w:t>
            </w:r>
          </w:p>
        </w:tc>
        <w:tc>
          <w:tcPr>
            <w:tcW w:w="1440" w:type="dxa"/>
            <w:tcBorders>
              <w:top w:val="nil"/>
              <w:left w:val="nil"/>
              <w:bottom w:val="single" w:sz="4" w:space="0" w:color="auto"/>
              <w:right w:val="nil"/>
            </w:tcBorders>
          </w:tcPr>
          <w:p w14:paraId="41BC6EB7"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2081.39***</w:t>
            </w:r>
          </w:p>
          <w:p w14:paraId="74F0369F"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(151.27)</w:t>
            </w:r>
          </w:p>
        </w:tc>
      </w:tr>
      <w:tr w:rsidR="00D55B20" w:rsidRPr="00D50D6E" w14:paraId="7326DE2B" w14:textId="77777777" w:rsidTr="00DF14B3">
        <w:trPr>
          <w:trHeight w:val="219"/>
        </w:trPr>
        <w:tc>
          <w:tcPr>
            <w:tcW w:w="1170" w:type="dxa"/>
            <w:tcBorders>
              <w:top w:val="single" w:sz="4" w:space="0" w:color="auto"/>
              <w:left w:val="nil"/>
              <w:right w:val="nil"/>
            </w:tcBorders>
          </w:tcPr>
          <w:p w14:paraId="614303B7"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Obs.</w:t>
            </w:r>
          </w:p>
        </w:tc>
        <w:tc>
          <w:tcPr>
            <w:tcW w:w="1440" w:type="dxa"/>
            <w:tcBorders>
              <w:top w:val="single" w:sz="4" w:space="0" w:color="auto"/>
              <w:left w:val="nil"/>
              <w:right w:val="nil"/>
            </w:tcBorders>
          </w:tcPr>
          <w:p w14:paraId="62F2698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08C76F6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6608C86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79FE2F4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27679DC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4D1D2BD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r>
      <w:tr w:rsidR="00D55B20" w:rsidRPr="00D50D6E" w14:paraId="4C47BB43" w14:textId="77777777" w:rsidTr="00DF14B3">
        <w:trPr>
          <w:trHeight w:val="219"/>
        </w:trPr>
        <w:tc>
          <w:tcPr>
            <w:tcW w:w="1170" w:type="dxa"/>
            <w:tcBorders>
              <w:left w:val="nil"/>
              <w:right w:val="nil"/>
            </w:tcBorders>
          </w:tcPr>
          <w:p w14:paraId="35261161"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CS</w:t>
            </w:r>
          </w:p>
        </w:tc>
        <w:tc>
          <w:tcPr>
            <w:tcW w:w="1440" w:type="dxa"/>
            <w:tcBorders>
              <w:left w:val="nil"/>
              <w:right w:val="nil"/>
            </w:tcBorders>
          </w:tcPr>
          <w:p w14:paraId="10759686"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0A1C55D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7C15032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4D279D6E"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03CF54E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43F9413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r>
      <w:tr w:rsidR="00D55B20" w:rsidRPr="00B9537B" w14:paraId="2A522204" w14:textId="77777777" w:rsidTr="00DF14B3">
        <w:trPr>
          <w:trHeight w:val="219"/>
        </w:trPr>
        <w:tc>
          <w:tcPr>
            <w:tcW w:w="1170" w:type="dxa"/>
            <w:tcBorders>
              <w:left w:val="nil"/>
              <w:bottom w:val="single" w:sz="4" w:space="0" w:color="auto"/>
              <w:right w:val="nil"/>
            </w:tcBorders>
          </w:tcPr>
          <w:p w14:paraId="76E7E2D6"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 xml:space="preserve">Sample </w:t>
            </w:r>
          </w:p>
        </w:tc>
        <w:tc>
          <w:tcPr>
            <w:tcW w:w="1440" w:type="dxa"/>
            <w:tcBorders>
              <w:left w:val="nil"/>
              <w:bottom w:val="single" w:sz="4" w:space="0" w:color="auto"/>
              <w:right w:val="nil"/>
            </w:tcBorders>
          </w:tcPr>
          <w:p w14:paraId="38F6225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5590C53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2DEAA5C0"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hAnsi="Times New Roman"/>
              </w:rPr>
              <w:t>2000-2023</w:t>
            </w:r>
          </w:p>
        </w:tc>
        <w:tc>
          <w:tcPr>
            <w:tcW w:w="1440" w:type="dxa"/>
            <w:tcBorders>
              <w:left w:val="nil"/>
              <w:bottom w:val="single" w:sz="4" w:space="0" w:color="auto"/>
              <w:right w:val="nil"/>
            </w:tcBorders>
          </w:tcPr>
          <w:p w14:paraId="1DE5774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071D2E3E"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0583BF6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r>
      <w:tr w:rsidR="00D55B20" w:rsidRPr="00B9537B" w14:paraId="18CEA0F1" w14:textId="77777777" w:rsidTr="00DF14B3">
        <w:trPr>
          <w:trHeight w:val="219"/>
        </w:trPr>
        <w:tc>
          <w:tcPr>
            <w:tcW w:w="1170" w:type="dxa"/>
            <w:tcBorders>
              <w:top w:val="single" w:sz="4" w:space="0" w:color="auto"/>
              <w:left w:val="nil"/>
              <w:right w:val="nil"/>
            </w:tcBorders>
          </w:tcPr>
          <w:p w14:paraId="2BEFC042" w14:textId="77777777" w:rsidR="00D55B20" w:rsidRPr="0030484F" w:rsidRDefault="00D55B20" w:rsidP="00DF14B3">
            <w:pPr>
              <w:pStyle w:val="NoSpacing"/>
              <w:spacing w:line="480" w:lineRule="auto"/>
              <w:rPr>
                <w:rFonts w:ascii="Times New Roman" w:hAnsi="Times New Roman"/>
                <w:i/>
                <w:iCs/>
                <w:sz w:val="22"/>
                <w:szCs w:val="22"/>
              </w:rPr>
            </w:pPr>
            <w:r>
              <w:rPr>
                <w:rFonts w:ascii="Times New Roman" w:hAnsi="Times New Roman"/>
                <w:sz w:val="22"/>
                <w:szCs w:val="22"/>
              </w:rPr>
              <w:t>F-stat. (</w:t>
            </w:r>
            <w:r>
              <w:rPr>
                <w:rFonts w:ascii="Times New Roman" w:hAnsi="Times New Roman"/>
                <w:i/>
                <w:iCs/>
                <w:sz w:val="22"/>
                <w:szCs w:val="22"/>
              </w:rPr>
              <w:t>p</w:t>
            </w:r>
            <w:r>
              <w:rPr>
                <w:rFonts w:ascii="Times New Roman" w:hAnsi="Times New Roman"/>
                <w:sz w:val="22"/>
                <w:szCs w:val="22"/>
              </w:rPr>
              <w:t>)</w:t>
            </w:r>
          </w:p>
        </w:tc>
        <w:tc>
          <w:tcPr>
            <w:tcW w:w="1440" w:type="dxa"/>
            <w:tcBorders>
              <w:top w:val="single" w:sz="4" w:space="0" w:color="auto"/>
              <w:left w:val="nil"/>
              <w:right w:val="nil"/>
            </w:tcBorders>
          </w:tcPr>
          <w:p w14:paraId="27AF5E6C"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0.00</w:t>
            </w:r>
          </w:p>
        </w:tc>
        <w:tc>
          <w:tcPr>
            <w:tcW w:w="1440" w:type="dxa"/>
            <w:tcBorders>
              <w:top w:val="single" w:sz="4" w:space="0" w:color="auto"/>
              <w:left w:val="nil"/>
              <w:right w:val="nil"/>
            </w:tcBorders>
          </w:tcPr>
          <w:p w14:paraId="0DC622C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0.00</w:t>
            </w:r>
          </w:p>
        </w:tc>
        <w:tc>
          <w:tcPr>
            <w:tcW w:w="1440" w:type="dxa"/>
            <w:tcBorders>
              <w:top w:val="single" w:sz="4" w:space="0" w:color="auto"/>
              <w:left w:val="nil"/>
              <w:right w:val="nil"/>
            </w:tcBorders>
          </w:tcPr>
          <w:p w14:paraId="053152CA"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w:t>
            </w:r>
          </w:p>
        </w:tc>
        <w:tc>
          <w:tcPr>
            <w:tcW w:w="1440" w:type="dxa"/>
            <w:tcBorders>
              <w:top w:val="single" w:sz="4" w:space="0" w:color="auto"/>
              <w:left w:val="nil"/>
              <w:right w:val="nil"/>
            </w:tcBorders>
          </w:tcPr>
          <w:p w14:paraId="5041B3B9"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nil"/>
              <w:right w:val="nil"/>
            </w:tcBorders>
          </w:tcPr>
          <w:p w14:paraId="03989DB9"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w:t>
            </w:r>
          </w:p>
        </w:tc>
        <w:tc>
          <w:tcPr>
            <w:tcW w:w="1440" w:type="dxa"/>
            <w:tcBorders>
              <w:top w:val="single" w:sz="4" w:space="0" w:color="auto"/>
              <w:left w:val="nil"/>
              <w:right w:val="nil"/>
            </w:tcBorders>
          </w:tcPr>
          <w:p w14:paraId="10E769B3"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r>
      <w:tr w:rsidR="00D55B20" w:rsidRPr="00B9537B" w14:paraId="3C67E70F" w14:textId="77777777" w:rsidTr="00DF14B3">
        <w:trPr>
          <w:trHeight w:val="219"/>
        </w:trPr>
        <w:tc>
          <w:tcPr>
            <w:tcW w:w="1170" w:type="dxa"/>
            <w:tcBorders>
              <w:left w:val="nil"/>
              <w:right w:val="nil"/>
            </w:tcBorders>
          </w:tcPr>
          <w:p w14:paraId="4A00F7C5"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cs="Times New Roman"/>
                <w:sz w:val="22"/>
                <w:szCs w:val="22"/>
              </w:rPr>
              <w:t xml:space="preserve">SC </w:t>
            </w:r>
            <w:r>
              <w:rPr>
                <w:rFonts w:ascii="Times New Roman" w:hAnsi="Times New Roman"/>
                <w:sz w:val="22"/>
                <w:szCs w:val="22"/>
              </w:rPr>
              <w:t>(</w:t>
            </w:r>
            <w:r>
              <w:rPr>
                <w:rFonts w:ascii="Times New Roman" w:hAnsi="Times New Roman"/>
                <w:i/>
                <w:iCs/>
                <w:sz w:val="22"/>
                <w:szCs w:val="22"/>
              </w:rPr>
              <w:t>p</w:t>
            </w:r>
            <w:r>
              <w:rPr>
                <w:rFonts w:ascii="Times New Roman" w:hAnsi="Times New Roman"/>
                <w:sz w:val="22"/>
                <w:szCs w:val="22"/>
              </w:rPr>
              <w:t>)</w:t>
            </w:r>
          </w:p>
        </w:tc>
        <w:tc>
          <w:tcPr>
            <w:tcW w:w="1440" w:type="dxa"/>
            <w:tcBorders>
              <w:left w:val="nil"/>
              <w:right w:val="nil"/>
            </w:tcBorders>
          </w:tcPr>
          <w:p w14:paraId="222E1F9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right w:val="nil"/>
            </w:tcBorders>
          </w:tcPr>
          <w:p w14:paraId="5E7E308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right w:val="nil"/>
            </w:tcBorders>
          </w:tcPr>
          <w:p w14:paraId="2A189AFD"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0.002</w:t>
            </w:r>
          </w:p>
        </w:tc>
        <w:tc>
          <w:tcPr>
            <w:tcW w:w="1440" w:type="dxa"/>
            <w:tcBorders>
              <w:left w:val="nil"/>
              <w:right w:val="nil"/>
            </w:tcBorders>
          </w:tcPr>
          <w:p w14:paraId="0CFE9DA0"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0.00</w:t>
            </w:r>
          </w:p>
        </w:tc>
        <w:tc>
          <w:tcPr>
            <w:tcW w:w="1440" w:type="dxa"/>
            <w:tcBorders>
              <w:left w:val="nil"/>
              <w:right w:val="nil"/>
            </w:tcBorders>
          </w:tcPr>
          <w:p w14:paraId="1EF1C211"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right w:val="nil"/>
            </w:tcBorders>
          </w:tcPr>
          <w:p w14:paraId="3BAECFD5"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5550D936" w14:textId="77777777" w:rsidTr="00DF14B3">
        <w:trPr>
          <w:trHeight w:val="219"/>
        </w:trPr>
        <w:tc>
          <w:tcPr>
            <w:tcW w:w="1170" w:type="dxa"/>
            <w:tcBorders>
              <w:left w:val="nil"/>
              <w:bottom w:val="nil"/>
              <w:right w:val="nil"/>
            </w:tcBorders>
          </w:tcPr>
          <w:p w14:paraId="79180BA1" w14:textId="77777777" w:rsidR="00D55B20" w:rsidRPr="0030484F" w:rsidRDefault="00D55B20" w:rsidP="00DF14B3">
            <w:pPr>
              <w:pStyle w:val="NoSpacing"/>
              <w:spacing w:line="480" w:lineRule="auto"/>
              <w:rPr>
                <w:rFonts w:ascii="Times New Roman" w:hAnsi="Times New Roman"/>
                <w:sz w:val="22"/>
                <w:szCs w:val="22"/>
              </w:rPr>
            </w:pPr>
            <w:proofErr w:type="gramStart"/>
            <w:r>
              <w:rPr>
                <w:rFonts w:ascii="Times New Roman" w:hAnsi="Times New Roman" w:cs="Times New Roman"/>
                <w:sz w:val="22"/>
                <w:szCs w:val="22"/>
              </w:rPr>
              <w:t>Het.</w:t>
            </w:r>
            <w:r>
              <w:rPr>
                <w:rFonts w:ascii="Times New Roman" w:hAnsi="Times New Roman"/>
                <w:sz w:val="22"/>
                <w:szCs w:val="22"/>
              </w:rPr>
              <w:t>(</w:t>
            </w:r>
            <w:proofErr w:type="gramEnd"/>
            <w:r>
              <w:rPr>
                <w:rFonts w:ascii="Times New Roman" w:hAnsi="Times New Roman"/>
                <w:i/>
                <w:iCs/>
                <w:sz w:val="22"/>
                <w:szCs w:val="22"/>
              </w:rPr>
              <w:t>p</w:t>
            </w:r>
            <w:r>
              <w:rPr>
                <w:rFonts w:ascii="Times New Roman" w:hAnsi="Times New Roman"/>
                <w:sz w:val="22"/>
                <w:szCs w:val="22"/>
              </w:rPr>
              <w:t>)</w:t>
            </w:r>
          </w:p>
        </w:tc>
        <w:tc>
          <w:tcPr>
            <w:tcW w:w="1440" w:type="dxa"/>
            <w:tcBorders>
              <w:left w:val="nil"/>
              <w:bottom w:val="nil"/>
              <w:right w:val="nil"/>
            </w:tcBorders>
          </w:tcPr>
          <w:p w14:paraId="2A830FE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bottom w:val="nil"/>
              <w:right w:val="nil"/>
            </w:tcBorders>
          </w:tcPr>
          <w:p w14:paraId="0105164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bottom w:val="nil"/>
              <w:right w:val="nil"/>
            </w:tcBorders>
          </w:tcPr>
          <w:p w14:paraId="3B33D4EB"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0.000</w:t>
            </w:r>
          </w:p>
        </w:tc>
        <w:tc>
          <w:tcPr>
            <w:tcW w:w="1440" w:type="dxa"/>
            <w:tcBorders>
              <w:left w:val="nil"/>
              <w:bottom w:val="nil"/>
              <w:right w:val="nil"/>
            </w:tcBorders>
          </w:tcPr>
          <w:p w14:paraId="4E7C0746"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0.40</w:t>
            </w:r>
          </w:p>
        </w:tc>
        <w:tc>
          <w:tcPr>
            <w:tcW w:w="1440" w:type="dxa"/>
            <w:tcBorders>
              <w:left w:val="nil"/>
              <w:bottom w:val="nil"/>
              <w:right w:val="nil"/>
            </w:tcBorders>
          </w:tcPr>
          <w:p w14:paraId="072FEDD0"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bottom w:val="nil"/>
              <w:right w:val="nil"/>
            </w:tcBorders>
          </w:tcPr>
          <w:p w14:paraId="54C2EED2"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0C455A7B" w14:textId="77777777" w:rsidTr="00DF14B3">
        <w:trPr>
          <w:trHeight w:val="219"/>
        </w:trPr>
        <w:tc>
          <w:tcPr>
            <w:tcW w:w="9810" w:type="dxa"/>
            <w:gridSpan w:val="7"/>
            <w:tcBorders>
              <w:top w:val="single" w:sz="6" w:space="0" w:color="auto"/>
              <w:left w:val="nil"/>
              <w:bottom w:val="nil"/>
              <w:right w:val="nil"/>
            </w:tcBorders>
          </w:tcPr>
          <w:p w14:paraId="19A9CE2D" w14:textId="77777777" w:rsidR="00D55B20" w:rsidRPr="00B9537B"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Standard error statistic in parentheses (…). </w:t>
            </w:r>
            <w:r>
              <w:rPr>
                <w:rFonts w:ascii="Times New Roman" w:hAnsi="Times New Roman"/>
                <w:b/>
                <w:bCs/>
                <w:sz w:val="20"/>
                <w:szCs w:val="20"/>
              </w:rPr>
              <w:t>Note 2</w:t>
            </w:r>
            <w:r>
              <w:rPr>
                <w:rFonts w:ascii="Times New Roman" w:hAnsi="Times New Roman"/>
                <w:sz w:val="20"/>
                <w:szCs w:val="20"/>
              </w:rPr>
              <w:t xml:space="preserve">: ***, **, and * signify p-values less than 0.01, 0.05, and 0.10, respectively. SC= </w:t>
            </w:r>
            <w:r>
              <w:rPr>
                <w:rFonts w:ascii="Times New Roman" w:hAnsi="Times New Roman" w:cs="Times New Roman"/>
                <w:sz w:val="20"/>
                <w:szCs w:val="20"/>
              </w:rPr>
              <w:t>Serial Correlation, p = p-value, Het. = Heteroskedasticity</w:t>
            </w:r>
          </w:p>
          <w:p w14:paraId="22575ADB" w14:textId="77777777" w:rsidR="00D55B20" w:rsidRPr="00B9537B" w:rsidRDefault="00D55B20" w:rsidP="00DF14B3">
            <w:pPr>
              <w:pStyle w:val="NoSpacing"/>
              <w:jc w:val="both"/>
              <w:rPr>
                <w:rFonts w:ascii="Times New Roman" w:hAnsi="Times New Roman"/>
                <w:b/>
                <w:bCs/>
                <w:sz w:val="20"/>
                <w:szCs w:val="20"/>
              </w:rPr>
            </w:pPr>
            <w:r>
              <w:rPr>
                <w:rFonts w:ascii="Times New Roman" w:hAnsi="Times New Roman"/>
                <w:b/>
                <w:bCs/>
                <w:sz w:val="20"/>
                <w:szCs w:val="20"/>
              </w:rPr>
              <w:t>Source</w:t>
            </w:r>
            <w:r>
              <w:rPr>
                <w:rFonts w:ascii="Times New Roman" w:hAnsi="Times New Roman"/>
                <w:sz w:val="20"/>
                <w:szCs w:val="20"/>
              </w:rPr>
              <w:t xml:space="preserve">: Author’s computation, 2026.  </w:t>
            </w:r>
          </w:p>
        </w:tc>
      </w:tr>
      <w:bookmarkEnd w:id="12"/>
    </w:tbl>
    <w:p w14:paraId="5BACC8C5" w14:textId="77777777" w:rsidR="00D55B20" w:rsidRPr="00004FCA" w:rsidRDefault="00D55B20" w:rsidP="00D55B20">
      <w:pPr>
        <w:pStyle w:val="NoSpacing"/>
        <w:jc w:val="both"/>
        <w:rPr>
          <w:rFonts w:ascii="Times New Roman" w:hAnsi="Times New Roman"/>
        </w:rPr>
      </w:pPr>
    </w:p>
    <w:p w14:paraId="0E9F0E3A" w14:textId="77777777" w:rsidR="00D55B20" w:rsidRDefault="00D55B20" w:rsidP="00D55B20">
      <w:pPr>
        <w:pStyle w:val="NoSpacing"/>
        <w:jc w:val="both"/>
        <w:rPr>
          <w:rFonts w:ascii="Times New Roman" w:hAnsi="Times New Roman"/>
          <w:lang w:val="en-GB"/>
        </w:rPr>
      </w:pPr>
    </w:p>
    <w:p w14:paraId="06F186B0" w14:textId="77777777" w:rsidR="00D55B20" w:rsidRDefault="00D55B20" w:rsidP="00D55B20">
      <w:pPr>
        <w:spacing w:line="360" w:lineRule="auto"/>
        <w:jc w:val="both"/>
        <w:rPr>
          <w:rFonts w:ascii="Times New Roman" w:hAnsi="Times New Roman" w:cs="Times New Roman"/>
          <w:b/>
          <w:bCs/>
        </w:rPr>
        <w:sectPr w:rsidR="00D55B20" w:rsidSect="00D55B20">
          <w:pgSz w:w="12240" w:h="15840"/>
          <w:pgMar w:top="1440" w:right="1440" w:bottom="1440" w:left="1440" w:header="720" w:footer="720" w:gutter="0"/>
          <w:cols w:space="720"/>
          <w:docGrid w:linePitch="360"/>
        </w:sectPr>
      </w:pPr>
    </w:p>
    <w:p w14:paraId="7AC8C994" w14:textId="77777777" w:rsidR="00D55B20" w:rsidRPr="009A0A87" w:rsidRDefault="00D55B20" w:rsidP="00D55B20">
      <w:pPr>
        <w:spacing w:line="360" w:lineRule="auto"/>
        <w:jc w:val="both"/>
        <w:rPr>
          <w:rFonts w:ascii="Times New Roman" w:hAnsi="Times New Roman" w:cs="Times New Roman"/>
          <w:b/>
          <w:bCs/>
        </w:rPr>
      </w:pPr>
      <w:r>
        <w:rPr>
          <w:rFonts w:ascii="Times New Roman" w:hAnsi="Times New Roman" w:cs="Times New Roman"/>
          <w:b/>
          <w:bCs/>
        </w:rPr>
        <w:lastRenderedPageBreak/>
        <w:t>5.3 Discussion of findings</w:t>
      </w:r>
    </w:p>
    <w:p w14:paraId="03EA2316" w14:textId="77777777" w:rsidR="00D55B20" w:rsidRDefault="00D55B20" w:rsidP="00D55B20">
      <w:pPr>
        <w:pStyle w:val="NoSpacing"/>
        <w:spacing w:line="360" w:lineRule="auto"/>
        <w:jc w:val="both"/>
        <w:rPr>
          <w:rFonts w:ascii="Times New Roman" w:hAnsi="Times New Roman"/>
        </w:rPr>
      </w:pPr>
      <w:r>
        <w:rPr>
          <w:rFonts w:ascii="Times New Roman" w:hAnsi="Times New Roman"/>
        </w:rPr>
        <w:t xml:space="preserve">The study's findings reveal that inward remittances significantly boost per capita income (PCI) across Sub-Saharan Africa (SSA), a result that aligns with the New Economics of </w:t>
      </w:r>
      <w:proofErr w:type="spellStart"/>
      <w:r>
        <w:rPr>
          <w:rFonts w:ascii="Times New Roman" w:hAnsi="Times New Roman"/>
        </w:rPr>
        <w:t>Labour</w:t>
      </w:r>
      <w:proofErr w:type="spellEnd"/>
      <w:r>
        <w:rPr>
          <w:rFonts w:ascii="Times New Roman" w:hAnsi="Times New Roman"/>
        </w:rPr>
        <w:t xml:space="preserve"> Migration (NELM) theory, which posits that migration is a strategic household decision to overcome local market failures and provide a stable income stream for productive investments (Stark &amp; Bloom, 1985; Adams &amp; Page, 2005; Giuliano &amp; Ruiz-Arranz, 2009). This positive impact is empirically supported by researchers like </w:t>
      </w:r>
      <w:proofErr w:type="spellStart"/>
      <w:r>
        <w:rPr>
          <w:rFonts w:ascii="Times New Roman" w:hAnsi="Times New Roman"/>
        </w:rPr>
        <w:t>Oyegoke</w:t>
      </w:r>
      <w:proofErr w:type="spellEnd"/>
      <w:r>
        <w:rPr>
          <w:rFonts w:ascii="Times New Roman" w:hAnsi="Times New Roman"/>
        </w:rPr>
        <w:t xml:space="preserve"> and Amali (2022) and Emeka, Nwodo and Rena (2024), who confirmed significant development effects from such inflows in the region. Notably, the findings demonstrate a tiered impact where the effect of inward remittances is substantially higher in low-income countries ($248.03) than in middle-income countries ($35.76), supporting </w:t>
      </w:r>
      <w:proofErr w:type="spellStart"/>
      <w:r>
        <w:rPr>
          <w:rFonts w:ascii="Times New Roman" w:hAnsi="Times New Roman"/>
        </w:rPr>
        <w:t>Issahaku</w:t>
      </w:r>
      <w:proofErr w:type="spellEnd"/>
      <w:r>
        <w:rPr>
          <w:rFonts w:ascii="Times New Roman" w:hAnsi="Times New Roman"/>
        </w:rPr>
        <w:t xml:space="preserve"> et al. (2018), who argued that remittances primarily stimulate growth in lower-income tiers, while contradicting Ramirez and Sharma (2008), who suggested higher benefits in upper-income nations due to better investment opportunities. A particularly notable finding is the significant positive effect of outward remittances, which exhibit a greater magnitude of impact on PCI than inward flows across all models—a discovery that addresses a critical gap in the literature, wherein prior studies—such as Ayo, Nnaji and Okorie (2024)—have focused almost exclusively on inward diaspora flows. While </w:t>
      </w:r>
      <w:proofErr w:type="spellStart"/>
      <w:r>
        <w:rPr>
          <w:rFonts w:ascii="Times New Roman" w:hAnsi="Times New Roman"/>
        </w:rPr>
        <w:t>Oloyimgbo</w:t>
      </w:r>
      <w:proofErr w:type="spellEnd"/>
      <w:r>
        <w:rPr>
          <w:rFonts w:ascii="Times New Roman" w:hAnsi="Times New Roman"/>
        </w:rPr>
        <w:t xml:space="preserve"> et al. (2020) suggested outward flows might represent "preliminary costs" of migration or human capital loss, these results suggest they contribute positively to domestic economic dynamics. Furthermore, the consistent negative impact of inflation and the positive impact of financial development across all models reinforce the importance of macroeconomic stability and financial liquidity as prerequisites for growth, as </w:t>
      </w:r>
      <w:proofErr w:type="spellStart"/>
      <w:r>
        <w:rPr>
          <w:rFonts w:ascii="Times New Roman" w:hAnsi="Times New Roman"/>
        </w:rPr>
        <w:t>emphasised</w:t>
      </w:r>
      <w:proofErr w:type="spellEnd"/>
      <w:r>
        <w:rPr>
          <w:rFonts w:ascii="Times New Roman" w:hAnsi="Times New Roman"/>
        </w:rPr>
        <w:t xml:space="preserve"> by Kitessa, Tekie and Jonse (2024) and Adekunle and Tella (2021). Finally, the positive roles of FDI and net migration among low-income countries echo the findings of Adigun and </w:t>
      </w:r>
      <w:proofErr w:type="spellStart"/>
      <w:r>
        <w:rPr>
          <w:rFonts w:ascii="Times New Roman" w:hAnsi="Times New Roman"/>
        </w:rPr>
        <w:t>Ologunwa</w:t>
      </w:r>
      <w:proofErr w:type="spellEnd"/>
      <w:r>
        <w:rPr>
          <w:rFonts w:ascii="Times New Roman" w:hAnsi="Times New Roman"/>
        </w:rPr>
        <w:t xml:space="preserve"> (2018), who noted that whilst remittances aid consumption, genuine economic transformation requires broader productive investments and structural reforms.</w:t>
      </w:r>
    </w:p>
    <w:p w14:paraId="351EC953" w14:textId="0ABAB803" w:rsidR="00967389" w:rsidRPr="00967389" w:rsidRDefault="00967389" w:rsidP="00D55B20">
      <w:pPr>
        <w:pStyle w:val="NoSpacing"/>
        <w:spacing w:line="360" w:lineRule="auto"/>
        <w:jc w:val="both"/>
        <w:rPr>
          <w:rFonts w:ascii="Times New Roman" w:hAnsi="Times New Roman"/>
          <w:b/>
          <w:bCs/>
        </w:rPr>
      </w:pPr>
      <w:bookmarkStart w:id="13" w:name="_Hlk223636826"/>
      <w:r>
        <w:rPr>
          <w:rFonts w:ascii="Times New Roman" w:hAnsi="Times New Roman"/>
          <w:b/>
          <w:bCs/>
        </w:rPr>
        <w:t>6. Conclusion and Recommendations</w:t>
      </w:r>
    </w:p>
    <w:p w14:paraId="14102AF4" w14:textId="515D4CF3" w:rsidR="00F255DE" w:rsidRDefault="00967389" w:rsidP="00F255DE">
      <w:pPr>
        <w:pStyle w:val="NoSpacing"/>
        <w:spacing w:line="360" w:lineRule="auto"/>
        <w:jc w:val="both"/>
        <w:rPr>
          <w:rFonts w:ascii="Times New Roman" w:hAnsi="Times New Roman"/>
        </w:rPr>
      </w:pPr>
      <w:r>
        <w:rPr>
          <w:rFonts w:ascii="Times New Roman" w:hAnsi="Times New Roman"/>
        </w:rPr>
        <w:t xml:space="preserve">This study establishes that both inward and outward remittances are critical determinants of per capita income in Sub-Saharan Africa, with the positive impact of outward flows notably exceeding that of inward flows across all income tiers. These findings are consistent with the New Economics of </w:t>
      </w:r>
      <w:proofErr w:type="spellStart"/>
      <w:r>
        <w:rPr>
          <w:rFonts w:ascii="Times New Roman" w:hAnsi="Times New Roman"/>
        </w:rPr>
        <w:t>Labour</w:t>
      </w:r>
      <w:proofErr w:type="spellEnd"/>
      <w:r>
        <w:rPr>
          <w:rFonts w:ascii="Times New Roman" w:hAnsi="Times New Roman"/>
        </w:rPr>
        <w:t xml:space="preserve"> Migration (NELM) framework, suggesting that remittances function as strategic household resources deployed to overcome local market failures and diversify income risks (Stark </w:t>
      </w:r>
      <w:r>
        <w:rPr>
          <w:rFonts w:ascii="Times New Roman" w:hAnsi="Times New Roman"/>
        </w:rPr>
        <w:lastRenderedPageBreak/>
        <w:t xml:space="preserve">and Bloom, 1985; Adams and Page, 2005). Given that inward remittances have a significantly greater impact in low-income countries compared with middle-income nations, as observed by </w:t>
      </w:r>
      <w:proofErr w:type="spellStart"/>
      <w:r>
        <w:rPr>
          <w:rFonts w:ascii="Times New Roman" w:hAnsi="Times New Roman"/>
        </w:rPr>
        <w:t>Issahaku</w:t>
      </w:r>
      <w:proofErr w:type="spellEnd"/>
      <w:r>
        <w:rPr>
          <w:rFonts w:ascii="Times New Roman" w:hAnsi="Times New Roman"/>
        </w:rPr>
        <w:t xml:space="preserve"> et al. (2018), and that inflation remains a persistent growth-retarding factor, it is recommended that SSA governments </w:t>
      </w:r>
      <w:proofErr w:type="spellStart"/>
      <w:r>
        <w:rPr>
          <w:rFonts w:ascii="Times New Roman" w:hAnsi="Times New Roman"/>
        </w:rPr>
        <w:t>prioritise</w:t>
      </w:r>
      <w:proofErr w:type="spellEnd"/>
      <w:r>
        <w:rPr>
          <w:rFonts w:ascii="Times New Roman" w:hAnsi="Times New Roman"/>
        </w:rPr>
        <w:t xml:space="preserve"> macroeconomic stability and financial development to </w:t>
      </w:r>
      <w:proofErr w:type="spellStart"/>
      <w:r>
        <w:rPr>
          <w:rFonts w:ascii="Times New Roman" w:hAnsi="Times New Roman"/>
        </w:rPr>
        <w:t>maximise</w:t>
      </w:r>
      <w:proofErr w:type="spellEnd"/>
      <w:r>
        <w:rPr>
          <w:rFonts w:ascii="Times New Roman" w:hAnsi="Times New Roman"/>
        </w:rPr>
        <w:t xml:space="preserve"> the benefits of these flows (</w:t>
      </w:r>
      <w:proofErr w:type="spellStart"/>
      <w:r>
        <w:rPr>
          <w:rFonts w:ascii="Times New Roman" w:hAnsi="Times New Roman"/>
        </w:rPr>
        <w:t>Kitessa</w:t>
      </w:r>
      <w:proofErr w:type="spellEnd"/>
      <w:r>
        <w:rPr>
          <w:rFonts w:ascii="Times New Roman" w:hAnsi="Times New Roman"/>
        </w:rPr>
        <w:t xml:space="preserve">, Tekie and Jonse, 2024; Adekunle and Tella, 2021). Specifically, policymakers should implement structural reforms and trade </w:t>
      </w:r>
      <w:proofErr w:type="spellStart"/>
      <w:r>
        <w:rPr>
          <w:rFonts w:ascii="Times New Roman" w:hAnsi="Times New Roman"/>
        </w:rPr>
        <w:t>liberalisation</w:t>
      </w:r>
      <w:proofErr w:type="spellEnd"/>
      <w:r>
        <w:rPr>
          <w:rFonts w:ascii="Times New Roman" w:hAnsi="Times New Roman"/>
        </w:rPr>
        <w:t xml:space="preserve"> to create an enabling environment for </w:t>
      </w:r>
      <w:proofErr w:type="spellStart"/>
      <w:r>
        <w:rPr>
          <w:rFonts w:ascii="Times New Roman" w:hAnsi="Times New Roman"/>
        </w:rPr>
        <w:t>channelling</w:t>
      </w:r>
      <w:proofErr w:type="spellEnd"/>
      <w:r>
        <w:rPr>
          <w:rFonts w:ascii="Times New Roman" w:hAnsi="Times New Roman"/>
        </w:rPr>
        <w:t xml:space="preserve"> remittances from mere consumption into productive investments such as housing, infrastructure, and human capital development (Adigun and </w:t>
      </w:r>
      <w:proofErr w:type="spellStart"/>
      <w:r>
        <w:rPr>
          <w:rFonts w:ascii="Times New Roman" w:hAnsi="Times New Roman"/>
        </w:rPr>
        <w:t>Ologunwa</w:t>
      </w:r>
      <w:proofErr w:type="spellEnd"/>
      <w:r>
        <w:rPr>
          <w:rFonts w:ascii="Times New Roman" w:hAnsi="Times New Roman"/>
        </w:rPr>
        <w:t>, 2018; Anosike and Alfadhel, 2023; Emeka, Nwodo and Rena, 2024). Furthermore, aggressive efforts must be made to reduce the region's transaction costs, which are currently the highest globally, to enhance the net impact of these funds on poverty reduction (World Bank, 2022). Ultimately, the establishment of predictable and transparent regulatory frameworks is essential to transform remittances from a temporary buffer against economic hardship into a sustainable engine of genuine economic development (John, Orok and Udoka, 2020).</w:t>
      </w:r>
    </w:p>
    <w:p w14:paraId="1C61B979" w14:textId="77777777" w:rsidR="00754894" w:rsidRPr="00754894" w:rsidRDefault="00754894" w:rsidP="00754894">
      <w:pPr>
        <w:spacing w:after="0" w:line="240" w:lineRule="auto"/>
        <w:rPr>
          <w:rFonts w:ascii="Arial" w:eastAsia="Calibri" w:hAnsi="Arial" w:cs="Arial"/>
          <w:sz w:val="22"/>
          <w:szCs w:val="22"/>
          <w:highlight w:val="yellow"/>
        </w:rPr>
      </w:pPr>
      <w:bookmarkStart w:id="14" w:name="_Hlk198031404"/>
      <w:r w:rsidRPr="00754894">
        <w:rPr>
          <w:rFonts w:ascii="Arial" w:eastAsia="Calibri" w:hAnsi="Arial" w:cs="Arial"/>
          <w:sz w:val="22"/>
          <w:szCs w:val="22"/>
          <w:highlight w:val="yellow"/>
        </w:rPr>
        <w:t>Disclaimer (Artificial intelligence)</w:t>
      </w:r>
    </w:p>
    <w:p w14:paraId="6C150E07" w14:textId="77777777" w:rsidR="00754894" w:rsidRPr="00754894" w:rsidRDefault="00754894" w:rsidP="00754894">
      <w:pPr>
        <w:spacing w:after="0" w:line="240" w:lineRule="auto"/>
        <w:rPr>
          <w:rFonts w:ascii="Arial" w:eastAsia="Calibri" w:hAnsi="Arial" w:cs="Arial"/>
          <w:sz w:val="22"/>
          <w:szCs w:val="22"/>
          <w:highlight w:val="yellow"/>
        </w:rPr>
      </w:pPr>
    </w:p>
    <w:p w14:paraId="7EC80FC9" w14:textId="77777777" w:rsidR="00754894" w:rsidRPr="00754894" w:rsidRDefault="00754894" w:rsidP="00754894">
      <w:pPr>
        <w:spacing w:after="0" w:line="240" w:lineRule="auto"/>
        <w:rPr>
          <w:rFonts w:ascii="Arial" w:eastAsia="Calibri" w:hAnsi="Arial" w:cs="Arial"/>
          <w:sz w:val="22"/>
          <w:szCs w:val="22"/>
          <w:highlight w:val="yellow"/>
        </w:rPr>
      </w:pPr>
      <w:r w:rsidRPr="00754894">
        <w:rPr>
          <w:rFonts w:ascii="Arial" w:eastAsia="Calibri" w:hAnsi="Arial" w:cs="Arial"/>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4"/>
    <w:p w14:paraId="5C128BED" w14:textId="77777777" w:rsidR="00754894" w:rsidRPr="00754894" w:rsidRDefault="00754894" w:rsidP="00754894">
      <w:pPr>
        <w:spacing w:after="0" w:line="240" w:lineRule="auto"/>
        <w:rPr>
          <w:rFonts w:ascii="Arial" w:eastAsia="Calibri" w:hAnsi="Arial" w:cs="Arial"/>
          <w:sz w:val="22"/>
          <w:szCs w:val="22"/>
        </w:rPr>
      </w:pPr>
    </w:p>
    <w:p w14:paraId="4E8EF151" w14:textId="77777777" w:rsidR="00754894" w:rsidRPr="00754894" w:rsidRDefault="00754894" w:rsidP="00754894">
      <w:pPr>
        <w:spacing w:after="0" w:line="240" w:lineRule="auto"/>
        <w:rPr>
          <w:rFonts w:ascii="Arial" w:eastAsia="Calibri" w:hAnsi="Arial" w:cs="Arial"/>
          <w:sz w:val="22"/>
          <w:szCs w:val="22"/>
        </w:rPr>
      </w:pPr>
    </w:p>
    <w:p w14:paraId="5CCC91AE" w14:textId="77777777" w:rsidR="00754894" w:rsidRPr="00754894" w:rsidRDefault="00754894" w:rsidP="00754894">
      <w:pPr>
        <w:spacing w:after="0" w:line="240" w:lineRule="auto"/>
        <w:rPr>
          <w:rFonts w:ascii="Arial" w:eastAsia="Calibri" w:hAnsi="Arial" w:cs="Arial"/>
          <w:sz w:val="22"/>
          <w:szCs w:val="22"/>
        </w:rPr>
      </w:pPr>
    </w:p>
    <w:p w14:paraId="44ECDF3E" w14:textId="77777777" w:rsidR="00F255DE" w:rsidRPr="009A0A87" w:rsidRDefault="00F255DE" w:rsidP="00F255DE">
      <w:pPr>
        <w:pStyle w:val="NoSpacing"/>
        <w:spacing w:line="360" w:lineRule="auto"/>
        <w:jc w:val="both"/>
        <w:rPr>
          <w:rFonts w:ascii="Times New Roman" w:hAnsi="Times New Roman"/>
        </w:rPr>
      </w:pPr>
    </w:p>
    <w:p w14:paraId="4B4C8DC2" w14:textId="77777777" w:rsidR="00F255DE" w:rsidRPr="009A0A87" w:rsidRDefault="00F255DE" w:rsidP="00F255DE">
      <w:pPr>
        <w:spacing w:line="276" w:lineRule="auto"/>
        <w:jc w:val="both"/>
        <w:rPr>
          <w:rFonts w:ascii="Times New Roman" w:hAnsi="Times New Roman" w:cs="Times New Roman"/>
          <w:b/>
          <w:bCs/>
        </w:rPr>
      </w:pPr>
      <w:r>
        <w:rPr>
          <w:rFonts w:ascii="Times New Roman" w:hAnsi="Times New Roman" w:cs="Times New Roman"/>
          <w:b/>
          <w:bCs/>
        </w:rPr>
        <w:t>References</w:t>
      </w:r>
    </w:p>
    <w:p w14:paraId="52E73161" w14:textId="5151941C" w:rsidR="00F255DE" w:rsidRPr="009A0A87" w:rsidRDefault="00F255DE" w:rsidP="00F255DE">
      <w:pPr>
        <w:pStyle w:val="NoSpacing"/>
        <w:jc w:val="both"/>
        <w:rPr>
          <w:rFonts w:ascii="Times New Roman" w:hAnsi="Times New Roman" w:cs="Times New Roman"/>
        </w:rPr>
      </w:pPr>
      <w:r>
        <w:rPr>
          <w:rFonts w:ascii="Times New Roman" w:hAnsi="Times New Roman" w:cs="Times New Roman"/>
        </w:rPr>
        <w:t xml:space="preserve">Abel, E. O., Nnamdi, F., &amp; Adekunle, F. (2024). Contribution of diaspora remittances to economic growth and development in Nigeria: A housing finance and infrastructure prospective 2000-2023. </w:t>
      </w:r>
      <w:r>
        <w:rPr>
          <w:rFonts w:ascii="Times New Roman" w:hAnsi="Times New Roman" w:cs="Times New Roman"/>
          <w:i/>
          <w:iCs/>
        </w:rPr>
        <w:t>Journal of Service Sciences and Management, 17</w:t>
      </w:r>
      <w:r>
        <w:rPr>
          <w:rFonts w:ascii="Times New Roman" w:hAnsi="Times New Roman" w:cs="Times New Roman"/>
        </w:rPr>
        <w:t xml:space="preserve">(4). </w:t>
      </w:r>
      <w:hyperlink r:id="rId13" w:history="1">
        <w:r>
          <w:rPr>
            <w:rStyle w:val="Hyperlink"/>
            <w:rFonts w:ascii="Times New Roman" w:hAnsi="Times New Roman" w:cs="Times New Roman"/>
          </w:rPr>
          <w:t>https://doi.org/10.4236/jssm.2024.174016</w:t>
        </w:r>
      </w:hyperlink>
      <w:r>
        <w:rPr>
          <w:rFonts w:ascii="Times New Roman" w:hAnsi="Times New Roman" w:cs="Times New Roman"/>
        </w:rPr>
        <w:t xml:space="preserve"> </w:t>
      </w:r>
    </w:p>
    <w:p w14:paraId="64D4CF3C" w14:textId="4121DE5E" w:rsidR="00F255DE" w:rsidRPr="00C32F05" w:rsidRDefault="00F255DE" w:rsidP="00F255DE">
      <w:pPr>
        <w:pStyle w:val="NoSpacing"/>
        <w:jc w:val="both"/>
        <w:rPr>
          <w:rFonts w:ascii="Times New Roman" w:hAnsi="Times New Roman" w:cs="Times New Roman"/>
        </w:rPr>
      </w:pPr>
      <w:r>
        <w:rPr>
          <w:rFonts w:ascii="Times New Roman" w:hAnsi="Times New Roman" w:cs="Times New Roman"/>
          <w:lang w:val="it-IT"/>
        </w:rPr>
        <w:t xml:space="preserve">Abel, S., Chiwakaya, K., Mutonhori, C., Muleya, H., &amp; Le Roux, P. (2025). </w:t>
      </w:r>
      <w:r>
        <w:rPr>
          <w:rFonts w:ascii="Times New Roman" w:hAnsi="Times New Roman" w:cs="Times New Roman"/>
        </w:rPr>
        <w:t xml:space="preserve">Nexus between diaspora remittances and economic growth. </w:t>
      </w:r>
      <w:r>
        <w:rPr>
          <w:rFonts w:ascii="Times New Roman" w:hAnsi="Times New Roman" w:cs="Times New Roman"/>
          <w:i/>
          <w:iCs/>
        </w:rPr>
        <w:t>International Journal of Economics and Financial Issues, 15</w:t>
      </w:r>
      <w:r>
        <w:rPr>
          <w:rFonts w:ascii="Times New Roman" w:hAnsi="Times New Roman" w:cs="Times New Roman"/>
        </w:rPr>
        <w:t xml:space="preserve">(4), 356–362. </w:t>
      </w:r>
      <w:hyperlink r:id="rId14" w:history="1">
        <w:r>
          <w:rPr>
            <w:rStyle w:val="Hyperlink"/>
            <w:rFonts w:ascii="Times New Roman" w:hAnsi="Times New Roman" w:cs="Times New Roman"/>
          </w:rPr>
          <w:t>https://doi.org/10.32479/ijefi.18730</w:t>
        </w:r>
      </w:hyperlink>
      <w:r>
        <w:rPr>
          <w:rFonts w:ascii="Times New Roman" w:hAnsi="Times New Roman" w:cs="Times New Roman"/>
        </w:rPr>
        <w:t xml:space="preserve"> </w:t>
      </w:r>
    </w:p>
    <w:p w14:paraId="69D95605" w14:textId="77777777" w:rsidR="00F255DE" w:rsidRPr="009A0A87" w:rsidRDefault="00F255DE" w:rsidP="00F255DE">
      <w:pPr>
        <w:pStyle w:val="NoSpacing"/>
        <w:jc w:val="both"/>
        <w:rPr>
          <w:rFonts w:ascii="Times New Roman" w:hAnsi="Times New Roman" w:cs="Times New Roman"/>
        </w:rPr>
      </w:pPr>
      <w:r>
        <w:rPr>
          <w:rFonts w:ascii="Times New Roman" w:hAnsi="Times New Roman" w:cs="Times New Roman"/>
        </w:rPr>
        <w:t xml:space="preserve">Adams, R. H., Jr., &amp; Page, J. (2003). </w:t>
      </w:r>
      <w:r>
        <w:rPr>
          <w:rFonts w:ascii="Times New Roman" w:hAnsi="Times New Roman" w:cs="Times New Roman"/>
          <w:i/>
          <w:iCs/>
        </w:rPr>
        <w:t>International migration, remittances, and poverty in developing countries</w:t>
      </w:r>
      <w:r>
        <w:rPr>
          <w:rFonts w:ascii="Times New Roman" w:hAnsi="Times New Roman" w:cs="Times New Roman"/>
        </w:rPr>
        <w:t xml:space="preserve"> (Policy Research Working Paper No. 3179). World Bank.</w:t>
      </w:r>
    </w:p>
    <w:p w14:paraId="337B19D1"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Adams, R. H., Jr., &amp; Page, J. (2005). Do international migration and remittances reduce poverty in developing countries? </w:t>
      </w:r>
      <w:r>
        <w:rPr>
          <w:rFonts w:ascii="Times New Roman" w:hAnsi="Times New Roman" w:cs="Times New Roman"/>
          <w:i/>
          <w:iCs/>
        </w:rPr>
        <w:t>World Development, 33</w:t>
      </w:r>
      <w:r>
        <w:rPr>
          <w:rFonts w:ascii="Times New Roman" w:hAnsi="Times New Roman" w:cs="Times New Roman"/>
        </w:rPr>
        <w:t>(10), 1645-1669.</w:t>
      </w:r>
    </w:p>
    <w:p w14:paraId="260C8F53" w14:textId="47FDB56E" w:rsidR="00EC4966" w:rsidRDefault="00EC4966" w:rsidP="00F255DE">
      <w:pPr>
        <w:pStyle w:val="NoSpacing"/>
        <w:jc w:val="both"/>
        <w:rPr>
          <w:rFonts w:ascii="Times New Roman" w:hAnsi="Times New Roman" w:cs="Times New Roman"/>
        </w:rPr>
      </w:pPr>
      <w:r w:rsidRPr="00587187">
        <w:rPr>
          <w:rFonts w:ascii="Times New Roman" w:hAnsi="Times New Roman" w:cs="Times New Roman"/>
        </w:rPr>
        <w:t xml:space="preserve">Adekunle, I. A., Tella, S. A., &amp; Ogunjobi, F. O. (2021). </w:t>
      </w:r>
      <w:r>
        <w:rPr>
          <w:rFonts w:ascii="Times New Roman" w:hAnsi="Times New Roman" w:cs="Times New Roman"/>
        </w:rPr>
        <w:t xml:space="preserve">Remittances and the future of African economies: Structural linkages and financial development. </w:t>
      </w:r>
      <w:r>
        <w:rPr>
          <w:rFonts w:ascii="Times New Roman" w:hAnsi="Times New Roman" w:cs="Times New Roman"/>
          <w:i/>
          <w:iCs/>
        </w:rPr>
        <w:t>International Migration, 59</w:t>
      </w:r>
      <w:r>
        <w:rPr>
          <w:rFonts w:ascii="Times New Roman" w:hAnsi="Times New Roman" w:cs="Times New Roman"/>
        </w:rPr>
        <w:t xml:space="preserve">(6), 1–19. </w:t>
      </w:r>
      <w:hyperlink r:id="rId15" w:history="1">
        <w:r>
          <w:rPr>
            <w:rStyle w:val="Hyperlink"/>
            <w:rFonts w:ascii="Times New Roman" w:hAnsi="Times New Roman" w:cs="Times New Roman"/>
          </w:rPr>
          <w:t>https://doi.org/10.1111/imig.12951</w:t>
        </w:r>
      </w:hyperlink>
      <w:r>
        <w:rPr>
          <w:rFonts w:ascii="Times New Roman" w:hAnsi="Times New Roman" w:cs="Times New Roman"/>
        </w:rPr>
        <w:t xml:space="preserve">   </w:t>
      </w:r>
    </w:p>
    <w:p w14:paraId="7C40760B" w14:textId="1A360939" w:rsidR="00F255DE" w:rsidRPr="00C32F05" w:rsidRDefault="00F255DE" w:rsidP="00F255DE">
      <w:pPr>
        <w:pStyle w:val="NoSpacing"/>
        <w:jc w:val="both"/>
        <w:rPr>
          <w:rFonts w:ascii="Times New Roman" w:hAnsi="Times New Roman" w:cs="Times New Roman"/>
        </w:rPr>
      </w:pPr>
      <w:proofErr w:type="spellStart"/>
      <w:r>
        <w:rPr>
          <w:rFonts w:ascii="Times New Roman" w:hAnsi="Times New Roman" w:cs="Times New Roman"/>
        </w:rPr>
        <w:lastRenderedPageBreak/>
        <w:t>Adenutsi</w:t>
      </w:r>
      <w:proofErr w:type="spellEnd"/>
      <w:r>
        <w:rPr>
          <w:rFonts w:ascii="Times New Roman" w:hAnsi="Times New Roman" w:cs="Times New Roman"/>
        </w:rPr>
        <w:t xml:space="preserve">, D. E. (2011). </w:t>
      </w:r>
      <w:r>
        <w:rPr>
          <w:rFonts w:ascii="Times New Roman" w:hAnsi="Times New Roman" w:cs="Times New Roman"/>
          <w:i/>
          <w:iCs/>
        </w:rPr>
        <w:t>Do remittances alleviate poverty and income inequality in poor countries? Empirical evidence from Sub-Saharan Africa</w:t>
      </w:r>
      <w:r>
        <w:rPr>
          <w:rFonts w:ascii="Times New Roman" w:hAnsi="Times New Roman" w:cs="Times New Roman"/>
        </w:rPr>
        <w:t xml:space="preserve"> (Working Paper No. 37130). Munich Personal </w:t>
      </w:r>
      <w:proofErr w:type="spellStart"/>
      <w:r>
        <w:rPr>
          <w:rFonts w:ascii="Times New Roman" w:hAnsi="Times New Roman" w:cs="Times New Roman"/>
        </w:rPr>
        <w:t>RePEc</w:t>
      </w:r>
      <w:proofErr w:type="spellEnd"/>
      <w:r>
        <w:rPr>
          <w:rFonts w:ascii="Times New Roman" w:hAnsi="Times New Roman" w:cs="Times New Roman"/>
        </w:rPr>
        <w:t xml:space="preserve"> Archive.</w:t>
      </w:r>
    </w:p>
    <w:p w14:paraId="5EBFBFB3" w14:textId="77777777" w:rsidR="00EC4966" w:rsidRDefault="00EC4966" w:rsidP="00F255DE">
      <w:pPr>
        <w:pStyle w:val="NoSpacing"/>
        <w:jc w:val="both"/>
        <w:rPr>
          <w:rFonts w:ascii="Times New Roman" w:hAnsi="Times New Roman" w:cs="Times New Roman"/>
        </w:rPr>
      </w:pPr>
      <w:r>
        <w:rPr>
          <w:rFonts w:ascii="Times New Roman" w:hAnsi="Times New Roman" w:cs="Times New Roman"/>
        </w:rPr>
        <w:t xml:space="preserve">Adigun, A. O., &amp; </w:t>
      </w:r>
      <w:proofErr w:type="spellStart"/>
      <w:r>
        <w:rPr>
          <w:rFonts w:ascii="Times New Roman" w:hAnsi="Times New Roman" w:cs="Times New Roman"/>
        </w:rPr>
        <w:t>Ologunwa</w:t>
      </w:r>
      <w:proofErr w:type="spellEnd"/>
      <w:r>
        <w:rPr>
          <w:rFonts w:ascii="Times New Roman" w:hAnsi="Times New Roman" w:cs="Times New Roman"/>
        </w:rPr>
        <w:t xml:space="preserve">, O. P. (2017). Remittances and economic growth in Nigeria and selected African countries (1980–2015). </w:t>
      </w:r>
      <w:r>
        <w:rPr>
          <w:rFonts w:ascii="Times New Roman" w:hAnsi="Times New Roman" w:cs="Times New Roman"/>
          <w:i/>
          <w:iCs/>
        </w:rPr>
        <w:t>International Journal of Research in Management</w:t>
      </w:r>
      <w:r>
        <w:rPr>
          <w:rFonts w:ascii="Times New Roman" w:hAnsi="Times New Roman" w:cs="Times New Roman"/>
        </w:rPr>
        <w:t>, 7(6), 29–41.</w:t>
      </w:r>
    </w:p>
    <w:p w14:paraId="1F3DD018" w14:textId="0C6A22A5"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African Development Bank. (2019). </w:t>
      </w:r>
      <w:r>
        <w:rPr>
          <w:rFonts w:ascii="Times New Roman" w:hAnsi="Times New Roman" w:cs="Times New Roman"/>
          <w:i/>
          <w:iCs/>
        </w:rPr>
        <w:t>Remittances and economic development in Africa</w:t>
      </w:r>
      <w:r>
        <w:rPr>
          <w:rFonts w:ascii="Times New Roman" w:hAnsi="Times New Roman" w:cs="Times New Roman"/>
        </w:rPr>
        <w:t>. AFDB.</w:t>
      </w:r>
    </w:p>
    <w:p w14:paraId="113473F5" w14:textId="77777777" w:rsidR="00EC4966" w:rsidRDefault="00F255DE" w:rsidP="00F255DE">
      <w:pPr>
        <w:pStyle w:val="NoSpacing"/>
        <w:jc w:val="both"/>
        <w:rPr>
          <w:rFonts w:ascii="Times New Roman" w:hAnsi="Times New Roman" w:cs="Times New Roman"/>
        </w:rPr>
      </w:pPr>
      <w:r>
        <w:rPr>
          <w:rFonts w:ascii="Times New Roman" w:hAnsi="Times New Roman" w:cs="Times New Roman"/>
        </w:rPr>
        <w:t xml:space="preserve">Ahmad, A. (2019). </w:t>
      </w:r>
      <w:r>
        <w:rPr>
          <w:rFonts w:ascii="Times New Roman" w:hAnsi="Times New Roman" w:cs="Times New Roman"/>
          <w:i/>
          <w:iCs/>
        </w:rPr>
        <w:t>The impact of remittances flow on exchange rate stability (1990-2018)</w:t>
      </w:r>
      <w:r>
        <w:rPr>
          <w:rFonts w:ascii="Times New Roman" w:hAnsi="Times New Roman" w:cs="Times New Roman"/>
        </w:rPr>
        <w:t xml:space="preserve">. Munich Personal </w:t>
      </w:r>
      <w:proofErr w:type="spellStart"/>
      <w:r>
        <w:rPr>
          <w:rFonts w:ascii="Times New Roman" w:hAnsi="Times New Roman" w:cs="Times New Roman"/>
        </w:rPr>
        <w:t>RePEc</w:t>
      </w:r>
      <w:proofErr w:type="spellEnd"/>
      <w:r>
        <w:rPr>
          <w:rFonts w:ascii="Times New Roman" w:hAnsi="Times New Roman" w:cs="Times New Roman"/>
        </w:rPr>
        <w:t xml:space="preserve"> Archive.</w:t>
      </w:r>
    </w:p>
    <w:p w14:paraId="43B93AAF" w14:textId="52228425" w:rsidR="00F255DE" w:rsidRPr="00C32F05" w:rsidRDefault="00F255DE" w:rsidP="00F255DE">
      <w:pPr>
        <w:pStyle w:val="NoSpacing"/>
        <w:jc w:val="both"/>
        <w:rPr>
          <w:rFonts w:ascii="Times New Roman" w:hAnsi="Times New Roman" w:cs="Times New Roman"/>
        </w:rPr>
      </w:pPr>
      <w:r w:rsidRPr="00587187">
        <w:rPr>
          <w:rFonts w:ascii="Times New Roman" w:hAnsi="Times New Roman" w:cs="Times New Roman"/>
        </w:rPr>
        <w:t xml:space="preserve">Amuedo-Dorantes, C., &amp; Pozo, S. (2004). </w:t>
      </w:r>
      <w:r>
        <w:rPr>
          <w:rFonts w:ascii="Times New Roman" w:hAnsi="Times New Roman" w:cs="Times New Roman"/>
        </w:rPr>
        <w:t xml:space="preserve">Workers' remittances and the real exchange rate: A paradox of gifts. </w:t>
      </w:r>
      <w:r>
        <w:rPr>
          <w:rFonts w:ascii="Times New Roman" w:hAnsi="Times New Roman" w:cs="Times New Roman"/>
          <w:i/>
          <w:iCs/>
        </w:rPr>
        <w:t>World Development, 32</w:t>
      </w:r>
      <w:r>
        <w:rPr>
          <w:rFonts w:ascii="Times New Roman" w:hAnsi="Times New Roman" w:cs="Times New Roman"/>
        </w:rPr>
        <w:t>(8), 1407-1417.</w:t>
      </w:r>
    </w:p>
    <w:p w14:paraId="60416AA1" w14:textId="42B6E4D7" w:rsidR="00EC4966" w:rsidRDefault="00EC4966" w:rsidP="00F255DE">
      <w:pPr>
        <w:pStyle w:val="NoSpacing"/>
        <w:jc w:val="both"/>
        <w:rPr>
          <w:rFonts w:ascii="Times New Roman" w:hAnsi="Times New Roman" w:cs="Times New Roman"/>
        </w:rPr>
      </w:pPr>
      <w:r>
        <w:rPr>
          <w:rFonts w:ascii="Times New Roman" w:hAnsi="Times New Roman" w:cs="Times New Roman"/>
        </w:rPr>
        <w:t xml:space="preserve">Anosike, C. K., &amp; </w:t>
      </w:r>
      <w:proofErr w:type="spellStart"/>
      <w:r>
        <w:rPr>
          <w:rFonts w:ascii="Times New Roman" w:hAnsi="Times New Roman" w:cs="Times New Roman"/>
        </w:rPr>
        <w:t>Alfadhel</w:t>
      </w:r>
      <w:proofErr w:type="spellEnd"/>
      <w:r>
        <w:rPr>
          <w:rFonts w:ascii="Times New Roman" w:hAnsi="Times New Roman" w:cs="Times New Roman"/>
        </w:rPr>
        <w:t xml:space="preserve">, H. (2023). The effect of remittances on economic growth in Nigeria: A forty-year analysis. </w:t>
      </w:r>
      <w:r>
        <w:rPr>
          <w:rFonts w:ascii="Times New Roman" w:hAnsi="Times New Roman" w:cs="Times New Roman"/>
          <w:i/>
          <w:iCs/>
        </w:rPr>
        <w:t>Journal of Applied Economics and Business, 11</w:t>
      </w:r>
      <w:r>
        <w:rPr>
          <w:rFonts w:ascii="Times New Roman" w:hAnsi="Times New Roman" w:cs="Times New Roman"/>
        </w:rPr>
        <w:t xml:space="preserve">(2), 5–20. Retrieved from </w:t>
      </w:r>
      <w:hyperlink r:id="rId16" w:history="1">
        <w:r>
          <w:rPr>
            <w:rStyle w:val="Hyperlink"/>
            <w:rFonts w:ascii="Times New Roman" w:hAnsi="Times New Roman" w:cs="Times New Roman"/>
          </w:rPr>
          <w:t>https://www.aebjournal.org</w:t>
        </w:r>
      </w:hyperlink>
    </w:p>
    <w:p w14:paraId="7E8EACC8" w14:textId="4088EEE4"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Anyanwu, J. C. (2011). International remittances and income inequality in Africa. </w:t>
      </w:r>
      <w:r>
        <w:rPr>
          <w:rFonts w:ascii="Times New Roman" w:hAnsi="Times New Roman" w:cs="Times New Roman"/>
          <w:i/>
          <w:iCs/>
        </w:rPr>
        <w:t>Review of Economic and Business Studies, 5</w:t>
      </w:r>
      <w:r>
        <w:rPr>
          <w:rFonts w:ascii="Times New Roman" w:hAnsi="Times New Roman" w:cs="Times New Roman"/>
        </w:rPr>
        <w:t>(1), 117–148.</w:t>
      </w:r>
    </w:p>
    <w:p w14:paraId="44B3E907" w14:textId="77777777" w:rsidR="00EC4966" w:rsidRDefault="00EC4966" w:rsidP="00F255DE">
      <w:pPr>
        <w:pStyle w:val="NoSpacing"/>
        <w:jc w:val="both"/>
        <w:rPr>
          <w:rFonts w:ascii="Times New Roman" w:hAnsi="Times New Roman" w:cs="Times New Roman"/>
        </w:rPr>
      </w:pPr>
      <w:r>
        <w:rPr>
          <w:rFonts w:ascii="Times New Roman" w:hAnsi="Times New Roman" w:cs="Times New Roman"/>
        </w:rPr>
        <w:t xml:space="preserve">Ayo, A., Nnaji, C., &amp; Okorie, K. (2024). Remittances inflows and Nigeria’s socio-economic development in the 21st century. </w:t>
      </w:r>
      <w:r>
        <w:rPr>
          <w:rFonts w:ascii="Times New Roman" w:hAnsi="Times New Roman" w:cs="Times New Roman"/>
          <w:i/>
          <w:iCs/>
        </w:rPr>
        <w:t>Journal of Economics and Sustainable Development, 15</w:t>
      </w:r>
      <w:r>
        <w:rPr>
          <w:rFonts w:ascii="Times New Roman" w:hAnsi="Times New Roman" w:cs="Times New Roman"/>
        </w:rPr>
        <w:t>(4), 45–60.</w:t>
      </w:r>
    </w:p>
    <w:p w14:paraId="62B4A0FE" w14:textId="30E462ED"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Becker, G. S. (1981). </w:t>
      </w:r>
      <w:r>
        <w:rPr>
          <w:rFonts w:ascii="Times New Roman" w:hAnsi="Times New Roman" w:cs="Times New Roman"/>
          <w:i/>
          <w:iCs/>
        </w:rPr>
        <w:t>A treatise on the family</w:t>
      </w:r>
      <w:r>
        <w:rPr>
          <w:rFonts w:ascii="Times New Roman" w:hAnsi="Times New Roman" w:cs="Times New Roman"/>
        </w:rPr>
        <w:t>. Harvard University Press.</w:t>
      </w:r>
    </w:p>
    <w:p w14:paraId="274DFCAC" w14:textId="2D08663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Chami, R., Fullenkamp, C., &amp; </w:t>
      </w:r>
      <w:proofErr w:type="spellStart"/>
      <w:r>
        <w:rPr>
          <w:rFonts w:ascii="Times New Roman" w:hAnsi="Times New Roman" w:cs="Times New Roman"/>
        </w:rPr>
        <w:t>Jahjah</w:t>
      </w:r>
      <w:proofErr w:type="spellEnd"/>
      <w:r>
        <w:rPr>
          <w:rFonts w:ascii="Times New Roman" w:hAnsi="Times New Roman" w:cs="Times New Roman"/>
        </w:rPr>
        <w:t xml:space="preserve">, S. (2003). </w:t>
      </w:r>
      <w:r>
        <w:rPr>
          <w:rFonts w:ascii="Times New Roman" w:hAnsi="Times New Roman" w:cs="Times New Roman"/>
          <w:i/>
          <w:iCs/>
        </w:rPr>
        <w:t>Are immigrant remittance flows a source of capital for development?</w:t>
      </w:r>
      <w:r>
        <w:rPr>
          <w:rFonts w:ascii="Times New Roman" w:hAnsi="Times New Roman" w:cs="Times New Roman"/>
        </w:rPr>
        <w:t xml:space="preserve"> (Working Paper No. WP/03/189). International Monetary Fund.</w:t>
      </w:r>
    </w:p>
    <w:p w14:paraId="26DFA09B"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Chhetri, S. (2023). Nexus between remittance and economic growth: Case of top remittance recipient countries. </w:t>
      </w:r>
      <w:r>
        <w:rPr>
          <w:rFonts w:ascii="Times New Roman" w:hAnsi="Times New Roman" w:cs="Times New Roman"/>
          <w:i/>
          <w:iCs/>
        </w:rPr>
        <w:t>Economic Review of Nepal, 6</w:t>
      </w:r>
      <w:r>
        <w:rPr>
          <w:rFonts w:ascii="Times New Roman" w:hAnsi="Times New Roman" w:cs="Times New Roman"/>
        </w:rPr>
        <w:t xml:space="preserve">(1), 70–88. </w:t>
      </w:r>
      <w:hyperlink r:id="rId17" w:history="1">
        <w:r>
          <w:rPr>
            <w:rStyle w:val="Hyperlink"/>
            <w:rFonts w:ascii="Times New Roman" w:hAnsi="Times New Roman" w:cs="Times New Roman"/>
          </w:rPr>
          <w:t>https://doi.org/10.3126/ern.v6i1.67971</w:t>
        </w:r>
      </w:hyperlink>
      <w:r>
        <w:rPr>
          <w:rFonts w:ascii="Times New Roman" w:hAnsi="Times New Roman" w:cs="Times New Roman"/>
        </w:rPr>
        <w:t xml:space="preserve"> </w:t>
      </w:r>
    </w:p>
    <w:p w14:paraId="75E328E0"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Coruso, G. d., </w:t>
      </w:r>
      <w:proofErr w:type="spellStart"/>
      <w:r>
        <w:rPr>
          <w:rFonts w:ascii="Times New Roman" w:hAnsi="Times New Roman" w:cs="Times New Roman"/>
        </w:rPr>
        <w:t>Cucagna</w:t>
      </w:r>
      <w:proofErr w:type="spellEnd"/>
      <w:r>
        <w:rPr>
          <w:rFonts w:ascii="Times New Roman" w:hAnsi="Times New Roman" w:cs="Times New Roman"/>
        </w:rPr>
        <w:t xml:space="preserve">, M. E., &amp; </w:t>
      </w:r>
      <w:proofErr w:type="spellStart"/>
      <w:r>
        <w:rPr>
          <w:rFonts w:ascii="Times New Roman" w:hAnsi="Times New Roman" w:cs="Times New Roman"/>
        </w:rPr>
        <w:t>Ladroms</w:t>
      </w:r>
      <w:proofErr w:type="spellEnd"/>
      <w:r>
        <w:rPr>
          <w:rFonts w:ascii="Times New Roman" w:hAnsi="Times New Roman" w:cs="Times New Roman"/>
        </w:rPr>
        <w:t xml:space="preserve">, J. (2023). </w:t>
      </w:r>
      <w:r>
        <w:rPr>
          <w:rFonts w:ascii="Times New Roman" w:hAnsi="Times New Roman" w:cs="Times New Roman"/>
          <w:i/>
          <w:iCs/>
        </w:rPr>
        <w:t>The distributional impacts of the reduction in Central America in Covid-19 times</w:t>
      </w:r>
      <w:r>
        <w:rPr>
          <w:rFonts w:ascii="Times New Roman" w:hAnsi="Times New Roman" w:cs="Times New Roman"/>
        </w:rPr>
        <w:t>.</w:t>
      </w:r>
    </w:p>
    <w:p w14:paraId="26A403C6" w14:textId="77777777" w:rsidR="00F255DE" w:rsidRPr="001C6D4F" w:rsidRDefault="00F255DE" w:rsidP="00F255DE">
      <w:pPr>
        <w:spacing w:after="0" w:line="240" w:lineRule="auto"/>
        <w:jc w:val="both"/>
        <w:rPr>
          <w:rFonts w:ascii="Times New Roman" w:hAnsi="Times New Roman" w:cs="Times New Roman"/>
        </w:rPr>
      </w:pPr>
      <w:r w:rsidRPr="003805F9">
        <w:rPr>
          <w:rFonts w:ascii="Times New Roman" w:hAnsi="Times New Roman" w:cs="Times New Roman"/>
          <w:lang w:val="es-US"/>
        </w:rPr>
        <w:t xml:space="preserve">De Hoyos, R. E., &amp; </w:t>
      </w:r>
      <w:proofErr w:type="spellStart"/>
      <w:r w:rsidRPr="003805F9">
        <w:rPr>
          <w:rFonts w:ascii="Times New Roman" w:hAnsi="Times New Roman" w:cs="Times New Roman"/>
          <w:lang w:val="es-US"/>
        </w:rPr>
        <w:t>Sarafidis</w:t>
      </w:r>
      <w:proofErr w:type="spellEnd"/>
      <w:r w:rsidRPr="003805F9">
        <w:rPr>
          <w:rFonts w:ascii="Times New Roman" w:hAnsi="Times New Roman" w:cs="Times New Roman"/>
          <w:lang w:val="es-US"/>
        </w:rPr>
        <w:t xml:space="preserve">, V. (2006). </w:t>
      </w:r>
      <w:r>
        <w:rPr>
          <w:rFonts w:ascii="Times New Roman" w:hAnsi="Times New Roman" w:cs="Times New Roman"/>
        </w:rPr>
        <w:t xml:space="preserve">Testing for cross-sectional dependence in panel data models. </w:t>
      </w:r>
      <w:r>
        <w:rPr>
          <w:rFonts w:ascii="Times New Roman" w:hAnsi="Times New Roman" w:cs="Times New Roman"/>
          <w:i/>
          <w:iCs/>
        </w:rPr>
        <w:t>The Stata Journal, 6</w:t>
      </w:r>
      <w:r>
        <w:rPr>
          <w:rFonts w:ascii="Times New Roman" w:hAnsi="Times New Roman" w:cs="Times New Roman"/>
        </w:rPr>
        <w:t>(4), 482–496.</w:t>
      </w:r>
    </w:p>
    <w:p w14:paraId="7D319A11"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Didia, D., &amp; Tahir, M. (2021). </w:t>
      </w:r>
      <w:r>
        <w:rPr>
          <w:rFonts w:ascii="Times New Roman" w:hAnsi="Times New Roman" w:cs="Times New Roman"/>
          <w:i/>
          <w:iCs/>
        </w:rPr>
        <w:t>Short-run and long-run impact of remittances on the economic growth of Nigeria</w:t>
      </w:r>
      <w:r>
        <w:rPr>
          <w:rFonts w:ascii="Times New Roman" w:hAnsi="Times New Roman" w:cs="Times New Roman"/>
        </w:rPr>
        <w:t>. World Bank Reports.</w:t>
      </w:r>
    </w:p>
    <w:p w14:paraId="72F087E4"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Drabo, D., &amp; </w:t>
      </w:r>
      <w:proofErr w:type="spellStart"/>
      <w:r>
        <w:rPr>
          <w:rFonts w:ascii="Times New Roman" w:hAnsi="Times New Roman" w:cs="Times New Roman"/>
        </w:rPr>
        <w:t>Ebeke</w:t>
      </w:r>
      <w:proofErr w:type="spellEnd"/>
      <w:r>
        <w:rPr>
          <w:rFonts w:ascii="Times New Roman" w:hAnsi="Times New Roman" w:cs="Times New Roman"/>
        </w:rPr>
        <w:t xml:space="preserve">, C. (2010). </w:t>
      </w:r>
      <w:r>
        <w:rPr>
          <w:rFonts w:ascii="Times New Roman" w:hAnsi="Times New Roman" w:cs="Times New Roman"/>
          <w:i/>
          <w:iCs/>
        </w:rPr>
        <w:t>Remittances and health outcomes in developing countries</w:t>
      </w:r>
      <w:r>
        <w:rPr>
          <w:rFonts w:ascii="Times New Roman" w:hAnsi="Times New Roman" w:cs="Times New Roman"/>
        </w:rPr>
        <w:t>. World Bank.</w:t>
      </w:r>
    </w:p>
    <w:p w14:paraId="109A30A4" w14:textId="77777777" w:rsidR="00F255DE" w:rsidRPr="001C6D4F" w:rsidRDefault="00F255DE" w:rsidP="00F255DE">
      <w:pPr>
        <w:spacing w:after="0" w:line="240" w:lineRule="auto"/>
        <w:jc w:val="both"/>
        <w:rPr>
          <w:rFonts w:ascii="Times New Roman" w:hAnsi="Times New Roman" w:cs="Times New Roman"/>
        </w:rPr>
      </w:pPr>
      <w:r>
        <w:rPr>
          <w:rFonts w:ascii="Times New Roman" w:hAnsi="Times New Roman" w:cs="Times New Roman"/>
        </w:rPr>
        <w:t xml:space="preserve">Driscoll, J. C., &amp; Kraay, A. C. (1998). Consistent covariance matrix estimation with spatially dependent panel data. </w:t>
      </w:r>
      <w:r>
        <w:rPr>
          <w:rFonts w:ascii="Times New Roman" w:hAnsi="Times New Roman" w:cs="Times New Roman"/>
          <w:i/>
          <w:iCs/>
        </w:rPr>
        <w:t>The Review of Economics and Statistics, 80</w:t>
      </w:r>
      <w:r>
        <w:rPr>
          <w:rFonts w:ascii="Times New Roman" w:hAnsi="Times New Roman" w:cs="Times New Roman"/>
        </w:rPr>
        <w:t>(4), 549–560.</w:t>
      </w:r>
    </w:p>
    <w:p w14:paraId="546F515E" w14:textId="4DEFF345" w:rsidR="002D6030" w:rsidRDefault="002D6030" w:rsidP="00F255DE">
      <w:pPr>
        <w:pStyle w:val="NoSpacing"/>
        <w:jc w:val="both"/>
        <w:rPr>
          <w:rFonts w:ascii="Times New Roman" w:hAnsi="Times New Roman" w:cs="Times New Roman"/>
        </w:rPr>
      </w:pPr>
      <w:r>
        <w:rPr>
          <w:rFonts w:ascii="Times New Roman" w:hAnsi="Times New Roman" w:cs="Times New Roman"/>
        </w:rPr>
        <w:t xml:space="preserve">Eberechukwu, F. O., &amp; Boris, H. O. (2023). Impact of rising migration on socio-economic development of Nigeria (2015–2022). </w:t>
      </w:r>
      <w:r>
        <w:rPr>
          <w:rFonts w:ascii="Times New Roman" w:hAnsi="Times New Roman" w:cs="Times New Roman"/>
          <w:i/>
          <w:iCs/>
        </w:rPr>
        <w:t>African Journal of Humanities and Contemporary Education Research, 10</w:t>
      </w:r>
      <w:r>
        <w:rPr>
          <w:rFonts w:ascii="Times New Roman" w:hAnsi="Times New Roman" w:cs="Times New Roman"/>
        </w:rPr>
        <w:t xml:space="preserve">(1), 55–70. Retrieved from </w:t>
      </w:r>
      <w:hyperlink r:id="rId18" w:history="1">
        <w:r>
          <w:rPr>
            <w:rStyle w:val="Hyperlink"/>
            <w:rFonts w:ascii="Times New Roman" w:hAnsi="Times New Roman" w:cs="Times New Roman"/>
          </w:rPr>
          <w:t>https://www.afropolitanjournals.com</w:t>
        </w:r>
      </w:hyperlink>
    </w:p>
    <w:p w14:paraId="398F4E07" w14:textId="77777777" w:rsidR="002D6030" w:rsidRDefault="002D6030" w:rsidP="00F255DE">
      <w:pPr>
        <w:pStyle w:val="NoSpacing"/>
        <w:jc w:val="both"/>
        <w:rPr>
          <w:rFonts w:ascii="Times New Roman" w:hAnsi="Times New Roman" w:cs="Times New Roman"/>
        </w:rPr>
      </w:pPr>
      <w:proofErr w:type="spellStart"/>
      <w:r>
        <w:rPr>
          <w:rFonts w:ascii="Times New Roman" w:hAnsi="Times New Roman" w:cs="Times New Roman"/>
        </w:rPr>
        <w:t>Ediri</w:t>
      </w:r>
      <w:proofErr w:type="spellEnd"/>
      <w:r>
        <w:rPr>
          <w:rFonts w:ascii="Times New Roman" w:hAnsi="Times New Roman" w:cs="Times New Roman"/>
        </w:rPr>
        <w:t>, E., &amp; Okonkwo, O. (2019). Impacts of Nigerian diasporas’ remittance inflows on the economy of Nigeria (1977–2017)</w:t>
      </w:r>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i/>
          <w:iCs/>
        </w:rPr>
        <w:t>International Journal of Economics and Finance Studies, 11</w:t>
      </w:r>
      <w:r>
        <w:rPr>
          <w:rFonts w:ascii="Times New Roman" w:hAnsi="Times New Roman" w:cs="Times New Roman"/>
        </w:rPr>
        <w:t>(2), 45–62.</w:t>
      </w:r>
    </w:p>
    <w:p w14:paraId="0CCE650D" w14:textId="315152B9" w:rsidR="00F255DE" w:rsidRPr="009A0A87" w:rsidRDefault="00F255DE" w:rsidP="00F255DE">
      <w:pPr>
        <w:pStyle w:val="NoSpacing"/>
        <w:jc w:val="both"/>
        <w:rPr>
          <w:rFonts w:ascii="Times New Roman" w:hAnsi="Times New Roman" w:cs="Times New Roman"/>
        </w:rPr>
      </w:pPr>
      <w:r w:rsidRPr="00587187">
        <w:rPr>
          <w:rFonts w:ascii="Times New Roman" w:hAnsi="Times New Roman" w:cs="Times New Roman"/>
        </w:rPr>
        <w:t xml:space="preserve">Emeka, E. T., Nwodo, I. P., &amp; Rena, R. (2024). </w:t>
      </w:r>
      <w:r>
        <w:rPr>
          <w:rFonts w:ascii="Times New Roman" w:hAnsi="Times New Roman" w:cs="Times New Roman"/>
        </w:rPr>
        <w:t xml:space="preserve">Remittance inflow, investment and economic growth in Africa amidst COVID-19 pandemic. </w:t>
      </w:r>
      <w:r>
        <w:rPr>
          <w:rFonts w:ascii="Times New Roman" w:hAnsi="Times New Roman" w:cs="Times New Roman"/>
          <w:i/>
          <w:iCs/>
        </w:rPr>
        <w:t>International Journal of Economics</w:t>
      </w:r>
      <w:r>
        <w:rPr>
          <w:rFonts w:ascii="Times New Roman" w:hAnsi="Times New Roman" w:cs="Times New Roman"/>
        </w:rPr>
        <w:t xml:space="preserve">. </w:t>
      </w:r>
      <w:hyperlink r:id="rId19" w:history="1">
        <w:r>
          <w:rPr>
            <w:rStyle w:val="Hyperlink"/>
            <w:rFonts w:ascii="Times New Roman" w:hAnsi="Times New Roman" w:cs="Times New Roman"/>
          </w:rPr>
          <w:t>https://doi.org/10.1177/10021900624175426</w:t>
        </w:r>
      </w:hyperlink>
      <w:r>
        <w:rPr>
          <w:rFonts w:ascii="Times New Roman" w:hAnsi="Times New Roman" w:cs="Times New Roman"/>
        </w:rPr>
        <w:t xml:space="preserve"> </w:t>
      </w:r>
    </w:p>
    <w:p w14:paraId="650760DD" w14:textId="5021C381"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lastRenderedPageBreak/>
        <w:t xml:space="preserve">Emeka, E. T., Nwodo, I. P., &amp; Rena, R. (2024). Remittance inflow, investment and economic growth in Africa amidst COVID-19 pandemic. </w:t>
      </w:r>
      <w:r>
        <w:rPr>
          <w:rFonts w:ascii="Times New Roman" w:hAnsi="Times New Roman" w:cs="Times New Roman"/>
          <w:i/>
          <w:iCs/>
        </w:rPr>
        <w:t>International Journal of Economics</w:t>
      </w:r>
      <w:r>
        <w:rPr>
          <w:rFonts w:ascii="Times New Roman" w:hAnsi="Times New Roman" w:cs="Times New Roman"/>
        </w:rPr>
        <w:t xml:space="preserve">. </w:t>
      </w:r>
      <w:hyperlink r:id="rId20" w:history="1">
        <w:r>
          <w:rPr>
            <w:rStyle w:val="Hyperlink"/>
            <w:rFonts w:ascii="Times New Roman" w:hAnsi="Times New Roman" w:cs="Times New Roman"/>
          </w:rPr>
          <w:t>https://doi.org/10.1177/10021900624175426</w:t>
        </w:r>
      </w:hyperlink>
      <w:r>
        <w:rPr>
          <w:rFonts w:ascii="Times New Roman" w:hAnsi="Times New Roman" w:cs="Times New Roman"/>
        </w:rPr>
        <w:t xml:space="preserve"> </w:t>
      </w:r>
    </w:p>
    <w:p w14:paraId="671BE084" w14:textId="7DF208FC" w:rsidR="00F255DE" w:rsidRPr="00C32F05" w:rsidRDefault="002D6030" w:rsidP="00F255DE">
      <w:pPr>
        <w:pStyle w:val="NoSpacing"/>
        <w:jc w:val="both"/>
        <w:rPr>
          <w:rFonts w:ascii="Times New Roman" w:hAnsi="Times New Roman" w:cs="Times New Roman"/>
        </w:rPr>
      </w:pPr>
      <w:proofErr w:type="spellStart"/>
      <w:r>
        <w:rPr>
          <w:rFonts w:ascii="Times New Roman" w:hAnsi="Times New Roman" w:cs="Times New Roman"/>
        </w:rPr>
        <w:t>Englama</w:t>
      </w:r>
      <w:proofErr w:type="spellEnd"/>
      <w:r>
        <w:rPr>
          <w:rFonts w:ascii="Times New Roman" w:hAnsi="Times New Roman" w:cs="Times New Roman"/>
        </w:rPr>
        <w:t>, A. (2009). The impact of remittances on economic development in Nigeria</w:t>
      </w:r>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i/>
          <w:iCs/>
        </w:rPr>
        <w:t>Central Bank of Nigeria Economic and Financial Review</w:t>
      </w:r>
      <w:r>
        <w:rPr>
          <w:rFonts w:ascii="Times New Roman" w:hAnsi="Times New Roman" w:cs="Times New Roman"/>
        </w:rPr>
        <w:t>, 47(1), 1–20. Abuja: Central Bank of Nigeria.</w:t>
      </w:r>
    </w:p>
    <w:p w14:paraId="20DBCD4C" w14:textId="77777777" w:rsidR="00663587" w:rsidRDefault="00663587" w:rsidP="00F255DE">
      <w:pPr>
        <w:pStyle w:val="NoSpacing"/>
        <w:jc w:val="both"/>
        <w:rPr>
          <w:rFonts w:ascii="Times New Roman" w:hAnsi="Times New Roman" w:cs="Times New Roman"/>
        </w:rPr>
      </w:pPr>
      <w:r w:rsidRPr="00587187">
        <w:rPr>
          <w:rFonts w:ascii="Times New Roman" w:hAnsi="Times New Roman" w:cs="Times New Roman"/>
          <w:lang w:val="it-IT"/>
        </w:rPr>
        <w:t xml:space="preserve">Ewubare, D. B., &amp; Okpoi, A. S. (2018). </w:t>
      </w:r>
      <w:r>
        <w:rPr>
          <w:rFonts w:ascii="Times New Roman" w:hAnsi="Times New Roman" w:cs="Times New Roman"/>
        </w:rPr>
        <w:t xml:space="preserve">Impact of international remittances on poverty reduction in Nigeria. </w:t>
      </w:r>
      <w:r>
        <w:rPr>
          <w:rFonts w:ascii="Times New Roman" w:hAnsi="Times New Roman" w:cs="Times New Roman"/>
          <w:i/>
          <w:iCs/>
        </w:rPr>
        <w:t>International Journal of Economics and Financial Management, 3</w:t>
      </w:r>
      <w:r>
        <w:rPr>
          <w:rFonts w:ascii="Times New Roman" w:hAnsi="Times New Roman" w:cs="Times New Roman"/>
        </w:rPr>
        <w:t>(1), 1–15.</w:t>
      </w:r>
    </w:p>
    <w:p w14:paraId="66355FB7" w14:textId="77777777" w:rsidR="00663587" w:rsidRDefault="00663587" w:rsidP="00F255DE">
      <w:pPr>
        <w:pStyle w:val="NoSpacing"/>
        <w:jc w:val="both"/>
        <w:rPr>
          <w:rFonts w:ascii="Times New Roman" w:hAnsi="Times New Roman" w:cs="Times New Roman"/>
        </w:rPr>
      </w:pPr>
    </w:p>
    <w:p w14:paraId="7C260BD9" w14:textId="77777777" w:rsidR="00663587" w:rsidRPr="00663587" w:rsidRDefault="00663587" w:rsidP="00663587">
      <w:pPr>
        <w:pStyle w:val="NoSpacing"/>
        <w:jc w:val="both"/>
        <w:rPr>
          <w:rFonts w:ascii="Times New Roman" w:hAnsi="Times New Roman" w:cs="Times New Roman"/>
        </w:rPr>
      </w:pPr>
      <w:r>
        <w:rPr>
          <w:rFonts w:ascii="Times New Roman" w:hAnsi="Times New Roman" w:cs="Times New Roman"/>
        </w:rPr>
        <w:t xml:space="preserve">Fabo, F. (2021). Unemployment, migration and remittances in Central Asian and Caucasus countries. </w:t>
      </w:r>
      <w:proofErr w:type="spellStart"/>
      <w:r>
        <w:rPr>
          <w:rFonts w:ascii="Times New Roman" w:hAnsi="Times New Roman" w:cs="Times New Roman"/>
          <w:i/>
          <w:iCs/>
        </w:rPr>
        <w:t>Labour</w:t>
      </w:r>
      <w:proofErr w:type="spellEnd"/>
      <w:r>
        <w:rPr>
          <w:rFonts w:ascii="Times New Roman" w:hAnsi="Times New Roman" w:cs="Times New Roman"/>
          <w:i/>
          <w:iCs/>
        </w:rPr>
        <w:t xml:space="preserve"> Economics Review, 2</w:t>
      </w:r>
      <w:r>
        <w:rPr>
          <w:rFonts w:ascii="Times New Roman" w:hAnsi="Times New Roman" w:cs="Times New Roman"/>
        </w:rPr>
        <w:t>(1), 15–32.</w:t>
      </w:r>
    </w:p>
    <w:p w14:paraId="7C62DA26" w14:textId="300FB8E8" w:rsidR="00F255DE" w:rsidRPr="00C32F05" w:rsidRDefault="00F255DE" w:rsidP="00F255DE">
      <w:pPr>
        <w:pStyle w:val="NoSpacing"/>
        <w:jc w:val="both"/>
        <w:rPr>
          <w:rFonts w:ascii="Times New Roman" w:hAnsi="Times New Roman" w:cs="Times New Roman"/>
        </w:rPr>
      </w:pPr>
      <w:r w:rsidRPr="00587187">
        <w:rPr>
          <w:rFonts w:ascii="Times New Roman" w:hAnsi="Times New Roman" w:cs="Times New Roman"/>
        </w:rPr>
        <w:t xml:space="preserve">Giuliano, P., &amp; Ruiz-Arranz, M. (2009). </w:t>
      </w:r>
      <w:r>
        <w:rPr>
          <w:rFonts w:ascii="Times New Roman" w:hAnsi="Times New Roman" w:cs="Times New Roman"/>
        </w:rPr>
        <w:t xml:space="preserve">Remittances, financial development, and growth. </w:t>
      </w:r>
      <w:r>
        <w:rPr>
          <w:rFonts w:ascii="Times New Roman" w:hAnsi="Times New Roman" w:cs="Times New Roman"/>
          <w:i/>
          <w:iCs/>
        </w:rPr>
        <w:t>Journal of Development Economics, 90</w:t>
      </w:r>
      <w:r>
        <w:rPr>
          <w:rFonts w:ascii="Times New Roman" w:hAnsi="Times New Roman" w:cs="Times New Roman"/>
        </w:rPr>
        <w:t>(1), 144-152.</w:t>
      </w:r>
    </w:p>
    <w:p w14:paraId="7757D026"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Harris, J. R., &amp; Todaro, M. P. (1970). Migration, unemployment and development: A two-sector analysis. </w:t>
      </w:r>
      <w:r>
        <w:rPr>
          <w:rFonts w:ascii="Times New Roman" w:hAnsi="Times New Roman" w:cs="Times New Roman"/>
          <w:i/>
          <w:iCs/>
        </w:rPr>
        <w:t>American Economic Review, 60</w:t>
      </w:r>
      <w:r>
        <w:rPr>
          <w:rFonts w:ascii="Times New Roman" w:hAnsi="Times New Roman" w:cs="Times New Roman"/>
        </w:rPr>
        <w:t>, 126-142.</w:t>
      </w:r>
    </w:p>
    <w:p w14:paraId="7ED934D1"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Hernandez-Coss, R., &amp; Bun, C. E. (2006). </w:t>
      </w:r>
      <w:r>
        <w:rPr>
          <w:rFonts w:ascii="Times New Roman" w:hAnsi="Times New Roman" w:cs="Times New Roman"/>
          <w:i/>
          <w:iCs/>
        </w:rPr>
        <w:t>The U.K. – Nigeria remittance corridor: Challenges of embracing formal transfer systems in a dual financial environment</w:t>
      </w:r>
      <w:r>
        <w:rPr>
          <w:rFonts w:ascii="Times New Roman" w:hAnsi="Times New Roman" w:cs="Times New Roman"/>
        </w:rPr>
        <w:t>. World Bank.</w:t>
      </w:r>
    </w:p>
    <w:p w14:paraId="6DCC2F3B" w14:textId="77777777" w:rsidR="00F255DE" w:rsidRPr="00A50F6D" w:rsidRDefault="00F255DE" w:rsidP="00F255DE">
      <w:pPr>
        <w:spacing w:after="0" w:line="240" w:lineRule="auto"/>
        <w:jc w:val="both"/>
        <w:rPr>
          <w:rFonts w:ascii="Times New Roman" w:hAnsi="Times New Roman" w:cs="Times New Roman"/>
        </w:rPr>
      </w:pPr>
      <w:proofErr w:type="spellStart"/>
      <w:r>
        <w:rPr>
          <w:rFonts w:ascii="Times New Roman" w:hAnsi="Times New Roman" w:cs="Times New Roman"/>
        </w:rPr>
        <w:t>Hoechle</w:t>
      </w:r>
      <w:proofErr w:type="spellEnd"/>
      <w:r>
        <w:rPr>
          <w:rFonts w:ascii="Times New Roman" w:hAnsi="Times New Roman" w:cs="Times New Roman"/>
        </w:rPr>
        <w:t xml:space="preserve">, D. (2007). Robust standard errors for panel regressions with cross-sectional dependence. </w:t>
      </w:r>
      <w:r>
        <w:rPr>
          <w:rFonts w:ascii="Times New Roman" w:hAnsi="Times New Roman" w:cs="Times New Roman"/>
          <w:i/>
          <w:iCs/>
        </w:rPr>
        <w:t>Stata Journal, 7</w:t>
      </w:r>
      <w:r>
        <w:rPr>
          <w:rFonts w:ascii="Times New Roman" w:hAnsi="Times New Roman" w:cs="Times New Roman"/>
        </w:rPr>
        <w:t>(3), 281–312.</w:t>
      </w:r>
    </w:p>
    <w:p w14:paraId="3E5F6BC8" w14:textId="13833B92" w:rsidR="00D527E2" w:rsidRDefault="00D527E2" w:rsidP="00F255DE">
      <w:pPr>
        <w:pStyle w:val="NoSpacing"/>
        <w:jc w:val="both"/>
        <w:rPr>
          <w:rFonts w:ascii="Times New Roman" w:hAnsi="Times New Roman" w:cs="Times New Roman"/>
        </w:rPr>
      </w:pPr>
      <w:r w:rsidRPr="00587187">
        <w:rPr>
          <w:rFonts w:ascii="Times New Roman" w:hAnsi="Times New Roman" w:cs="Times New Roman"/>
        </w:rPr>
        <w:t xml:space="preserve">Huay, C. S., Adegbite, A., Mensah, K., &amp; Diallo, M. (2019). </w:t>
      </w:r>
      <w:r>
        <w:rPr>
          <w:rFonts w:ascii="Times New Roman" w:hAnsi="Times New Roman" w:cs="Times New Roman"/>
        </w:rPr>
        <w:t xml:space="preserve">The impact of remittances on human development in developing countries (1980–2014). </w:t>
      </w:r>
      <w:r>
        <w:rPr>
          <w:rFonts w:ascii="Times New Roman" w:hAnsi="Times New Roman" w:cs="Times New Roman"/>
          <w:i/>
          <w:iCs/>
        </w:rPr>
        <w:t>International Journal of Social Economics, 46</w:t>
      </w:r>
      <w:r>
        <w:rPr>
          <w:rFonts w:ascii="Times New Roman" w:hAnsi="Times New Roman" w:cs="Times New Roman"/>
        </w:rPr>
        <w:t xml:space="preserve">(9), 1105–1125. </w:t>
      </w:r>
      <w:hyperlink r:id="rId21" w:history="1">
        <w:r>
          <w:rPr>
            <w:rStyle w:val="Hyperlink"/>
            <w:rFonts w:ascii="Times New Roman" w:hAnsi="Times New Roman" w:cs="Times New Roman"/>
          </w:rPr>
          <w:t>https://doi.org/10.1108/IJSE-01-2019-0025</w:t>
        </w:r>
      </w:hyperlink>
    </w:p>
    <w:p w14:paraId="35753BCA" w14:textId="49F10526"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International Monetary Fund. (2021). </w:t>
      </w:r>
      <w:r>
        <w:rPr>
          <w:rFonts w:ascii="Times New Roman" w:hAnsi="Times New Roman" w:cs="Times New Roman"/>
          <w:i/>
          <w:iCs/>
        </w:rPr>
        <w:t>Foreign remittances as a vital source of external financing</w:t>
      </w:r>
      <w:r>
        <w:rPr>
          <w:rFonts w:ascii="Times New Roman" w:hAnsi="Times New Roman" w:cs="Times New Roman"/>
        </w:rPr>
        <w:t>. IMF.</w:t>
      </w:r>
    </w:p>
    <w:p w14:paraId="7DB76645" w14:textId="1F019F8E" w:rsidR="00D527E2" w:rsidRDefault="00D527E2" w:rsidP="00F255DE">
      <w:pPr>
        <w:pStyle w:val="NoSpacing"/>
        <w:jc w:val="both"/>
        <w:rPr>
          <w:rFonts w:ascii="Times New Roman" w:hAnsi="Times New Roman" w:cs="Times New Roman"/>
        </w:rPr>
      </w:pPr>
      <w:proofErr w:type="spellStart"/>
      <w:r>
        <w:rPr>
          <w:rFonts w:ascii="Times New Roman" w:hAnsi="Times New Roman" w:cs="Times New Roman"/>
        </w:rPr>
        <w:t>Issahaku</w:t>
      </w:r>
      <w:proofErr w:type="spellEnd"/>
      <w:r>
        <w:rPr>
          <w:rFonts w:ascii="Times New Roman" w:hAnsi="Times New Roman" w:cs="Times New Roman"/>
        </w:rPr>
        <w:t xml:space="preserve">, H., Abor, J. Y., &amp; Amidu, M. (2018). The effects of remittances on economic growth. </w:t>
      </w:r>
      <w:r>
        <w:rPr>
          <w:rFonts w:ascii="Times New Roman" w:hAnsi="Times New Roman" w:cs="Times New Roman"/>
          <w:i/>
          <w:iCs/>
        </w:rPr>
        <w:t>The Journal of Developing Areas, 52</w:t>
      </w:r>
      <w:r>
        <w:rPr>
          <w:rFonts w:ascii="Times New Roman" w:hAnsi="Times New Roman" w:cs="Times New Roman"/>
        </w:rPr>
        <w:t xml:space="preserve">(2), 1–15. </w:t>
      </w:r>
      <w:hyperlink r:id="rId22" w:history="1">
        <w:r>
          <w:rPr>
            <w:rStyle w:val="Hyperlink"/>
            <w:rFonts w:ascii="Times New Roman" w:hAnsi="Times New Roman" w:cs="Times New Roman"/>
          </w:rPr>
          <w:t>https://doi.org/10.1353/jda.2018.0020</w:t>
        </w:r>
      </w:hyperlink>
      <w:r>
        <w:rPr>
          <w:rFonts w:ascii="Times New Roman" w:hAnsi="Times New Roman" w:cs="Times New Roman"/>
        </w:rPr>
        <w:t xml:space="preserve">  </w:t>
      </w:r>
    </w:p>
    <w:p w14:paraId="37F653B2" w14:textId="77777777" w:rsidR="00D527E2" w:rsidRDefault="00D527E2" w:rsidP="00F255DE">
      <w:pPr>
        <w:pStyle w:val="NoSpacing"/>
        <w:jc w:val="both"/>
        <w:rPr>
          <w:rFonts w:ascii="Times New Roman" w:hAnsi="Times New Roman" w:cs="Times New Roman"/>
        </w:rPr>
      </w:pPr>
      <w:r>
        <w:rPr>
          <w:rFonts w:ascii="Times New Roman" w:hAnsi="Times New Roman" w:cs="Times New Roman"/>
        </w:rPr>
        <w:t xml:space="preserve">John, J., Orok, O., &amp; Udoka, U. (2020). Diaspora remittances and its effect on economic growth in Nigeria. </w:t>
      </w:r>
      <w:r>
        <w:rPr>
          <w:rFonts w:ascii="Times New Roman" w:hAnsi="Times New Roman" w:cs="Times New Roman"/>
          <w:i/>
          <w:iCs/>
        </w:rPr>
        <w:t>Journal of Economics, 8</w:t>
      </w:r>
      <w:r>
        <w:rPr>
          <w:rFonts w:ascii="Times New Roman" w:hAnsi="Times New Roman" w:cs="Times New Roman"/>
        </w:rPr>
        <w:t>(1), 25–40.</w:t>
      </w:r>
    </w:p>
    <w:p w14:paraId="4F790D67"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Kapur, D. (2004). </w:t>
      </w:r>
      <w:r>
        <w:rPr>
          <w:rFonts w:ascii="Times New Roman" w:hAnsi="Times New Roman" w:cs="Times New Roman"/>
          <w:i/>
          <w:iCs/>
        </w:rPr>
        <w:t>Remittances: The new development mantra</w:t>
      </w:r>
      <w:r>
        <w:rPr>
          <w:rFonts w:ascii="Times New Roman" w:hAnsi="Times New Roman" w:cs="Times New Roman"/>
        </w:rPr>
        <w:t>. World Bank.</w:t>
      </w:r>
    </w:p>
    <w:p w14:paraId="5A36E20B" w14:textId="77777777" w:rsidR="00D527E2" w:rsidRDefault="00D527E2" w:rsidP="00F255DE">
      <w:pPr>
        <w:pStyle w:val="NoSpacing"/>
        <w:jc w:val="both"/>
        <w:rPr>
          <w:rFonts w:ascii="Times New Roman" w:hAnsi="Times New Roman" w:cs="Times New Roman"/>
        </w:rPr>
      </w:pPr>
      <w:r>
        <w:rPr>
          <w:rFonts w:ascii="Times New Roman" w:hAnsi="Times New Roman" w:cs="Times New Roman"/>
        </w:rPr>
        <w:t xml:space="preserve">Khan, K. (2024). Impact of migrant remittances on human capital and economic growth in 61 developing nations: A pooled cross-country panel analysis. </w:t>
      </w:r>
      <w:r>
        <w:rPr>
          <w:rFonts w:ascii="Times New Roman" w:hAnsi="Times New Roman" w:cs="Times New Roman"/>
          <w:i/>
          <w:iCs/>
        </w:rPr>
        <w:t>Global Journal of Economics and Development, 9</w:t>
      </w:r>
      <w:r>
        <w:rPr>
          <w:rFonts w:ascii="Times New Roman" w:hAnsi="Times New Roman" w:cs="Times New Roman"/>
        </w:rPr>
        <w:t>(1), 75–98.</w:t>
      </w:r>
    </w:p>
    <w:p w14:paraId="5733494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Kim, N. (2007). </w:t>
      </w:r>
      <w:r>
        <w:rPr>
          <w:rFonts w:ascii="Times New Roman" w:hAnsi="Times New Roman" w:cs="Times New Roman"/>
          <w:i/>
          <w:iCs/>
        </w:rPr>
        <w:t xml:space="preserve">The impact of remittances on </w:t>
      </w:r>
      <w:proofErr w:type="spellStart"/>
      <w:r>
        <w:rPr>
          <w:rFonts w:ascii="Times New Roman" w:hAnsi="Times New Roman" w:cs="Times New Roman"/>
          <w:i/>
          <w:iCs/>
        </w:rPr>
        <w:t>labour</w:t>
      </w:r>
      <w:proofErr w:type="spellEnd"/>
      <w:r>
        <w:rPr>
          <w:rFonts w:ascii="Times New Roman" w:hAnsi="Times New Roman" w:cs="Times New Roman"/>
          <w:i/>
          <w:iCs/>
        </w:rPr>
        <w:t xml:space="preserve"> supply: The case of Jamaica</w:t>
      </w:r>
      <w:r>
        <w:rPr>
          <w:rFonts w:ascii="Times New Roman" w:hAnsi="Times New Roman" w:cs="Times New Roman"/>
        </w:rPr>
        <w:t xml:space="preserve"> (Policy Research Working Paper No. 4120). World Bank.</w:t>
      </w:r>
    </w:p>
    <w:p w14:paraId="415CBC83" w14:textId="77777777" w:rsidR="00F8488D" w:rsidRDefault="00F8488D" w:rsidP="00F255DE">
      <w:pPr>
        <w:pStyle w:val="NoSpacing"/>
        <w:jc w:val="both"/>
        <w:rPr>
          <w:rFonts w:ascii="Times New Roman" w:hAnsi="Times New Roman" w:cs="Times New Roman"/>
        </w:rPr>
      </w:pPr>
      <w:proofErr w:type="spellStart"/>
      <w:r>
        <w:rPr>
          <w:rFonts w:ascii="Times New Roman" w:hAnsi="Times New Roman" w:cs="Times New Roman"/>
        </w:rPr>
        <w:t>Kitessa</w:t>
      </w:r>
      <w:proofErr w:type="spellEnd"/>
      <w:r>
        <w:rPr>
          <w:rFonts w:ascii="Times New Roman" w:hAnsi="Times New Roman" w:cs="Times New Roman"/>
        </w:rPr>
        <w:t xml:space="preserve">, D., Tekie, A., &amp; Jonse, B. (2024). Remittances inflow and economic growth nexus in Sub-Saharan Africa: Do institutional quality and macroeconomic stability matter? </w:t>
      </w:r>
      <w:r>
        <w:rPr>
          <w:rFonts w:ascii="Times New Roman" w:hAnsi="Times New Roman" w:cs="Times New Roman"/>
          <w:i/>
          <w:iCs/>
        </w:rPr>
        <w:t>Clinical and Translational Research Hub, 10</w:t>
      </w:r>
      <w:r>
        <w:rPr>
          <w:rFonts w:ascii="Times New Roman" w:hAnsi="Times New Roman" w:cs="Times New Roman"/>
        </w:rPr>
        <w:t>(3), 55–72.</w:t>
      </w:r>
    </w:p>
    <w:p w14:paraId="1D2BC23B" w14:textId="0CA07E15"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Lee, S. (2011). </w:t>
      </w:r>
      <w:r>
        <w:rPr>
          <w:rFonts w:ascii="Times New Roman" w:hAnsi="Times New Roman" w:cs="Times New Roman"/>
          <w:i/>
          <w:iCs/>
        </w:rPr>
        <w:t>Remittances and poverty alleviation in the developing world: Evidence from Sub-Saharan Africa.</w:t>
      </w:r>
      <w:r>
        <w:rPr>
          <w:rFonts w:ascii="Times New Roman" w:hAnsi="Times New Roman" w:cs="Times New Roman"/>
        </w:rPr>
        <w:t xml:space="preserve"> Washington, DC: World Bank. Retrieved from </w:t>
      </w:r>
      <w:hyperlink r:id="rId23" w:history="1">
        <w:r>
          <w:rPr>
            <w:rStyle w:val="Hyperlink"/>
            <w:rFonts w:ascii="Times New Roman" w:hAnsi="Times New Roman" w:cs="Times New Roman"/>
          </w:rPr>
          <w:t>https://openknowledge.worldbank.org</w:t>
        </w:r>
      </w:hyperlink>
    </w:p>
    <w:p w14:paraId="18317955" w14:textId="0F78824F"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Levitt, P. (1998). Social remittances: Migration driven local-level forms of cultural diffusion. </w:t>
      </w:r>
      <w:r>
        <w:rPr>
          <w:rFonts w:ascii="Times New Roman" w:hAnsi="Times New Roman" w:cs="Times New Roman"/>
          <w:i/>
          <w:iCs/>
        </w:rPr>
        <w:t>International Migration Review, 32</w:t>
      </w:r>
      <w:r>
        <w:rPr>
          <w:rFonts w:ascii="Times New Roman" w:hAnsi="Times New Roman" w:cs="Times New Roman"/>
        </w:rPr>
        <w:t>(4), 926–948.</w:t>
      </w:r>
    </w:p>
    <w:p w14:paraId="3D08752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Lewis, W. A. (1954). Economic development with unlimited supplies of </w:t>
      </w:r>
      <w:proofErr w:type="spellStart"/>
      <w:r>
        <w:rPr>
          <w:rFonts w:ascii="Times New Roman" w:hAnsi="Times New Roman" w:cs="Times New Roman"/>
        </w:rPr>
        <w:t>labour</w:t>
      </w:r>
      <w:proofErr w:type="spellEnd"/>
      <w:r>
        <w:rPr>
          <w:rFonts w:ascii="Times New Roman" w:hAnsi="Times New Roman" w:cs="Times New Roman"/>
        </w:rPr>
        <w:t xml:space="preserve">. </w:t>
      </w:r>
      <w:r>
        <w:rPr>
          <w:rFonts w:ascii="Times New Roman" w:hAnsi="Times New Roman" w:cs="Times New Roman"/>
          <w:i/>
          <w:iCs/>
        </w:rPr>
        <w:t>The Manchester School, 22</w:t>
      </w:r>
      <w:r>
        <w:rPr>
          <w:rFonts w:ascii="Times New Roman" w:hAnsi="Times New Roman" w:cs="Times New Roman"/>
        </w:rPr>
        <w:t>(2), 139–191.</w:t>
      </w:r>
    </w:p>
    <w:p w14:paraId="0883AA72"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Lucas, R. E., &amp; Stark, O. (1985). Motivations to remit: Evidence from Botswana. </w:t>
      </w:r>
      <w:r>
        <w:rPr>
          <w:rFonts w:ascii="Times New Roman" w:hAnsi="Times New Roman" w:cs="Times New Roman"/>
          <w:i/>
          <w:iCs/>
        </w:rPr>
        <w:t>Journal of Political Economy, 93</w:t>
      </w:r>
      <w:r>
        <w:rPr>
          <w:rFonts w:ascii="Times New Roman" w:hAnsi="Times New Roman" w:cs="Times New Roman"/>
        </w:rPr>
        <w:t>(5), 901-918.</w:t>
      </w:r>
    </w:p>
    <w:p w14:paraId="5CB5BA5B" w14:textId="77777777" w:rsidR="00F8488D" w:rsidRDefault="00F8488D" w:rsidP="00F255DE">
      <w:pPr>
        <w:pStyle w:val="NoSpacing"/>
        <w:jc w:val="both"/>
        <w:rPr>
          <w:rFonts w:ascii="Times New Roman" w:hAnsi="Times New Roman" w:cs="Times New Roman"/>
        </w:rPr>
      </w:pPr>
      <w:r>
        <w:rPr>
          <w:rFonts w:ascii="Times New Roman" w:hAnsi="Times New Roman" w:cs="Times New Roman"/>
        </w:rPr>
        <w:lastRenderedPageBreak/>
        <w:t xml:space="preserve">Mara, I., </w:t>
      </w:r>
      <w:proofErr w:type="spellStart"/>
      <w:r>
        <w:rPr>
          <w:rFonts w:ascii="Times New Roman" w:hAnsi="Times New Roman" w:cs="Times New Roman"/>
        </w:rPr>
        <w:t>Narazani</w:t>
      </w:r>
      <w:proofErr w:type="spellEnd"/>
      <w:r>
        <w:rPr>
          <w:rFonts w:ascii="Times New Roman" w:hAnsi="Times New Roman" w:cs="Times New Roman"/>
        </w:rPr>
        <w:t xml:space="preserve">, E., Saban, N., </w:t>
      </w:r>
      <w:proofErr w:type="spellStart"/>
      <w:r>
        <w:rPr>
          <w:rFonts w:ascii="Times New Roman" w:hAnsi="Times New Roman" w:cs="Times New Roman"/>
        </w:rPr>
        <w:t>Stojilovska</w:t>
      </w:r>
      <w:proofErr w:type="spellEnd"/>
      <w:r>
        <w:rPr>
          <w:rFonts w:ascii="Times New Roman" w:hAnsi="Times New Roman" w:cs="Times New Roman"/>
        </w:rPr>
        <w:t xml:space="preserve">, A., Yusufi, I., &amp; Zuber, S. (2012, March). </w:t>
      </w:r>
      <w:r>
        <w:rPr>
          <w:rFonts w:ascii="Times New Roman" w:hAnsi="Times New Roman" w:cs="Times New Roman"/>
          <w:i/>
          <w:iCs/>
        </w:rPr>
        <w:t>Analysis of literature on the effects of remittances on education and health of family members left behind.</w:t>
      </w:r>
      <w:r>
        <w:rPr>
          <w:rFonts w:ascii="Times New Roman" w:hAnsi="Times New Roman" w:cs="Times New Roman"/>
        </w:rPr>
        <w:t xml:space="preserve"> Skopje/Tirana: Regional Research Project on Migration and Development.</w:t>
      </w:r>
    </w:p>
    <w:p w14:paraId="7B0ECAC1" w14:textId="1E44FDED"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Mohammed, U. (2022). Remittances, institutions and human development in Sub-Saharan African countries (2004–2018): A System GMM analysis. </w:t>
      </w:r>
      <w:r>
        <w:rPr>
          <w:rFonts w:ascii="Times New Roman" w:hAnsi="Times New Roman" w:cs="Times New Roman"/>
          <w:i/>
          <w:iCs/>
        </w:rPr>
        <w:t>Journal of Economics and Development, 24</w:t>
      </w:r>
      <w:r>
        <w:rPr>
          <w:rFonts w:ascii="Times New Roman" w:hAnsi="Times New Roman" w:cs="Times New Roman"/>
        </w:rPr>
        <w:t xml:space="preserve">(2), 142–157. </w:t>
      </w:r>
      <w:hyperlink r:id="rId24" w:history="1">
        <w:r>
          <w:rPr>
            <w:rStyle w:val="Hyperlink"/>
            <w:rFonts w:ascii="Times New Roman" w:hAnsi="Times New Roman" w:cs="Times New Roman"/>
          </w:rPr>
          <w:t>https://doi.org/10.1108/JED-03-2021-0041</w:t>
        </w:r>
      </w:hyperlink>
      <w:r>
        <w:rPr>
          <w:rFonts w:ascii="Times New Roman" w:hAnsi="Times New Roman" w:cs="Times New Roman"/>
        </w:rPr>
        <w:t xml:space="preserve">  </w:t>
      </w:r>
    </w:p>
    <w:p w14:paraId="5944BF85" w14:textId="77777777"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Mohammed, U. (2022). Remittances, institutions and human development in Sub-Saharan African countries (2004–2018): A System GMM analysis. </w:t>
      </w:r>
      <w:r>
        <w:rPr>
          <w:rFonts w:ascii="Times New Roman" w:hAnsi="Times New Roman" w:cs="Times New Roman"/>
          <w:i/>
          <w:iCs/>
        </w:rPr>
        <w:t>Journal of Economics and Development, 24</w:t>
      </w:r>
      <w:r>
        <w:rPr>
          <w:rFonts w:ascii="Times New Roman" w:hAnsi="Times New Roman" w:cs="Times New Roman"/>
        </w:rPr>
        <w:t xml:space="preserve">(2), 142–157. </w:t>
      </w:r>
      <w:hyperlink r:id="rId25" w:history="1">
        <w:r>
          <w:rPr>
            <w:rStyle w:val="Hyperlink"/>
            <w:rFonts w:ascii="Times New Roman" w:hAnsi="Times New Roman" w:cs="Times New Roman"/>
          </w:rPr>
          <w:t>https://doi.org/10.1108/JED-03-2021-0041</w:t>
        </w:r>
      </w:hyperlink>
      <w:r>
        <w:rPr>
          <w:rFonts w:ascii="Times New Roman" w:hAnsi="Times New Roman" w:cs="Times New Roman"/>
        </w:rPr>
        <w:t xml:space="preserve"> </w:t>
      </w:r>
    </w:p>
    <w:p w14:paraId="4F2E80DA" w14:textId="77777777"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Muhamad, A., &amp; </w:t>
      </w:r>
      <w:proofErr w:type="spellStart"/>
      <w:r>
        <w:rPr>
          <w:rFonts w:ascii="Times New Roman" w:hAnsi="Times New Roman" w:cs="Times New Roman"/>
        </w:rPr>
        <w:t>Bogenhold</w:t>
      </w:r>
      <w:proofErr w:type="spellEnd"/>
      <w:r>
        <w:rPr>
          <w:rFonts w:ascii="Times New Roman" w:hAnsi="Times New Roman" w:cs="Times New Roman"/>
        </w:rPr>
        <w:t xml:space="preserve">, D. (2018). Inflow of remittances and household living conditions in Pakistan. </w:t>
      </w:r>
      <w:r>
        <w:rPr>
          <w:rFonts w:ascii="Times New Roman" w:hAnsi="Times New Roman" w:cs="Times New Roman"/>
          <w:i/>
          <w:iCs/>
        </w:rPr>
        <w:t xml:space="preserve">International Journal of Economics and Financial Issues, </w:t>
      </w:r>
      <w:r>
        <w:rPr>
          <w:rFonts w:ascii="Times New Roman" w:hAnsi="Times New Roman" w:cs="Times New Roman"/>
        </w:rPr>
        <w:t>8(3), 1–10.</w:t>
      </w:r>
    </w:p>
    <w:p w14:paraId="12603EBA" w14:textId="0DC81085"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Nasiru, A. U., Igbokwe, P. C., </w:t>
      </w:r>
      <w:proofErr w:type="spellStart"/>
      <w:r>
        <w:rPr>
          <w:rFonts w:ascii="Times New Roman" w:hAnsi="Times New Roman" w:cs="Times New Roman"/>
        </w:rPr>
        <w:t>Osimokha</w:t>
      </w:r>
      <w:proofErr w:type="spellEnd"/>
      <w:r>
        <w:rPr>
          <w:rFonts w:ascii="Times New Roman" w:hAnsi="Times New Roman" w:cs="Times New Roman"/>
        </w:rPr>
        <w:t xml:space="preserve">, A. G., Nweze, G. I., Udo, D., &amp; </w:t>
      </w:r>
      <w:proofErr w:type="spellStart"/>
      <w:r>
        <w:rPr>
          <w:rFonts w:ascii="Times New Roman" w:hAnsi="Times New Roman" w:cs="Times New Roman"/>
        </w:rPr>
        <w:t>Enweonwu</w:t>
      </w:r>
      <w:proofErr w:type="spellEnd"/>
      <w:r>
        <w:rPr>
          <w:rFonts w:ascii="Times New Roman" w:hAnsi="Times New Roman" w:cs="Times New Roman"/>
        </w:rPr>
        <w:t xml:space="preserve">, D. C. (2024). The effect of exchange rate fluctuation on households’ purchasing power in Nigeria. </w:t>
      </w:r>
      <w:r>
        <w:rPr>
          <w:rFonts w:ascii="Times New Roman" w:hAnsi="Times New Roman" w:cs="Times New Roman"/>
          <w:i/>
          <w:iCs/>
        </w:rPr>
        <w:t>World Journal of Advanced Research and Reviews, 23</w:t>
      </w:r>
      <w:r>
        <w:rPr>
          <w:rFonts w:ascii="Times New Roman" w:hAnsi="Times New Roman" w:cs="Times New Roman"/>
        </w:rPr>
        <w:t>(2), 678–685.</w:t>
      </w:r>
    </w:p>
    <w:p w14:paraId="3C0BB1FF" w14:textId="77777777" w:rsidR="00F255DE" w:rsidRPr="00C32F05" w:rsidRDefault="00F255DE" w:rsidP="00F255DE">
      <w:pPr>
        <w:pStyle w:val="NoSpacing"/>
        <w:jc w:val="both"/>
        <w:rPr>
          <w:rFonts w:ascii="Times New Roman" w:hAnsi="Times New Roman" w:cs="Times New Roman"/>
        </w:rPr>
      </w:pPr>
      <w:proofErr w:type="spellStart"/>
      <w:r>
        <w:rPr>
          <w:rFonts w:ascii="Times New Roman" w:hAnsi="Times New Roman" w:cs="Times New Roman"/>
        </w:rPr>
        <w:t>Nwiado</w:t>
      </w:r>
      <w:proofErr w:type="spellEnd"/>
      <w:r>
        <w:rPr>
          <w:rFonts w:ascii="Times New Roman" w:hAnsi="Times New Roman" w:cs="Times New Roman"/>
        </w:rPr>
        <w:t xml:space="preserve">, D., </w:t>
      </w:r>
      <w:proofErr w:type="spellStart"/>
      <w:r>
        <w:rPr>
          <w:rFonts w:ascii="Times New Roman" w:hAnsi="Times New Roman" w:cs="Times New Roman"/>
        </w:rPr>
        <w:t>Korgbeelo</w:t>
      </w:r>
      <w:proofErr w:type="spellEnd"/>
      <w:r>
        <w:rPr>
          <w:rFonts w:ascii="Times New Roman" w:hAnsi="Times New Roman" w:cs="Times New Roman"/>
        </w:rPr>
        <w:t xml:space="preserve">, C., &amp; </w:t>
      </w:r>
      <w:proofErr w:type="spellStart"/>
      <w:r>
        <w:rPr>
          <w:rFonts w:ascii="Times New Roman" w:hAnsi="Times New Roman" w:cs="Times New Roman"/>
        </w:rPr>
        <w:t>Ezebunwa</w:t>
      </w:r>
      <w:proofErr w:type="spellEnd"/>
      <w:r>
        <w:rPr>
          <w:rFonts w:ascii="Times New Roman" w:hAnsi="Times New Roman" w:cs="Times New Roman"/>
        </w:rPr>
        <w:t xml:space="preserve">, E. (2021). </w:t>
      </w:r>
      <w:r>
        <w:rPr>
          <w:rFonts w:ascii="Times New Roman" w:hAnsi="Times New Roman" w:cs="Times New Roman"/>
          <w:i/>
          <w:iCs/>
        </w:rPr>
        <w:t>Effect of migrant remittances on the naira price of the dollar</w:t>
      </w:r>
      <w:r>
        <w:rPr>
          <w:rFonts w:ascii="Times New Roman" w:hAnsi="Times New Roman" w:cs="Times New Roman"/>
        </w:rPr>
        <w:t>.</w:t>
      </w:r>
    </w:p>
    <w:p w14:paraId="4C0D5AE3" w14:textId="68520F10"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Ochi, S. (2024). Migrant’s remittances and economic growth in Sub-Saharan Africa countries. </w:t>
      </w:r>
      <w:r>
        <w:rPr>
          <w:rFonts w:ascii="Times New Roman" w:hAnsi="Times New Roman" w:cs="Times New Roman"/>
          <w:i/>
          <w:iCs/>
        </w:rPr>
        <w:t>Journal of African Development Studies, 16</w:t>
      </w:r>
      <w:r>
        <w:rPr>
          <w:rFonts w:ascii="Times New Roman" w:hAnsi="Times New Roman" w:cs="Times New Roman"/>
        </w:rPr>
        <w:t xml:space="preserve">(1), 45–62. </w:t>
      </w:r>
      <w:hyperlink r:id="rId26" w:history="1">
        <w:r>
          <w:rPr>
            <w:rStyle w:val="Hyperlink"/>
            <w:rFonts w:ascii="Times New Roman" w:hAnsi="Times New Roman" w:cs="Times New Roman"/>
          </w:rPr>
          <w:t>https://doi.org/10.1080/JAADS.2024.001</w:t>
        </w:r>
      </w:hyperlink>
    </w:p>
    <w:p w14:paraId="0366C346" w14:textId="3E73F354"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Ofori, P. E., &amp; </w:t>
      </w:r>
      <w:proofErr w:type="spellStart"/>
      <w:r>
        <w:rPr>
          <w:rFonts w:ascii="Times New Roman" w:hAnsi="Times New Roman" w:cs="Times New Roman"/>
        </w:rPr>
        <w:t>Grechyna</w:t>
      </w:r>
      <w:proofErr w:type="spellEnd"/>
      <w:r>
        <w:rPr>
          <w:rFonts w:ascii="Times New Roman" w:hAnsi="Times New Roman" w:cs="Times New Roman"/>
        </w:rPr>
        <w:t xml:space="preserve">, D. (2021). Remittances, natural resource rent and economic growth in Sub-Saharan Africa. </w:t>
      </w:r>
      <w:r>
        <w:rPr>
          <w:rFonts w:ascii="Times New Roman" w:hAnsi="Times New Roman" w:cs="Times New Roman"/>
          <w:i/>
          <w:iCs/>
        </w:rPr>
        <w:t>Cogent Economics &amp; Finance, 9</w:t>
      </w:r>
      <w:r>
        <w:rPr>
          <w:rFonts w:ascii="Times New Roman" w:hAnsi="Times New Roman" w:cs="Times New Roman"/>
        </w:rPr>
        <w:t xml:space="preserve">(1), 1–20. </w:t>
      </w:r>
      <w:hyperlink r:id="rId27" w:history="1">
        <w:r>
          <w:rPr>
            <w:rStyle w:val="Hyperlink"/>
            <w:rFonts w:ascii="Times New Roman" w:hAnsi="Times New Roman" w:cs="Times New Roman"/>
          </w:rPr>
          <w:t>https://doi.org/10.1080/23322039.2021.1978620</w:t>
        </w:r>
      </w:hyperlink>
    </w:p>
    <w:p w14:paraId="04A67D01" w14:textId="021643AB"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Ogu, O. (2022). Effect of international migration on unemployment and poverty in Nigeria (1985–2020). </w:t>
      </w:r>
      <w:r>
        <w:rPr>
          <w:rFonts w:ascii="Times New Roman" w:hAnsi="Times New Roman" w:cs="Times New Roman"/>
          <w:i/>
          <w:iCs/>
        </w:rPr>
        <w:t>Central Bank of Nigeria Statistical Review, 63</w:t>
      </w:r>
      <w:r>
        <w:rPr>
          <w:rFonts w:ascii="Times New Roman" w:hAnsi="Times New Roman" w:cs="Times New Roman"/>
        </w:rPr>
        <w:t>(2), 45–62. Abuja: Central Bank of Nigeria.</w:t>
      </w:r>
    </w:p>
    <w:p w14:paraId="2BB69C91" w14:textId="77777777"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Olayungbo, D. O., Olaniyi, O., &amp; </w:t>
      </w:r>
      <w:proofErr w:type="spellStart"/>
      <w:r>
        <w:rPr>
          <w:rFonts w:ascii="Times New Roman" w:hAnsi="Times New Roman" w:cs="Times New Roman"/>
        </w:rPr>
        <w:t>Ojeyinka</w:t>
      </w:r>
      <w:proofErr w:type="spellEnd"/>
      <w:r>
        <w:rPr>
          <w:rFonts w:ascii="Times New Roman" w:hAnsi="Times New Roman" w:cs="Times New Roman"/>
        </w:rPr>
        <w:t xml:space="preserve">, O. (2020). Nonlinear autoregressive distributed lag (NARDL) analysis of remittances and growth in Nigeria. </w:t>
      </w:r>
      <w:r>
        <w:rPr>
          <w:rFonts w:ascii="Times New Roman" w:hAnsi="Times New Roman" w:cs="Times New Roman"/>
          <w:i/>
          <w:iCs/>
        </w:rPr>
        <w:t>Financial Innovation, 6</w:t>
      </w:r>
      <w:r>
        <w:rPr>
          <w:rFonts w:ascii="Times New Roman" w:hAnsi="Times New Roman" w:cs="Times New Roman"/>
        </w:rPr>
        <w:t xml:space="preserve">(1), 1–18. </w:t>
      </w:r>
      <w:hyperlink r:id="rId28" w:history="1">
        <w:r>
          <w:rPr>
            <w:rStyle w:val="Hyperlink"/>
            <w:rFonts w:ascii="Times New Roman" w:hAnsi="Times New Roman" w:cs="Times New Roman"/>
          </w:rPr>
          <w:t>https://doi.org/10.1186/s40854-020-00195-y</w:t>
        </w:r>
      </w:hyperlink>
      <w:r>
        <w:rPr>
          <w:rFonts w:ascii="Times New Roman" w:hAnsi="Times New Roman" w:cs="Times New Roman"/>
        </w:rPr>
        <w:t xml:space="preserve"> </w:t>
      </w:r>
    </w:p>
    <w:p w14:paraId="7E217613" w14:textId="77777777"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Oumarou, O. (2021). The nexus between migrants’ remittances and economic growth in the Nigerian economy (1980–2019). </w:t>
      </w:r>
      <w:r>
        <w:rPr>
          <w:rFonts w:ascii="Times New Roman" w:hAnsi="Times New Roman" w:cs="Times New Roman"/>
          <w:i/>
          <w:iCs/>
        </w:rPr>
        <w:t>Nigerian Journal of Economic and Social Studies, 63</w:t>
      </w:r>
      <w:r>
        <w:rPr>
          <w:rFonts w:ascii="Times New Roman" w:hAnsi="Times New Roman" w:cs="Times New Roman"/>
        </w:rPr>
        <w:t>(1), 89–108.</w:t>
      </w:r>
    </w:p>
    <w:p w14:paraId="21F31357" w14:textId="6BD69390" w:rsidR="00F255DE" w:rsidRPr="00C32F05" w:rsidRDefault="00F255DE" w:rsidP="00F255DE">
      <w:pPr>
        <w:pStyle w:val="NoSpacing"/>
        <w:jc w:val="both"/>
        <w:rPr>
          <w:rFonts w:ascii="Times New Roman" w:hAnsi="Times New Roman" w:cs="Times New Roman"/>
        </w:rPr>
      </w:pPr>
      <w:proofErr w:type="spellStart"/>
      <w:r>
        <w:rPr>
          <w:rFonts w:ascii="Times New Roman" w:hAnsi="Times New Roman" w:cs="Times New Roman"/>
        </w:rPr>
        <w:t>Owamah</w:t>
      </w:r>
      <w:proofErr w:type="spellEnd"/>
      <w:r>
        <w:rPr>
          <w:rFonts w:ascii="Times New Roman" w:hAnsi="Times New Roman" w:cs="Times New Roman"/>
        </w:rPr>
        <w:t xml:space="preserve">, E. K., </w:t>
      </w:r>
      <w:proofErr w:type="spellStart"/>
      <w:r>
        <w:rPr>
          <w:rFonts w:ascii="Times New Roman" w:hAnsi="Times New Roman" w:cs="Times New Roman"/>
        </w:rPr>
        <w:t>Egbon</w:t>
      </w:r>
      <w:proofErr w:type="spellEnd"/>
      <w:r>
        <w:rPr>
          <w:rFonts w:ascii="Times New Roman" w:hAnsi="Times New Roman" w:cs="Times New Roman"/>
        </w:rPr>
        <w:t xml:space="preserve">, P. C., &amp; </w:t>
      </w:r>
      <w:proofErr w:type="spellStart"/>
      <w:r>
        <w:rPr>
          <w:rFonts w:ascii="Times New Roman" w:hAnsi="Times New Roman" w:cs="Times New Roman"/>
        </w:rPr>
        <w:t>Ishioro</w:t>
      </w:r>
      <w:proofErr w:type="spellEnd"/>
      <w:r>
        <w:rPr>
          <w:rFonts w:ascii="Times New Roman" w:hAnsi="Times New Roman" w:cs="Times New Roman"/>
        </w:rPr>
        <w:t xml:space="preserve">, B. O. (2025). Remittances and income inequality in selected countries in Sub-Saharan Africa (SSA). </w:t>
      </w:r>
      <w:r>
        <w:rPr>
          <w:rFonts w:ascii="Times New Roman" w:hAnsi="Times New Roman" w:cs="Times New Roman"/>
          <w:i/>
          <w:iCs/>
        </w:rPr>
        <w:t>Journal of Economics, Finance and Management Studies, 8</w:t>
      </w:r>
      <w:r>
        <w:rPr>
          <w:rFonts w:ascii="Times New Roman" w:hAnsi="Times New Roman" w:cs="Times New Roman"/>
        </w:rPr>
        <w:t xml:space="preserve">(10), 6832–6844. </w:t>
      </w:r>
      <w:hyperlink r:id="rId29" w:history="1">
        <w:r>
          <w:rPr>
            <w:rStyle w:val="Hyperlink"/>
            <w:rFonts w:ascii="Times New Roman" w:hAnsi="Times New Roman" w:cs="Times New Roman"/>
          </w:rPr>
          <w:t>https://doi.org/10.47191/jefms/v8-i10-27</w:t>
        </w:r>
      </w:hyperlink>
      <w:r>
        <w:rPr>
          <w:rFonts w:ascii="Times New Roman" w:hAnsi="Times New Roman" w:cs="Times New Roman"/>
        </w:rPr>
        <w:t xml:space="preserve"> </w:t>
      </w:r>
    </w:p>
    <w:p w14:paraId="0A24DC8E" w14:textId="77777777" w:rsidR="0006113E" w:rsidRDefault="0006113E" w:rsidP="00F255DE">
      <w:pPr>
        <w:pStyle w:val="NoSpacing"/>
        <w:jc w:val="both"/>
        <w:rPr>
          <w:rFonts w:ascii="Times New Roman" w:hAnsi="Times New Roman" w:cs="Times New Roman"/>
        </w:rPr>
      </w:pPr>
      <w:proofErr w:type="spellStart"/>
      <w:r>
        <w:rPr>
          <w:rFonts w:ascii="Times New Roman" w:hAnsi="Times New Roman" w:cs="Times New Roman"/>
        </w:rPr>
        <w:t>Oyegoke</w:t>
      </w:r>
      <w:proofErr w:type="spellEnd"/>
      <w:r>
        <w:rPr>
          <w:rFonts w:ascii="Times New Roman" w:hAnsi="Times New Roman" w:cs="Times New Roman"/>
        </w:rPr>
        <w:t xml:space="preserve">, O., &amp; Amali, A. (2022). Impact of international </w:t>
      </w:r>
      <w:proofErr w:type="spellStart"/>
      <w:r>
        <w:rPr>
          <w:rFonts w:ascii="Times New Roman" w:hAnsi="Times New Roman" w:cs="Times New Roman"/>
        </w:rPr>
        <w:t>labour</w:t>
      </w:r>
      <w:proofErr w:type="spellEnd"/>
      <w:r>
        <w:rPr>
          <w:rFonts w:ascii="Times New Roman" w:hAnsi="Times New Roman" w:cs="Times New Roman"/>
        </w:rPr>
        <w:t xml:space="preserve"> migration and migrants’ remittances on economic development in Nigeria (1977–2021). </w:t>
      </w:r>
      <w:r>
        <w:rPr>
          <w:rFonts w:ascii="Times New Roman" w:hAnsi="Times New Roman" w:cs="Times New Roman"/>
          <w:i/>
          <w:iCs/>
        </w:rPr>
        <w:t>Nigerian Journal of Economic Policy, 9</w:t>
      </w:r>
      <w:r>
        <w:rPr>
          <w:rFonts w:ascii="Times New Roman" w:hAnsi="Times New Roman" w:cs="Times New Roman"/>
        </w:rPr>
        <w:t>(2), 33–52.</w:t>
      </w:r>
    </w:p>
    <w:p w14:paraId="79A96247" w14:textId="26F7C3F2" w:rsidR="00F255DE" w:rsidRPr="009A0A87" w:rsidRDefault="00F255DE" w:rsidP="00F255DE">
      <w:pPr>
        <w:pStyle w:val="NoSpacing"/>
        <w:jc w:val="both"/>
        <w:rPr>
          <w:rFonts w:ascii="Times New Roman" w:hAnsi="Times New Roman" w:cs="Times New Roman"/>
        </w:rPr>
      </w:pPr>
      <w:r>
        <w:rPr>
          <w:rFonts w:ascii="Times New Roman" w:hAnsi="Times New Roman" w:cs="Times New Roman"/>
        </w:rPr>
        <w:t xml:space="preserve">Pope, A. (2024). </w:t>
      </w:r>
      <w:r>
        <w:rPr>
          <w:rFonts w:ascii="Times New Roman" w:hAnsi="Times New Roman" w:cs="Times New Roman"/>
          <w:i/>
          <w:iCs/>
        </w:rPr>
        <w:t>World migration report 2024: Trends and challenges in human mobility</w:t>
      </w:r>
      <w:r>
        <w:rPr>
          <w:rFonts w:ascii="Times New Roman" w:hAnsi="Times New Roman" w:cs="Times New Roman"/>
        </w:rPr>
        <w:t>. IOM UN Migration.</w:t>
      </w:r>
    </w:p>
    <w:p w14:paraId="25DD56C3"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Rabbi, F., Chowdhury, M. B., &amp; Hasan, M. Z. (2013). Macroeconomic impact of remittances and the Dutch Disease in a developing country. </w:t>
      </w:r>
      <w:r>
        <w:rPr>
          <w:rFonts w:ascii="Times New Roman" w:hAnsi="Times New Roman" w:cs="Times New Roman"/>
          <w:i/>
          <w:iCs/>
        </w:rPr>
        <w:t>American Journal of Economics, 3</w:t>
      </w:r>
      <w:r>
        <w:rPr>
          <w:rFonts w:ascii="Times New Roman" w:hAnsi="Times New Roman" w:cs="Times New Roman"/>
        </w:rPr>
        <w:t>(5C), 156–160.</w:t>
      </w:r>
    </w:p>
    <w:p w14:paraId="7FC4A731" w14:textId="77777777" w:rsidR="0006113E" w:rsidRDefault="0006113E" w:rsidP="00F255DE">
      <w:pPr>
        <w:pStyle w:val="NoSpacing"/>
        <w:jc w:val="both"/>
        <w:rPr>
          <w:rFonts w:ascii="Times New Roman" w:hAnsi="Times New Roman" w:cs="Times New Roman"/>
        </w:rPr>
      </w:pPr>
      <w:r w:rsidRPr="00587187">
        <w:rPr>
          <w:rFonts w:ascii="Times New Roman" w:hAnsi="Times New Roman" w:cs="Times New Roman"/>
        </w:rPr>
        <w:t xml:space="preserve">Ramirez, M. D., &amp; Sharma, H. (2008). </w:t>
      </w:r>
      <w:r>
        <w:rPr>
          <w:rFonts w:ascii="Times New Roman" w:hAnsi="Times New Roman" w:cs="Times New Roman"/>
        </w:rPr>
        <w:t xml:space="preserve">Remittances and growth in Latin America: A panel unit root and panel cointegration analysis. </w:t>
      </w:r>
      <w:r>
        <w:rPr>
          <w:rFonts w:ascii="Times New Roman" w:hAnsi="Times New Roman" w:cs="Times New Roman"/>
          <w:i/>
          <w:iCs/>
        </w:rPr>
        <w:t>Economic Studies of International Development, 9</w:t>
      </w:r>
      <w:r>
        <w:rPr>
          <w:rFonts w:ascii="Times New Roman" w:hAnsi="Times New Roman" w:cs="Times New Roman"/>
        </w:rPr>
        <w:t>(1), 55–82.</w:t>
      </w:r>
    </w:p>
    <w:p w14:paraId="2FE1110D" w14:textId="43506F25"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Ratha, D. (2003). Workers’ remittances: An important and stable source of external development finance. </w:t>
      </w:r>
      <w:r>
        <w:rPr>
          <w:rFonts w:ascii="Times New Roman" w:hAnsi="Times New Roman" w:cs="Times New Roman"/>
          <w:i/>
          <w:iCs/>
        </w:rPr>
        <w:t>Global Development Finance 2003</w:t>
      </w:r>
      <w:r>
        <w:rPr>
          <w:rFonts w:ascii="Times New Roman" w:hAnsi="Times New Roman" w:cs="Times New Roman"/>
        </w:rPr>
        <w:t>, 157–175.</w:t>
      </w:r>
    </w:p>
    <w:p w14:paraId="6857E5D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Ratha, D., Chandra, V., Kim, E. J., Mahmood, A., &amp; Plaza, S. (2024). </w:t>
      </w:r>
      <w:r>
        <w:rPr>
          <w:rFonts w:ascii="Times New Roman" w:hAnsi="Times New Roman" w:cs="Times New Roman"/>
          <w:i/>
          <w:iCs/>
        </w:rPr>
        <w:t>Remittances slowed in 2023, expected to grow faster in 2024</w:t>
      </w:r>
      <w:r>
        <w:rPr>
          <w:rFonts w:ascii="Times New Roman" w:hAnsi="Times New Roman" w:cs="Times New Roman"/>
        </w:rPr>
        <w:t xml:space="preserve"> (Migration and Development Brief; KNOMAD Trust Fund). World Bank Group.</w:t>
      </w:r>
    </w:p>
    <w:p w14:paraId="3086856B" w14:textId="77777777" w:rsidR="0006113E" w:rsidRPr="0006113E" w:rsidRDefault="0006113E" w:rsidP="0006113E">
      <w:pPr>
        <w:pStyle w:val="NoSpacing"/>
        <w:jc w:val="both"/>
        <w:rPr>
          <w:rFonts w:ascii="Times New Roman" w:hAnsi="Times New Roman" w:cs="Times New Roman"/>
        </w:rPr>
      </w:pPr>
      <w:r>
        <w:rPr>
          <w:rFonts w:ascii="Times New Roman" w:hAnsi="Times New Roman" w:cs="Times New Roman"/>
        </w:rPr>
        <w:lastRenderedPageBreak/>
        <w:t xml:space="preserve">Reserve Bank of India. (2023). </w:t>
      </w:r>
      <w:r>
        <w:rPr>
          <w:rFonts w:ascii="Times New Roman" w:hAnsi="Times New Roman" w:cs="Times New Roman"/>
          <w:i/>
          <w:iCs/>
        </w:rPr>
        <w:t>Inward remittances in India: Trends and impacts.</w:t>
      </w:r>
      <w:r>
        <w:rPr>
          <w:rFonts w:ascii="Times New Roman" w:hAnsi="Times New Roman" w:cs="Times New Roman"/>
        </w:rPr>
        <w:t xml:space="preserve"> Mumbai: Reserve Bank of India. Retrieved from https://www.rbi.org.in</w:t>
      </w:r>
    </w:p>
    <w:p w14:paraId="6E4005B0"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Rosenzweig, M. R., &amp; Stark, O. (1989). Consumption smoothing, migration, and marriage: Evidence from rural India. </w:t>
      </w:r>
      <w:r>
        <w:rPr>
          <w:rFonts w:ascii="Times New Roman" w:hAnsi="Times New Roman" w:cs="Times New Roman"/>
          <w:i/>
          <w:iCs/>
        </w:rPr>
        <w:t>Journal of Political Economy, 97</w:t>
      </w:r>
      <w:r>
        <w:rPr>
          <w:rFonts w:ascii="Times New Roman" w:hAnsi="Times New Roman" w:cs="Times New Roman"/>
        </w:rPr>
        <w:t>(4), 905–926.</w:t>
      </w:r>
    </w:p>
    <w:p w14:paraId="2C3C754F" w14:textId="4A8C5FE0"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Said, S., &amp; Ochi, S. (2024). Migrants’ remittances and economic growth in Sub-Saharan African countries: Non-linearity and threshold analysis. </w:t>
      </w:r>
      <w:r>
        <w:rPr>
          <w:rFonts w:ascii="Times New Roman" w:hAnsi="Times New Roman" w:cs="Times New Roman"/>
          <w:i/>
          <w:iCs/>
        </w:rPr>
        <w:t>Journal of Development Economics and Policy, 36</w:t>
      </w:r>
      <w:r>
        <w:rPr>
          <w:rFonts w:ascii="Times New Roman" w:hAnsi="Times New Roman" w:cs="Times New Roman"/>
        </w:rPr>
        <w:t xml:space="preserve">(2), 77–95. </w:t>
      </w:r>
      <w:hyperlink r:id="rId30" w:history="1">
        <w:r>
          <w:rPr>
            <w:rStyle w:val="Hyperlink"/>
            <w:rFonts w:ascii="Times New Roman" w:hAnsi="Times New Roman" w:cs="Times New Roman"/>
          </w:rPr>
          <w:t>https://doi.org/10.1080/JDEP.2024.002</w:t>
        </w:r>
      </w:hyperlink>
    </w:p>
    <w:p w14:paraId="3AF46894"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Stark, O., &amp; Bloom, D. E. (1985). 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w:t>
      </w:r>
      <w:r>
        <w:rPr>
          <w:rFonts w:ascii="Times New Roman" w:hAnsi="Times New Roman" w:cs="Times New Roman"/>
          <w:i/>
          <w:iCs/>
        </w:rPr>
        <w:t>The American Economic Review, 75</w:t>
      </w:r>
      <w:r>
        <w:rPr>
          <w:rFonts w:ascii="Times New Roman" w:hAnsi="Times New Roman" w:cs="Times New Roman"/>
        </w:rPr>
        <w:t>(2), 173–178.</w:t>
      </w:r>
    </w:p>
    <w:p w14:paraId="4D5CBFA5"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Stark, O., &amp; Bloom, D. E. (1985). 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w:t>
      </w:r>
      <w:r>
        <w:rPr>
          <w:rFonts w:ascii="Times New Roman" w:hAnsi="Times New Roman" w:cs="Times New Roman"/>
          <w:i/>
          <w:iCs/>
        </w:rPr>
        <w:t>The American Economic Review, 75</w:t>
      </w:r>
      <w:r>
        <w:rPr>
          <w:rFonts w:ascii="Times New Roman" w:hAnsi="Times New Roman" w:cs="Times New Roman"/>
        </w:rPr>
        <w:t>(2), 173–178.</w:t>
      </w:r>
    </w:p>
    <w:p w14:paraId="7A30FA86"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Taguchi, H., &amp; Batool, B. (2024). </w:t>
      </w:r>
      <w:r>
        <w:rPr>
          <w:rFonts w:ascii="Times New Roman" w:hAnsi="Times New Roman" w:cs="Times New Roman"/>
          <w:i/>
          <w:iCs/>
        </w:rPr>
        <w:t>Emigrant’s remittances, Dutch Disease and capital accumulation in Pakistan</w:t>
      </w:r>
      <w:r>
        <w:rPr>
          <w:rFonts w:ascii="Times New Roman" w:hAnsi="Times New Roman" w:cs="Times New Roman"/>
        </w:rPr>
        <w:t xml:space="preserve">. Munich Personal </w:t>
      </w:r>
      <w:proofErr w:type="spellStart"/>
      <w:r>
        <w:rPr>
          <w:rFonts w:ascii="Times New Roman" w:hAnsi="Times New Roman" w:cs="Times New Roman"/>
        </w:rPr>
        <w:t>RePEc</w:t>
      </w:r>
      <w:proofErr w:type="spellEnd"/>
      <w:r>
        <w:rPr>
          <w:rFonts w:ascii="Times New Roman" w:hAnsi="Times New Roman" w:cs="Times New Roman"/>
        </w:rPr>
        <w:t xml:space="preserve"> Archive.</w:t>
      </w:r>
    </w:p>
    <w:p w14:paraId="3F52733E" w14:textId="77777777" w:rsidR="008F458A" w:rsidRDefault="008F458A" w:rsidP="00F255DE">
      <w:pPr>
        <w:pStyle w:val="NoSpacing"/>
        <w:jc w:val="both"/>
        <w:rPr>
          <w:rFonts w:ascii="Times New Roman" w:hAnsi="Times New Roman" w:cs="Times New Roman"/>
        </w:rPr>
      </w:pPr>
      <w:proofErr w:type="spellStart"/>
      <w:r>
        <w:rPr>
          <w:rFonts w:ascii="Times New Roman" w:hAnsi="Times New Roman" w:cs="Times New Roman"/>
        </w:rPr>
        <w:t>Tchouassi</w:t>
      </w:r>
      <w:proofErr w:type="spellEnd"/>
      <w:r>
        <w:rPr>
          <w:rFonts w:ascii="Times New Roman" w:hAnsi="Times New Roman" w:cs="Times New Roman"/>
        </w:rPr>
        <w:t xml:space="preserve">, G., &amp; </w:t>
      </w:r>
      <w:proofErr w:type="spellStart"/>
      <w:r>
        <w:rPr>
          <w:rFonts w:ascii="Times New Roman" w:hAnsi="Times New Roman" w:cs="Times New Roman"/>
        </w:rPr>
        <w:t>Sikod</w:t>
      </w:r>
      <w:proofErr w:type="spellEnd"/>
      <w:r>
        <w:rPr>
          <w:rFonts w:ascii="Times New Roman" w:hAnsi="Times New Roman" w:cs="Times New Roman"/>
        </w:rPr>
        <w:t xml:space="preserve">, F. (2010). Remittances and affection in the family. </w:t>
      </w:r>
      <w:r>
        <w:rPr>
          <w:rFonts w:ascii="Times New Roman" w:hAnsi="Times New Roman" w:cs="Times New Roman"/>
          <w:i/>
          <w:iCs/>
        </w:rPr>
        <w:t>Journal of Comparative Family Studies, 41</w:t>
      </w:r>
      <w:r>
        <w:rPr>
          <w:rFonts w:ascii="Times New Roman" w:hAnsi="Times New Roman" w:cs="Times New Roman"/>
        </w:rPr>
        <w:t>(2), 245–263.</w:t>
      </w:r>
    </w:p>
    <w:p w14:paraId="218A4C17" w14:textId="74B930FC" w:rsidR="008F458A" w:rsidRDefault="008F458A" w:rsidP="00F255DE">
      <w:pPr>
        <w:pStyle w:val="NoSpacing"/>
        <w:jc w:val="both"/>
        <w:rPr>
          <w:rFonts w:ascii="Times New Roman" w:hAnsi="Times New Roman" w:cs="Times New Roman"/>
        </w:rPr>
      </w:pPr>
      <w:proofErr w:type="spellStart"/>
      <w:r>
        <w:rPr>
          <w:rFonts w:ascii="Times New Roman" w:hAnsi="Times New Roman" w:cs="Times New Roman"/>
        </w:rPr>
        <w:t>Ulayungbo</w:t>
      </w:r>
      <w:proofErr w:type="spellEnd"/>
      <w:r>
        <w:rPr>
          <w:rFonts w:ascii="Times New Roman" w:hAnsi="Times New Roman" w:cs="Times New Roman"/>
        </w:rPr>
        <w:t xml:space="preserve">, D., &amp; Quadri, A. (2019). Remittances, financial development and economic growth in Sub-Saharan African countries. </w:t>
      </w:r>
      <w:r>
        <w:rPr>
          <w:rFonts w:ascii="Times New Roman" w:hAnsi="Times New Roman" w:cs="Times New Roman"/>
          <w:i/>
          <w:iCs/>
        </w:rPr>
        <w:t>Journal of African Business, 20</w:t>
      </w:r>
      <w:r>
        <w:rPr>
          <w:rFonts w:ascii="Times New Roman" w:hAnsi="Times New Roman" w:cs="Times New Roman"/>
        </w:rPr>
        <w:t xml:space="preserve">(2), 235–256. </w:t>
      </w:r>
      <w:hyperlink r:id="rId31" w:history="1">
        <w:r>
          <w:rPr>
            <w:rStyle w:val="Hyperlink"/>
            <w:rFonts w:ascii="Times New Roman" w:hAnsi="Times New Roman" w:cs="Times New Roman"/>
          </w:rPr>
          <w:t>https://doi.org/10.1080/15228916.2019.1582293</w:t>
        </w:r>
      </w:hyperlink>
    </w:p>
    <w:p w14:paraId="3751BDFD" w14:textId="1570F78F" w:rsidR="008F458A" w:rsidRDefault="008F458A" w:rsidP="00F255DE">
      <w:pPr>
        <w:pStyle w:val="NoSpacing"/>
        <w:jc w:val="both"/>
        <w:rPr>
          <w:rFonts w:ascii="Times New Roman" w:hAnsi="Times New Roman" w:cs="Times New Roman"/>
        </w:rPr>
      </w:pPr>
      <w:proofErr w:type="spellStart"/>
      <w:r>
        <w:rPr>
          <w:rFonts w:ascii="Times New Roman" w:hAnsi="Times New Roman" w:cs="Times New Roman"/>
        </w:rPr>
        <w:t>Vadean</w:t>
      </w:r>
      <w:proofErr w:type="spellEnd"/>
      <w:r>
        <w:rPr>
          <w:rFonts w:ascii="Times New Roman" w:hAnsi="Times New Roman" w:cs="Times New Roman"/>
        </w:rPr>
        <w:t xml:space="preserve">, F., Randazzo, T., &amp; Piracha, M. (2017). Remittances, </w:t>
      </w:r>
      <w:proofErr w:type="spellStart"/>
      <w:r>
        <w:rPr>
          <w:rFonts w:ascii="Times New Roman" w:hAnsi="Times New Roman" w:cs="Times New Roman"/>
        </w:rPr>
        <w:t>labour</w:t>
      </w:r>
      <w:proofErr w:type="spellEnd"/>
      <w:r>
        <w:rPr>
          <w:rFonts w:ascii="Times New Roman" w:hAnsi="Times New Roman" w:cs="Times New Roman"/>
        </w:rPr>
        <w:t xml:space="preserve"> supply and participation of household members left behind. </w:t>
      </w:r>
      <w:r>
        <w:rPr>
          <w:rFonts w:ascii="Times New Roman" w:hAnsi="Times New Roman" w:cs="Times New Roman"/>
          <w:i/>
          <w:iCs/>
        </w:rPr>
        <w:t>IZA Discussion Paper No. 10861.</w:t>
      </w:r>
      <w:r>
        <w:rPr>
          <w:rFonts w:ascii="Times New Roman" w:hAnsi="Times New Roman" w:cs="Times New Roman"/>
        </w:rPr>
        <w:t xml:space="preserve"> Bonn: Institute of </w:t>
      </w:r>
      <w:proofErr w:type="spellStart"/>
      <w:r>
        <w:rPr>
          <w:rFonts w:ascii="Times New Roman" w:hAnsi="Times New Roman" w:cs="Times New Roman"/>
        </w:rPr>
        <w:t>Labour</w:t>
      </w:r>
      <w:proofErr w:type="spellEnd"/>
      <w:r>
        <w:rPr>
          <w:rFonts w:ascii="Times New Roman" w:hAnsi="Times New Roman" w:cs="Times New Roman"/>
        </w:rPr>
        <w:t xml:space="preserve"> Economics (IZA). Retrieved from </w:t>
      </w:r>
      <w:hyperlink r:id="rId32" w:history="1">
        <w:r>
          <w:rPr>
            <w:rStyle w:val="Hyperlink"/>
            <w:rFonts w:ascii="Times New Roman" w:hAnsi="Times New Roman" w:cs="Times New Roman"/>
          </w:rPr>
          <w:t>https://www.iza.org/publications/dp/10861</w:t>
        </w:r>
      </w:hyperlink>
    </w:p>
    <w:p w14:paraId="582631E8" w14:textId="55E83496" w:rsidR="008F458A" w:rsidRDefault="008F458A" w:rsidP="00F255DE">
      <w:pPr>
        <w:pStyle w:val="NoSpacing"/>
        <w:jc w:val="both"/>
        <w:rPr>
          <w:rFonts w:ascii="Times New Roman" w:hAnsi="Times New Roman" w:cs="Times New Roman"/>
        </w:rPr>
      </w:pPr>
      <w:r>
        <w:rPr>
          <w:rFonts w:ascii="Times New Roman" w:hAnsi="Times New Roman" w:cs="Times New Roman"/>
        </w:rPr>
        <w:t xml:space="preserve">Van-Dakin, G., George, G., &amp; Tineke, T. (2005). Remittances as repayment for education. </w:t>
      </w:r>
      <w:r>
        <w:rPr>
          <w:rFonts w:ascii="Times New Roman" w:hAnsi="Times New Roman" w:cs="Times New Roman"/>
          <w:i/>
          <w:iCs/>
        </w:rPr>
        <w:t>International Journal of Social Economics, 32</w:t>
      </w:r>
      <w:r>
        <w:rPr>
          <w:rFonts w:ascii="Times New Roman" w:hAnsi="Times New Roman" w:cs="Times New Roman"/>
        </w:rPr>
        <w:t xml:space="preserve">(9), 789–801. </w:t>
      </w:r>
      <w:hyperlink r:id="rId33" w:history="1">
        <w:r>
          <w:rPr>
            <w:rStyle w:val="Hyperlink"/>
            <w:rFonts w:ascii="Times New Roman" w:hAnsi="Times New Roman" w:cs="Times New Roman"/>
          </w:rPr>
          <w:t>https://doi.org/10.1108/03068290510612512</w:t>
        </w:r>
      </w:hyperlink>
    </w:p>
    <w:p w14:paraId="39006118" w14:textId="77777777" w:rsidR="008F458A" w:rsidRPr="008F458A" w:rsidRDefault="008F458A" w:rsidP="008F458A">
      <w:pPr>
        <w:pStyle w:val="NoSpacing"/>
        <w:jc w:val="both"/>
        <w:rPr>
          <w:rFonts w:ascii="Times New Roman" w:hAnsi="Times New Roman" w:cs="Times New Roman"/>
        </w:rPr>
      </w:pPr>
      <w:r>
        <w:rPr>
          <w:rFonts w:ascii="Times New Roman" w:hAnsi="Times New Roman" w:cs="Times New Roman"/>
        </w:rPr>
        <w:t xml:space="preserve">Wanger, W., &amp; Aras, A. (2022). Impact of diaspora remittances on human capital development in Nigeria (1981–2019). </w:t>
      </w:r>
      <w:r>
        <w:rPr>
          <w:rFonts w:ascii="Times New Roman" w:hAnsi="Times New Roman" w:cs="Times New Roman"/>
          <w:i/>
          <w:iCs/>
        </w:rPr>
        <w:t>Journal of African Economic Studies, 14</w:t>
      </w:r>
      <w:r>
        <w:rPr>
          <w:rFonts w:ascii="Times New Roman" w:hAnsi="Times New Roman" w:cs="Times New Roman"/>
        </w:rPr>
        <w:t>(3), 112–130.</w:t>
      </w:r>
    </w:p>
    <w:p w14:paraId="17C48A60"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(2018). </w:t>
      </w:r>
      <w:r>
        <w:rPr>
          <w:rFonts w:ascii="Times New Roman" w:hAnsi="Times New Roman" w:cs="Times New Roman"/>
          <w:i/>
          <w:iCs/>
        </w:rPr>
        <w:t>Migration and remittances: Recent development and outlook</w:t>
      </w:r>
      <w:r>
        <w:rPr>
          <w:rFonts w:ascii="Times New Roman" w:hAnsi="Times New Roman" w:cs="Times New Roman"/>
        </w:rPr>
        <w:t>. World Bank.</w:t>
      </w:r>
    </w:p>
    <w:p w14:paraId="69FD48D5"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(2020). </w:t>
      </w:r>
      <w:r>
        <w:rPr>
          <w:rFonts w:ascii="Times New Roman" w:hAnsi="Times New Roman" w:cs="Times New Roman"/>
          <w:i/>
          <w:iCs/>
        </w:rPr>
        <w:t>Poverty and shared prosperity 2020: Reversals of fortunes</w:t>
      </w:r>
      <w:r>
        <w:rPr>
          <w:rFonts w:ascii="Times New Roman" w:hAnsi="Times New Roman" w:cs="Times New Roman"/>
        </w:rPr>
        <w:t>. World Bank.</w:t>
      </w:r>
    </w:p>
    <w:p w14:paraId="11E93D7D"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(2021). </w:t>
      </w:r>
      <w:r>
        <w:rPr>
          <w:rFonts w:ascii="Times New Roman" w:hAnsi="Times New Roman" w:cs="Times New Roman"/>
          <w:i/>
          <w:iCs/>
        </w:rPr>
        <w:t>Migration and development brief 34: Resilience: COVID-19 crisis through a migration lens</w:t>
      </w:r>
      <w:r>
        <w:rPr>
          <w:rFonts w:ascii="Times New Roman" w:hAnsi="Times New Roman" w:cs="Times New Roman"/>
        </w:rPr>
        <w:t>. World Bank Group.</w:t>
      </w:r>
    </w:p>
    <w:p w14:paraId="3BE891F8"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(2021). </w:t>
      </w:r>
      <w:r>
        <w:rPr>
          <w:rFonts w:ascii="Times New Roman" w:hAnsi="Times New Roman" w:cs="Times New Roman"/>
          <w:i/>
          <w:iCs/>
        </w:rPr>
        <w:t>Resilience: COVID-19 crisis through a migration lens</w:t>
      </w:r>
      <w:r>
        <w:rPr>
          <w:rFonts w:ascii="Times New Roman" w:hAnsi="Times New Roman" w:cs="Times New Roman"/>
        </w:rPr>
        <w:t>. World Bank.</w:t>
      </w:r>
    </w:p>
    <w:p w14:paraId="64349B5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(2022). </w:t>
      </w:r>
      <w:r>
        <w:rPr>
          <w:rFonts w:ascii="Times New Roman" w:hAnsi="Times New Roman" w:cs="Times New Roman"/>
          <w:i/>
          <w:iCs/>
        </w:rPr>
        <w:t>Remittances and development: A global outlook</w:t>
      </w:r>
      <w:r>
        <w:rPr>
          <w:rFonts w:ascii="Times New Roman" w:hAnsi="Times New Roman" w:cs="Times New Roman"/>
        </w:rPr>
        <w:t>. World Bank.</w:t>
      </w:r>
    </w:p>
    <w:p w14:paraId="5C1DBB7F" w14:textId="77777777" w:rsidR="008F458A" w:rsidRDefault="00F255DE" w:rsidP="008F458A">
      <w:pPr>
        <w:pStyle w:val="NoSpacing"/>
        <w:jc w:val="both"/>
        <w:rPr>
          <w:rFonts w:ascii="Times New Roman" w:hAnsi="Times New Roman" w:cs="Times New Roman"/>
        </w:rPr>
      </w:pPr>
      <w:r>
        <w:rPr>
          <w:rFonts w:ascii="Times New Roman" w:hAnsi="Times New Roman" w:cs="Times New Roman"/>
        </w:rPr>
        <w:t xml:space="preserve">World Bank. (2024). </w:t>
      </w:r>
      <w:r>
        <w:rPr>
          <w:rFonts w:ascii="Times New Roman" w:hAnsi="Times New Roman" w:cs="Times New Roman"/>
          <w:i/>
          <w:iCs/>
        </w:rPr>
        <w:t>In 2024, remittance flows to low- and middle-income countries are expected to reach $685 billion, larger than FDI and ODA combined</w:t>
      </w:r>
      <w:r>
        <w:rPr>
          <w:rFonts w:ascii="Times New Roman" w:hAnsi="Times New Roman" w:cs="Times New Roman"/>
        </w:rPr>
        <w:t>. World Bank Blogs.</w:t>
      </w:r>
    </w:p>
    <w:p w14:paraId="636B3D3A" w14:textId="77777777" w:rsidR="008C1D5F" w:rsidRDefault="008F458A" w:rsidP="008F458A">
      <w:pPr>
        <w:pStyle w:val="NoSpacing"/>
        <w:jc w:val="both"/>
        <w:rPr>
          <w:rFonts w:ascii="Times New Roman" w:hAnsi="Times New Roman" w:cs="Times New Roman"/>
        </w:rPr>
      </w:pPr>
      <w:proofErr w:type="spellStart"/>
      <w:r>
        <w:rPr>
          <w:rFonts w:ascii="Times New Roman" w:hAnsi="Times New Roman" w:cs="Times New Roman"/>
        </w:rPr>
        <w:t>Zobayer</w:t>
      </w:r>
      <w:proofErr w:type="spellEnd"/>
      <w:r>
        <w:rPr>
          <w:rFonts w:ascii="Times New Roman" w:hAnsi="Times New Roman" w:cs="Times New Roman"/>
        </w:rPr>
        <w:t xml:space="preserve"> Bin Amir, &amp; Khalid Bin Amir. (2022). Impact of remittances on economic growth in Africa (2001–2020). </w:t>
      </w:r>
      <w:r>
        <w:rPr>
          <w:rFonts w:ascii="Times New Roman" w:hAnsi="Times New Roman" w:cs="Times New Roman"/>
          <w:i/>
          <w:iCs/>
        </w:rPr>
        <w:t>African Journal of Economic Policy, 29</w:t>
      </w:r>
      <w:r>
        <w:rPr>
          <w:rFonts w:ascii="Times New Roman" w:hAnsi="Times New Roman" w:cs="Times New Roman"/>
        </w:rPr>
        <w:t>(1), 65–84.</w:t>
      </w:r>
      <w:r w:rsidR="008C1D5F">
        <w:rPr>
          <w:rFonts w:ascii="Times New Roman" w:hAnsi="Times New Roman" w:cs="Times New Roman"/>
        </w:rPr>
        <w:t xml:space="preserve"> </w:t>
      </w:r>
    </w:p>
    <w:p w14:paraId="7D5731AA" w14:textId="77777777" w:rsidR="009D5116" w:rsidRPr="003805F9" w:rsidRDefault="008C1D5F" w:rsidP="009D5116">
      <w:pPr>
        <w:pStyle w:val="NoSpacing"/>
        <w:jc w:val="both"/>
        <w:rPr>
          <w:rFonts w:ascii="Times New Roman" w:hAnsi="Times New Roman" w:cs="Times New Roman"/>
          <w:highlight w:val="yellow"/>
        </w:rPr>
      </w:pPr>
      <w:r w:rsidRPr="003805F9">
        <w:rPr>
          <w:rFonts w:ascii="Times New Roman" w:hAnsi="Times New Roman" w:cs="Times New Roman"/>
          <w:highlight w:val="yellow"/>
        </w:rPr>
        <w:t>Meher, S., &amp; Mishra, L. (2025). The Impact of Remittances Sent to India (1980-2021) on Economic Growth and Capital Formation: An Econometric Case Study. </w:t>
      </w:r>
      <w:r w:rsidRPr="003805F9">
        <w:rPr>
          <w:rFonts w:ascii="Times New Roman" w:hAnsi="Times New Roman" w:cs="Times New Roman"/>
          <w:i/>
          <w:iCs/>
          <w:highlight w:val="yellow"/>
        </w:rPr>
        <w:t>South Asian Journal of Social Studies and Economics</w:t>
      </w:r>
      <w:r w:rsidRPr="003805F9">
        <w:rPr>
          <w:rFonts w:ascii="Times New Roman" w:hAnsi="Times New Roman" w:cs="Times New Roman"/>
          <w:highlight w:val="yellow"/>
        </w:rPr>
        <w:t>, </w:t>
      </w:r>
      <w:r w:rsidRPr="003805F9">
        <w:rPr>
          <w:rFonts w:ascii="Times New Roman" w:hAnsi="Times New Roman" w:cs="Times New Roman"/>
          <w:i/>
          <w:iCs/>
          <w:highlight w:val="yellow"/>
        </w:rPr>
        <w:t>22</w:t>
      </w:r>
      <w:r w:rsidRPr="003805F9">
        <w:rPr>
          <w:rFonts w:ascii="Times New Roman" w:hAnsi="Times New Roman" w:cs="Times New Roman"/>
          <w:highlight w:val="yellow"/>
        </w:rPr>
        <w:t xml:space="preserve">(10), 143–153. </w:t>
      </w:r>
      <w:hyperlink r:id="rId34" w:history="1">
        <w:r w:rsidR="00223C3A" w:rsidRPr="003805F9">
          <w:rPr>
            <w:rStyle w:val="Hyperlink"/>
            <w:rFonts w:ascii="Times New Roman" w:hAnsi="Times New Roman" w:cs="Times New Roman"/>
            <w:highlight w:val="yellow"/>
          </w:rPr>
          <w:t>https://doi.org/10.9734/sajsse/2025/v22i101181</w:t>
        </w:r>
      </w:hyperlink>
      <w:r w:rsidR="009D5116" w:rsidRPr="003805F9">
        <w:rPr>
          <w:rFonts w:ascii="Times New Roman" w:hAnsi="Times New Roman" w:cs="Times New Roman"/>
          <w:highlight w:val="yellow"/>
        </w:rPr>
        <w:t xml:space="preserve"> </w:t>
      </w:r>
      <w:proofErr w:type="spellStart"/>
      <w:r w:rsidR="009D5116" w:rsidRPr="003805F9">
        <w:rPr>
          <w:rFonts w:ascii="Times New Roman" w:hAnsi="Times New Roman" w:cs="Times New Roman"/>
          <w:highlight w:val="yellow"/>
        </w:rPr>
        <w:t>Yessoufou</w:t>
      </w:r>
      <w:proofErr w:type="spellEnd"/>
      <w:r w:rsidR="009D5116" w:rsidRPr="003805F9">
        <w:rPr>
          <w:rFonts w:ascii="Times New Roman" w:hAnsi="Times New Roman" w:cs="Times New Roman"/>
          <w:highlight w:val="yellow"/>
        </w:rPr>
        <w:t>, B. (2025). REMITTANCES AND FINANCIAL DEVELOPMENT IN SUB</w:t>
      </w:r>
      <w:r w:rsidR="009D5116" w:rsidRPr="003805F9">
        <w:rPr>
          <w:rFonts w:ascii="Times New Roman" w:hAnsi="Times New Roman" w:cs="Times New Roman"/>
          <w:highlight w:val="yellow"/>
        </w:rPr>
        <w:noBreakHyphen/>
        <w:t>SAHARAN AFRICA: A PANEL DATA ANALYSIS (2010–2020). </w:t>
      </w:r>
      <w:r w:rsidR="009D5116" w:rsidRPr="003805F9">
        <w:rPr>
          <w:rFonts w:ascii="Times New Roman" w:hAnsi="Times New Roman" w:cs="Times New Roman"/>
          <w:i/>
          <w:iCs/>
          <w:highlight w:val="yellow"/>
        </w:rPr>
        <w:t>INTERNATIONAL JOURNAL of DATA ANALYTICS RESEARCH and DEVELOPMENT</w:t>
      </w:r>
      <w:r w:rsidR="009D5116" w:rsidRPr="003805F9">
        <w:rPr>
          <w:rFonts w:ascii="Times New Roman" w:hAnsi="Times New Roman" w:cs="Times New Roman"/>
          <w:highlight w:val="yellow"/>
        </w:rPr>
        <w:t>, </w:t>
      </w:r>
      <w:r w:rsidR="009D5116" w:rsidRPr="003805F9">
        <w:rPr>
          <w:rFonts w:ascii="Times New Roman" w:hAnsi="Times New Roman" w:cs="Times New Roman"/>
          <w:i/>
          <w:iCs/>
          <w:highlight w:val="yellow"/>
        </w:rPr>
        <w:t>3</w:t>
      </w:r>
      <w:r w:rsidR="009D5116" w:rsidRPr="003805F9">
        <w:rPr>
          <w:rFonts w:ascii="Times New Roman" w:hAnsi="Times New Roman" w:cs="Times New Roman"/>
          <w:highlight w:val="yellow"/>
        </w:rPr>
        <w:t xml:space="preserve">(4), 1–31. </w:t>
      </w:r>
      <w:hyperlink r:id="rId35" w:history="1">
        <w:r w:rsidR="009D5116" w:rsidRPr="003805F9">
          <w:rPr>
            <w:rStyle w:val="Hyperlink"/>
            <w:rFonts w:ascii="Times New Roman" w:hAnsi="Times New Roman" w:cs="Times New Roman"/>
            <w:highlight w:val="yellow"/>
          </w:rPr>
          <w:t>https://doi.org/10.34218/ijdard_03_04_001</w:t>
        </w:r>
      </w:hyperlink>
      <w:r w:rsidR="009D5116" w:rsidRPr="003805F9">
        <w:rPr>
          <w:rFonts w:ascii="Times New Roman" w:hAnsi="Times New Roman" w:cs="Times New Roman"/>
          <w:highlight w:val="yellow"/>
        </w:rPr>
        <w:t xml:space="preserve"> </w:t>
      </w:r>
    </w:p>
    <w:p w14:paraId="0A9544E1" w14:textId="77777777" w:rsidR="000A2A7D" w:rsidRPr="003805F9" w:rsidRDefault="009D5116" w:rsidP="009D5116">
      <w:pPr>
        <w:pStyle w:val="NoSpacing"/>
        <w:jc w:val="both"/>
        <w:rPr>
          <w:rFonts w:ascii="Times New Roman" w:hAnsi="Times New Roman" w:cs="Times New Roman"/>
          <w:highlight w:val="yellow"/>
        </w:rPr>
      </w:pPr>
      <w:r w:rsidRPr="003805F9">
        <w:rPr>
          <w:rFonts w:ascii="Times New Roman" w:hAnsi="Times New Roman" w:cs="Times New Roman"/>
          <w:highlight w:val="yellow"/>
        </w:rPr>
        <w:t xml:space="preserve">Prakash, S., &amp; Mujoo, P. R. (2025). The Impact of Remittances </w:t>
      </w:r>
      <w:proofErr w:type="gramStart"/>
      <w:r w:rsidRPr="003805F9">
        <w:rPr>
          <w:rFonts w:ascii="Times New Roman" w:hAnsi="Times New Roman" w:cs="Times New Roman"/>
          <w:highlight w:val="yellow"/>
        </w:rPr>
        <w:t>On</w:t>
      </w:r>
      <w:proofErr w:type="gramEnd"/>
      <w:r w:rsidRPr="003805F9">
        <w:rPr>
          <w:rFonts w:ascii="Times New Roman" w:hAnsi="Times New Roman" w:cs="Times New Roman"/>
          <w:highlight w:val="yellow"/>
        </w:rPr>
        <w:t xml:space="preserve"> Economic Growth - A Comprehensive Meta-Analysis. </w:t>
      </w:r>
      <w:r w:rsidRPr="003805F9">
        <w:rPr>
          <w:rFonts w:ascii="Times New Roman" w:hAnsi="Times New Roman" w:cs="Times New Roman"/>
          <w:i/>
          <w:iCs/>
          <w:highlight w:val="yellow"/>
        </w:rPr>
        <w:t>International Journal of Research Publication and Reviews</w:t>
      </w:r>
      <w:r w:rsidRPr="003805F9">
        <w:rPr>
          <w:rFonts w:ascii="Times New Roman" w:hAnsi="Times New Roman" w:cs="Times New Roman"/>
          <w:highlight w:val="yellow"/>
        </w:rPr>
        <w:t xml:space="preserve">, 6(3), 646-654. </w:t>
      </w:r>
      <w:r w:rsidR="000A2A7D" w:rsidRPr="003805F9">
        <w:rPr>
          <w:rFonts w:ascii="Times New Roman" w:hAnsi="Times New Roman" w:cs="Times New Roman"/>
          <w:highlight w:val="yellow"/>
        </w:rPr>
        <w:t xml:space="preserve"> </w:t>
      </w:r>
    </w:p>
    <w:p w14:paraId="351F6B93" w14:textId="77777777" w:rsidR="00E22091" w:rsidRDefault="000A2A7D" w:rsidP="00E22091">
      <w:pPr>
        <w:pStyle w:val="NoSpacing"/>
        <w:jc w:val="both"/>
        <w:rPr>
          <w:rFonts w:ascii="Times New Roman" w:hAnsi="Times New Roman" w:cs="Times New Roman"/>
          <w:highlight w:val="yellow"/>
        </w:rPr>
      </w:pPr>
      <w:proofErr w:type="spellStart"/>
      <w:r w:rsidRPr="003805F9">
        <w:rPr>
          <w:rFonts w:ascii="Times New Roman" w:hAnsi="Times New Roman" w:cs="Times New Roman"/>
          <w:highlight w:val="yellow"/>
        </w:rPr>
        <w:lastRenderedPageBreak/>
        <w:t>Bussière</w:t>
      </w:r>
      <w:proofErr w:type="spellEnd"/>
      <w:r w:rsidRPr="003805F9">
        <w:rPr>
          <w:rFonts w:ascii="Times New Roman" w:hAnsi="Times New Roman" w:cs="Times New Roman"/>
          <w:highlight w:val="yellow"/>
        </w:rPr>
        <w:t xml:space="preserve">, M., Schmidt, J., &amp; Valla, N. (2016). </w:t>
      </w:r>
      <w:r w:rsidRPr="003805F9">
        <w:rPr>
          <w:rFonts w:ascii="Times New Roman" w:hAnsi="Times New Roman" w:cs="Times New Roman"/>
          <w:i/>
          <w:iCs/>
          <w:highlight w:val="yellow"/>
        </w:rPr>
        <w:t>International financial flows in the new normal: Key patterns (and why we should care)</w:t>
      </w:r>
      <w:r w:rsidRPr="003805F9">
        <w:rPr>
          <w:rFonts w:ascii="Times New Roman" w:hAnsi="Times New Roman" w:cs="Times New Roman"/>
          <w:highlight w:val="yellow"/>
        </w:rPr>
        <w:t>.</w:t>
      </w:r>
      <w:r w:rsidR="00E22091">
        <w:rPr>
          <w:rFonts w:ascii="Times New Roman" w:hAnsi="Times New Roman" w:cs="Times New Roman"/>
          <w:highlight w:val="yellow"/>
        </w:rPr>
        <w:t xml:space="preserve"> </w:t>
      </w:r>
    </w:p>
    <w:p w14:paraId="78C7A64E" w14:textId="196E3CCE" w:rsidR="00E22091" w:rsidRPr="009254E0" w:rsidRDefault="00E22091" w:rsidP="00E22091">
      <w:pPr>
        <w:pStyle w:val="NoSpacing"/>
        <w:jc w:val="both"/>
        <w:rPr>
          <w:rFonts w:ascii="Times New Roman" w:hAnsi="Times New Roman" w:cs="Times New Roman"/>
          <w:highlight w:val="yellow"/>
        </w:rPr>
      </w:pPr>
      <w:r w:rsidRPr="009254E0">
        <w:rPr>
          <w:rFonts w:ascii="Times New Roman" w:hAnsi="Times New Roman" w:cs="Times New Roman"/>
          <w:highlight w:val="yellow"/>
        </w:rPr>
        <w:t xml:space="preserve">Ayang, E., Sani, M., &amp; </w:t>
      </w:r>
      <w:proofErr w:type="spellStart"/>
      <w:r w:rsidRPr="009254E0">
        <w:rPr>
          <w:rFonts w:ascii="Times New Roman" w:hAnsi="Times New Roman" w:cs="Times New Roman"/>
          <w:highlight w:val="yellow"/>
        </w:rPr>
        <w:t>Balguessam</w:t>
      </w:r>
      <w:proofErr w:type="spellEnd"/>
      <w:r w:rsidRPr="009254E0">
        <w:rPr>
          <w:rFonts w:ascii="Times New Roman" w:hAnsi="Times New Roman" w:cs="Times New Roman"/>
          <w:highlight w:val="yellow"/>
        </w:rPr>
        <w:t>, B. N. (2026). Migration diversity and economic complexity in developing countries: Direct and indirect effects through growth, innovation, and human capital. </w:t>
      </w:r>
      <w:r w:rsidRPr="009254E0">
        <w:rPr>
          <w:rFonts w:ascii="Times New Roman" w:hAnsi="Times New Roman" w:cs="Times New Roman"/>
          <w:i/>
          <w:iCs/>
          <w:highlight w:val="yellow"/>
        </w:rPr>
        <w:t>International Review of Economics &amp; Finance</w:t>
      </w:r>
      <w:r w:rsidRPr="009254E0">
        <w:rPr>
          <w:rFonts w:ascii="Times New Roman" w:hAnsi="Times New Roman" w:cs="Times New Roman"/>
          <w:highlight w:val="yellow"/>
        </w:rPr>
        <w:t>, </w:t>
      </w:r>
      <w:r w:rsidRPr="009254E0">
        <w:rPr>
          <w:rFonts w:ascii="Times New Roman" w:hAnsi="Times New Roman" w:cs="Times New Roman"/>
          <w:i/>
          <w:iCs/>
          <w:highlight w:val="yellow"/>
        </w:rPr>
        <w:t>107</w:t>
      </w:r>
      <w:r w:rsidRPr="009254E0">
        <w:rPr>
          <w:rFonts w:ascii="Times New Roman" w:hAnsi="Times New Roman" w:cs="Times New Roman"/>
          <w:highlight w:val="yellow"/>
        </w:rPr>
        <w:t>, 105131. https://doi.org/10.1016/j.iref.2026.105131</w:t>
      </w:r>
    </w:p>
    <w:p w14:paraId="1E440941" w14:textId="77777777" w:rsidR="00E22091" w:rsidRPr="00E22091" w:rsidRDefault="00E22091" w:rsidP="00E22091">
      <w:pPr>
        <w:pStyle w:val="NoSpacing"/>
        <w:jc w:val="both"/>
        <w:rPr>
          <w:rFonts w:ascii="Times New Roman" w:hAnsi="Times New Roman" w:cs="Times New Roman"/>
          <w:highlight w:val="yellow"/>
          <w:lang w:val="es-US"/>
        </w:rPr>
      </w:pPr>
      <w:r w:rsidRPr="00E22091">
        <w:rPr>
          <w:rFonts w:ascii="Times New Roman" w:hAnsi="Times New Roman" w:cs="Times New Roman"/>
          <w:highlight w:val="yellow"/>
          <w:lang w:val="es-US"/>
        </w:rPr>
        <w:t>‌</w:t>
      </w:r>
    </w:p>
    <w:p w14:paraId="29224D59" w14:textId="77777777" w:rsidR="00E22091" w:rsidRPr="009254E0" w:rsidRDefault="00E22091" w:rsidP="00E22091">
      <w:pPr>
        <w:pStyle w:val="NoSpacing"/>
        <w:jc w:val="both"/>
        <w:rPr>
          <w:rFonts w:ascii="Times New Roman" w:hAnsi="Times New Roman" w:cs="Times New Roman"/>
          <w:highlight w:val="yellow"/>
        </w:rPr>
      </w:pPr>
      <w:r w:rsidRPr="00E22091">
        <w:rPr>
          <w:rFonts w:ascii="Times New Roman" w:hAnsi="Times New Roman" w:cs="Times New Roman"/>
          <w:highlight w:val="yellow"/>
          <w:lang w:val="es-US"/>
        </w:rPr>
        <w:t xml:space="preserve"> </w:t>
      </w:r>
      <w:proofErr w:type="spellStart"/>
      <w:r w:rsidRPr="009254E0">
        <w:rPr>
          <w:rFonts w:ascii="Times New Roman" w:hAnsi="Times New Roman" w:cs="Times New Roman"/>
          <w:highlight w:val="yellow"/>
          <w:lang w:val="es-US"/>
        </w:rPr>
        <w:t>Periola</w:t>
      </w:r>
      <w:proofErr w:type="spellEnd"/>
      <w:r w:rsidRPr="009254E0">
        <w:rPr>
          <w:rFonts w:ascii="Times New Roman" w:hAnsi="Times New Roman" w:cs="Times New Roman"/>
          <w:highlight w:val="yellow"/>
          <w:lang w:val="es-US"/>
        </w:rPr>
        <w:t xml:space="preserve">, O., &amp; Salami, M. F. (2024). </w:t>
      </w:r>
      <w:r w:rsidRPr="009254E0">
        <w:rPr>
          <w:rFonts w:ascii="Times New Roman" w:hAnsi="Times New Roman" w:cs="Times New Roman"/>
          <w:highlight w:val="yellow"/>
        </w:rPr>
        <w:t>Remittance outflow, financial development and macroeconomic indicators: evidence from the UK. </w:t>
      </w:r>
      <w:r w:rsidRPr="009254E0">
        <w:rPr>
          <w:rFonts w:ascii="Times New Roman" w:hAnsi="Times New Roman" w:cs="Times New Roman"/>
          <w:i/>
          <w:iCs/>
          <w:highlight w:val="yellow"/>
        </w:rPr>
        <w:t>Future Business Journal</w:t>
      </w:r>
      <w:r w:rsidRPr="009254E0">
        <w:rPr>
          <w:rFonts w:ascii="Times New Roman" w:hAnsi="Times New Roman" w:cs="Times New Roman"/>
          <w:highlight w:val="yellow"/>
        </w:rPr>
        <w:t>, </w:t>
      </w:r>
      <w:r w:rsidRPr="009254E0">
        <w:rPr>
          <w:rFonts w:ascii="Times New Roman" w:hAnsi="Times New Roman" w:cs="Times New Roman"/>
          <w:i/>
          <w:iCs/>
          <w:highlight w:val="yellow"/>
        </w:rPr>
        <w:t>10</w:t>
      </w:r>
      <w:r w:rsidRPr="009254E0">
        <w:rPr>
          <w:rFonts w:ascii="Times New Roman" w:hAnsi="Times New Roman" w:cs="Times New Roman"/>
          <w:highlight w:val="yellow"/>
        </w:rPr>
        <w:t>(1). https://doi.org/10.1186/s43093-024-00373-x</w:t>
      </w:r>
    </w:p>
    <w:p w14:paraId="23FE0CDA" w14:textId="77777777" w:rsidR="00E22091" w:rsidRPr="00E22091" w:rsidRDefault="00E22091" w:rsidP="00E22091">
      <w:pPr>
        <w:pStyle w:val="NoSpacing"/>
        <w:jc w:val="both"/>
        <w:rPr>
          <w:rFonts w:ascii="Times New Roman" w:hAnsi="Times New Roman" w:cs="Times New Roman"/>
          <w:highlight w:val="yellow"/>
        </w:rPr>
      </w:pPr>
      <w:r w:rsidRPr="00E22091">
        <w:rPr>
          <w:rFonts w:ascii="Times New Roman" w:hAnsi="Times New Roman" w:cs="Times New Roman"/>
          <w:highlight w:val="yellow"/>
        </w:rPr>
        <w:t>‌</w:t>
      </w:r>
    </w:p>
    <w:p w14:paraId="5ECBFCD6" w14:textId="643FBF8A" w:rsidR="009D5116" w:rsidRPr="003805F9" w:rsidRDefault="009D5116" w:rsidP="009D5116">
      <w:pPr>
        <w:pStyle w:val="NoSpacing"/>
        <w:jc w:val="both"/>
        <w:rPr>
          <w:rFonts w:ascii="Times New Roman" w:hAnsi="Times New Roman" w:cs="Times New Roman"/>
          <w:highlight w:val="yellow"/>
        </w:rPr>
      </w:pPr>
    </w:p>
    <w:p w14:paraId="52AF7CD3" w14:textId="77777777" w:rsidR="009D5116" w:rsidRPr="009D5116" w:rsidRDefault="009D5116" w:rsidP="009D5116">
      <w:pPr>
        <w:pStyle w:val="NoSpacing"/>
        <w:jc w:val="both"/>
        <w:rPr>
          <w:rFonts w:ascii="Times New Roman" w:hAnsi="Times New Roman" w:cs="Times New Roman"/>
        </w:rPr>
      </w:pPr>
      <w:r w:rsidRPr="003805F9">
        <w:rPr>
          <w:rFonts w:ascii="Times New Roman" w:hAnsi="Times New Roman" w:cs="Times New Roman"/>
          <w:highlight w:val="yellow"/>
        </w:rPr>
        <w:t>‌</w:t>
      </w:r>
    </w:p>
    <w:p w14:paraId="3BAD18A6" w14:textId="315497C0" w:rsidR="00223C3A" w:rsidRPr="009D5116" w:rsidRDefault="00223C3A" w:rsidP="008F458A">
      <w:pPr>
        <w:pStyle w:val="NoSpacing"/>
        <w:jc w:val="both"/>
        <w:rPr>
          <w:rFonts w:ascii="Times New Roman" w:hAnsi="Times New Roman" w:cs="Times New Roman"/>
        </w:rPr>
      </w:pPr>
    </w:p>
    <w:p w14:paraId="6EA14DA2" w14:textId="77777777" w:rsidR="00967389" w:rsidRPr="00967389" w:rsidRDefault="00967389" w:rsidP="00D55B20">
      <w:pPr>
        <w:pStyle w:val="NoSpacing"/>
        <w:spacing w:line="360" w:lineRule="auto"/>
        <w:jc w:val="both"/>
        <w:rPr>
          <w:rFonts w:ascii="Times New Roman" w:hAnsi="Times New Roman"/>
        </w:rPr>
      </w:pPr>
    </w:p>
    <w:bookmarkEnd w:id="13"/>
    <w:p w14:paraId="1A9169FF" w14:textId="77777777" w:rsidR="00D55B20" w:rsidRPr="00967389" w:rsidRDefault="00D55B20"/>
    <w:sectPr w:rsidR="00D55B20" w:rsidRPr="009673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242B" w14:textId="77777777" w:rsidR="005B410D" w:rsidRDefault="005B410D">
      <w:pPr>
        <w:spacing w:after="0" w:line="240" w:lineRule="auto"/>
      </w:pPr>
      <w:r>
        <w:separator/>
      </w:r>
    </w:p>
  </w:endnote>
  <w:endnote w:type="continuationSeparator" w:id="0">
    <w:p w14:paraId="20971530" w14:textId="77777777" w:rsidR="005B410D" w:rsidRDefault="005B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A025" w14:textId="77777777" w:rsidR="001266E0" w:rsidRDefault="0012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47EF" w14:textId="77777777" w:rsidR="001266E0" w:rsidRDefault="0012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E4D6" w14:textId="77777777" w:rsidR="001266E0" w:rsidRDefault="0012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BEE8" w14:textId="77777777" w:rsidR="005B410D" w:rsidRDefault="005B410D">
      <w:pPr>
        <w:spacing w:after="0" w:line="240" w:lineRule="auto"/>
      </w:pPr>
      <w:r>
        <w:separator/>
      </w:r>
    </w:p>
  </w:footnote>
  <w:footnote w:type="continuationSeparator" w:id="0">
    <w:p w14:paraId="6277A34D" w14:textId="77777777" w:rsidR="005B410D" w:rsidRDefault="005B4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D621" w14:textId="53D02439" w:rsidR="001266E0" w:rsidRDefault="00000000">
    <w:pPr>
      <w:pStyle w:val="Header"/>
    </w:pPr>
    <w:r>
      <w:rPr>
        <w:noProof/>
      </w:rPr>
      <w:pict w14:anchorId="7280D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24815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C142" w14:textId="65E034C8" w:rsidR="00D55B20" w:rsidRDefault="00000000">
    <w:pPr>
      <w:pStyle w:val="Header"/>
      <w:jc w:val="right"/>
    </w:pPr>
    <w:r>
      <w:rPr>
        <w:noProof/>
      </w:rPr>
      <w:pict w14:anchorId="4125E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248159"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610506811"/>
        <w:docPartObj>
          <w:docPartGallery w:val="Page Numbers (Top of Page)"/>
          <w:docPartUnique/>
        </w:docPartObj>
      </w:sdtPr>
      <w:sdtEndPr>
        <w:rPr>
          <w:noProof/>
        </w:rPr>
      </w:sdtEndPr>
      <w:sdtContent>
        <w:r w:rsidR="00D55B20">
          <w:fldChar w:fldCharType="begin"/>
        </w:r>
        <w:r w:rsidR="00D55B20">
          <w:instrText xml:space="preserve"> PAGE   \* MERGEFORMAT </w:instrText>
        </w:r>
        <w:r w:rsidR="00D55B20">
          <w:fldChar w:fldCharType="separate"/>
        </w:r>
        <w:r w:rsidR="00D55B20">
          <w:rPr>
            <w:noProof/>
          </w:rPr>
          <w:t>2</w:t>
        </w:r>
        <w:r w:rsidR="00D55B20">
          <w:rPr>
            <w:noProof/>
          </w:rPr>
          <w:fldChar w:fldCharType="end"/>
        </w:r>
      </w:sdtContent>
    </w:sdt>
  </w:p>
  <w:p w14:paraId="5D12D8A4" w14:textId="77777777" w:rsidR="00D55B20" w:rsidRDefault="00D5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C936" w14:textId="4A1DB4D7" w:rsidR="001266E0" w:rsidRDefault="00000000">
    <w:pPr>
      <w:pStyle w:val="Header"/>
    </w:pPr>
    <w:r>
      <w:rPr>
        <w:noProof/>
      </w:rPr>
      <w:pict w14:anchorId="6D21F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24815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F0B6A"/>
    <w:multiLevelType w:val="hybridMultilevel"/>
    <w:tmpl w:val="2FCAA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065A1"/>
    <w:multiLevelType w:val="multilevel"/>
    <w:tmpl w:val="4EC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657108">
    <w:abstractNumId w:val="1"/>
  </w:num>
  <w:num w:numId="2" w16cid:durableId="190436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NzQyNjIzsTAwsDRX0lEKTi0uzszPAykwqgUA0T3BfCwAAAA="/>
  </w:docVars>
  <w:rsids>
    <w:rsidRoot w:val="00D55B20"/>
    <w:rsid w:val="00050A7E"/>
    <w:rsid w:val="0006113E"/>
    <w:rsid w:val="000A2A7D"/>
    <w:rsid w:val="001266E0"/>
    <w:rsid w:val="00151B47"/>
    <w:rsid w:val="00223C3A"/>
    <w:rsid w:val="00290161"/>
    <w:rsid w:val="002A02E5"/>
    <w:rsid w:val="002D6030"/>
    <w:rsid w:val="00313EFB"/>
    <w:rsid w:val="00360BCB"/>
    <w:rsid w:val="003805F9"/>
    <w:rsid w:val="004703C0"/>
    <w:rsid w:val="0051011E"/>
    <w:rsid w:val="00587187"/>
    <w:rsid w:val="005B410D"/>
    <w:rsid w:val="00653256"/>
    <w:rsid w:val="00657AE5"/>
    <w:rsid w:val="00663587"/>
    <w:rsid w:val="00681DD5"/>
    <w:rsid w:val="006D04FB"/>
    <w:rsid w:val="00754894"/>
    <w:rsid w:val="0086529D"/>
    <w:rsid w:val="008C1D5F"/>
    <w:rsid w:val="008F458A"/>
    <w:rsid w:val="00900F55"/>
    <w:rsid w:val="009254E0"/>
    <w:rsid w:val="00967389"/>
    <w:rsid w:val="00995C9B"/>
    <w:rsid w:val="009B23BD"/>
    <w:rsid w:val="009D5116"/>
    <w:rsid w:val="00B12CF1"/>
    <w:rsid w:val="00BD26BC"/>
    <w:rsid w:val="00D1052C"/>
    <w:rsid w:val="00D527E2"/>
    <w:rsid w:val="00D55B20"/>
    <w:rsid w:val="00E22091"/>
    <w:rsid w:val="00EA13B8"/>
    <w:rsid w:val="00EC4966"/>
    <w:rsid w:val="00F255DE"/>
    <w:rsid w:val="00F8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5070"/>
  <w15:chartTrackingRefBased/>
  <w15:docId w15:val="{3755792B-D0CD-460D-86DE-CECADA26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20"/>
  </w:style>
  <w:style w:type="paragraph" w:styleId="Heading1">
    <w:name w:val="heading 1"/>
    <w:basedOn w:val="Normal"/>
    <w:next w:val="Normal"/>
    <w:link w:val="Heading1Char"/>
    <w:uiPriority w:val="9"/>
    <w:qFormat/>
    <w:rsid w:val="00D55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B20"/>
    <w:rPr>
      <w:rFonts w:eastAsiaTheme="majorEastAsia" w:cstheme="majorBidi"/>
      <w:color w:val="272727" w:themeColor="text1" w:themeTint="D8"/>
    </w:rPr>
  </w:style>
  <w:style w:type="paragraph" w:styleId="Title">
    <w:name w:val="Title"/>
    <w:basedOn w:val="Normal"/>
    <w:next w:val="Normal"/>
    <w:link w:val="TitleChar"/>
    <w:uiPriority w:val="10"/>
    <w:qFormat/>
    <w:rsid w:val="00D55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B20"/>
    <w:pPr>
      <w:spacing w:before="160"/>
      <w:jc w:val="center"/>
    </w:pPr>
    <w:rPr>
      <w:i/>
      <w:iCs/>
      <w:color w:val="404040" w:themeColor="text1" w:themeTint="BF"/>
    </w:rPr>
  </w:style>
  <w:style w:type="character" w:customStyle="1" w:styleId="QuoteChar">
    <w:name w:val="Quote Char"/>
    <w:basedOn w:val="DefaultParagraphFont"/>
    <w:link w:val="Quote"/>
    <w:uiPriority w:val="29"/>
    <w:rsid w:val="00D55B20"/>
    <w:rPr>
      <w:i/>
      <w:iCs/>
      <w:color w:val="404040" w:themeColor="text1" w:themeTint="BF"/>
    </w:rPr>
  </w:style>
  <w:style w:type="paragraph" w:styleId="ListParagraph">
    <w:name w:val="List Paragraph"/>
    <w:basedOn w:val="Normal"/>
    <w:uiPriority w:val="34"/>
    <w:qFormat/>
    <w:rsid w:val="00D55B20"/>
    <w:pPr>
      <w:ind w:left="720"/>
      <w:contextualSpacing/>
    </w:pPr>
  </w:style>
  <w:style w:type="character" w:styleId="IntenseEmphasis">
    <w:name w:val="Intense Emphasis"/>
    <w:basedOn w:val="DefaultParagraphFont"/>
    <w:uiPriority w:val="21"/>
    <w:qFormat/>
    <w:rsid w:val="00D55B20"/>
    <w:rPr>
      <w:i/>
      <w:iCs/>
      <w:color w:val="2F5496" w:themeColor="accent1" w:themeShade="BF"/>
    </w:rPr>
  </w:style>
  <w:style w:type="paragraph" w:styleId="IntenseQuote">
    <w:name w:val="Intense Quote"/>
    <w:basedOn w:val="Normal"/>
    <w:next w:val="Normal"/>
    <w:link w:val="IntenseQuoteChar"/>
    <w:uiPriority w:val="30"/>
    <w:qFormat/>
    <w:rsid w:val="00D55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B20"/>
    <w:rPr>
      <w:i/>
      <w:iCs/>
      <w:color w:val="2F5496" w:themeColor="accent1" w:themeShade="BF"/>
    </w:rPr>
  </w:style>
  <w:style w:type="character" w:styleId="IntenseReference">
    <w:name w:val="Intense Reference"/>
    <w:basedOn w:val="DefaultParagraphFont"/>
    <w:uiPriority w:val="32"/>
    <w:qFormat/>
    <w:rsid w:val="00D55B20"/>
    <w:rPr>
      <w:b/>
      <w:bCs/>
      <w:smallCaps/>
      <w:color w:val="2F5496" w:themeColor="accent1" w:themeShade="BF"/>
      <w:spacing w:val="5"/>
    </w:rPr>
  </w:style>
  <w:style w:type="paragraph" w:customStyle="1" w:styleId="ListofFigures">
    <w:name w:val="List of Figures"/>
    <w:basedOn w:val="Normal"/>
    <w:link w:val="ListofFiguresChar"/>
    <w:autoRedefine/>
    <w:qFormat/>
    <w:rsid w:val="00D55B20"/>
    <w:pPr>
      <w:spacing w:after="0" w:line="240" w:lineRule="auto"/>
      <w:jc w:val="both"/>
    </w:pPr>
    <w:rPr>
      <w:rFonts w:ascii="Times New Roman" w:eastAsia="Times New Roman" w:hAnsi="Times New Roman" w:cs="Times New Roman"/>
      <w:kern w:val="0"/>
      <w:sz w:val="20"/>
      <w14:ligatures w14:val="none"/>
    </w:rPr>
  </w:style>
  <w:style w:type="character" w:customStyle="1" w:styleId="ListofFiguresChar">
    <w:name w:val="List of Figures Char"/>
    <w:basedOn w:val="DefaultParagraphFont"/>
    <w:link w:val="ListofFigures"/>
    <w:rsid w:val="00D55B20"/>
    <w:rPr>
      <w:rFonts w:ascii="Times New Roman" w:eastAsia="Times New Roman" w:hAnsi="Times New Roman" w:cs="Times New Roman"/>
      <w:kern w:val="0"/>
      <w:sz w:val="20"/>
      <w14:ligatures w14:val="none"/>
    </w:rPr>
  </w:style>
  <w:style w:type="character" w:styleId="Hyperlink">
    <w:name w:val="Hyperlink"/>
    <w:basedOn w:val="DefaultParagraphFont"/>
    <w:uiPriority w:val="99"/>
    <w:unhideWhenUsed/>
    <w:rsid w:val="00D55B20"/>
    <w:rPr>
      <w:color w:val="0563C1" w:themeColor="hyperlink"/>
      <w:u w:val="single"/>
    </w:rPr>
  </w:style>
  <w:style w:type="paragraph" w:styleId="NoSpacing">
    <w:name w:val="No Spacing"/>
    <w:link w:val="NoSpacingChar"/>
    <w:uiPriority w:val="1"/>
    <w:qFormat/>
    <w:rsid w:val="00D55B20"/>
    <w:pPr>
      <w:spacing w:after="0" w:line="240" w:lineRule="auto"/>
    </w:pPr>
  </w:style>
  <w:style w:type="paragraph" w:customStyle="1" w:styleId="Default">
    <w:name w:val="Default"/>
    <w:rsid w:val="00D55B20"/>
    <w:pPr>
      <w:autoSpaceDE w:val="0"/>
      <w:autoSpaceDN w:val="0"/>
      <w:adjustRightInd w:val="0"/>
      <w:spacing w:after="0" w:line="240" w:lineRule="auto"/>
    </w:pPr>
    <w:rPr>
      <w:rFonts w:ascii="Arial Black" w:hAnsi="Arial Black" w:cs="Arial Black"/>
      <w:color w:val="000000"/>
      <w:kern w:val="0"/>
    </w:rPr>
  </w:style>
  <w:style w:type="paragraph" w:styleId="NormalWeb">
    <w:name w:val="Normal (Web)"/>
    <w:basedOn w:val="Normal"/>
    <w:uiPriority w:val="99"/>
    <w:semiHidden/>
    <w:unhideWhenUsed/>
    <w:rsid w:val="00D55B20"/>
    <w:rPr>
      <w:rFonts w:ascii="Times New Roman" w:hAnsi="Times New Roman" w:cs="Times New Roman"/>
    </w:rPr>
  </w:style>
  <w:style w:type="character" w:customStyle="1" w:styleId="NoSpacingChar">
    <w:name w:val="No Spacing Char"/>
    <w:basedOn w:val="DefaultParagraphFont"/>
    <w:link w:val="NoSpacing"/>
    <w:uiPriority w:val="1"/>
    <w:rsid w:val="00D55B20"/>
  </w:style>
  <w:style w:type="paragraph" w:customStyle="1" w:styleId="Body">
    <w:name w:val="Body"/>
    <w:link w:val="BodyChar"/>
    <w:qFormat/>
    <w:rsid w:val="00D55B20"/>
    <w:pPr>
      <w:spacing w:before="120" w:after="60" w:line="480" w:lineRule="auto"/>
      <w:jc w:val="both"/>
    </w:pPr>
    <w:rPr>
      <w:rFonts w:ascii="Times New Roman" w:hAnsi="Times New Roman"/>
      <w:color w:val="000000"/>
      <w:kern w:val="0"/>
      <w:szCs w:val="22"/>
      <w:lang w:val="en-GB"/>
      <w14:ligatures w14:val="none"/>
    </w:rPr>
  </w:style>
  <w:style w:type="character" w:customStyle="1" w:styleId="BodyChar">
    <w:name w:val="Body Char"/>
    <w:basedOn w:val="DefaultParagraphFont"/>
    <w:link w:val="Body"/>
    <w:rsid w:val="00D55B20"/>
    <w:rPr>
      <w:rFonts w:ascii="Times New Roman" w:hAnsi="Times New Roman"/>
      <w:color w:val="000000"/>
      <w:kern w:val="0"/>
      <w:szCs w:val="22"/>
      <w:lang w:val="en-GB"/>
      <w14:ligatures w14:val="none"/>
    </w:rPr>
  </w:style>
  <w:style w:type="paragraph" w:styleId="Header">
    <w:name w:val="header"/>
    <w:basedOn w:val="Normal"/>
    <w:link w:val="HeaderChar"/>
    <w:uiPriority w:val="99"/>
    <w:unhideWhenUsed/>
    <w:rsid w:val="00D5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B20"/>
  </w:style>
  <w:style w:type="paragraph" w:styleId="Footer">
    <w:name w:val="footer"/>
    <w:basedOn w:val="Normal"/>
    <w:link w:val="FooterChar"/>
    <w:uiPriority w:val="99"/>
    <w:unhideWhenUsed/>
    <w:rsid w:val="00D5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B20"/>
  </w:style>
  <w:style w:type="character" w:styleId="FollowedHyperlink">
    <w:name w:val="FollowedHyperlink"/>
    <w:basedOn w:val="DefaultParagraphFont"/>
    <w:uiPriority w:val="99"/>
    <w:semiHidden/>
    <w:unhideWhenUsed/>
    <w:rsid w:val="00D55B20"/>
    <w:rPr>
      <w:color w:val="954F72" w:themeColor="followedHyperlink"/>
      <w:u w:val="single"/>
    </w:rPr>
  </w:style>
  <w:style w:type="character" w:styleId="UnresolvedMention">
    <w:name w:val="Unresolved Mention"/>
    <w:basedOn w:val="DefaultParagraphFont"/>
    <w:uiPriority w:val="99"/>
    <w:semiHidden/>
    <w:unhideWhenUsed/>
    <w:rsid w:val="00EC4966"/>
    <w:rPr>
      <w:color w:val="605E5C"/>
      <w:shd w:val="clear" w:color="auto" w:fill="E1DFDD"/>
    </w:rPr>
  </w:style>
  <w:style w:type="paragraph" w:styleId="Revision">
    <w:name w:val="Revision"/>
    <w:hidden/>
    <w:uiPriority w:val="99"/>
    <w:semiHidden/>
    <w:rsid w:val="008C1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4236/jssm.2024.174016" TargetMode="External"/><Relationship Id="rId18" Type="http://schemas.openxmlformats.org/officeDocument/2006/relationships/hyperlink" Target="https://www.afropolitanjournals.com" TargetMode="External"/><Relationship Id="rId26" Type="http://schemas.openxmlformats.org/officeDocument/2006/relationships/hyperlink" Target="https://doi.org/10.1080/JAADS.2024.001" TargetMode="External"/><Relationship Id="rId3" Type="http://schemas.openxmlformats.org/officeDocument/2006/relationships/settings" Target="settings.xml"/><Relationship Id="rId21" Type="http://schemas.openxmlformats.org/officeDocument/2006/relationships/hyperlink" Target="https://doi.org/10.1108/IJSE-01-2019-0025" TargetMode="External"/><Relationship Id="rId34" Type="http://schemas.openxmlformats.org/officeDocument/2006/relationships/hyperlink" Target="https://doi.org/10.9734/sajsse/2025/v22i10118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126/ern.v6i1.67971" TargetMode="External"/><Relationship Id="rId25" Type="http://schemas.openxmlformats.org/officeDocument/2006/relationships/hyperlink" Target="https://doi.org/10.1108/JED-03-2021-0041" TargetMode="External"/><Relationship Id="rId33" Type="http://schemas.openxmlformats.org/officeDocument/2006/relationships/hyperlink" Target="https://doi.org/10.1108/03068290510612512" TargetMode="External"/><Relationship Id="rId2" Type="http://schemas.openxmlformats.org/officeDocument/2006/relationships/styles" Target="styles.xml"/><Relationship Id="rId16" Type="http://schemas.openxmlformats.org/officeDocument/2006/relationships/hyperlink" Target="https://www.aebjournal.org" TargetMode="External"/><Relationship Id="rId20" Type="http://schemas.openxmlformats.org/officeDocument/2006/relationships/hyperlink" Target="https://doi.org/10.1177/10021900624175426" TargetMode="External"/><Relationship Id="rId29" Type="http://schemas.openxmlformats.org/officeDocument/2006/relationships/hyperlink" Target="https://doi.org/10.47191/jefms/v8-i1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08/JED-03-2021-0041" TargetMode="External"/><Relationship Id="rId32" Type="http://schemas.openxmlformats.org/officeDocument/2006/relationships/hyperlink" Target="https://www.iza.org/publications/dp/1086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imig.12951" TargetMode="External"/><Relationship Id="rId23" Type="http://schemas.openxmlformats.org/officeDocument/2006/relationships/hyperlink" Target="https://openknowledge.worldbank.org" TargetMode="External"/><Relationship Id="rId28" Type="http://schemas.openxmlformats.org/officeDocument/2006/relationships/hyperlink" Target="https://doi.org/10.1186/s40854-020-00195-y"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177/10021900624175426" TargetMode="External"/><Relationship Id="rId31" Type="http://schemas.openxmlformats.org/officeDocument/2006/relationships/hyperlink" Target="https://doi.org/10.1080/15228916.2019.15822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2479/ijefi.18730" TargetMode="External"/><Relationship Id="rId22" Type="http://schemas.openxmlformats.org/officeDocument/2006/relationships/hyperlink" Target="https://doi.org/10.1353/jda.2018.0020" TargetMode="External"/><Relationship Id="rId27" Type="http://schemas.openxmlformats.org/officeDocument/2006/relationships/hyperlink" Target="https://doi.org/10.1080/23322039.2021.1978620" TargetMode="External"/><Relationship Id="rId30" Type="http://schemas.openxmlformats.org/officeDocument/2006/relationships/hyperlink" Target="https://doi.org/10.1080/JDEP.2024.002" TargetMode="External"/><Relationship Id="rId35" Type="http://schemas.openxmlformats.org/officeDocument/2006/relationships/hyperlink" Target="https://doi.org/10.34218/ijdard_03_04_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27</Pages>
  <Words>9864</Words>
  <Characters>56227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Owede Vincent</dc:creator>
  <cp:keywords/>
  <dc:description/>
  <cp:lastModifiedBy>Editor-17</cp:lastModifiedBy>
  <cp:revision>12</cp:revision>
  <dcterms:created xsi:type="dcterms:W3CDTF">2026-03-05T21:40:00Z</dcterms:created>
  <dcterms:modified xsi:type="dcterms:W3CDTF">2026-03-27T09:20:00Z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c4c13128-8594-4bca-ba74-ba7e086daee9</vt:lpwstr>
  </property>
</Properties>
</file>