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95B1A" w14:textId="54BC05CB" w:rsidR="00DC7656" w:rsidRPr="009500F9" w:rsidRDefault="00DA4681" w:rsidP="00DC7656">
      <w:pPr>
        <w:jc w:val="center"/>
        <w:rPr>
          <w:rFonts w:ascii="Times New Roman" w:hAnsi="Times New Roman" w:cs="Times New Roman"/>
          <w:sz w:val="24"/>
          <w:szCs w:val="24"/>
        </w:rPr>
      </w:pPr>
      <w:r w:rsidRPr="009500F9">
        <w:rPr>
          <w:rStyle w:val="Strong"/>
          <w:rFonts w:ascii="Times New Roman" w:hAnsi="Times New Roman" w:cs="Times New Roman"/>
          <w:sz w:val="24"/>
          <w:szCs w:val="24"/>
        </w:rPr>
        <w:t>Funding Models and Sustainability of Public Universities in Kenya</w:t>
      </w:r>
    </w:p>
    <w:p w14:paraId="37C89B8F" w14:textId="77777777" w:rsidR="00DC7656" w:rsidRPr="009500F9" w:rsidRDefault="00DC7656" w:rsidP="00DC7656">
      <w:pPr>
        <w:rPr>
          <w:rFonts w:ascii="Times New Roman" w:hAnsi="Times New Roman" w:cs="Times New Roman"/>
          <w:sz w:val="24"/>
          <w:szCs w:val="24"/>
        </w:rPr>
      </w:pPr>
    </w:p>
    <w:p w14:paraId="5E06A678" w14:textId="77777777" w:rsidR="002D107D" w:rsidRPr="003A6EBC" w:rsidRDefault="002D107D" w:rsidP="002D107D">
      <w:pPr>
        <w:pStyle w:val="Heading2"/>
        <w:rPr>
          <w:rFonts w:ascii="Times New Roman" w:eastAsia="Times New Roman" w:hAnsi="Times New Roman" w:cs="Times New Roman"/>
          <w:color w:val="000000" w:themeColor="text1"/>
          <w:sz w:val="24"/>
          <w:szCs w:val="24"/>
        </w:rPr>
      </w:pPr>
      <w:r w:rsidRPr="003A6EBC">
        <w:rPr>
          <w:rStyle w:val="Strong"/>
          <w:rFonts w:ascii="Times New Roman" w:hAnsi="Times New Roman" w:cs="Times New Roman"/>
          <w:color w:val="000000" w:themeColor="text1"/>
          <w:sz w:val="24"/>
          <w:szCs w:val="24"/>
        </w:rPr>
        <w:t>Abstract</w:t>
      </w:r>
    </w:p>
    <w:p w14:paraId="402D3E2F" w14:textId="77777777" w:rsidR="002D107D" w:rsidRPr="009500F9" w:rsidRDefault="002D107D" w:rsidP="002D107D">
      <w:pPr>
        <w:pStyle w:val="NormalWeb"/>
        <w:jc w:val="both"/>
      </w:pPr>
      <w:r w:rsidRPr="009500F9">
        <w:t>Public universities in Kenya play a critical role in socio-economic development through the provision of higher education, research, innovation, and human capital development. However, the ability of these institutions to sustain their core functions has been increasingly constrained by inadequate and unstable funding, resulting in financial distress and rising institutional debt. This study examined the funding models used by public universities in Kenya and assessed their implications for financial sustainability and debt accumulation. The study was guided by Resource Dependence Theory, Sustainability Theory, and Public Choice Theory. A descriptive research design was adopted, and secondary data were obtained from government reports, parliamentary oversight documents, institutional financial statements, Auditor-General reports, and relevant empirical studies. Data were analyzed using descriptive techniques and content analysis to establish trends in funding sources, expenditure patterns, and outstanding liabilities. Findings indicate that heavy dependence on government allocations and tuition fees has contributed significantly to liquidity constraints and debt accumulation. The study also established that universities with diversified income sources such as consultancies, commercial ventures, research grants, and public–private partnerships demonstrate relatively higher financial resilience. The study concludes that improving financial sustainability in public universities requires predictable government funding, strengthened revenue diversification, enhanced financial governance, and effective debt management strategies.</w:t>
      </w:r>
    </w:p>
    <w:p w14:paraId="22B75CD4" w14:textId="77777777" w:rsidR="002D107D" w:rsidRPr="009500F9" w:rsidRDefault="002D107D" w:rsidP="002D107D">
      <w:pPr>
        <w:pStyle w:val="NormalWeb"/>
      </w:pPr>
      <w:r w:rsidRPr="009500F9">
        <w:rPr>
          <w:rStyle w:val="Strong"/>
        </w:rPr>
        <w:t>Keywords:</w:t>
      </w:r>
      <w:r w:rsidRPr="009500F9">
        <w:t xml:space="preserve"> funding models, financial sustainability, institutional debt, public universities, Kenya</w:t>
      </w:r>
    </w:p>
    <w:p w14:paraId="6F70FCFE" w14:textId="6C83DB36" w:rsidR="002D107D" w:rsidRPr="003A6EBC" w:rsidRDefault="002D107D" w:rsidP="002D107D">
      <w:pPr>
        <w:rPr>
          <w:rFonts w:ascii="Times New Roman" w:hAnsi="Times New Roman" w:cs="Times New Roman"/>
          <w:b/>
          <w:bCs/>
          <w:color w:val="000000" w:themeColor="text1"/>
          <w:sz w:val="24"/>
          <w:szCs w:val="24"/>
        </w:rPr>
      </w:pPr>
    </w:p>
    <w:p w14:paraId="5CA67D28" w14:textId="77777777" w:rsidR="002D107D" w:rsidRPr="003A6EBC" w:rsidRDefault="002D107D" w:rsidP="002D107D">
      <w:pPr>
        <w:pStyle w:val="Heading2"/>
        <w:rPr>
          <w:rFonts w:ascii="Times New Roman" w:hAnsi="Times New Roman" w:cs="Times New Roman"/>
          <w:b/>
          <w:bCs/>
          <w:color w:val="000000" w:themeColor="text1"/>
          <w:sz w:val="24"/>
          <w:szCs w:val="24"/>
        </w:rPr>
      </w:pPr>
      <w:r w:rsidRPr="003A6EBC">
        <w:rPr>
          <w:rStyle w:val="Strong"/>
          <w:rFonts w:ascii="Times New Roman" w:hAnsi="Times New Roman" w:cs="Times New Roman"/>
          <w:color w:val="000000" w:themeColor="text1"/>
          <w:sz w:val="24"/>
          <w:szCs w:val="24"/>
        </w:rPr>
        <w:t>1.0 Introduction</w:t>
      </w:r>
    </w:p>
    <w:p w14:paraId="7A1C3C1F" w14:textId="77777777" w:rsidR="002D107D" w:rsidRPr="003A6EBC" w:rsidRDefault="002D107D" w:rsidP="002D107D">
      <w:pPr>
        <w:pStyle w:val="Heading3"/>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1.1 Background of the Study</w:t>
      </w:r>
    </w:p>
    <w:p w14:paraId="283B743D" w14:textId="77777777" w:rsidR="002D107D" w:rsidRPr="009500F9" w:rsidRDefault="002D107D" w:rsidP="009500F9">
      <w:pPr>
        <w:pStyle w:val="NormalWeb"/>
        <w:jc w:val="both"/>
      </w:pPr>
      <w:r w:rsidRPr="009500F9">
        <w:t>Public universities are essential institutions for socio-economic development in Kenya because they expand access to higher education, promote research and innovation, and contribute to national human capital development. Their contribution to knowledge creation and workforce training makes them central to achieving national development goals. However, sustaining these functions requires stable and sufficient financing.</w:t>
      </w:r>
    </w:p>
    <w:p w14:paraId="0BE70F1F" w14:textId="77777777" w:rsidR="002D107D" w:rsidRPr="009500F9" w:rsidRDefault="002D107D" w:rsidP="009500F9">
      <w:pPr>
        <w:pStyle w:val="NormalWeb"/>
        <w:jc w:val="both"/>
      </w:pPr>
      <w:r w:rsidRPr="009500F9">
        <w:t>Historically, public universities in Kenya have relied primarily on government budgetary allocations and tuition fees as the main sources of revenue. Over time, this financing model has become increasingly strained due to expanding student enrolment, rising operational costs, and increased demand for technological advancement and modern infrastructure (Munene, 2024). Consequently, many universities have struggled to meet expenditure demands related to staff remuneration, procurement of teaching materials, infrastructure maintenance, and research development.</w:t>
      </w:r>
    </w:p>
    <w:p w14:paraId="3A3BCC43" w14:textId="77777777" w:rsidR="002D107D" w:rsidRPr="009500F9" w:rsidRDefault="002D107D" w:rsidP="009500F9">
      <w:pPr>
        <w:pStyle w:val="NormalWeb"/>
        <w:jc w:val="both"/>
      </w:pPr>
      <w:r w:rsidRPr="009500F9">
        <w:lastRenderedPageBreak/>
        <w:t>In response to these challenges, public universities have increasingly adopted alternative income streams such as consultancies, research commercialization, income-generating enterprises, and public–private partnerships. Government funding remains central through mechanisms such as the Universities Fund and the student-</w:t>
      </w:r>
      <w:proofErr w:type="spellStart"/>
      <w:r w:rsidRPr="009500F9">
        <w:t>centred</w:t>
      </w:r>
      <w:proofErr w:type="spellEnd"/>
      <w:r w:rsidRPr="009500F9">
        <w:t xml:space="preserve"> needs-based funding model, which aim to support academic delivery and institutional development (African Population and Health Research Center [APHRC], 2025). However, evidence suggests that government allocations often remain inadequate and inconsistent, limiting the effectiveness of these frameworks.</w:t>
      </w:r>
    </w:p>
    <w:p w14:paraId="2318026E" w14:textId="77777777" w:rsidR="002D107D" w:rsidRPr="009500F9" w:rsidRDefault="002D107D" w:rsidP="009500F9">
      <w:pPr>
        <w:pStyle w:val="NormalWeb"/>
        <w:jc w:val="both"/>
      </w:pPr>
      <w:r w:rsidRPr="009500F9">
        <w:t>Tuition fees have become another major funding pillar, with universities charging differentiated rates for government-sponsored, self-sponsored, and international students. Although tuition supports revenue growth, it raises access and equity concerns, particularly for students from low-income households (</w:t>
      </w:r>
      <w:proofErr w:type="spellStart"/>
      <w:r w:rsidRPr="009500F9">
        <w:t>Oketch</w:t>
      </w:r>
      <w:proofErr w:type="spellEnd"/>
      <w:r w:rsidRPr="009500F9">
        <w:t>, 2020). Furthermore, student fee arrears have continued to weaken institutional liquidity and constrain financial stability.</w:t>
      </w:r>
    </w:p>
    <w:p w14:paraId="6B21F280" w14:textId="77777777" w:rsidR="002D107D" w:rsidRPr="009500F9" w:rsidRDefault="002D107D" w:rsidP="009500F9">
      <w:pPr>
        <w:pStyle w:val="NormalWeb"/>
        <w:jc w:val="both"/>
      </w:pPr>
      <w:r w:rsidRPr="009500F9">
        <w:t xml:space="preserve">Universities have also pursued research grants and consultancy projects to supplement funding. However, such sources are often project-based and unpredictable, making them unreliable for long-term financial planning (Kimathi &amp; </w:t>
      </w:r>
      <w:proofErr w:type="spellStart"/>
      <w:r w:rsidRPr="009500F9">
        <w:t>Irungu</w:t>
      </w:r>
      <w:proofErr w:type="spellEnd"/>
      <w:r w:rsidRPr="009500F9">
        <w:t>, 2024). Public–private partnerships have been promoted as mechanisms for infrastructure financing and service delivery, but their success depends on strong governance structures and transparency (</w:t>
      </w:r>
      <w:proofErr w:type="spellStart"/>
      <w:r w:rsidRPr="009500F9">
        <w:t>Gitonga</w:t>
      </w:r>
      <w:proofErr w:type="spellEnd"/>
      <w:r w:rsidRPr="009500F9">
        <w:t xml:space="preserve"> &amp; Kamau, 2020).</w:t>
      </w:r>
    </w:p>
    <w:p w14:paraId="10610FB7" w14:textId="77777777" w:rsidR="002D107D" w:rsidRPr="009500F9" w:rsidRDefault="002D107D" w:rsidP="009500F9">
      <w:pPr>
        <w:pStyle w:val="NormalWeb"/>
        <w:jc w:val="both"/>
      </w:pPr>
      <w:r w:rsidRPr="009500F9">
        <w:t>Despite these financing approaches, public universities continue to face significant financial distress manifested in rising debts, pending bills, and delayed statutory remittances. These challenges have raised serious concerns about the long-term sustainability of public universities in Kenya.</w:t>
      </w:r>
    </w:p>
    <w:p w14:paraId="76A492A7" w14:textId="77EA2469" w:rsidR="002D107D" w:rsidRPr="003A6EBC" w:rsidRDefault="002D107D" w:rsidP="002D107D">
      <w:pPr>
        <w:rPr>
          <w:rFonts w:ascii="Times New Roman" w:hAnsi="Times New Roman" w:cs="Times New Roman"/>
          <w:b/>
          <w:bCs/>
          <w:color w:val="000000" w:themeColor="text1"/>
          <w:sz w:val="24"/>
          <w:szCs w:val="24"/>
        </w:rPr>
      </w:pPr>
    </w:p>
    <w:p w14:paraId="229B1332" w14:textId="77777777" w:rsidR="002D107D" w:rsidRPr="003A6EBC" w:rsidRDefault="002D107D" w:rsidP="002D107D">
      <w:pPr>
        <w:pStyle w:val="Heading3"/>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1.2 Statement of the Problem</w:t>
      </w:r>
    </w:p>
    <w:p w14:paraId="323C28D3" w14:textId="77777777" w:rsidR="002D107D" w:rsidRPr="009500F9" w:rsidRDefault="002D107D" w:rsidP="009500F9">
      <w:pPr>
        <w:pStyle w:val="NormalWeb"/>
        <w:jc w:val="both"/>
      </w:pPr>
      <w:r w:rsidRPr="009500F9">
        <w:t>The financial sustainability of public universities in Kenya is increasingly threatened by inadequate and unstable funding, coupled with rapidly rising institutional debts. While universities depend heavily on government allocations and tuition fees, these funding streams have not expanded proportionately with increasing enrolment, inflationary pressures, and growing operational demands. As a result, universities have accumulated substantial liabilities, undermining their ability to pay staff, suppliers, and statutory bodies.</w:t>
      </w:r>
    </w:p>
    <w:p w14:paraId="48F70151" w14:textId="77777777" w:rsidR="002D107D" w:rsidRPr="009500F9" w:rsidRDefault="002D107D" w:rsidP="009500F9">
      <w:pPr>
        <w:pStyle w:val="NormalWeb"/>
        <w:jc w:val="both"/>
      </w:pPr>
      <w:r w:rsidRPr="009500F9">
        <w:t xml:space="preserve">Parliamentary oversight reports indicate that outstanding liabilities and pending bills across Kenyan public universities rose sharply to approximately </w:t>
      </w:r>
      <w:proofErr w:type="spellStart"/>
      <w:r w:rsidRPr="009500F9">
        <w:t>KSh</w:t>
      </w:r>
      <w:proofErr w:type="spellEnd"/>
      <w:r w:rsidRPr="009500F9">
        <w:t xml:space="preserve"> 98 billion by the end of 2025, compared to about </w:t>
      </w:r>
      <w:proofErr w:type="spellStart"/>
      <w:r w:rsidRPr="009500F9">
        <w:t>KSh</w:t>
      </w:r>
      <w:proofErr w:type="spellEnd"/>
      <w:r w:rsidRPr="009500F9">
        <w:t xml:space="preserve"> 15 billion recorded two years earlier (Standard Media, 2026). Major institutions such as Kenyatta University and the University of Nairobi have each been reported to carry debts exceeding </w:t>
      </w:r>
      <w:proofErr w:type="spellStart"/>
      <w:r w:rsidRPr="009500F9">
        <w:t>KSh</w:t>
      </w:r>
      <w:proofErr w:type="spellEnd"/>
      <w:r w:rsidRPr="009500F9">
        <w:t xml:space="preserve"> 12 billion, while Jomo Kenyatta University of Agriculture and Technology (JKUAT) has liabilities above </w:t>
      </w:r>
      <w:proofErr w:type="spellStart"/>
      <w:r w:rsidRPr="009500F9">
        <w:t>KSh</w:t>
      </w:r>
      <w:proofErr w:type="spellEnd"/>
      <w:r w:rsidRPr="009500F9">
        <w:t xml:space="preserve"> 9 billion (The Star, 2025; </w:t>
      </w:r>
      <w:proofErr w:type="spellStart"/>
      <w:r w:rsidRPr="009500F9">
        <w:t>Uzalendo</w:t>
      </w:r>
      <w:proofErr w:type="spellEnd"/>
      <w:r w:rsidRPr="009500F9">
        <w:t xml:space="preserve"> News, 2025). Furthermore, parliamentary briefings have suggested that the total debt burden across public universities may now exceed </w:t>
      </w:r>
      <w:proofErr w:type="spellStart"/>
      <w:r w:rsidRPr="009500F9">
        <w:t>KSh</w:t>
      </w:r>
      <w:proofErr w:type="spellEnd"/>
      <w:r w:rsidRPr="009500F9">
        <w:t xml:space="preserve"> 100 billion, raising concerns that some institutions are technically insolvent (Citizen Digital, 2026).</w:t>
      </w:r>
    </w:p>
    <w:p w14:paraId="0C29829B" w14:textId="024B73F9" w:rsidR="002D107D" w:rsidRPr="009500F9" w:rsidRDefault="002D107D" w:rsidP="009500F9">
      <w:pPr>
        <w:pStyle w:val="NormalWeb"/>
        <w:jc w:val="both"/>
      </w:pPr>
      <w:r w:rsidRPr="009500F9">
        <w:lastRenderedPageBreak/>
        <w:t xml:space="preserve">This debt crisis is compounded by weak internal debt recovery systems. Reports based on Auditor-General findings indicate that public universities are owed significant amounts in unpaid student fees, with outstanding receivables estimated at over </w:t>
      </w:r>
      <w:proofErr w:type="spellStart"/>
      <w:r w:rsidRPr="009500F9">
        <w:t>KSh</w:t>
      </w:r>
      <w:proofErr w:type="spellEnd"/>
      <w:r w:rsidRPr="009500F9">
        <w:t xml:space="preserve"> 3.17 billion across institutions (Education News, 2026). Such arrears weaken cash flow, increase dependence on borrowing and deferred payments, and contribute to further debt accumulation. The persistence of these challenges threatens service delivery, academic quality, and long-term viability of public universities. Therefore, it is necessary to examine how funding models influence financial sustainability and institutional debt in Kenyan public universities.</w:t>
      </w:r>
    </w:p>
    <w:p w14:paraId="2F84204B" w14:textId="77777777" w:rsidR="002D107D" w:rsidRPr="003A6EBC" w:rsidRDefault="002D107D" w:rsidP="009500F9">
      <w:pPr>
        <w:pStyle w:val="Heading3"/>
        <w:jc w:val="both"/>
        <w:rPr>
          <w:rFonts w:ascii="Times New Roman" w:hAnsi="Times New Roman" w:cs="Times New Roman"/>
          <w:color w:val="000000" w:themeColor="text1"/>
        </w:rPr>
      </w:pPr>
      <w:r w:rsidRPr="003A6EBC">
        <w:rPr>
          <w:rStyle w:val="Strong"/>
          <w:rFonts w:ascii="Times New Roman" w:hAnsi="Times New Roman" w:cs="Times New Roman"/>
          <w:color w:val="000000" w:themeColor="text1"/>
        </w:rPr>
        <w:t>1.3 Research Objectives</w:t>
      </w:r>
    </w:p>
    <w:p w14:paraId="7AD7A89F" w14:textId="77777777" w:rsidR="002D107D" w:rsidRPr="009500F9" w:rsidRDefault="002D107D" w:rsidP="009500F9">
      <w:pPr>
        <w:pStyle w:val="NormalWeb"/>
        <w:jc w:val="both"/>
      </w:pPr>
      <w:r w:rsidRPr="009500F9">
        <w:t>The study was guided by the following objectives:</w:t>
      </w:r>
    </w:p>
    <w:p w14:paraId="3E6CD1A0" w14:textId="77777777"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examine the primary funding models used by public universities in Kenya. </w:t>
      </w:r>
    </w:p>
    <w:p w14:paraId="6FB2B652" w14:textId="77777777"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assess the level of financial sustainability of public universities in Kenya. </w:t>
      </w:r>
    </w:p>
    <w:p w14:paraId="360967C4" w14:textId="77777777"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determine the relationship between funding models and institutional debt levels. </w:t>
      </w:r>
    </w:p>
    <w:p w14:paraId="76AC7BA1" w14:textId="12131CFB"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provide recommendations for enhancing financial sustainability in Kenyan public universities. </w:t>
      </w:r>
    </w:p>
    <w:p w14:paraId="520FC2F4" w14:textId="77777777" w:rsidR="002D107D" w:rsidRPr="003A6EBC" w:rsidRDefault="002D107D" w:rsidP="009500F9">
      <w:pPr>
        <w:pStyle w:val="Heading3"/>
        <w:jc w:val="both"/>
        <w:rPr>
          <w:rFonts w:ascii="Times New Roman" w:hAnsi="Times New Roman" w:cs="Times New Roman"/>
          <w:color w:val="000000" w:themeColor="text1"/>
        </w:rPr>
      </w:pPr>
      <w:r w:rsidRPr="003A6EBC">
        <w:rPr>
          <w:rStyle w:val="Strong"/>
          <w:rFonts w:ascii="Times New Roman" w:hAnsi="Times New Roman" w:cs="Times New Roman"/>
          <w:color w:val="000000" w:themeColor="text1"/>
        </w:rPr>
        <w:t>1.4 Research Questions</w:t>
      </w:r>
    </w:p>
    <w:p w14:paraId="41B6E108" w14:textId="77777777" w:rsidR="002D107D" w:rsidRPr="009500F9" w:rsidRDefault="002D107D" w:rsidP="009500F9">
      <w:pPr>
        <w:pStyle w:val="NormalWeb"/>
        <w:jc w:val="both"/>
      </w:pPr>
      <w:r w:rsidRPr="009500F9">
        <w:t>The study sought to answer the following questions:</w:t>
      </w:r>
    </w:p>
    <w:p w14:paraId="1FE3DA4F"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What are the primary funding models used by public universities in Kenya? </w:t>
      </w:r>
    </w:p>
    <w:p w14:paraId="033AB97B"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What is the current state of financial sustainability in Kenyan public universities? </w:t>
      </w:r>
    </w:p>
    <w:p w14:paraId="7EEA60AC"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How do different funding models relate to institutional debt levels? </w:t>
      </w:r>
    </w:p>
    <w:p w14:paraId="008BA126"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What strategies can enhance the financial sustainability of public universities in Kenya? </w:t>
      </w:r>
    </w:p>
    <w:p w14:paraId="07B1E030" w14:textId="57DD035D" w:rsidR="002D107D" w:rsidRPr="003A6EBC" w:rsidRDefault="002D107D" w:rsidP="009500F9">
      <w:pPr>
        <w:spacing w:after="0"/>
        <w:jc w:val="both"/>
        <w:rPr>
          <w:rFonts w:ascii="Times New Roman" w:hAnsi="Times New Roman" w:cs="Times New Roman"/>
          <w:b/>
          <w:bCs/>
          <w:color w:val="000000" w:themeColor="text1"/>
          <w:sz w:val="24"/>
          <w:szCs w:val="24"/>
        </w:rPr>
      </w:pPr>
    </w:p>
    <w:p w14:paraId="4DF23973" w14:textId="77777777" w:rsidR="002D107D" w:rsidRPr="003A6EBC" w:rsidRDefault="002D107D" w:rsidP="009500F9">
      <w:pPr>
        <w:pStyle w:val="Heading3"/>
        <w:jc w:val="both"/>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1.5 Significance of the Study</w:t>
      </w:r>
    </w:p>
    <w:p w14:paraId="6092D5F7" w14:textId="77777777" w:rsidR="002D107D" w:rsidRPr="009500F9" w:rsidRDefault="002D107D" w:rsidP="009500F9">
      <w:pPr>
        <w:pStyle w:val="NormalWeb"/>
        <w:jc w:val="both"/>
      </w:pPr>
      <w:r w:rsidRPr="009500F9">
        <w:t>This study is important for policymakers, university administrators, and stakeholders involved in higher education financing. The findings may inform policy reforms aimed at strengthening university funding and enhancing accountability in resource utilization. The study also contributes to academic literature by demonstrating how funding models influence debt accumulation and sustainability outcomes in the Kenyan public university sector. Additionally, the findings may guide universities in improving financial planning, debt recovery mechanisms, and revenue diversification strategies.</w:t>
      </w:r>
    </w:p>
    <w:p w14:paraId="7C275D83" w14:textId="07A60FD1" w:rsidR="002D107D" w:rsidRPr="003A6EBC" w:rsidRDefault="002D107D" w:rsidP="002D107D">
      <w:pPr>
        <w:rPr>
          <w:rFonts w:ascii="Times New Roman" w:hAnsi="Times New Roman" w:cs="Times New Roman"/>
          <w:b/>
          <w:bCs/>
          <w:color w:val="000000" w:themeColor="text1"/>
          <w:sz w:val="24"/>
          <w:szCs w:val="24"/>
        </w:rPr>
      </w:pPr>
    </w:p>
    <w:p w14:paraId="0D3B634E" w14:textId="77777777" w:rsidR="002D107D" w:rsidRPr="003A6EBC" w:rsidRDefault="002D107D" w:rsidP="002D107D">
      <w:pPr>
        <w:pStyle w:val="Heading3"/>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1.6 Scope of the Study</w:t>
      </w:r>
    </w:p>
    <w:p w14:paraId="2849C811" w14:textId="1C8CC946" w:rsidR="002D107D" w:rsidRPr="009500F9" w:rsidRDefault="002D107D" w:rsidP="001B32BE">
      <w:pPr>
        <w:pStyle w:val="NormalWeb"/>
        <w:jc w:val="both"/>
      </w:pPr>
      <w:r w:rsidRPr="009500F9">
        <w:t xml:space="preserve">The study focused on public universities in Kenya and examined their funding models and financial sustainability. The analysis relied on secondary data obtained from government reports, parliamentary oversight documents, institutional financial statements, Auditor-General reports, </w:t>
      </w:r>
      <w:r w:rsidRPr="009500F9">
        <w:lastRenderedPageBreak/>
        <w:t>and relevant scholarly publications. Private universities and other tertiary institutions outside the public university sector were excluded.</w:t>
      </w:r>
    </w:p>
    <w:p w14:paraId="318CFF2E" w14:textId="77777777" w:rsidR="002D107D" w:rsidRPr="003A6EBC" w:rsidRDefault="002D107D" w:rsidP="002D107D">
      <w:pPr>
        <w:pStyle w:val="Heading2"/>
        <w:rPr>
          <w:rFonts w:ascii="Times New Roman" w:hAnsi="Times New Roman" w:cs="Times New Roman"/>
          <w:color w:val="000000" w:themeColor="text1"/>
          <w:sz w:val="24"/>
          <w:szCs w:val="24"/>
        </w:rPr>
      </w:pPr>
      <w:r w:rsidRPr="003A6EBC">
        <w:rPr>
          <w:rStyle w:val="Strong"/>
          <w:rFonts w:ascii="Times New Roman" w:hAnsi="Times New Roman" w:cs="Times New Roman"/>
          <w:color w:val="000000" w:themeColor="text1"/>
          <w:sz w:val="24"/>
          <w:szCs w:val="24"/>
        </w:rPr>
        <w:t>2.0 Literature Review</w:t>
      </w:r>
    </w:p>
    <w:p w14:paraId="09265ABC" w14:textId="77777777" w:rsidR="002D107D" w:rsidRPr="003A6EBC" w:rsidRDefault="002D107D" w:rsidP="002D107D">
      <w:pPr>
        <w:pStyle w:val="Heading3"/>
        <w:rPr>
          <w:rFonts w:ascii="Times New Roman" w:hAnsi="Times New Roman" w:cs="Times New Roman"/>
          <w:color w:val="000000" w:themeColor="text1"/>
        </w:rPr>
      </w:pPr>
      <w:r w:rsidRPr="003A6EBC">
        <w:rPr>
          <w:rStyle w:val="Strong"/>
          <w:rFonts w:ascii="Times New Roman" w:hAnsi="Times New Roman" w:cs="Times New Roman"/>
          <w:color w:val="000000" w:themeColor="text1"/>
        </w:rPr>
        <w:t>2.1 Introduction</w:t>
      </w:r>
    </w:p>
    <w:p w14:paraId="1F739BAA" w14:textId="1ED169C0" w:rsidR="002D107D" w:rsidRDefault="002D107D" w:rsidP="009500F9">
      <w:pPr>
        <w:pStyle w:val="NormalWeb"/>
        <w:jc w:val="both"/>
      </w:pPr>
      <w:r w:rsidRPr="009500F9">
        <w:t>This section reviews literature related to funding models and financial sustainability in public universities. The review is organized thematically and covers theoretical foundations, conceptual discussions, and empirical findings on university funding, sustainability indicators, and debt accumulation. It also identifies gaps in existing literature that justify the focus of this study.</w:t>
      </w:r>
    </w:p>
    <w:p w14:paraId="4DBC1869" w14:textId="77777777" w:rsidR="009500F9" w:rsidRPr="003A6EBC" w:rsidRDefault="009500F9" w:rsidP="009500F9">
      <w:pPr>
        <w:pStyle w:val="Heading2"/>
        <w:rPr>
          <w:rFonts w:eastAsia="Times New Roman"/>
          <w:color w:val="000000" w:themeColor="text1"/>
        </w:rPr>
      </w:pPr>
      <w:r w:rsidRPr="003A6EBC">
        <w:rPr>
          <w:rStyle w:val="Strong"/>
          <w:color w:val="000000" w:themeColor="text1"/>
        </w:rPr>
        <w:t>2.2 Theoretical Review</w:t>
      </w:r>
    </w:p>
    <w:p w14:paraId="44015913" w14:textId="77777777" w:rsidR="009500F9" w:rsidRPr="003A6EBC" w:rsidRDefault="009500F9" w:rsidP="009500F9">
      <w:pPr>
        <w:pStyle w:val="Heading3"/>
        <w:rPr>
          <w:color w:val="000000" w:themeColor="text1"/>
        </w:rPr>
      </w:pPr>
      <w:r w:rsidRPr="003A6EBC">
        <w:rPr>
          <w:rStyle w:val="Strong"/>
          <w:color w:val="000000" w:themeColor="text1"/>
        </w:rPr>
        <w:t>2.2.1 Resource Dependence Theory</w:t>
      </w:r>
    </w:p>
    <w:p w14:paraId="02C2FB15" w14:textId="77777777" w:rsidR="009500F9" w:rsidRDefault="009500F9" w:rsidP="009500F9">
      <w:pPr>
        <w:pStyle w:val="NormalWeb"/>
        <w:jc w:val="both"/>
      </w:pPr>
      <w:r>
        <w:t xml:space="preserve">Resource Dependence Theory (RDT) was advanced by </w:t>
      </w:r>
      <w:r w:rsidRPr="009500F9">
        <w:rPr>
          <w:rStyle w:val="Strong"/>
          <w:b w:val="0"/>
          <w:bCs w:val="0"/>
        </w:rPr>
        <w:t xml:space="preserve">Pfeffer and </w:t>
      </w:r>
      <w:proofErr w:type="spellStart"/>
      <w:r w:rsidRPr="009500F9">
        <w:rPr>
          <w:rStyle w:val="Strong"/>
          <w:b w:val="0"/>
          <w:bCs w:val="0"/>
        </w:rPr>
        <w:t>Salancik</w:t>
      </w:r>
      <w:proofErr w:type="spellEnd"/>
      <w:r w:rsidRPr="009500F9">
        <w:rPr>
          <w:rStyle w:val="Strong"/>
          <w:b w:val="0"/>
          <w:bCs w:val="0"/>
        </w:rPr>
        <w:t xml:space="preserve"> (1978)</w:t>
      </w:r>
      <w:r w:rsidRPr="009500F9">
        <w:rPr>
          <w:b/>
          <w:bCs/>
        </w:rPr>
        <w:t xml:space="preserve">, </w:t>
      </w:r>
      <w:r>
        <w:t xml:space="preserve">who argued that organizations depend on external resources for survival and that such dependence influences organizational </w:t>
      </w:r>
      <w:proofErr w:type="spellStart"/>
      <w:r>
        <w:t>behaviour</w:t>
      </w:r>
      <w:proofErr w:type="spellEnd"/>
      <w:r>
        <w:t xml:space="preserve"> and decision-making. According to this theory, organizations are not self-sufficient because they rely on their environment for critical resources such as finances, </w:t>
      </w:r>
      <w:proofErr w:type="spellStart"/>
      <w:r>
        <w:t>labour</w:t>
      </w:r>
      <w:proofErr w:type="spellEnd"/>
      <w:r>
        <w:t xml:space="preserve">, and legitimacy. Pfeffer and </w:t>
      </w:r>
      <w:proofErr w:type="spellStart"/>
      <w:r>
        <w:t>Salancik</w:t>
      </w:r>
      <w:proofErr w:type="spellEnd"/>
      <w:r>
        <w:t xml:space="preserve"> (1978) further explain that when external resources become scarce or uncertain, organizations develop strategies to reduce dependence and improve their autonomy.</w:t>
      </w:r>
    </w:p>
    <w:p w14:paraId="0D270B8E" w14:textId="77777777" w:rsidR="009500F9" w:rsidRDefault="009500F9" w:rsidP="009500F9">
      <w:pPr>
        <w:pStyle w:val="NormalWeb"/>
        <w:jc w:val="both"/>
      </w:pPr>
      <w:r>
        <w:t xml:space="preserve">In the context of public universities, Resource Dependence Theory suggests that institutions heavily reliant on a limited number of funding sources are vulnerable to financial shocks. Public universities in Kenya rely predominantly on government allocations and tuition fees, and this dependence exposes them to instability when government disbursements are delayed or student fee arrears increase. As argued by Pfeffer and </w:t>
      </w:r>
      <w:proofErr w:type="spellStart"/>
      <w:r>
        <w:t>Salancik</w:t>
      </w:r>
      <w:proofErr w:type="spellEnd"/>
      <w:r>
        <w:t xml:space="preserve"> (1978), organizations respond to uncertainty by diversifying resource streams, forming alliances, and strengthening their bargaining power. This theoretical view supports the argument that public universities must diversify revenue sources through strategies such as consultancies, commercialization of research, and partnerships in order to enhance financial sustainability and reduce debt accumulation.</w:t>
      </w:r>
    </w:p>
    <w:p w14:paraId="2DF2FF89" w14:textId="3D578F9C" w:rsidR="009500F9" w:rsidRDefault="009500F9" w:rsidP="009500F9"/>
    <w:p w14:paraId="5E41F709" w14:textId="77777777" w:rsidR="009500F9" w:rsidRPr="003A6EBC" w:rsidRDefault="009500F9" w:rsidP="009500F9">
      <w:pPr>
        <w:pStyle w:val="Heading3"/>
        <w:rPr>
          <w:color w:val="000000" w:themeColor="text1"/>
        </w:rPr>
      </w:pPr>
      <w:r w:rsidRPr="003A6EBC">
        <w:rPr>
          <w:rStyle w:val="Strong"/>
          <w:color w:val="000000" w:themeColor="text1"/>
        </w:rPr>
        <w:t>2.2.2 Sustainability Theory</w:t>
      </w:r>
    </w:p>
    <w:p w14:paraId="23AF01C7" w14:textId="77777777" w:rsidR="009500F9" w:rsidRDefault="009500F9" w:rsidP="009500F9">
      <w:pPr>
        <w:pStyle w:val="NormalWeb"/>
        <w:jc w:val="both"/>
      </w:pPr>
      <w:r>
        <w:t xml:space="preserve">Sustainability Theory is rooted in the broader concept of sustainable development, which was popularized by the </w:t>
      </w:r>
      <w:r w:rsidRPr="009500F9">
        <w:rPr>
          <w:rStyle w:val="Strong"/>
          <w:b w:val="0"/>
          <w:bCs w:val="0"/>
        </w:rPr>
        <w:t>World Commission on Environment and Development (WCED, 1987)</w:t>
      </w:r>
      <w:r>
        <w:t xml:space="preserve"> through the Brundtland Report. The commission defined sustainability as development that meets the needs of the present without compromising the ability of future generations to meet their own needs (WCED, 1987). In organizational and institutional contexts, sustainability theory emphasizes long-term survival through effective resource utilization, responsible governance, and balancing present demands with future obligations.</w:t>
      </w:r>
    </w:p>
    <w:p w14:paraId="0BE407DD" w14:textId="77777777" w:rsidR="009500F9" w:rsidRDefault="009500F9" w:rsidP="009500F9">
      <w:pPr>
        <w:pStyle w:val="NormalWeb"/>
        <w:jc w:val="both"/>
      </w:pPr>
      <w:r>
        <w:t xml:space="preserve">In higher education, sustainability is reflected in a university’s ability to generate stable revenues, manage expenditures efficiently, and maintain quality teaching and research over time. The theory </w:t>
      </w:r>
      <w:r>
        <w:lastRenderedPageBreak/>
        <w:t>is applicable to public universities in Kenya, where rising debts, budget deficits, and liquidity constraints indicate weakened institutional sustainability. Sustainability theory suggests that financial sustainability requires not only diversified revenue streams but also strong governance systems and prudent expenditure management to prevent excessive debt accumulation and ensure long-term institutional viability.</w:t>
      </w:r>
    </w:p>
    <w:p w14:paraId="460E5139" w14:textId="2F7BD999" w:rsidR="009500F9" w:rsidRDefault="009500F9" w:rsidP="009500F9"/>
    <w:p w14:paraId="2E4ECA6E" w14:textId="77777777" w:rsidR="009500F9" w:rsidRPr="003A6EBC" w:rsidRDefault="009500F9" w:rsidP="009500F9">
      <w:pPr>
        <w:pStyle w:val="Heading3"/>
        <w:rPr>
          <w:color w:val="000000" w:themeColor="text1"/>
        </w:rPr>
      </w:pPr>
      <w:r w:rsidRPr="003A6EBC">
        <w:rPr>
          <w:rStyle w:val="Strong"/>
          <w:color w:val="000000" w:themeColor="text1"/>
        </w:rPr>
        <w:t>2.2.3 Public Choice Theory</w:t>
      </w:r>
    </w:p>
    <w:p w14:paraId="1FB8A5D2" w14:textId="77777777" w:rsidR="009500F9" w:rsidRDefault="009500F9" w:rsidP="009500F9">
      <w:pPr>
        <w:pStyle w:val="NormalWeb"/>
        <w:jc w:val="both"/>
      </w:pPr>
      <w:r>
        <w:t xml:space="preserve">Public Choice Theory was pioneered by scholars such as </w:t>
      </w:r>
      <w:r w:rsidRPr="009500F9">
        <w:rPr>
          <w:rStyle w:val="Strong"/>
          <w:b w:val="0"/>
          <w:bCs w:val="0"/>
        </w:rPr>
        <w:t xml:space="preserve">Buchanan and </w:t>
      </w:r>
      <w:proofErr w:type="spellStart"/>
      <w:r w:rsidRPr="009500F9">
        <w:rPr>
          <w:rStyle w:val="Strong"/>
          <w:b w:val="0"/>
          <w:bCs w:val="0"/>
        </w:rPr>
        <w:t>Tullock</w:t>
      </w:r>
      <w:proofErr w:type="spellEnd"/>
      <w:r w:rsidRPr="009500F9">
        <w:rPr>
          <w:rStyle w:val="Strong"/>
          <w:b w:val="0"/>
          <w:bCs w:val="0"/>
        </w:rPr>
        <w:t xml:space="preserve"> (1962)</w:t>
      </w:r>
      <w:r w:rsidRPr="009500F9">
        <w:rPr>
          <w:b/>
          <w:bCs/>
        </w:rPr>
        <w:t>,</w:t>
      </w:r>
      <w:r>
        <w:t xml:space="preserve"> who argued that political decision-making should be analyzed using economic principles. They posited that public officials and policymakers make decisions influenced by self-interest, political incentives, and competing societal demands rather than purely by public welfare considerations (Buchanan &amp; </w:t>
      </w:r>
      <w:proofErr w:type="spellStart"/>
      <w:r>
        <w:t>Tullock</w:t>
      </w:r>
      <w:proofErr w:type="spellEnd"/>
      <w:r>
        <w:t>, 1962). According to the theory, government spending decisions are shaped by political bargaining and competition for limited public resources among sectors such as education, health, infrastructure, and security.</w:t>
      </w:r>
    </w:p>
    <w:p w14:paraId="5E7EF012" w14:textId="263363EA" w:rsidR="009500F9" w:rsidRPr="001B32BE" w:rsidRDefault="009500F9" w:rsidP="001B32BE">
      <w:pPr>
        <w:pStyle w:val="NormalWeb"/>
        <w:jc w:val="both"/>
      </w:pPr>
      <w:r>
        <w:t>In relation to public university financing in Kenya, Public Choice Theory helps explain why government allocations may remain insufficient despite increasing enrolment and institutional needs. Higher education competes with other national priorities, which often results in limited and inconsistent funding. This theory therefore provides a useful framework for understanding the structural funding challenges faced by public universities and why these institutions are compelled to rely on tuition fees and alternative income sources. Ultimately, Public Choice Theory highlights the need for policy reforms and efficient financial strategies that can reduce dependence on fluctuating government allocations.</w:t>
      </w:r>
    </w:p>
    <w:p w14:paraId="46CCC9F1" w14:textId="77777777" w:rsidR="009500F9" w:rsidRPr="003A6EBC" w:rsidRDefault="009500F9" w:rsidP="009500F9">
      <w:pPr>
        <w:pStyle w:val="Heading2"/>
        <w:rPr>
          <w:b/>
          <w:bCs/>
          <w:color w:val="000000" w:themeColor="text1"/>
        </w:rPr>
      </w:pPr>
      <w:r w:rsidRPr="003A6EBC">
        <w:rPr>
          <w:rStyle w:val="Strong"/>
          <w:color w:val="000000" w:themeColor="text1"/>
        </w:rPr>
        <w:t>2.3 Conceptual Review</w:t>
      </w:r>
    </w:p>
    <w:p w14:paraId="396BEF81" w14:textId="77777777" w:rsidR="009500F9" w:rsidRDefault="009500F9" w:rsidP="009500F9">
      <w:pPr>
        <w:pStyle w:val="NormalWeb"/>
        <w:jc w:val="both"/>
      </w:pPr>
      <w:r>
        <w:t>Funding models refer to the approaches and mechanisms used by universities to mobilize financial resources for institutional operations. In Kenya, the major funding models for public universities include government allocations, tuition fees, research grants, consultancies, income-generating enterprises, alumni contributions, and public–private partnerships (Munene, 2024). Government allocations remain the dominant source, although they have become insufficient to support expanding university demands.</w:t>
      </w:r>
    </w:p>
    <w:p w14:paraId="7CCFF03E" w14:textId="77777777" w:rsidR="009500F9" w:rsidRDefault="009500F9" w:rsidP="003A6EBC">
      <w:pPr>
        <w:pStyle w:val="NormalWeb"/>
        <w:jc w:val="both"/>
      </w:pPr>
      <w:r>
        <w:t>Financial sustainability refers to the ability of a university to generate adequate income to meet current financial obligations while maintaining long-term operational stability. Indicators of financial sustainability include liquidity, solvency, budget stability, ability to pay salaries and suppliers, and capacity to invest in infrastructure development. Institutions with persistent deficits and high debt burdens are considered financially unsustainable.</w:t>
      </w:r>
    </w:p>
    <w:p w14:paraId="519D66C0" w14:textId="5FE66EBE" w:rsidR="009500F9" w:rsidRDefault="009500F9" w:rsidP="001B32BE">
      <w:pPr>
        <w:pStyle w:val="NormalWeb"/>
        <w:jc w:val="both"/>
      </w:pPr>
      <w:r>
        <w:t>Institutional debt refers to financial obligations owed by universities to suppliers, contractors, statutory bodies, pension schemes, and other stakeholders. Rising debt levels weaken liquidity and reduce institutional capacity to deliver quality education, support research, and maintain infrastructure.</w:t>
      </w:r>
    </w:p>
    <w:p w14:paraId="1E7BC4BF" w14:textId="77777777" w:rsidR="009500F9" w:rsidRPr="003A6EBC" w:rsidRDefault="009500F9" w:rsidP="009500F9">
      <w:pPr>
        <w:pStyle w:val="Heading2"/>
      </w:pPr>
      <w:r w:rsidRPr="003A6EBC">
        <w:rPr>
          <w:rStyle w:val="Strong"/>
          <w:color w:val="000000" w:themeColor="text1"/>
        </w:rPr>
        <w:lastRenderedPageBreak/>
        <w:t>2.4 Empirical Review</w:t>
      </w:r>
    </w:p>
    <w:p w14:paraId="0D378392" w14:textId="77777777" w:rsidR="009500F9" w:rsidRDefault="009500F9" w:rsidP="003A6EBC">
      <w:pPr>
        <w:pStyle w:val="NormalWeb"/>
        <w:jc w:val="both"/>
      </w:pPr>
      <w:r>
        <w:t>Existing literature indicates that government funding remains a critical pillar of public university financing, but allocations are frequently inadequate. Munene (2024) notes that increased enrolment without proportional growth in government support has contributed to financial distress in Kenyan public universities. Similarly, the African Population and Health Research Center (APHRC, 2025) reports that the current financing framework does not adequately address the costs associated with infrastructure expansion and research support.</w:t>
      </w:r>
    </w:p>
    <w:p w14:paraId="25BF23A6" w14:textId="77777777" w:rsidR="009500F9" w:rsidRDefault="009500F9" w:rsidP="003A6EBC">
      <w:pPr>
        <w:pStyle w:val="NormalWeb"/>
        <w:jc w:val="both"/>
      </w:pPr>
      <w:r>
        <w:t xml:space="preserve">Tuition fees have become increasingly significant in bridging funding gaps. However, </w:t>
      </w:r>
      <w:proofErr w:type="spellStart"/>
      <w:r>
        <w:t>Oketch</w:t>
      </w:r>
      <w:proofErr w:type="spellEnd"/>
      <w:r>
        <w:t xml:space="preserve"> (2020) argues that heavy reliance on tuition financing creates equity challenges and may restrict access for students from disadvantaged households. Tuition fee arrears further reduce liquidity and worsen institutional financial instability.</w:t>
      </w:r>
    </w:p>
    <w:p w14:paraId="30C76635" w14:textId="77777777" w:rsidR="009500F9" w:rsidRDefault="009500F9" w:rsidP="003A6EBC">
      <w:pPr>
        <w:pStyle w:val="NormalWeb"/>
        <w:jc w:val="both"/>
      </w:pPr>
      <w:r>
        <w:t xml:space="preserve">Kimathi and </w:t>
      </w:r>
      <w:proofErr w:type="spellStart"/>
      <w:r>
        <w:t>Irungu</w:t>
      </w:r>
      <w:proofErr w:type="spellEnd"/>
      <w:r>
        <w:t xml:space="preserve"> (2024) found that revenue diversification strategies such as consultancies, commercial ventures, and research commercialization enhance financial sustainability by reducing dependence on government funding. However, they emphasize that such income sources remain inconsistent and are not evenly distributed across institutions.</w:t>
      </w:r>
    </w:p>
    <w:p w14:paraId="6CA8BCFE" w14:textId="77777777" w:rsidR="009500F9" w:rsidRDefault="009500F9" w:rsidP="003A6EBC">
      <w:pPr>
        <w:pStyle w:val="NormalWeb"/>
        <w:jc w:val="both"/>
      </w:pPr>
      <w:r>
        <w:t xml:space="preserve">Public–private partnerships have been promoted as mechanisms for improving infrastructure financing. </w:t>
      </w:r>
      <w:proofErr w:type="spellStart"/>
      <w:r>
        <w:t>Gitonga</w:t>
      </w:r>
      <w:proofErr w:type="spellEnd"/>
      <w:r>
        <w:t xml:space="preserve"> and Kamau (2020) established that PPPs can strengthen institutional development and reduce the government burden, but they caution that poor governance and weak transparency can undermine partnership effectiveness.</w:t>
      </w:r>
    </w:p>
    <w:p w14:paraId="36709BCB" w14:textId="0CCE42D4" w:rsidR="009500F9" w:rsidRDefault="009500F9" w:rsidP="001B32BE">
      <w:pPr>
        <w:pStyle w:val="NormalWeb"/>
        <w:jc w:val="both"/>
      </w:pPr>
      <w:r>
        <w:t xml:space="preserve">Recent reports indicate that institutional debts have risen sharply in public universities. Pending bills reportedly reached </w:t>
      </w:r>
      <w:proofErr w:type="spellStart"/>
      <w:r>
        <w:t>KSh</w:t>
      </w:r>
      <w:proofErr w:type="spellEnd"/>
      <w:r>
        <w:t xml:space="preserve"> 98 billion by the end of 2025 (Standard Media, 2026). Citizen Digital (2026) reported that total public university liabilities may exceed </w:t>
      </w:r>
      <w:proofErr w:type="spellStart"/>
      <w:r>
        <w:t>KSh</w:t>
      </w:r>
      <w:proofErr w:type="spellEnd"/>
      <w:r>
        <w:t xml:space="preserve"> 100 billion, with some institutions technically insolvent. Major debtors include Kenyatta University, the University of Nairobi, and Jomo Kenyatta University of Agriculture and Technology (The Star, 2025; </w:t>
      </w:r>
      <w:proofErr w:type="spellStart"/>
      <w:r>
        <w:t>Uzalendo</w:t>
      </w:r>
      <w:proofErr w:type="spellEnd"/>
      <w:r>
        <w:t xml:space="preserve"> News, 2025). These debts have contributed to stalled projects, delayed salary payments, and reduced academic activities.</w:t>
      </w:r>
    </w:p>
    <w:p w14:paraId="19159CE8" w14:textId="77777777" w:rsidR="009500F9" w:rsidRPr="003A6EBC" w:rsidRDefault="009500F9" w:rsidP="009500F9">
      <w:pPr>
        <w:pStyle w:val="Heading2"/>
        <w:rPr>
          <w:color w:val="000000" w:themeColor="text1"/>
        </w:rPr>
      </w:pPr>
      <w:r w:rsidRPr="003A6EBC">
        <w:rPr>
          <w:rStyle w:val="Strong"/>
          <w:color w:val="000000" w:themeColor="text1"/>
        </w:rPr>
        <w:t>2.5 Research Gap</w:t>
      </w:r>
    </w:p>
    <w:p w14:paraId="10EADE84" w14:textId="69E18C3F" w:rsidR="009500F9" w:rsidRDefault="009500F9" w:rsidP="001B32BE">
      <w:pPr>
        <w:pStyle w:val="NormalWeb"/>
        <w:jc w:val="both"/>
      </w:pPr>
      <w:r>
        <w:t>Although previous studies have examined university financing and revenue diversification, limited research has comprehensively linked funding models to rising institutional debt and financial sustainability outcomes in Kenyan public universities. Many studies focus on income generation strategies without analyzing the expanding debt crisis and its implications for long-term institutional viability. This study addresses this gap by examining the relationship between funding models, debt accumulation, and financial sustainability.</w:t>
      </w:r>
    </w:p>
    <w:p w14:paraId="1D67190A" w14:textId="77777777" w:rsidR="009500F9" w:rsidRPr="003A6EBC" w:rsidRDefault="009500F9" w:rsidP="009500F9">
      <w:pPr>
        <w:pStyle w:val="Heading2"/>
        <w:rPr>
          <w:color w:val="000000" w:themeColor="text1"/>
        </w:rPr>
      </w:pPr>
      <w:r w:rsidRPr="003A6EBC">
        <w:rPr>
          <w:rStyle w:val="Strong"/>
          <w:color w:val="000000" w:themeColor="text1"/>
        </w:rPr>
        <w:t>2.6 Conceptual Framework</w:t>
      </w:r>
    </w:p>
    <w:p w14:paraId="31279988" w14:textId="5C72DB3F" w:rsidR="002D107D" w:rsidRDefault="009500F9" w:rsidP="00EB529A">
      <w:pPr>
        <w:pStyle w:val="NormalWeb"/>
        <w:jc w:val="both"/>
      </w:pPr>
      <w:r>
        <w:t xml:space="preserve">The conceptual framework assumes that funding models influence financial sustainability outcomes. The independent variable is funding models, including government allocations, tuition fees, research grants, consultancies, commercial ventures, and public–private partnerships. The </w:t>
      </w:r>
      <w:r>
        <w:lastRenderedPageBreak/>
        <w:t>dependent variable is financial sustainability measured through liquidity, solvency, ability to meet obligations, and reduced debt accumulation. Governance structures, policy environment, inflation, and enrolment growth act as intervening variables influencing the relationship.</w:t>
      </w:r>
    </w:p>
    <w:p w14:paraId="3D51E1E5" w14:textId="2656E66F" w:rsidR="00A9647F" w:rsidRPr="00070F0A" w:rsidRDefault="00070F0A" w:rsidP="00EB529A">
      <w:pPr>
        <w:pStyle w:val="NormalWeb"/>
        <w:jc w:val="both"/>
        <w:rPr>
          <w:b/>
          <w:bCs/>
        </w:rPr>
      </w:pPr>
      <w:r w:rsidRPr="00070F0A">
        <w:rPr>
          <w:b/>
          <w:bCs/>
        </w:rPr>
        <w:t>Figure 1: Conceptual Framework</w:t>
      </w:r>
    </w:p>
    <w:p w14:paraId="7097E7FE" w14:textId="2117A8A2" w:rsidR="00A9647F" w:rsidRDefault="00070F0A" w:rsidP="00EB529A">
      <w:pPr>
        <w:pStyle w:val="NormalWeb"/>
        <w:jc w:val="both"/>
      </w:pPr>
      <w:r>
        <w:t>INDEPENDENT VARIABLES                                             DEPENDENT VARIABLES</w:t>
      </w:r>
    </w:p>
    <w:p w14:paraId="757C98D8" w14:textId="46459328" w:rsidR="00A9647F" w:rsidRDefault="00070F0A" w:rsidP="00EB529A">
      <w:pPr>
        <w:pStyle w:val="NormalWeb"/>
        <w:jc w:val="both"/>
      </w:pPr>
      <w:r>
        <w:rPr>
          <w:rFonts w:eastAsiaTheme="minorHAnsi"/>
          <w:noProof/>
        </w:rPr>
        <mc:AlternateContent>
          <mc:Choice Requires="wps">
            <w:drawing>
              <wp:anchor distT="0" distB="0" distL="114300" distR="114300" simplePos="0" relativeHeight="251661312" behindDoc="0" locked="0" layoutInCell="1" allowOverlap="1" wp14:anchorId="5587AD14" wp14:editId="36875FF9">
                <wp:simplePos x="0" y="0"/>
                <wp:positionH relativeFrom="column">
                  <wp:posOffset>3667124</wp:posOffset>
                </wp:positionH>
                <wp:positionV relativeFrom="paragraph">
                  <wp:posOffset>189230</wp:posOffset>
                </wp:positionV>
                <wp:extent cx="2600325" cy="15144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600325" cy="1514475"/>
                        </a:xfrm>
                        <a:prstGeom prst="rect">
                          <a:avLst/>
                        </a:prstGeom>
                        <a:solidFill>
                          <a:sysClr val="window" lastClr="FFFFFF"/>
                        </a:solidFill>
                        <a:ln w="12700" cap="flat" cmpd="sng" algn="ctr">
                          <a:solidFill>
                            <a:srgbClr val="70AD47"/>
                          </a:solidFill>
                          <a:prstDash val="solid"/>
                          <a:miter lim="800000"/>
                        </a:ln>
                        <a:effectLst/>
                      </wps:spPr>
                      <wps:txbx>
                        <w:txbxContent>
                          <w:p w14:paraId="437511B1" w14:textId="7D3481D2" w:rsidR="00070F0A" w:rsidRPr="00E22D9B" w:rsidRDefault="00A9647F" w:rsidP="00A9647F">
                            <w:pPr>
                              <w:rPr>
                                <w:b/>
                                <w:bCs/>
                              </w:rPr>
                            </w:pPr>
                            <w:r w:rsidRPr="00E22D9B">
                              <w:rPr>
                                <w:b/>
                                <w:bCs/>
                              </w:rPr>
                              <w:t>Financial Sustainability of Public</w:t>
                            </w:r>
                            <w:r w:rsidRPr="00E22D9B">
                              <w:rPr>
                                <w:b/>
                                <w:bCs/>
                              </w:rPr>
                              <w:br/>
                              <w:t xml:space="preserve">Universities in Kenya </w:t>
                            </w:r>
                          </w:p>
                          <w:p w14:paraId="1A7C5AF3" w14:textId="77777777" w:rsidR="00070F0A" w:rsidRPr="00070F0A" w:rsidRDefault="00A9647F" w:rsidP="00070F0A">
                            <w:pPr>
                              <w:pStyle w:val="ListParagraph"/>
                              <w:numPr>
                                <w:ilvl w:val="0"/>
                                <w:numId w:val="11"/>
                              </w:numPr>
                              <w:rPr>
                                <w:rFonts w:asciiTheme="minorHAnsi" w:hAnsiTheme="minorHAnsi" w:cstheme="minorBidi"/>
                                <w:sz w:val="22"/>
                                <w:szCs w:val="22"/>
                              </w:rPr>
                            </w:pPr>
                            <w:r>
                              <w:t>Ability to meet operational costs</w:t>
                            </w:r>
                          </w:p>
                          <w:p w14:paraId="075E058A" w14:textId="77777777" w:rsidR="00070F0A" w:rsidRPr="00070F0A" w:rsidRDefault="00A9647F" w:rsidP="00070F0A">
                            <w:pPr>
                              <w:pStyle w:val="ListParagraph"/>
                              <w:numPr>
                                <w:ilvl w:val="0"/>
                                <w:numId w:val="11"/>
                              </w:numPr>
                              <w:rPr>
                                <w:rFonts w:asciiTheme="minorHAnsi" w:hAnsiTheme="minorHAnsi" w:cstheme="minorBidi"/>
                                <w:sz w:val="22"/>
                                <w:szCs w:val="22"/>
                              </w:rPr>
                            </w:pPr>
                            <w:r>
                              <w:t>Reduced institutional debt</w:t>
                            </w:r>
                          </w:p>
                          <w:p w14:paraId="15CFFF8D" w14:textId="2FB9D646" w:rsidR="00A9647F" w:rsidRPr="00E22D9B" w:rsidRDefault="00A9647F" w:rsidP="00070F0A">
                            <w:pPr>
                              <w:pStyle w:val="ListParagraph"/>
                              <w:numPr>
                                <w:ilvl w:val="0"/>
                                <w:numId w:val="11"/>
                              </w:numPr>
                              <w:rPr>
                                <w:rFonts w:asciiTheme="minorHAnsi" w:hAnsiTheme="minorHAnsi" w:cstheme="minorBidi"/>
                                <w:sz w:val="22"/>
                                <w:szCs w:val="22"/>
                              </w:rPr>
                            </w:pPr>
                            <w:r>
                              <w:t xml:space="preserve"> Improved cash flow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87AD14" id="Rectangle 2" o:spid="_x0000_s1026" style="position:absolute;left:0;text-align:left;margin-left:288.75pt;margin-top:14.9pt;width:204.75pt;height:1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" fillcolor="window" strokecolor="#70ad47" strokeweight="1pt">
                <v:textbox>
                  <w:txbxContent>
                    <w:p w14:paraId="437511B1" w14:textId="7D3481D2" w:rsidR="00070F0A" w:rsidRPr="00E22D9B" w:rsidRDefault="00A9647F" w:rsidP="00A9647F">
                      <w:pPr>
                        <w:rPr>
                          <w:b/>
                          <w:bCs/>
                        </w:rPr>
                      </w:pPr>
                      <w:r w:rsidRPr="00E22D9B">
                        <w:rPr>
                          <w:b/>
                          <w:bCs/>
                        </w:rPr>
                        <w:t>Financial Sustainability of Public</w:t>
                      </w:r>
                      <w:r w:rsidRPr="00E22D9B">
                        <w:rPr>
                          <w:b/>
                          <w:bCs/>
                        </w:rPr>
                        <w:br/>
                        <w:t xml:space="preserve">Universities in Kenya </w:t>
                      </w:r>
                    </w:p>
                    <w:p w14:paraId="1A7C5AF3" w14:textId="77777777" w:rsidR="00070F0A" w:rsidRPr="00070F0A" w:rsidRDefault="00A9647F" w:rsidP="00070F0A">
                      <w:pPr>
                        <w:pStyle w:val="ListParagraph"/>
                        <w:numPr>
                          <w:ilvl w:val="0"/>
                          <w:numId w:val="11"/>
                        </w:numPr>
                        <w:rPr>
                          <w:rFonts w:asciiTheme="minorHAnsi" w:hAnsiTheme="minorHAnsi" w:cstheme="minorBidi"/>
                          <w:sz w:val="22"/>
                          <w:szCs w:val="22"/>
                        </w:rPr>
                      </w:pPr>
                      <w:r>
                        <w:t>Ability to meet operational costs</w:t>
                      </w:r>
                    </w:p>
                    <w:p w14:paraId="075E058A" w14:textId="77777777" w:rsidR="00070F0A" w:rsidRPr="00070F0A" w:rsidRDefault="00A9647F" w:rsidP="00070F0A">
                      <w:pPr>
                        <w:pStyle w:val="ListParagraph"/>
                        <w:numPr>
                          <w:ilvl w:val="0"/>
                          <w:numId w:val="11"/>
                        </w:numPr>
                        <w:rPr>
                          <w:rFonts w:asciiTheme="minorHAnsi" w:hAnsiTheme="minorHAnsi" w:cstheme="minorBidi"/>
                          <w:sz w:val="22"/>
                          <w:szCs w:val="22"/>
                        </w:rPr>
                      </w:pPr>
                      <w:r>
                        <w:t>Reduced institutional debt</w:t>
                      </w:r>
                    </w:p>
                    <w:p w14:paraId="15CFFF8D" w14:textId="2FB9D646" w:rsidR="00A9647F" w:rsidRPr="00E22D9B" w:rsidRDefault="00A9647F" w:rsidP="00070F0A">
                      <w:pPr>
                        <w:pStyle w:val="ListParagraph"/>
                        <w:numPr>
                          <w:ilvl w:val="0"/>
                          <w:numId w:val="11"/>
                        </w:numPr>
                        <w:rPr>
                          <w:rFonts w:asciiTheme="minorHAnsi" w:hAnsiTheme="minorHAnsi" w:cstheme="minorBidi"/>
                          <w:sz w:val="22"/>
                          <w:szCs w:val="22"/>
                        </w:rPr>
                      </w:pPr>
                      <w:r>
                        <w:t xml:space="preserve"> Improved cash flow </w:t>
                      </w:r>
                    </w:p>
                  </w:txbxContent>
                </v:textbox>
              </v:rect>
            </w:pict>
          </mc:Fallback>
        </mc:AlternateContent>
      </w:r>
      <w:r w:rsidR="00A9647F">
        <w:rPr>
          <w:rFonts w:eastAsiaTheme="minorHAnsi"/>
          <w:noProof/>
        </w:rPr>
        <mc:AlternateContent>
          <mc:Choice Requires="wps">
            <w:drawing>
              <wp:anchor distT="0" distB="0" distL="114300" distR="114300" simplePos="0" relativeHeight="251659264" behindDoc="0" locked="0" layoutInCell="1" allowOverlap="1" wp14:anchorId="22654A96" wp14:editId="10AD218E">
                <wp:simplePos x="0" y="0"/>
                <wp:positionH relativeFrom="column">
                  <wp:posOffset>266700</wp:posOffset>
                </wp:positionH>
                <wp:positionV relativeFrom="paragraph">
                  <wp:posOffset>103504</wp:posOffset>
                </wp:positionV>
                <wp:extent cx="1962150" cy="16097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962150" cy="1609725"/>
                        </a:xfrm>
                        <a:prstGeom prst="rect">
                          <a:avLst/>
                        </a:prstGeom>
                        <a:solidFill>
                          <a:sysClr val="window" lastClr="FFFFFF"/>
                        </a:solidFill>
                        <a:ln w="12700" cap="flat" cmpd="sng" algn="ctr">
                          <a:solidFill>
                            <a:srgbClr val="70AD47"/>
                          </a:solidFill>
                          <a:prstDash val="solid"/>
                          <a:miter lim="800000"/>
                        </a:ln>
                        <a:effectLst/>
                      </wps:spPr>
                      <wps:txbx>
                        <w:txbxContent>
                          <w:p w14:paraId="2A1766FC" w14:textId="093AEF4D" w:rsidR="00A9647F" w:rsidRDefault="00A9647F" w:rsidP="00A9647F">
                            <w:pPr>
                              <w:rPr>
                                <w:b/>
                                <w:bCs/>
                              </w:rPr>
                            </w:pPr>
                            <w:r w:rsidRPr="00A9647F">
                              <w:rPr>
                                <w:b/>
                                <w:bCs/>
                              </w:rPr>
                              <w:t>Funding Models</w:t>
                            </w:r>
                          </w:p>
                          <w:p w14:paraId="53B4994B" w14:textId="77777777" w:rsidR="00070F0A" w:rsidRPr="00070F0A" w:rsidRDefault="00A9647F" w:rsidP="00E22D9B">
                            <w:pPr>
                              <w:pStyle w:val="ListParagraph"/>
                              <w:numPr>
                                <w:ilvl w:val="0"/>
                                <w:numId w:val="10"/>
                              </w:numPr>
                              <w:rPr>
                                <w:rFonts w:ascii="Times New Roman" w:hAnsi="Times New Roman" w:cs="Times New Roman"/>
                                <w:b/>
                                <w:bCs/>
                                <w:sz w:val="24"/>
                                <w:szCs w:val="24"/>
                              </w:rPr>
                            </w:pPr>
                            <w:r>
                              <w:t>Government allocations</w:t>
                            </w:r>
                          </w:p>
                          <w:p w14:paraId="3CD8C432" w14:textId="77777777" w:rsidR="00070F0A" w:rsidRPr="00070F0A" w:rsidRDefault="00A9647F" w:rsidP="00E22D9B">
                            <w:pPr>
                              <w:pStyle w:val="ListParagraph"/>
                              <w:numPr>
                                <w:ilvl w:val="0"/>
                                <w:numId w:val="10"/>
                              </w:numPr>
                              <w:rPr>
                                <w:rFonts w:ascii="Times New Roman" w:hAnsi="Times New Roman" w:cs="Times New Roman"/>
                                <w:b/>
                                <w:bCs/>
                                <w:sz w:val="24"/>
                                <w:szCs w:val="24"/>
                              </w:rPr>
                            </w:pPr>
                            <w:r>
                              <w:t xml:space="preserve">Tuition fees </w:t>
                            </w:r>
                          </w:p>
                          <w:p w14:paraId="024CC9B1" w14:textId="77777777" w:rsidR="00070F0A" w:rsidRPr="00070F0A" w:rsidRDefault="00A9647F" w:rsidP="00E22D9B">
                            <w:pPr>
                              <w:pStyle w:val="ListParagraph"/>
                              <w:numPr>
                                <w:ilvl w:val="0"/>
                                <w:numId w:val="10"/>
                              </w:numPr>
                              <w:rPr>
                                <w:rFonts w:ascii="Times New Roman" w:hAnsi="Times New Roman" w:cs="Times New Roman"/>
                                <w:b/>
                                <w:bCs/>
                                <w:sz w:val="24"/>
                                <w:szCs w:val="24"/>
                              </w:rPr>
                            </w:pPr>
                            <w:r>
                              <w:t xml:space="preserve">Research grants </w:t>
                            </w:r>
                          </w:p>
                          <w:p w14:paraId="42D3CFD8" w14:textId="77777777" w:rsidR="00070F0A" w:rsidRPr="00070F0A" w:rsidRDefault="00A9647F" w:rsidP="00E22D9B">
                            <w:pPr>
                              <w:pStyle w:val="ListParagraph"/>
                              <w:numPr>
                                <w:ilvl w:val="0"/>
                                <w:numId w:val="10"/>
                              </w:numPr>
                              <w:rPr>
                                <w:rFonts w:ascii="Times New Roman" w:hAnsi="Times New Roman" w:cs="Times New Roman"/>
                                <w:b/>
                                <w:bCs/>
                                <w:sz w:val="24"/>
                                <w:szCs w:val="24"/>
                              </w:rPr>
                            </w:pPr>
                            <w:r>
                              <w:t>Donor funding</w:t>
                            </w:r>
                          </w:p>
                          <w:p w14:paraId="34FB1F36" w14:textId="56E24DE9" w:rsidR="00A9647F" w:rsidRPr="00E22D9B" w:rsidRDefault="00A9647F" w:rsidP="00E22D9B">
                            <w:pPr>
                              <w:pStyle w:val="ListParagraph"/>
                              <w:numPr>
                                <w:ilvl w:val="0"/>
                                <w:numId w:val="10"/>
                              </w:numPr>
                              <w:rPr>
                                <w:rFonts w:ascii="Times New Roman" w:hAnsi="Times New Roman" w:cs="Times New Roman"/>
                                <w:b/>
                                <w:bCs/>
                                <w:sz w:val="24"/>
                                <w:szCs w:val="24"/>
                              </w:rPr>
                            </w:pPr>
                            <w:r>
                              <w:t xml:space="preserve"> Income generating activities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2654A96" id="Rectangle 1" o:spid="_x0000_s1027" style="position:absolute;left:0;text-align:left;margin-left:21pt;margin-top:8.15pt;width:154.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" fillcolor="window" strokecolor="#70ad47" strokeweight="1pt">
                <v:textbox>
                  <w:txbxContent>
                    <w:p w14:paraId="2A1766FC" w14:textId="093AEF4D" w:rsidR="00A9647F" w:rsidRDefault="00A9647F" w:rsidP="00A9647F">
                      <w:pPr>
                        <w:rPr>
                          <w:b/>
                          <w:bCs/>
                        </w:rPr>
                      </w:pPr>
                      <w:r w:rsidRPr="00A9647F">
                        <w:rPr>
                          <w:b/>
                          <w:bCs/>
                        </w:rPr>
                        <w:t>Funding Models</w:t>
                      </w:r>
                    </w:p>
                    <w:p w14:paraId="53B4994B" w14:textId="77777777" w:rsidR="00070F0A" w:rsidRPr="00070F0A" w:rsidRDefault="00A9647F" w:rsidP="00E22D9B">
                      <w:pPr>
                        <w:pStyle w:val="ListParagraph"/>
                        <w:numPr>
                          <w:ilvl w:val="0"/>
                          <w:numId w:val="10"/>
                        </w:numPr>
                        <w:rPr>
                          <w:rFonts w:ascii="Times New Roman" w:hAnsi="Times New Roman" w:cs="Times New Roman"/>
                          <w:b/>
                          <w:bCs/>
                          <w:sz w:val="24"/>
                          <w:szCs w:val="24"/>
                        </w:rPr>
                      </w:pPr>
                      <w:r>
                        <w:t>Government allocations</w:t>
                      </w:r>
                    </w:p>
                    <w:p w14:paraId="3CD8C432" w14:textId="77777777" w:rsidR="00070F0A" w:rsidRPr="00070F0A" w:rsidRDefault="00A9647F" w:rsidP="00E22D9B">
                      <w:pPr>
                        <w:pStyle w:val="ListParagraph"/>
                        <w:numPr>
                          <w:ilvl w:val="0"/>
                          <w:numId w:val="10"/>
                        </w:numPr>
                        <w:rPr>
                          <w:rFonts w:ascii="Times New Roman" w:hAnsi="Times New Roman" w:cs="Times New Roman"/>
                          <w:b/>
                          <w:bCs/>
                          <w:sz w:val="24"/>
                          <w:szCs w:val="24"/>
                        </w:rPr>
                      </w:pPr>
                      <w:r>
                        <w:t xml:space="preserve">Tuition fees </w:t>
                      </w:r>
                    </w:p>
                    <w:p w14:paraId="024CC9B1" w14:textId="77777777" w:rsidR="00070F0A" w:rsidRPr="00070F0A" w:rsidRDefault="00A9647F" w:rsidP="00E22D9B">
                      <w:pPr>
                        <w:pStyle w:val="ListParagraph"/>
                        <w:numPr>
                          <w:ilvl w:val="0"/>
                          <w:numId w:val="10"/>
                        </w:numPr>
                        <w:rPr>
                          <w:rFonts w:ascii="Times New Roman" w:hAnsi="Times New Roman" w:cs="Times New Roman"/>
                          <w:b/>
                          <w:bCs/>
                          <w:sz w:val="24"/>
                          <w:szCs w:val="24"/>
                        </w:rPr>
                      </w:pPr>
                      <w:r>
                        <w:t xml:space="preserve">Research grants </w:t>
                      </w:r>
                    </w:p>
                    <w:p w14:paraId="42D3CFD8" w14:textId="77777777" w:rsidR="00070F0A" w:rsidRPr="00070F0A" w:rsidRDefault="00A9647F" w:rsidP="00E22D9B">
                      <w:pPr>
                        <w:pStyle w:val="ListParagraph"/>
                        <w:numPr>
                          <w:ilvl w:val="0"/>
                          <w:numId w:val="10"/>
                        </w:numPr>
                        <w:rPr>
                          <w:rFonts w:ascii="Times New Roman" w:hAnsi="Times New Roman" w:cs="Times New Roman"/>
                          <w:b/>
                          <w:bCs/>
                          <w:sz w:val="24"/>
                          <w:szCs w:val="24"/>
                        </w:rPr>
                      </w:pPr>
                      <w:r>
                        <w:t>Donor funding</w:t>
                      </w:r>
                    </w:p>
                    <w:p w14:paraId="34FB1F36" w14:textId="56E24DE9" w:rsidR="00A9647F" w:rsidRPr="00E22D9B" w:rsidRDefault="00A9647F" w:rsidP="00E22D9B">
                      <w:pPr>
                        <w:pStyle w:val="ListParagraph"/>
                        <w:numPr>
                          <w:ilvl w:val="0"/>
                          <w:numId w:val="10"/>
                        </w:numPr>
                        <w:rPr>
                          <w:rFonts w:ascii="Times New Roman" w:hAnsi="Times New Roman" w:cs="Times New Roman"/>
                          <w:b/>
                          <w:bCs/>
                          <w:sz w:val="24"/>
                          <w:szCs w:val="24"/>
                        </w:rPr>
                      </w:pPr>
                      <w:r>
                        <w:t xml:space="preserve"> Income generating activities</w:t>
                      </w:r>
                    </w:p>
                  </w:txbxContent>
                </v:textbox>
              </v:rect>
            </w:pict>
          </mc:Fallback>
        </mc:AlternateContent>
      </w:r>
    </w:p>
    <w:p w14:paraId="0E31BC47" w14:textId="7C04597F" w:rsidR="00A9647F" w:rsidRDefault="00A9647F" w:rsidP="00A9647F">
      <w:pPr>
        <w:pStyle w:val="NormalWeb"/>
        <w:tabs>
          <w:tab w:val="left" w:pos="7425"/>
        </w:tabs>
        <w:jc w:val="both"/>
      </w:pPr>
      <w:r>
        <w:tab/>
      </w:r>
    </w:p>
    <w:p w14:paraId="0BFDCC9A" w14:textId="64401399" w:rsidR="00A9647F" w:rsidRDefault="00070F0A" w:rsidP="00EB529A">
      <w:pPr>
        <w:pStyle w:val="NormalWeb"/>
        <w:jc w:val="both"/>
      </w:pPr>
      <w:r>
        <w:rPr>
          <w:noProof/>
        </w:rPr>
        <mc:AlternateContent>
          <mc:Choice Requires="wps">
            <w:drawing>
              <wp:anchor distT="0" distB="0" distL="114300" distR="114300" simplePos="0" relativeHeight="251662336" behindDoc="0" locked="0" layoutInCell="1" allowOverlap="1" wp14:anchorId="093CC68D" wp14:editId="72EF50C0">
                <wp:simplePos x="0" y="0"/>
                <wp:positionH relativeFrom="column">
                  <wp:posOffset>2228849</wp:posOffset>
                </wp:positionH>
                <wp:positionV relativeFrom="paragraph">
                  <wp:posOffset>187960</wp:posOffset>
                </wp:positionV>
                <wp:extent cx="1419225"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1419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5AB6FEDD" id="_x0000_t32" coordsize="21600,21600" o:spt="32" o:oned="t" path="m,l21600,21600e" filled="f">
                <v:path arrowok="t" fillok="f" o:connecttype="none"/>
                <o:lock v:ext="edit" shapetype="t"/>
              </v:shapetype>
              <v:shape id="Straight Arrow Connector 4" o:spid="_x0000_s1026" type="#_x0000_t32" style="position:absolute;margin-left:175.5pt;margin-top:14.8pt;width:111.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" strokecolor="#4472c4 [3204]" strokeweight=".5pt">
                <v:stroke endarrow="block" joinstyle="miter"/>
              </v:shape>
            </w:pict>
          </mc:Fallback>
        </mc:AlternateContent>
      </w:r>
    </w:p>
    <w:p w14:paraId="450BB1F5" w14:textId="68444796" w:rsidR="00A9647F" w:rsidRDefault="00A9647F" w:rsidP="00EB529A">
      <w:pPr>
        <w:pStyle w:val="NormalWeb"/>
        <w:jc w:val="both"/>
      </w:pPr>
    </w:p>
    <w:p w14:paraId="77E305F6" w14:textId="5B68B1B7" w:rsidR="00A9647F" w:rsidRDefault="00A9647F" w:rsidP="00EB529A">
      <w:pPr>
        <w:pStyle w:val="NormalWeb"/>
        <w:jc w:val="both"/>
      </w:pPr>
    </w:p>
    <w:p w14:paraId="5A76A35A" w14:textId="77777777" w:rsidR="00A9647F" w:rsidRPr="009500F9" w:rsidRDefault="00A9647F" w:rsidP="00EB529A">
      <w:pPr>
        <w:pStyle w:val="NormalWeb"/>
        <w:jc w:val="both"/>
      </w:pPr>
    </w:p>
    <w:p w14:paraId="3F0DC819" w14:textId="77777777" w:rsidR="002D107D" w:rsidRPr="00FD7D28" w:rsidRDefault="002D107D" w:rsidP="002D107D">
      <w:pPr>
        <w:pStyle w:val="Heading2"/>
        <w:rPr>
          <w:rFonts w:ascii="Times New Roman" w:hAnsi="Times New Roman" w:cs="Times New Roman"/>
          <w:color w:val="000000" w:themeColor="text1"/>
          <w:sz w:val="24"/>
          <w:szCs w:val="24"/>
        </w:rPr>
      </w:pPr>
      <w:r w:rsidRPr="00FD7D28">
        <w:rPr>
          <w:rStyle w:val="Strong"/>
          <w:rFonts w:ascii="Times New Roman" w:hAnsi="Times New Roman" w:cs="Times New Roman"/>
          <w:color w:val="000000" w:themeColor="text1"/>
          <w:sz w:val="24"/>
          <w:szCs w:val="24"/>
        </w:rPr>
        <w:t>3.0 Research Methodology</w:t>
      </w:r>
    </w:p>
    <w:p w14:paraId="0EC2456C"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3.1 Research Design</w:t>
      </w:r>
    </w:p>
    <w:p w14:paraId="4DEDE7A5" w14:textId="77777777" w:rsidR="002D107D" w:rsidRPr="009500F9" w:rsidRDefault="002D107D" w:rsidP="002D107D">
      <w:pPr>
        <w:pStyle w:val="NormalWeb"/>
      </w:pPr>
      <w:r w:rsidRPr="009500F9">
        <w:t>The study adopted a descriptive research design. This design was suitable because it enabled analysis of existing trends in university funding, sustainability indicators, and debt levels using secondary data sources.</w:t>
      </w:r>
    </w:p>
    <w:p w14:paraId="3ADC939C"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3.2 Data Sources</w:t>
      </w:r>
    </w:p>
    <w:p w14:paraId="3B17AC60" w14:textId="77777777" w:rsidR="002D107D" w:rsidRPr="009500F9" w:rsidRDefault="002D107D" w:rsidP="002D107D">
      <w:pPr>
        <w:pStyle w:val="NormalWeb"/>
      </w:pPr>
      <w:r w:rsidRPr="009500F9">
        <w:t>Secondary data were obtained from government reports, parliamentary oversight reports, Auditor-General reports, institutional financial statements, and relevant scholarly literature. These sources were selected because they provide credible information on university funding models and institutional liabilities.</w:t>
      </w:r>
    </w:p>
    <w:p w14:paraId="163CBD83"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t>3.3 Data Analysis Techniques</w:t>
      </w:r>
    </w:p>
    <w:p w14:paraId="333F0DE0" w14:textId="77777777" w:rsidR="002D107D" w:rsidRPr="009500F9" w:rsidRDefault="002D107D" w:rsidP="002D107D">
      <w:pPr>
        <w:pStyle w:val="NormalWeb"/>
      </w:pPr>
      <w:r w:rsidRPr="009500F9">
        <w:t>Data were analyzed using descriptive statistical techniques and content analysis. Descriptive analysis was used to examine trends in government allocations, tuition revenue, and alternative income streams. Content analysis was used to interpret themes from policy documents and reports regarding sustainability challenges, governance issues, and debt management practices.</w:t>
      </w:r>
    </w:p>
    <w:p w14:paraId="15042890"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3.4 Ethical Considerations</w:t>
      </w:r>
    </w:p>
    <w:p w14:paraId="5B94DC26" w14:textId="46DE8F5E" w:rsidR="002D107D" w:rsidRPr="009500F9" w:rsidRDefault="002D107D" w:rsidP="002D107D">
      <w:pPr>
        <w:pStyle w:val="NormalWeb"/>
      </w:pPr>
      <w:r w:rsidRPr="009500F9">
        <w:t xml:space="preserve">Ethical compliance was ensured through proper acknowledgment of secondary data sources using APA referencing. The </w:t>
      </w:r>
      <w:r w:rsidR="00FD7D28" w:rsidRPr="009500F9">
        <w:t>study-maintained</w:t>
      </w:r>
      <w:r w:rsidRPr="009500F9">
        <w:t xml:space="preserve"> integrity by relying on credible sources and ensuring accurate interpretation of findings.</w:t>
      </w:r>
    </w:p>
    <w:p w14:paraId="78CE94B6" w14:textId="7C700FE3" w:rsidR="002D107D" w:rsidRPr="009500F9" w:rsidRDefault="002D107D" w:rsidP="002D107D">
      <w:pPr>
        <w:rPr>
          <w:rFonts w:ascii="Times New Roman" w:hAnsi="Times New Roman" w:cs="Times New Roman"/>
          <w:sz w:val="24"/>
          <w:szCs w:val="24"/>
        </w:rPr>
      </w:pPr>
    </w:p>
    <w:p w14:paraId="608BF88A" w14:textId="77777777" w:rsidR="006E6DAB" w:rsidRPr="006E6DAB" w:rsidRDefault="006E6DAB" w:rsidP="006E6DAB">
      <w:pPr>
        <w:pStyle w:val="Heading1"/>
        <w:rPr>
          <w:rFonts w:ascii="Times New Roman" w:eastAsia="Times New Roman" w:hAnsi="Times New Roman" w:cs="Times New Roman"/>
          <w:color w:val="000000" w:themeColor="text1"/>
          <w:sz w:val="24"/>
          <w:szCs w:val="24"/>
        </w:rPr>
      </w:pPr>
      <w:r w:rsidRPr="006E6DAB">
        <w:rPr>
          <w:rStyle w:val="Strong"/>
          <w:rFonts w:ascii="Times New Roman" w:hAnsi="Times New Roman" w:cs="Times New Roman"/>
          <w:color w:val="000000" w:themeColor="text1"/>
          <w:sz w:val="24"/>
          <w:szCs w:val="24"/>
        </w:rPr>
        <w:t>4.0 Findings and Discussion</w:t>
      </w:r>
    </w:p>
    <w:p w14:paraId="74CAAB6F" w14:textId="77777777" w:rsidR="006E6DAB" w:rsidRPr="006E6DAB" w:rsidRDefault="006E6DAB" w:rsidP="006E6DAB">
      <w:pPr>
        <w:pStyle w:val="Heading2"/>
        <w:rPr>
          <w:rFonts w:ascii="Times New Roman" w:hAnsi="Times New Roman" w:cs="Times New Roman"/>
          <w:color w:val="000000" w:themeColor="text1"/>
          <w:sz w:val="24"/>
          <w:szCs w:val="24"/>
        </w:rPr>
      </w:pPr>
      <w:r w:rsidRPr="006E6DAB">
        <w:rPr>
          <w:rStyle w:val="Strong"/>
          <w:rFonts w:ascii="Times New Roman" w:hAnsi="Times New Roman" w:cs="Times New Roman"/>
          <w:color w:val="000000" w:themeColor="text1"/>
          <w:sz w:val="24"/>
          <w:szCs w:val="24"/>
        </w:rPr>
        <w:t>4.1 Funding Models Used by Public Universities</w:t>
      </w:r>
    </w:p>
    <w:p w14:paraId="1E1FB158" w14:textId="77777777" w:rsidR="006E6DAB" w:rsidRDefault="006E6DAB" w:rsidP="006E6DAB">
      <w:pPr>
        <w:pStyle w:val="NormalWeb"/>
        <w:jc w:val="both"/>
      </w:pPr>
      <w:r>
        <w:t xml:space="preserve">The findings revealed that public universities in Kenya rely heavily on two primary funding models: government allocations and tuition fees. Government allocations remain the main source of funding intended to support institutional operations, infrastructure development, and academic programs. However, evidence suggests that these allocations are often inadequate and inconsistent, resulting in budget shortfalls and forcing universities to depend on deferred payments and pending bills (Munene, 2024). Tuition fees also contribute significantly to university financing but are limited by student affordability and increasing levels of fee arrears, which further weaken institutional cash flow. </w:t>
      </w:r>
      <w:proofErr w:type="spellStart"/>
      <w:r>
        <w:t>Oketch</w:t>
      </w:r>
      <w:proofErr w:type="spellEnd"/>
      <w:r>
        <w:t xml:space="preserve"> (2020) observes that tuition-based financing creates concerns regarding equity and access to higher education.</w:t>
      </w:r>
    </w:p>
    <w:p w14:paraId="40E345B9" w14:textId="77777777" w:rsidR="006E6DAB" w:rsidRDefault="006E6DAB" w:rsidP="006E6DAB">
      <w:pPr>
        <w:pStyle w:val="NormalWeb"/>
        <w:jc w:val="both"/>
      </w:pPr>
      <w:r>
        <w:t xml:space="preserve">In addition, universities have adopted alternative funding models such as income-generating units (IGUs), consultancies, commercialization of research, and public–private partnerships (PPPs). Although these sources provide supplementary income, they remain unstable and insufficient to support long-term financial sustainability. Universities that have diversified funding portfolios were found to be more resilient compared to those that rely on traditional models, confirming that diversification is an important strategy for sustainability (Kimathi &amp; </w:t>
      </w:r>
      <w:proofErr w:type="spellStart"/>
      <w:r>
        <w:t>Irungu</w:t>
      </w:r>
      <w:proofErr w:type="spellEnd"/>
      <w:r>
        <w:t>, 2024). Similarly, PPPs have enhanced infrastructure development in some universities, though their effectiveness depends on strong governance and accountability structures (</w:t>
      </w:r>
      <w:proofErr w:type="spellStart"/>
      <w:r>
        <w:t>Gitonga</w:t>
      </w:r>
      <w:proofErr w:type="spellEnd"/>
      <w:r>
        <w:t xml:space="preserve"> &amp; Kamau, 2020). A summary of the funding models is presented in Table 1.</w:t>
      </w:r>
    </w:p>
    <w:p w14:paraId="69F6B25B" w14:textId="77777777" w:rsidR="006E6DAB" w:rsidRDefault="006E6DAB" w:rsidP="006E6DAB">
      <w:pPr>
        <w:pStyle w:val="NormalWeb"/>
      </w:pPr>
      <w:r>
        <w:rPr>
          <w:rStyle w:val="Strong"/>
        </w:rPr>
        <w:t>Table 1</w:t>
      </w:r>
      <w:r>
        <w:br/>
      </w:r>
      <w:r>
        <w:rPr>
          <w:rStyle w:val="Emphasis"/>
          <w:rFonts w:eastAsia="SimSun"/>
        </w:rPr>
        <w:t>Funding Models Used by Public Universities in Kenya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7"/>
        <w:gridCol w:w="2886"/>
        <w:gridCol w:w="2675"/>
        <w:gridCol w:w="1472"/>
      </w:tblGrid>
      <w:tr w:rsidR="006E6DAB" w14:paraId="279E8F3F" w14:textId="77777777" w:rsidTr="00625EBA">
        <w:trPr>
          <w:tblHeader/>
          <w:tblCellSpacing w:w="15" w:type="dxa"/>
        </w:trPr>
        <w:tc>
          <w:tcPr>
            <w:tcW w:w="0" w:type="auto"/>
            <w:tcBorders>
              <w:bottom w:val="single" w:sz="12" w:space="0" w:color="auto"/>
            </w:tcBorders>
            <w:vAlign w:val="center"/>
            <w:hideMark/>
          </w:tcPr>
          <w:p w14:paraId="38253955" w14:textId="77777777" w:rsidR="006E6DAB" w:rsidRDefault="006E6DAB">
            <w:pPr>
              <w:jc w:val="center"/>
              <w:rPr>
                <w:b/>
                <w:bCs/>
              </w:rPr>
            </w:pPr>
            <w:r>
              <w:rPr>
                <w:b/>
                <w:bCs/>
              </w:rPr>
              <w:t>Funding Model</w:t>
            </w:r>
          </w:p>
        </w:tc>
        <w:tc>
          <w:tcPr>
            <w:tcW w:w="0" w:type="auto"/>
            <w:tcBorders>
              <w:bottom w:val="single" w:sz="12" w:space="0" w:color="auto"/>
            </w:tcBorders>
            <w:vAlign w:val="center"/>
            <w:hideMark/>
          </w:tcPr>
          <w:p w14:paraId="0715376B" w14:textId="77777777" w:rsidR="006E6DAB" w:rsidRDefault="006E6DAB">
            <w:pPr>
              <w:jc w:val="center"/>
              <w:rPr>
                <w:b/>
                <w:bCs/>
              </w:rPr>
            </w:pPr>
            <w:r>
              <w:rPr>
                <w:b/>
                <w:bCs/>
              </w:rPr>
              <w:t>Description</w:t>
            </w:r>
          </w:p>
        </w:tc>
        <w:tc>
          <w:tcPr>
            <w:tcW w:w="0" w:type="auto"/>
            <w:tcBorders>
              <w:bottom w:val="single" w:sz="12" w:space="0" w:color="auto"/>
            </w:tcBorders>
            <w:vAlign w:val="center"/>
            <w:hideMark/>
          </w:tcPr>
          <w:p w14:paraId="53FBA690" w14:textId="77777777" w:rsidR="006E6DAB" w:rsidRDefault="006E6DAB">
            <w:pPr>
              <w:jc w:val="center"/>
              <w:rPr>
                <w:b/>
                <w:bCs/>
              </w:rPr>
            </w:pPr>
            <w:r>
              <w:rPr>
                <w:b/>
                <w:bCs/>
              </w:rPr>
              <w:t>Observed Contribution to Sustainability</w:t>
            </w:r>
          </w:p>
        </w:tc>
        <w:tc>
          <w:tcPr>
            <w:tcW w:w="0" w:type="auto"/>
            <w:tcBorders>
              <w:bottom w:val="single" w:sz="12" w:space="0" w:color="auto"/>
            </w:tcBorders>
            <w:vAlign w:val="center"/>
            <w:hideMark/>
          </w:tcPr>
          <w:p w14:paraId="7831BFF8" w14:textId="77777777" w:rsidR="006E6DAB" w:rsidRDefault="006E6DAB">
            <w:pPr>
              <w:jc w:val="center"/>
              <w:rPr>
                <w:b/>
                <w:bCs/>
              </w:rPr>
            </w:pPr>
            <w:r>
              <w:rPr>
                <w:b/>
                <w:bCs/>
              </w:rPr>
              <w:t>Supporting Evidence</w:t>
            </w:r>
          </w:p>
        </w:tc>
      </w:tr>
      <w:tr w:rsidR="006E6DAB" w14:paraId="3194374D" w14:textId="77777777" w:rsidTr="00625EBA">
        <w:trPr>
          <w:tblCellSpacing w:w="15" w:type="dxa"/>
        </w:trPr>
        <w:tc>
          <w:tcPr>
            <w:tcW w:w="0" w:type="auto"/>
            <w:tcBorders>
              <w:bottom w:val="single" w:sz="12" w:space="0" w:color="auto"/>
            </w:tcBorders>
            <w:vAlign w:val="center"/>
            <w:hideMark/>
          </w:tcPr>
          <w:p w14:paraId="08EA2AFF" w14:textId="77777777" w:rsidR="006E6DAB" w:rsidRDefault="006E6DAB">
            <w:r>
              <w:t>Government allocations</w:t>
            </w:r>
          </w:p>
        </w:tc>
        <w:tc>
          <w:tcPr>
            <w:tcW w:w="0" w:type="auto"/>
            <w:tcBorders>
              <w:bottom w:val="single" w:sz="12" w:space="0" w:color="auto"/>
            </w:tcBorders>
            <w:vAlign w:val="center"/>
            <w:hideMark/>
          </w:tcPr>
          <w:p w14:paraId="1A803A94" w14:textId="77777777" w:rsidR="006E6DAB" w:rsidRDefault="006E6DAB">
            <w:r>
              <w:t>Funds provided through national budgetary allocations</w:t>
            </w:r>
          </w:p>
        </w:tc>
        <w:tc>
          <w:tcPr>
            <w:tcW w:w="0" w:type="auto"/>
            <w:tcBorders>
              <w:bottom w:val="single" w:sz="12" w:space="0" w:color="auto"/>
            </w:tcBorders>
            <w:vAlign w:val="center"/>
            <w:hideMark/>
          </w:tcPr>
          <w:p w14:paraId="4453ED3F" w14:textId="77777777" w:rsidR="006E6DAB" w:rsidRDefault="006E6DAB">
            <w:r>
              <w:t>Major funding source but unreliable and inadequate</w:t>
            </w:r>
          </w:p>
        </w:tc>
        <w:tc>
          <w:tcPr>
            <w:tcW w:w="0" w:type="auto"/>
            <w:tcBorders>
              <w:bottom w:val="single" w:sz="12" w:space="0" w:color="auto"/>
            </w:tcBorders>
            <w:vAlign w:val="center"/>
            <w:hideMark/>
          </w:tcPr>
          <w:p w14:paraId="62C16D8A" w14:textId="77777777" w:rsidR="006E6DAB" w:rsidRDefault="006E6DAB">
            <w:r>
              <w:t>Munene (2024)</w:t>
            </w:r>
          </w:p>
        </w:tc>
      </w:tr>
      <w:tr w:rsidR="006E6DAB" w14:paraId="7502F962" w14:textId="77777777" w:rsidTr="00625EBA">
        <w:trPr>
          <w:tblCellSpacing w:w="15" w:type="dxa"/>
        </w:trPr>
        <w:tc>
          <w:tcPr>
            <w:tcW w:w="0" w:type="auto"/>
            <w:tcBorders>
              <w:bottom w:val="single" w:sz="12" w:space="0" w:color="auto"/>
            </w:tcBorders>
            <w:vAlign w:val="center"/>
            <w:hideMark/>
          </w:tcPr>
          <w:p w14:paraId="1E1A5B98" w14:textId="77777777" w:rsidR="006E6DAB" w:rsidRDefault="006E6DAB">
            <w:r>
              <w:t>Tuition fees</w:t>
            </w:r>
          </w:p>
        </w:tc>
        <w:tc>
          <w:tcPr>
            <w:tcW w:w="0" w:type="auto"/>
            <w:tcBorders>
              <w:bottom w:val="single" w:sz="12" w:space="0" w:color="auto"/>
            </w:tcBorders>
            <w:vAlign w:val="center"/>
            <w:hideMark/>
          </w:tcPr>
          <w:p w14:paraId="743888CB" w14:textId="77777777" w:rsidR="006E6DAB" w:rsidRDefault="006E6DAB">
            <w:r>
              <w:t>Revenue collected from students</w:t>
            </w:r>
          </w:p>
        </w:tc>
        <w:tc>
          <w:tcPr>
            <w:tcW w:w="0" w:type="auto"/>
            <w:tcBorders>
              <w:bottom w:val="single" w:sz="12" w:space="0" w:color="auto"/>
            </w:tcBorders>
            <w:vAlign w:val="center"/>
            <w:hideMark/>
          </w:tcPr>
          <w:p w14:paraId="37E4C4E3" w14:textId="77777777" w:rsidR="006E6DAB" w:rsidRDefault="006E6DAB">
            <w:r>
              <w:t>Supplements funding but limited by affordability and arrears</w:t>
            </w:r>
          </w:p>
        </w:tc>
        <w:tc>
          <w:tcPr>
            <w:tcW w:w="0" w:type="auto"/>
            <w:tcBorders>
              <w:bottom w:val="single" w:sz="12" w:space="0" w:color="auto"/>
            </w:tcBorders>
            <w:vAlign w:val="center"/>
            <w:hideMark/>
          </w:tcPr>
          <w:p w14:paraId="5E621D18" w14:textId="77777777" w:rsidR="006E6DAB" w:rsidRDefault="006E6DAB">
            <w:proofErr w:type="spellStart"/>
            <w:r>
              <w:t>Oketch</w:t>
            </w:r>
            <w:proofErr w:type="spellEnd"/>
            <w:r>
              <w:t xml:space="preserve"> (2020)</w:t>
            </w:r>
          </w:p>
        </w:tc>
      </w:tr>
      <w:tr w:rsidR="006E6DAB" w14:paraId="7BC4984E" w14:textId="77777777" w:rsidTr="00625EBA">
        <w:trPr>
          <w:tblCellSpacing w:w="15" w:type="dxa"/>
        </w:trPr>
        <w:tc>
          <w:tcPr>
            <w:tcW w:w="0" w:type="auto"/>
            <w:tcBorders>
              <w:top w:val="single" w:sz="12" w:space="0" w:color="auto"/>
              <w:bottom w:val="single" w:sz="12" w:space="0" w:color="auto"/>
            </w:tcBorders>
            <w:vAlign w:val="center"/>
            <w:hideMark/>
          </w:tcPr>
          <w:p w14:paraId="0E261260" w14:textId="77777777" w:rsidR="006E6DAB" w:rsidRDefault="006E6DAB">
            <w:r>
              <w:t>Income generating units (IGUs)</w:t>
            </w:r>
          </w:p>
        </w:tc>
        <w:tc>
          <w:tcPr>
            <w:tcW w:w="0" w:type="auto"/>
            <w:tcBorders>
              <w:top w:val="single" w:sz="12" w:space="0" w:color="auto"/>
              <w:bottom w:val="single" w:sz="12" w:space="0" w:color="auto"/>
            </w:tcBorders>
            <w:vAlign w:val="center"/>
            <w:hideMark/>
          </w:tcPr>
          <w:p w14:paraId="659BA465" w14:textId="77777777" w:rsidR="006E6DAB" w:rsidRDefault="006E6DAB">
            <w:r>
              <w:t>Commercial ventures such as farms, rentals, and services</w:t>
            </w:r>
          </w:p>
        </w:tc>
        <w:tc>
          <w:tcPr>
            <w:tcW w:w="0" w:type="auto"/>
            <w:tcBorders>
              <w:top w:val="single" w:sz="12" w:space="0" w:color="auto"/>
              <w:bottom w:val="single" w:sz="12" w:space="0" w:color="auto"/>
            </w:tcBorders>
            <w:vAlign w:val="center"/>
            <w:hideMark/>
          </w:tcPr>
          <w:p w14:paraId="1EFEA763" w14:textId="77777777" w:rsidR="006E6DAB" w:rsidRDefault="006E6DAB">
            <w:r>
              <w:t>Provides additional revenue but inconsistent</w:t>
            </w:r>
          </w:p>
        </w:tc>
        <w:tc>
          <w:tcPr>
            <w:tcW w:w="0" w:type="auto"/>
            <w:tcBorders>
              <w:top w:val="single" w:sz="12" w:space="0" w:color="auto"/>
              <w:bottom w:val="single" w:sz="12" w:space="0" w:color="auto"/>
            </w:tcBorders>
            <w:vAlign w:val="center"/>
            <w:hideMark/>
          </w:tcPr>
          <w:p w14:paraId="2A683BA3" w14:textId="77777777" w:rsidR="006E6DAB" w:rsidRDefault="006E6DAB">
            <w:r>
              <w:t xml:space="preserve">Kimathi &amp; </w:t>
            </w:r>
            <w:proofErr w:type="spellStart"/>
            <w:r>
              <w:t>Irungu</w:t>
            </w:r>
            <w:proofErr w:type="spellEnd"/>
            <w:r>
              <w:t xml:space="preserve"> (2024)</w:t>
            </w:r>
          </w:p>
        </w:tc>
      </w:tr>
      <w:tr w:rsidR="006E6DAB" w14:paraId="7065564F" w14:textId="77777777" w:rsidTr="00625EBA">
        <w:trPr>
          <w:tblCellSpacing w:w="15" w:type="dxa"/>
        </w:trPr>
        <w:tc>
          <w:tcPr>
            <w:tcW w:w="0" w:type="auto"/>
            <w:tcBorders>
              <w:bottom w:val="single" w:sz="12" w:space="0" w:color="auto"/>
            </w:tcBorders>
            <w:vAlign w:val="center"/>
            <w:hideMark/>
          </w:tcPr>
          <w:p w14:paraId="4013DC1A" w14:textId="77777777" w:rsidR="006E6DAB" w:rsidRDefault="006E6DAB">
            <w:r>
              <w:t>Consultancies and short courses</w:t>
            </w:r>
          </w:p>
        </w:tc>
        <w:tc>
          <w:tcPr>
            <w:tcW w:w="0" w:type="auto"/>
            <w:tcBorders>
              <w:bottom w:val="single" w:sz="12" w:space="0" w:color="auto"/>
            </w:tcBorders>
            <w:vAlign w:val="center"/>
            <w:hideMark/>
          </w:tcPr>
          <w:p w14:paraId="54EF9D59" w14:textId="77777777" w:rsidR="006E6DAB" w:rsidRDefault="006E6DAB">
            <w:r>
              <w:t>Professional services offered to organizations</w:t>
            </w:r>
          </w:p>
        </w:tc>
        <w:tc>
          <w:tcPr>
            <w:tcW w:w="0" w:type="auto"/>
            <w:tcBorders>
              <w:bottom w:val="single" w:sz="12" w:space="0" w:color="auto"/>
            </w:tcBorders>
            <w:vAlign w:val="center"/>
            <w:hideMark/>
          </w:tcPr>
          <w:p w14:paraId="07743940" w14:textId="77777777" w:rsidR="006E6DAB" w:rsidRDefault="006E6DAB">
            <w:r>
              <w:t>Useful for diversification but limited in scale</w:t>
            </w:r>
          </w:p>
        </w:tc>
        <w:tc>
          <w:tcPr>
            <w:tcW w:w="0" w:type="auto"/>
            <w:tcBorders>
              <w:bottom w:val="single" w:sz="12" w:space="0" w:color="auto"/>
            </w:tcBorders>
            <w:vAlign w:val="center"/>
            <w:hideMark/>
          </w:tcPr>
          <w:p w14:paraId="10C4FE88" w14:textId="77777777" w:rsidR="006E6DAB" w:rsidRDefault="006E6DAB">
            <w:r>
              <w:t xml:space="preserve">Kimathi &amp; </w:t>
            </w:r>
            <w:proofErr w:type="spellStart"/>
            <w:r>
              <w:t>Irungu</w:t>
            </w:r>
            <w:proofErr w:type="spellEnd"/>
            <w:r>
              <w:t xml:space="preserve"> (2024)</w:t>
            </w:r>
          </w:p>
        </w:tc>
      </w:tr>
      <w:tr w:rsidR="006E6DAB" w14:paraId="32BFD908" w14:textId="77777777" w:rsidTr="00625EBA">
        <w:trPr>
          <w:tblCellSpacing w:w="15" w:type="dxa"/>
        </w:trPr>
        <w:tc>
          <w:tcPr>
            <w:tcW w:w="0" w:type="auto"/>
            <w:tcBorders>
              <w:bottom w:val="single" w:sz="12" w:space="0" w:color="auto"/>
            </w:tcBorders>
            <w:vAlign w:val="center"/>
            <w:hideMark/>
          </w:tcPr>
          <w:p w14:paraId="7AAD09A9" w14:textId="77777777" w:rsidR="006E6DAB" w:rsidRDefault="006E6DAB">
            <w:r>
              <w:lastRenderedPageBreak/>
              <w:t>Research grants and commercialization</w:t>
            </w:r>
          </w:p>
        </w:tc>
        <w:tc>
          <w:tcPr>
            <w:tcW w:w="0" w:type="auto"/>
            <w:tcBorders>
              <w:bottom w:val="single" w:sz="12" w:space="0" w:color="auto"/>
            </w:tcBorders>
            <w:vAlign w:val="center"/>
            <w:hideMark/>
          </w:tcPr>
          <w:p w14:paraId="5B588710" w14:textId="77777777" w:rsidR="006E6DAB" w:rsidRDefault="006E6DAB">
            <w:r>
              <w:t>External donor grants and innovation commercialization</w:t>
            </w:r>
          </w:p>
        </w:tc>
        <w:tc>
          <w:tcPr>
            <w:tcW w:w="0" w:type="auto"/>
            <w:tcBorders>
              <w:bottom w:val="single" w:sz="12" w:space="0" w:color="auto"/>
            </w:tcBorders>
            <w:vAlign w:val="center"/>
            <w:hideMark/>
          </w:tcPr>
          <w:p w14:paraId="6E425597" w14:textId="77777777" w:rsidR="006E6DAB" w:rsidRDefault="006E6DAB">
            <w:r>
              <w:t>Supports research but remains low and unstable</w:t>
            </w:r>
          </w:p>
        </w:tc>
        <w:tc>
          <w:tcPr>
            <w:tcW w:w="0" w:type="auto"/>
            <w:tcBorders>
              <w:bottom w:val="single" w:sz="12" w:space="0" w:color="auto"/>
            </w:tcBorders>
            <w:vAlign w:val="center"/>
            <w:hideMark/>
          </w:tcPr>
          <w:p w14:paraId="01DA6776" w14:textId="77777777" w:rsidR="006E6DAB" w:rsidRDefault="006E6DAB">
            <w:r>
              <w:t>APHRC (2025)</w:t>
            </w:r>
          </w:p>
        </w:tc>
      </w:tr>
      <w:tr w:rsidR="006E6DAB" w14:paraId="305EA321" w14:textId="77777777" w:rsidTr="00625EBA">
        <w:trPr>
          <w:tblCellSpacing w:w="15" w:type="dxa"/>
        </w:trPr>
        <w:tc>
          <w:tcPr>
            <w:tcW w:w="0" w:type="auto"/>
            <w:tcBorders>
              <w:bottom w:val="single" w:sz="12" w:space="0" w:color="auto"/>
            </w:tcBorders>
            <w:vAlign w:val="center"/>
            <w:hideMark/>
          </w:tcPr>
          <w:p w14:paraId="04F5E679" w14:textId="77777777" w:rsidR="006E6DAB" w:rsidRDefault="006E6DAB">
            <w:r>
              <w:t>Public–private partnerships (PPPs)</w:t>
            </w:r>
          </w:p>
        </w:tc>
        <w:tc>
          <w:tcPr>
            <w:tcW w:w="0" w:type="auto"/>
            <w:tcBorders>
              <w:bottom w:val="single" w:sz="12" w:space="0" w:color="auto"/>
            </w:tcBorders>
            <w:vAlign w:val="center"/>
            <w:hideMark/>
          </w:tcPr>
          <w:p w14:paraId="68975CE9" w14:textId="77777777" w:rsidR="006E6DAB" w:rsidRDefault="006E6DAB">
            <w:r>
              <w:t>Collaboration with private sector for development projects</w:t>
            </w:r>
          </w:p>
        </w:tc>
        <w:tc>
          <w:tcPr>
            <w:tcW w:w="0" w:type="auto"/>
            <w:tcBorders>
              <w:bottom w:val="single" w:sz="12" w:space="0" w:color="auto"/>
            </w:tcBorders>
            <w:vAlign w:val="center"/>
            <w:hideMark/>
          </w:tcPr>
          <w:p w14:paraId="11D45640" w14:textId="77777777" w:rsidR="006E6DAB" w:rsidRDefault="006E6DAB">
            <w:r>
              <w:t>Enhances infrastructure but requires strong governance</w:t>
            </w:r>
          </w:p>
        </w:tc>
        <w:tc>
          <w:tcPr>
            <w:tcW w:w="0" w:type="auto"/>
            <w:tcBorders>
              <w:bottom w:val="single" w:sz="12" w:space="0" w:color="auto"/>
            </w:tcBorders>
            <w:vAlign w:val="center"/>
            <w:hideMark/>
          </w:tcPr>
          <w:p w14:paraId="19FD958B" w14:textId="77777777" w:rsidR="006E6DAB" w:rsidRDefault="006E6DAB">
            <w:proofErr w:type="spellStart"/>
            <w:r>
              <w:t>Gitonga</w:t>
            </w:r>
            <w:proofErr w:type="spellEnd"/>
            <w:r>
              <w:t xml:space="preserve"> &amp; Kamau (2020)</w:t>
            </w:r>
          </w:p>
        </w:tc>
      </w:tr>
    </w:tbl>
    <w:p w14:paraId="39A4F438" w14:textId="77777777" w:rsidR="006E6DAB" w:rsidRDefault="006E6DAB" w:rsidP="00625EBA">
      <w:pPr>
        <w:pStyle w:val="NormalWeb"/>
        <w:jc w:val="both"/>
      </w:pPr>
      <w:r>
        <w:t>As shown in Table 1, government allocations and tuition fees remain the dominant funding sources, while alternative models such as IGUs, research commercialization, and PPPs play only a supplementary role. This implies that universities remain financially vulnerable because the major funding streams are unstable and insufficient to meet operational and development demands.</w:t>
      </w:r>
    </w:p>
    <w:p w14:paraId="0839C9E9" w14:textId="3454D4F3" w:rsidR="006E6DAB" w:rsidRPr="004D4783" w:rsidRDefault="006E6DAB" w:rsidP="006E6DAB">
      <w:pPr>
        <w:rPr>
          <w:b/>
          <w:bCs/>
          <w:color w:val="000000" w:themeColor="text1"/>
        </w:rPr>
      </w:pPr>
    </w:p>
    <w:p w14:paraId="2C03A0A6" w14:textId="77777777" w:rsidR="006E6DAB" w:rsidRPr="004D4783" w:rsidRDefault="006E6DAB" w:rsidP="006E6DAB">
      <w:pPr>
        <w:pStyle w:val="Heading2"/>
        <w:rPr>
          <w:b/>
          <w:bCs/>
          <w:color w:val="000000" w:themeColor="text1"/>
        </w:rPr>
      </w:pPr>
      <w:r w:rsidRPr="004D4783">
        <w:rPr>
          <w:rStyle w:val="Strong"/>
          <w:color w:val="000000" w:themeColor="text1"/>
        </w:rPr>
        <w:t>4.2 Financial Sustainability of Public Universities</w:t>
      </w:r>
    </w:p>
    <w:p w14:paraId="2236D234" w14:textId="77777777" w:rsidR="006E6DAB" w:rsidRDefault="006E6DAB" w:rsidP="004D4783">
      <w:pPr>
        <w:pStyle w:val="NormalWeb"/>
        <w:jc w:val="both"/>
      </w:pPr>
      <w:r>
        <w:t>The findings further established that the financial sustainability of public universities in Kenya is low and continues to deteriorate. Most universities face serious liquidity constraints, which limit their ability to meet recurrent expenditures such as salaries, supplier payments, and statutory remittances. According to APHRC (2025), rising operational costs and limited research funding have intensified institutional instability, resulting in increased dependence on credit facilities and deferred financial obligations.</w:t>
      </w:r>
    </w:p>
    <w:p w14:paraId="2C2ADCD3" w14:textId="7C8AEB43" w:rsidR="006E6DAB" w:rsidRDefault="006E6DAB" w:rsidP="004D4783">
      <w:pPr>
        <w:pStyle w:val="NormalWeb"/>
        <w:jc w:val="both"/>
      </w:pPr>
      <w:r>
        <w:t xml:space="preserve">Moreover, the study found that universities have accumulated significant student fee receivables, reflecting weak debt recovery mechanisms. Education News (2026) reported that outstanding student fee arrears exceeded </w:t>
      </w:r>
      <w:proofErr w:type="spellStart"/>
      <w:r>
        <w:t>KSh</w:t>
      </w:r>
      <w:proofErr w:type="spellEnd"/>
      <w:r>
        <w:t xml:space="preserve"> 3.17 billion, a situation that worsens cash flow and forces universities to rely on borrowing or delay payments to service providers. These indicators of sustainability are summarized in Table 2.</w:t>
      </w:r>
    </w:p>
    <w:p w14:paraId="787072D5" w14:textId="0CF23B36" w:rsidR="004D4783" w:rsidRDefault="004D4783" w:rsidP="004D4783">
      <w:pPr>
        <w:pStyle w:val="NormalWeb"/>
        <w:jc w:val="both"/>
      </w:pPr>
    </w:p>
    <w:p w14:paraId="43D63466" w14:textId="0BA50639" w:rsidR="004D4783" w:rsidRDefault="004D4783" w:rsidP="004D4783">
      <w:pPr>
        <w:pStyle w:val="NormalWeb"/>
        <w:jc w:val="both"/>
      </w:pPr>
    </w:p>
    <w:p w14:paraId="54EC7207" w14:textId="77777777" w:rsidR="004D4783" w:rsidRDefault="004D4783" w:rsidP="004D4783">
      <w:pPr>
        <w:pStyle w:val="NormalWeb"/>
        <w:jc w:val="both"/>
      </w:pPr>
    </w:p>
    <w:p w14:paraId="03664C85" w14:textId="77777777" w:rsidR="006E6DAB" w:rsidRDefault="006E6DAB" w:rsidP="006E6DAB">
      <w:pPr>
        <w:pStyle w:val="NormalWeb"/>
      </w:pPr>
      <w:r>
        <w:rPr>
          <w:rStyle w:val="Strong"/>
        </w:rPr>
        <w:t>Table 2</w:t>
      </w:r>
      <w:r>
        <w:br/>
      </w:r>
      <w:r>
        <w:rPr>
          <w:rStyle w:val="Emphasis"/>
          <w:rFonts w:eastAsia="SimSun"/>
        </w:rPr>
        <w:t>Indicators of Financial Sustainability in Public Universities in Kenya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9"/>
        <w:gridCol w:w="3624"/>
        <w:gridCol w:w="3787"/>
      </w:tblGrid>
      <w:tr w:rsidR="006E6DAB" w14:paraId="6F0DD57C" w14:textId="77777777" w:rsidTr="004D4783">
        <w:trPr>
          <w:tblHeader/>
          <w:tblCellSpacing w:w="15" w:type="dxa"/>
        </w:trPr>
        <w:tc>
          <w:tcPr>
            <w:tcW w:w="0" w:type="auto"/>
            <w:tcBorders>
              <w:bottom w:val="single" w:sz="12" w:space="0" w:color="auto"/>
            </w:tcBorders>
            <w:vAlign w:val="center"/>
            <w:hideMark/>
          </w:tcPr>
          <w:p w14:paraId="069230D5" w14:textId="77777777" w:rsidR="006E6DAB" w:rsidRDefault="006E6DAB">
            <w:pPr>
              <w:jc w:val="center"/>
              <w:rPr>
                <w:b/>
                <w:bCs/>
              </w:rPr>
            </w:pPr>
            <w:r>
              <w:rPr>
                <w:b/>
                <w:bCs/>
              </w:rPr>
              <w:lastRenderedPageBreak/>
              <w:t>Sustainability Indicator</w:t>
            </w:r>
          </w:p>
        </w:tc>
        <w:tc>
          <w:tcPr>
            <w:tcW w:w="0" w:type="auto"/>
            <w:tcBorders>
              <w:bottom w:val="single" w:sz="12" w:space="0" w:color="auto"/>
            </w:tcBorders>
            <w:vAlign w:val="center"/>
            <w:hideMark/>
          </w:tcPr>
          <w:p w14:paraId="31681CCB" w14:textId="77777777" w:rsidR="006E6DAB" w:rsidRDefault="006E6DAB">
            <w:pPr>
              <w:jc w:val="center"/>
              <w:rPr>
                <w:b/>
                <w:bCs/>
              </w:rPr>
            </w:pPr>
            <w:r>
              <w:rPr>
                <w:b/>
                <w:bCs/>
              </w:rPr>
              <w:t>Findings</w:t>
            </w:r>
          </w:p>
        </w:tc>
        <w:tc>
          <w:tcPr>
            <w:tcW w:w="0" w:type="auto"/>
            <w:tcBorders>
              <w:bottom w:val="single" w:sz="12" w:space="0" w:color="auto"/>
            </w:tcBorders>
            <w:vAlign w:val="center"/>
            <w:hideMark/>
          </w:tcPr>
          <w:p w14:paraId="0225612E" w14:textId="77777777" w:rsidR="006E6DAB" w:rsidRDefault="006E6DAB">
            <w:pPr>
              <w:jc w:val="center"/>
              <w:rPr>
                <w:b/>
                <w:bCs/>
              </w:rPr>
            </w:pPr>
            <w:r>
              <w:rPr>
                <w:b/>
                <w:bCs/>
              </w:rPr>
              <w:t>Implication</w:t>
            </w:r>
          </w:p>
        </w:tc>
      </w:tr>
      <w:tr w:rsidR="006E6DAB" w14:paraId="60A07A39" w14:textId="77777777" w:rsidTr="006E6DAB">
        <w:trPr>
          <w:tblCellSpacing w:w="15" w:type="dxa"/>
        </w:trPr>
        <w:tc>
          <w:tcPr>
            <w:tcW w:w="0" w:type="auto"/>
            <w:vAlign w:val="center"/>
            <w:hideMark/>
          </w:tcPr>
          <w:p w14:paraId="00C3E399" w14:textId="77777777" w:rsidR="006E6DAB" w:rsidRDefault="006E6DAB">
            <w:r>
              <w:t>Liquidity levels</w:t>
            </w:r>
          </w:p>
        </w:tc>
        <w:tc>
          <w:tcPr>
            <w:tcW w:w="0" w:type="auto"/>
            <w:vAlign w:val="center"/>
            <w:hideMark/>
          </w:tcPr>
          <w:p w14:paraId="75FF1E33" w14:textId="77777777" w:rsidR="006E6DAB" w:rsidRDefault="006E6DAB">
            <w:r>
              <w:t>Persistent liquidity constraints</w:t>
            </w:r>
          </w:p>
        </w:tc>
        <w:tc>
          <w:tcPr>
            <w:tcW w:w="0" w:type="auto"/>
            <w:vAlign w:val="center"/>
            <w:hideMark/>
          </w:tcPr>
          <w:p w14:paraId="57367E84" w14:textId="77777777" w:rsidR="006E6DAB" w:rsidRDefault="006E6DAB">
            <w:r>
              <w:t>Reduced ability to meet short-term obligations</w:t>
            </w:r>
          </w:p>
        </w:tc>
      </w:tr>
      <w:tr w:rsidR="006E6DAB" w14:paraId="527AAD5A" w14:textId="77777777" w:rsidTr="004D4783">
        <w:trPr>
          <w:tblCellSpacing w:w="15" w:type="dxa"/>
        </w:trPr>
        <w:tc>
          <w:tcPr>
            <w:tcW w:w="0" w:type="auto"/>
            <w:tcBorders>
              <w:top w:val="single" w:sz="12" w:space="0" w:color="auto"/>
              <w:bottom w:val="single" w:sz="12" w:space="0" w:color="auto"/>
            </w:tcBorders>
            <w:vAlign w:val="center"/>
            <w:hideMark/>
          </w:tcPr>
          <w:p w14:paraId="077DC89C" w14:textId="77777777" w:rsidR="006E6DAB" w:rsidRDefault="006E6DAB">
            <w:r>
              <w:t>Supplier payments</w:t>
            </w:r>
          </w:p>
        </w:tc>
        <w:tc>
          <w:tcPr>
            <w:tcW w:w="0" w:type="auto"/>
            <w:tcBorders>
              <w:top w:val="single" w:sz="12" w:space="0" w:color="auto"/>
              <w:bottom w:val="single" w:sz="12" w:space="0" w:color="auto"/>
            </w:tcBorders>
            <w:vAlign w:val="center"/>
            <w:hideMark/>
          </w:tcPr>
          <w:p w14:paraId="7F85AB5C" w14:textId="77777777" w:rsidR="006E6DAB" w:rsidRDefault="006E6DAB">
            <w:r>
              <w:t>Delayed payments and pending bills</w:t>
            </w:r>
          </w:p>
        </w:tc>
        <w:tc>
          <w:tcPr>
            <w:tcW w:w="0" w:type="auto"/>
            <w:tcBorders>
              <w:top w:val="single" w:sz="12" w:space="0" w:color="auto"/>
              <w:bottom w:val="single" w:sz="12" w:space="0" w:color="auto"/>
            </w:tcBorders>
            <w:vAlign w:val="center"/>
            <w:hideMark/>
          </w:tcPr>
          <w:p w14:paraId="460BEC72" w14:textId="77777777" w:rsidR="006E6DAB" w:rsidRDefault="006E6DAB">
            <w:r>
              <w:t>Disruption of services and strained supplier relations</w:t>
            </w:r>
          </w:p>
        </w:tc>
      </w:tr>
      <w:tr w:rsidR="006E6DAB" w14:paraId="2B98D419" w14:textId="77777777" w:rsidTr="004D4783">
        <w:trPr>
          <w:tblCellSpacing w:w="15" w:type="dxa"/>
        </w:trPr>
        <w:tc>
          <w:tcPr>
            <w:tcW w:w="0" w:type="auto"/>
            <w:tcBorders>
              <w:top w:val="single" w:sz="12" w:space="0" w:color="auto"/>
              <w:bottom w:val="single" w:sz="12" w:space="0" w:color="auto"/>
            </w:tcBorders>
            <w:vAlign w:val="center"/>
            <w:hideMark/>
          </w:tcPr>
          <w:p w14:paraId="47592AAA" w14:textId="77777777" w:rsidR="006E6DAB" w:rsidRDefault="006E6DAB">
            <w:r>
              <w:t>Statutory remittances</w:t>
            </w:r>
          </w:p>
        </w:tc>
        <w:tc>
          <w:tcPr>
            <w:tcW w:w="0" w:type="auto"/>
            <w:tcBorders>
              <w:top w:val="single" w:sz="12" w:space="0" w:color="auto"/>
              <w:bottom w:val="single" w:sz="12" w:space="0" w:color="auto"/>
            </w:tcBorders>
            <w:vAlign w:val="center"/>
            <w:hideMark/>
          </w:tcPr>
          <w:p w14:paraId="42C694D9" w14:textId="77777777" w:rsidR="006E6DAB" w:rsidRDefault="006E6DAB">
            <w:r>
              <w:t>Delayed remittances (PAYE, NSSF, NHIF, pensions)</w:t>
            </w:r>
          </w:p>
        </w:tc>
        <w:tc>
          <w:tcPr>
            <w:tcW w:w="0" w:type="auto"/>
            <w:tcBorders>
              <w:top w:val="single" w:sz="12" w:space="0" w:color="auto"/>
              <w:bottom w:val="single" w:sz="12" w:space="0" w:color="auto"/>
            </w:tcBorders>
            <w:vAlign w:val="center"/>
            <w:hideMark/>
          </w:tcPr>
          <w:p w14:paraId="5749218C" w14:textId="77777777" w:rsidR="006E6DAB" w:rsidRDefault="006E6DAB">
            <w:r>
              <w:t>Risk of penalties and legal action</w:t>
            </w:r>
          </w:p>
        </w:tc>
      </w:tr>
      <w:tr w:rsidR="006E6DAB" w14:paraId="607172A4" w14:textId="77777777" w:rsidTr="004D4783">
        <w:trPr>
          <w:tblCellSpacing w:w="15" w:type="dxa"/>
        </w:trPr>
        <w:tc>
          <w:tcPr>
            <w:tcW w:w="0" w:type="auto"/>
            <w:tcBorders>
              <w:bottom w:val="single" w:sz="12" w:space="0" w:color="auto"/>
            </w:tcBorders>
            <w:vAlign w:val="center"/>
            <w:hideMark/>
          </w:tcPr>
          <w:p w14:paraId="210D8D90" w14:textId="77777777" w:rsidR="006E6DAB" w:rsidRDefault="006E6DAB">
            <w:r>
              <w:t>Operational costs</w:t>
            </w:r>
          </w:p>
        </w:tc>
        <w:tc>
          <w:tcPr>
            <w:tcW w:w="0" w:type="auto"/>
            <w:tcBorders>
              <w:bottom w:val="single" w:sz="12" w:space="0" w:color="auto"/>
            </w:tcBorders>
            <w:vAlign w:val="center"/>
            <w:hideMark/>
          </w:tcPr>
          <w:p w14:paraId="1FFC95EC" w14:textId="77777777" w:rsidR="006E6DAB" w:rsidRDefault="006E6DAB">
            <w:r>
              <w:t>Rising costs of service delivery</w:t>
            </w:r>
          </w:p>
        </w:tc>
        <w:tc>
          <w:tcPr>
            <w:tcW w:w="0" w:type="auto"/>
            <w:tcBorders>
              <w:bottom w:val="single" w:sz="12" w:space="0" w:color="auto"/>
            </w:tcBorders>
            <w:vAlign w:val="center"/>
            <w:hideMark/>
          </w:tcPr>
          <w:p w14:paraId="38103296" w14:textId="77777777" w:rsidR="006E6DAB" w:rsidRDefault="006E6DAB">
            <w:r>
              <w:t>Increased financial pressure</w:t>
            </w:r>
          </w:p>
        </w:tc>
      </w:tr>
      <w:tr w:rsidR="006E6DAB" w14:paraId="69F04766" w14:textId="77777777" w:rsidTr="004D4783">
        <w:trPr>
          <w:tblCellSpacing w:w="15" w:type="dxa"/>
        </w:trPr>
        <w:tc>
          <w:tcPr>
            <w:tcW w:w="0" w:type="auto"/>
            <w:tcBorders>
              <w:bottom w:val="single" w:sz="12" w:space="0" w:color="auto"/>
            </w:tcBorders>
            <w:vAlign w:val="center"/>
            <w:hideMark/>
          </w:tcPr>
          <w:p w14:paraId="7B47E8B9" w14:textId="77777777" w:rsidR="006E6DAB" w:rsidRDefault="006E6DAB">
            <w:r>
              <w:t>Research financing</w:t>
            </w:r>
          </w:p>
        </w:tc>
        <w:tc>
          <w:tcPr>
            <w:tcW w:w="0" w:type="auto"/>
            <w:tcBorders>
              <w:bottom w:val="single" w:sz="12" w:space="0" w:color="auto"/>
            </w:tcBorders>
            <w:vAlign w:val="center"/>
            <w:hideMark/>
          </w:tcPr>
          <w:p w14:paraId="10B7F7AC" w14:textId="77777777" w:rsidR="006E6DAB" w:rsidRDefault="006E6DAB">
            <w:r>
              <w:t>Limited funding for research activities</w:t>
            </w:r>
          </w:p>
        </w:tc>
        <w:tc>
          <w:tcPr>
            <w:tcW w:w="0" w:type="auto"/>
            <w:tcBorders>
              <w:bottom w:val="single" w:sz="12" w:space="0" w:color="auto"/>
            </w:tcBorders>
            <w:vAlign w:val="center"/>
            <w:hideMark/>
          </w:tcPr>
          <w:p w14:paraId="7CA53BB3" w14:textId="77777777" w:rsidR="006E6DAB" w:rsidRDefault="006E6DAB">
            <w:r>
              <w:t>Weak research output and innovation</w:t>
            </w:r>
          </w:p>
        </w:tc>
      </w:tr>
      <w:tr w:rsidR="006E6DAB" w14:paraId="7E5A2A53" w14:textId="77777777" w:rsidTr="004D4783">
        <w:trPr>
          <w:tblCellSpacing w:w="15" w:type="dxa"/>
        </w:trPr>
        <w:tc>
          <w:tcPr>
            <w:tcW w:w="0" w:type="auto"/>
            <w:tcBorders>
              <w:bottom w:val="single" w:sz="12" w:space="0" w:color="auto"/>
            </w:tcBorders>
            <w:vAlign w:val="center"/>
            <w:hideMark/>
          </w:tcPr>
          <w:p w14:paraId="41EFFA2F" w14:textId="77777777" w:rsidR="006E6DAB" w:rsidRDefault="006E6DAB">
            <w:r>
              <w:t>Student fee receivables</w:t>
            </w:r>
          </w:p>
        </w:tc>
        <w:tc>
          <w:tcPr>
            <w:tcW w:w="0" w:type="auto"/>
            <w:tcBorders>
              <w:bottom w:val="single" w:sz="12" w:space="0" w:color="auto"/>
            </w:tcBorders>
            <w:vAlign w:val="center"/>
            <w:hideMark/>
          </w:tcPr>
          <w:p w14:paraId="2E5DA6A8" w14:textId="77777777" w:rsidR="006E6DAB" w:rsidRDefault="006E6DAB">
            <w:r>
              <w:t xml:space="preserve">Outstanding fees exceeding </w:t>
            </w:r>
            <w:proofErr w:type="spellStart"/>
            <w:r>
              <w:t>KSh</w:t>
            </w:r>
            <w:proofErr w:type="spellEnd"/>
            <w:r>
              <w:t xml:space="preserve"> 3.17 billion</w:t>
            </w:r>
          </w:p>
        </w:tc>
        <w:tc>
          <w:tcPr>
            <w:tcW w:w="0" w:type="auto"/>
            <w:tcBorders>
              <w:bottom w:val="single" w:sz="12" w:space="0" w:color="auto"/>
            </w:tcBorders>
            <w:vAlign w:val="center"/>
            <w:hideMark/>
          </w:tcPr>
          <w:p w14:paraId="59CF3CBE" w14:textId="77777777" w:rsidR="006E6DAB" w:rsidRDefault="006E6DAB">
            <w:r>
              <w:t>Weak revenue collection and worsening cash flow</w:t>
            </w:r>
          </w:p>
        </w:tc>
      </w:tr>
    </w:tbl>
    <w:p w14:paraId="6416A22B" w14:textId="77777777" w:rsidR="006E6DAB" w:rsidRDefault="006E6DAB" w:rsidP="004D4783">
      <w:pPr>
        <w:pStyle w:val="NormalWeb"/>
        <w:jc w:val="both"/>
      </w:pPr>
      <w:r>
        <w:t>Table 2 demonstrates that universities are unable to maintain financial stability due to persistent liquidity challenges, unpaid obligations, and weak revenue collection systems. These findings suggest that current financing arrangements do not adequately support sustainable higher education operations in Kenya.</w:t>
      </w:r>
    </w:p>
    <w:p w14:paraId="53583ABD" w14:textId="0DDF4EA9" w:rsidR="006E6DAB" w:rsidRDefault="006E6DAB" w:rsidP="006E6DAB"/>
    <w:p w14:paraId="7AD24CCF" w14:textId="77777777" w:rsidR="006E6DAB" w:rsidRPr="004D4783" w:rsidRDefault="006E6DAB" w:rsidP="006E6DAB">
      <w:pPr>
        <w:pStyle w:val="Heading2"/>
        <w:rPr>
          <w:rFonts w:ascii="Times New Roman" w:hAnsi="Times New Roman" w:cs="Times New Roman"/>
          <w:color w:val="auto"/>
          <w:sz w:val="24"/>
          <w:szCs w:val="24"/>
        </w:rPr>
      </w:pPr>
      <w:r w:rsidRPr="004D4783">
        <w:rPr>
          <w:rStyle w:val="Strong"/>
          <w:rFonts w:ascii="Times New Roman" w:hAnsi="Times New Roman" w:cs="Times New Roman"/>
          <w:color w:val="auto"/>
          <w:sz w:val="24"/>
          <w:szCs w:val="24"/>
        </w:rPr>
        <w:t>4.3 Relationship Between Funding Models and Institutional Debt Levels</w:t>
      </w:r>
    </w:p>
    <w:p w14:paraId="70D98D78" w14:textId="77777777" w:rsidR="006E6DAB" w:rsidRDefault="006E6DAB" w:rsidP="004D4783">
      <w:pPr>
        <w:pStyle w:val="NormalWeb"/>
        <w:jc w:val="both"/>
      </w:pPr>
      <w:r>
        <w:t xml:space="preserve">The findings established a strong relationship between the current funding models and the rising debt burden among public universities. Overreliance on government allocations and tuition fees exposes universities to financial shocks caused by delayed government disbursements and unpaid tuition balances. This results in increasing pending bills, borrowing, and failure to remit statutory deductions. Standard Media (2026) reported that pending bills among public universities reached </w:t>
      </w:r>
      <w:proofErr w:type="spellStart"/>
      <w:r>
        <w:t>KSh</w:t>
      </w:r>
      <w:proofErr w:type="spellEnd"/>
      <w:r>
        <w:t xml:space="preserve"> 98 billion by the end of 2025, reflecting the magnitude of financial distress in the sector.</w:t>
      </w:r>
    </w:p>
    <w:p w14:paraId="65152090" w14:textId="77777777" w:rsidR="006E6DAB" w:rsidRDefault="006E6DAB" w:rsidP="004D4783">
      <w:pPr>
        <w:pStyle w:val="NormalWeb"/>
        <w:jc w:val="both"/>
      </w:pPr>
      <w:r>
        <w:t xml:space="preserve">In addition, institutional reports indicate that major universities have accumulated significant debt. Kenyatta University and the University of Nairobi were each reported to have debts exceeding </w:t>
      </w:r>
      <w:proofErr w:type="spellStart"/>
      <w:r>
        <w:t>KSh</w:t>
      </w:r>
      <w:proofErr w:type="spellEnd"/>
      <w:r>
        <w:t xml:space="preserve"> 12 billion, while JKUAT recorded liabilities above </w:t>
      </w:r>
      <w:proofErr w:type="spellStart"/>
      <w:r>
        <w:t>KSh</w:t>
      </w:r>
      <w:proofErr w:type="spellEnd"/>
      <w:r>
        <w:t xml:space="preserve"> 9 billion (The Star, 2025; </w:t>
      </w:r>
      <w:proofErr w:type="spellStart"/>
      <w:r>
        <w:t>Uzalendo</w:t>
      </w:r>
      <w:proofErr w:type="spellEnd"/>
      <w:r>
        <w:t xml:space="preserve"> News, 2025). Parliamentary briefings further estimated that the total liabilities across public universities may exceed </w:t>
      </w:r>
      <w:proofErr w:type="spellStart"/>
      <w:r>
        <w:t>KSh</w:t>
      </w:r>
      <w:proofErr w:type="spellEnd"/>
      <w:r>
        <w:t xml:space="preserve"> 100 billion, raising serious insolvency concerns (Citizen Digital, 2026). A summary of reported debt levels is presented in Table 3.</w:t>
      </w:r>
    </w:p>
    <w:p w14:paraId="768F2AC5" w14:textId="77777777" w:rsidR="006E6DAB" w:rsidRDefault="006E6DAB" w:rsidP="006E6DAB">
      <w:pPr>
        <w:pStyle w:val="NormalWeb"/>
      </w:pPr>
      <w:r>
        <w:rPr>
          <w:rStyle w:val="Strong"/>
        </w:rPr>
        <w:t>Table 3</w:t>
      </w:r>
      <w:r>
        <w:br/>
      </w:r>
      <w:r>
        <w:rPr>
          <w:rStyle w:val="Emphasis"/>
          <w:rFonts w:eastAsia="SimSun"/>
        </w:rPr>
        <w:t>Reported Institutional Debt Levels in Selected Public Universities in Kenya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1"/>
        <w:gridCol w:w="1992"/>
        <w:gridCol w:w="1376"/>
        <w:gridCol w:w="2132"/>
      </w:tblGrid>
      <w:tr w:rsidR="006E6DAB" w14:paraId="2A90F343" w14:textId="77777777" w:rsidTr="001B32BE">
        <w:trPr>
          <w:tblHeader/>
          <w:tblCellSpacing w:w="15" w:type="dxa"/>
        </w:trPr>
        <w:tc>
          <w:tcPr>
            <w:tcW w:w="0" w:type="auto"/>
            <w:tcBorders>
              <w:bottom w:val="single" w:sz="12" w:space="0" w:color="000000"/>
            </w:tcBorders>
            <w:vAlign w:val="center"/>
            <w:hideMark/>
          </w:tcPr>
          <w:p w14:paraId="6D68CE6F" w14:textId="77777777" w:rsidR="006E6DAB" w:rsidRDefault="006E6DAB">
            <w:pPr>
              <w:jc w:val="center"/>
              <w:rPr>
                <w:b/>
                <w:bCs/>
              </w:rPr>
            </w:pPr>
            <w:r>
              <w:rPr>
                <w:b/>
                <w:bCs/>
              </w:rPr>
              <w:lastRenderedPageBreak/>
              <w:t>University / Sector</w:t>
            </w:r>
          </w:p>
        </w:tc>
        <w:tc>
          <w:tcPr>
            <w:tcW w:w="0" w:type="auto"/>
            <w:tcBorders>
              <w:bottom w:val="single" w:sz="12" w:space="0" w:color="000000"/>
            </w:tcBorders>
            <w:vAlign w:val="center"/>
            <w:hideMark/>
          </w:tcPr>
          <w:p w14:paraId="68C476BA" w14:textId="77777777" w:rsidR="006E6DAB" w:rsidRDefault="006E6DAB">
            <w:pPr>
              <w:jc w:val="center"/>
              <w:rPr>
                <w:b/>
                <w:bCs/>
              </w:rPr>
            </w:pPr>
            <w:r>
              <w:rPr>
                <w:b/>
                <w:bCs/>
              </w:rPr>
              <w:t>Reported Debt Level</w:t>
            </w:r>
          </w:p>
        </w:tc>
        <w:tc>
          <w:tcPr>
            <w:tcW w:w="0" w:type="auto"/>
            <w:tcBorders>
              <w:bottom w:val="single" w:sz="12" w:space="0" w:color="000000"/>
            </w:tcBorders>
            <w:vAlign w:val="center"/>
            <w:hideMark/>
          </w:tcPr>
          <w:p w14:paraId="540BA7E5" w14:textId="77777777" w:rsidR="006E6DAB" w:rsidRDefault="006E6DAB">
            <w:pPr>
              <w:jc w:val="center"/>
              <w:rPr>
                <w:b/>
                <w:bCs/>
              </w:rPr>
            </w:pPr>
            <w:r>
              <w:rPr>
                <w:b/>
                <w:bCs/>
              </w:rPr>
              <w:t>Year Reported</w:t>
            </w:r>
          </w:p>
        </w:tc>
        <w:tc>
          <w:tcPr>
            <w:tcW w:w="0" w:type="auto"/>
            <w:tcBorders>
              <w:bottom w:val="single" w:sz="12" w:space="0" w:color="000000"/>
            </w:tcBorders>
            <w:vAlign w:val="center"/>
            <w:hideMark/>
          </w:tcPr>
          <w:p w14:paraId="5E34CC5D" w14:textId="77777777" w:rsidR="006E6DAB" w:rsidRDefault="006E6DAB">
            <w:pPr>
              <w:jc w:val="center"/>
              <w:rPr>
                <w:b/>
                <w:bCs/>
              </w:rPr>
            </w:pPr>
            <w:r>
              <w:rPr>
                <w:b/>
                <w:bCs/>
              </w:rPr>
              <w:t>Source</w:t>
            </w:r>
          </w:p>
        </w:tc>
      </w:tr>
      <w:tr w:rsidR="006E6DAB" w14:paraId="59959B2D" w14:textId="77777777" w:rsidTr="001B32BE">
        <w:trPr>
          <w:tblCellSpacing w:w="15" w:type="dxa"/>
        </w:trPr>
        <w:tc>
          <w:tcPr>
            <w:tcW w:w="0" w:type="auto"/>
            <w:tcBorders>
              <w:bottom w:val="single" w:sz="12" w:space="0" w:color="000000"/>
            </w:tcBorders>
            <w:vAlign w:val="center"/>
            <w:hideMark/>
          </w:tcPr>
          <w:p w14:paraId="15D12543" w14:textId="77777777" w:rsidR="006E6DAB" w:rsidRDefault="006E6DAB">
            <w:r>
              <w:t>Kenyatta University</w:t>
            </w:r>
          </w:p>
        </w:tc>
        <w:tc>
          <w:tcPr>
            <w:tcW w:w="0" w:type="auto"/>
            <w:tcBorders>
              <w:bottom w:val="single" w:sz="12" w:space="0" w:color="000000"/>
            </w:tcBorders>
            <w:vAlign w:val="center"/>
            <w:hideMark/>
          </w:tcPr>
          <w:p w14:paraId="138F3F9A" w14:textId="77777777" w:rsidR="006E6DAB" w:rsidRDefault="006E6DAB">
            <w:r>
              <w:t xml:space="preserve">Above </w:t>
            </w:r>
            <w:proofErr w:type="spellStart"/>
            <w:r>
              <w:t>KSh</w:t>
            </w:r>
            <w:proofErr w:type="spellEnd"/>
            <w:r>
              <w:t xml:space="preserve"> 12 billion</w:t>
            </w:r>
          </w:p>
        </w:tc>
        <w:tc>
          <w:tcPr>
            <w:tcW w:w="0" w:type="auto"/>
            <w:tcBorders>
              <w:bottom w:val="single" w:sz="12" w:space="0" w:color="000000"/>
            </w:tcBorders>
            <w:vAlign w:val="center"/>
            <w:hideMark/>
          </w:tcPr>
          <w:p w14:paraId="7987BCA0" w14:textId="77777777" w:rsidR="006E6DAB" w:rsidRDefault="006E6DAB">
            <w:r>
              <w:t>2025</w:t>
            </w:r>
          </w:p>
        </w:tc>
        <w:tc>
          <w:tcPr>
            <w:tcW w:w="0" w:type="auto"/>
            <w:tcBorders>
              <w:bottom w:val="single" w:sz="12" w:space="0" w:color="000000"/>
            </w:tcBorders>
            <w:vAlign w:val="center"/>
            <w:hideMark/>
          </w:tcPr>
          <w:p w14:paraId="675C437A" w14:textId="77777777" w:rsidR="006E6DAB" w:rsidRDefault="006E6DAB">
            <w:r>
              <w:t>The Star (2025)</w:t>
            </w:r>
          </w:p>
        </w:tc>
      </w:tr>
      <w:tr w:rsidR="006E6DAB" w14:paraId="39EFE390" w14:textId="77777777" w:rsidTr="001B32BE">
        <w:trPr>
          <w:tblCellSpacing w:w="15" w:type="dxa"/>
        </w:trPr>
        <w:tc>
          <w:tcPr>
            <w:tcW w:w="0" w:type="auto"/>
            <w:tcBorders>
              <w:bottom w:val="single" w:sz="12" w:space="0" w:color="000000"/>
            </w:tcBorders>
            <w:vAlign w:val="center"/>
            <w:hideMark/>
          </w:tcPr>
          <w:p w14:paraId="5B6EF0DA" w14:textId="77777777" w:rsidR="006E6DAB" w:rsidRDefault="006E6DAB">
            <w:r>
              <w:t>University of Nairobi</w:t>
            </w:r>
          </w:p>
        </w:tc>
        <w:tc>
          <w:tcPr>
            <w:tcW w:w="0" w:type="auto"/>
            <w:tcBorders>
              <w:bottom w:val="single" w:sz="12" w:space="0" w:color="000000"/>
            </w:tcBorders>
            <w:vAlign w:val="center"/>
            <w:hideMark/>
          </w:tcPr>
          <w:p w14:paraId="4A1ABD6D" w14:textId="77777777" w:rsidR="006E6DAB" w:rsidRDefault="006E6DAB">
            <w:r>
              <w:t xml:space="preserve">Above </w:t>
            </w:r>
            <w:proofErr w:type="spellStart"/>
            <w:r>
              <w:t>KSh</w:t>
            </w:r>
            <w:proofErr w:type="spellEnd"/>
            <w:r>
              <w:t xml:space="preserve"> 12 billion</w:t>
            </w:r>
          </w:p>
        </w:tc>
        <w:tc>
          <w:tcPr>
            <w:tcW w:w="0" w:type="auto"/>
            <w:tcBorders>
              <w:bottom w:val="single" w:sz="12" w:space="0" w:color="000000"/>
            </w:tcBorders>
            <w:vAlign w:val="center"/>
            <w:hideMark/>
          </w:tcPr>
          <w:p w14:paraId="7EE1DD74" w14:textId="77777777" w:rsidR="006E6DAB" w:rsidRDefault="006E6DAB">
            <w:r>
              <w:t>2025</w:t>
            </w:r>
          </w:p>
        </w:tc>
        <w:tc>
          <w:tcPr>
            <w:tcW w:w="0" w:type="auto"/>
            <w:tcBorders>
              <w:bottom w:val="single" w:sz="12" w:space="0" w:color="000000"/>
            </w:tcBorders>
            <w:vAlign w:val="center"/>
            <w:hideMark/>
          </w:tcPr>
          <w:p w14:paraId="39F9A9B2" w14:textId="77777777" w:rsidR="006E6DAB" w:rsidRDefault="006E6DAB">
            <w:r>
              <w:t>The Star (2025)</w:t>
            </w:r>
          </w:p>
        </w:tc>
      </w:tr>
      <w:tr w:rsidR="006E6DAB" w14:paraId="09C2035A" w14:textId="77777777" w:rsidTr="001B32BE">
        <w:trPr>
          <w:tblCellSpacing w:w="15" w:type="dxa"/>
        </w:trPr>
        <w:tc>
          <w:tcPr>
            <w:tcW w:w="0" w:type="auto"/>
            <w:tcBorders>
              <w:bottom w:val="single" w:sz="12" w:space="0" w:color="000000"/>
            </w:tcBorders>
            <w:vAlign w:val="center"/>
            <w:hideMark/>
          </w:tcPr>
          <w:p w14:paraId="42F9D33E" w14:textId="77777777" w:rsidR="006E6DAB" w:rsidRDefault="006E6DAB">
            <w:r>
              <w:t>JKUAT</w:t>
            </w:r>
          </w:p>
        </w:tc>
        <w:tc>
          <w:tcPr>
            <w:tcW w:w="0" w:type="auto"/>
            <w:tcBorders>
              <w:bottom w:val="single" w:sz="12" w:space="0" w:color="000000"/>
            </w:tcBorders>
            <w:vAlign w:val="center"/>
            <w:hideMark/>
          </w:tcPr>
          <w:p w14:paraId="0529D9C1" w14:textId="77777777" w:rsidR="006E6DAB" w:rsidRDefault="006E6DAB">
            <w:r>
              <w:t xml:space="preserve">Above </w:t>
            </w:r>
            <w:proofErr w:type="spellStart"/>
            <w:r>
              <w:t>KSh</w:t>
            </w:r>
            <w:proofErr w:type="spellEnd"/>
            <w:r>
              <w:t xml:space="preserve"> 9 billion</w:t>
            </w:r>
          </w:p>
        </w:tc>
        <w:tc>
          <w:tcPr>
            <w:tcW w:w="0" w:type="auto"/>
            <w:tcBorders>
              <w:bottom w:val="single" w:sz="12" w:space="0" w:color="000000"/>
            </w:tcBorders>
            <w:vAlign w:val="center"/>
            <w:hideMark/>
          </w:tcPr>
          <w:p w14:paraId="319367A1" w14:textId="77777777" w:rsidR="006E6DAB" w:rsidRDefault="006E6DAB">
            <w:r>
              <w:t>2025</w:t>
            </w:r>
          </w:p>
        </w:tc>
        <w:tc>
          <w:tcPr>
            <w:tcW w:w="0" w:type="auto"/>
            <w:tcBorders>
              <w:bottom w:val="single" w:sz="12" w:space="0" w:color="000000"/>
            </w:tcBorders>
            <w:vAlign w:val="center"/>
            <w:hideMark/>
          </w:tcPr>
          <w:p w14:paraId="7EFB4CE6" w14:textId="77777777" w:rsidR="006E6DAB" w:rsidRDefault="006E6DAB">
            <w:proofErr w:type="spellStart"/>
            <w:r>
              <w:t>Uzalendo</w:t>
            </w:r>
            <w:proofErr w:type="spellEnd"/>
            <w:r>
              <w:t xml:space="preserve"> News (2025)</w:t>
            </w:r>
          </w:p>
        </w:tc>
      </w:tr>
      <w:tr w:rsidR="006E6DAB" w14:paraId="097B2EC0" w14:textId="77777777" w:rsidTr="001B32BE">
        <w:trPr>
          <w:tblCellSpacing w:w="15" w:type="dxa"/>
        </w:trPr>
        <w:tc>
          <w:tcPr>
            <w:tcW w:w="0" w:type="auto"/>
            <w:tcBorders>
              <w:bottom w:val="single" w:sz="12" w:space="0" w:color="000000"/>
            </w:tcBorders>
            <w:vAlign w:val="center"/>
            <w:hideMark/>
          </w:tcPr>
          <w:p w14:paraId="73074778" w14:textId="77777777" w:rsidR="006E6DAB" w:rsidRDefault="006E6DAB">
            <w:r>
              <w:t>Public universities (pending bills)</w:t>
            </w:r>
          </w:p>
        </w:tc>
        <w:tc>
          <w:tcPr>
            <w:tcW w:w="0" w:type="auto"/>
            <w:tcBorders>
              <w:bottom w:val="single" w:sz="12" w:space="0" w:color="000000"/>
            </w:tcBorders>
            <w:vAlign w:val="center"/>
            <w:hideMark/>
          </w:tcPr>
          <w:p w14:paraId="794DB423" w14:textId="77777777" w:rsidR="006E6DAB" w:rsidRDefault="006E6DAB">
            <w:proofErr w:type="spellStart"/>
            <w:r>
              <w:t>KSh</w:t>
            </w:r>
            <w:proofErr w:type="spellEnd"/>
            <w:r>
              <w:t xml:space="preserve"> 98 billion</w:t>
            </w:r>
          </w:p>
        </w:tc>
        <w:tc>
          <w:tcPr>
            <w:tcW w:w="0" w:type="auto"/>
            <w:tcBorders>
              <w:bottom w:val="single" w:sz="12" w:space="0" w:color="000000"/>
            </w:tcBorders>
            <w:vAlign w:val="center"/>
            <w:hideMark/>
          </w:tcPr>
          <w:p w14:paraId="35049222" w14:textId="77777777" w:rsidR="006E6DAB" w:rsidRDefault="006E6DAB">
            <w:r>
              <w:t>2025</w:t>
            </w:r>
          </w:p>
        </w:tc>
        <w:tc>
          <w:tcPr>
            <w:tcW w:w="0" w:type="auto"/>
            <w:tcBorders>
              <w:bottom w:val="single" w:sz="12" w:space="0" w:color="000000"/>
            </w:tcBorders>
            <w:vAlign w:val="center"/>
            <w:hideMark/>
          </w:tcPr>
          <w:p w14:paraId="0B670017" w14:textId="77777777" w:rsidR="006E6DAB" w:rsidRDefault="006E6DAB">
            <w:r>
              <w:t>Standard Media (2026)</w:t>
            </w:r>
          </w:p>
        </w:tc>
      </w:tr>
      <w:tr w:rsidR="006E6DAB" w14:paraId="07758137" w14:textId="77777777" w:rsidTr="001B32BE">
        <w:trPr>
          <w:tblCellSpacing w:w="15" w:type="dxa"/>
        </w:trPr>
        <w:tc>
          <w:tcPr>
            <w:tcW w:w="0" w:type="auto"/>
            <w:tcBorders>
              <w:bottom w:val="single" w:sz="12" w:space="0" w:color="000000"/>
            </w:tcBorders>
            <w:vAlign w:val="center"/>
            <w:hideMark/>
          </w:tcPr>
          <w:p w14:paraId="55BD3EA9" w14:textId="77777777" w:rsidR="006E6DAB" w:rsidRDefault="006E6DAB">
            <w:r>
              <w:t>Total liabilities (national estimate)</w:t>
            </w:r>
          </w:p>
        </w:tc>
        <w:tc>
          <w:tcPr>
            <w:tcW w:w="0" w:type="auto"/>
            <w:tcBorders>
              <w:bottom w:val="single" w:sz="12" w:space="0" w:color="000000"/>
            </w:tcBorders>
            <w:vAlign w:val="center"/>
            <w:hideMark/>
          </w:tcPr>
          <w:p w14:paraId="5819BB1A" w14:textId="77777777" w:rsidR="006E6DAB" w:rsidRDefault="006E6DAB">
            <w:r>
              <w:t xml:space="preserve">Above </w:t>
            </w:r>
            <w:proofErr w:type="spellStart"/>
            <w:r>
              <w:t>KSh</w:t>
            </w:r>
            <w:proofErr w:type="spellEnd"/>
            <w:r>
              <w:t xml:space="preserve"> 100 billion</w:t>
            </w:r>
          </w:p>
        </w:tc>
        <w:tc>
          <w:tcPr>
            <w:tcW w:w="0" w:type="auto"/>
            <w:tcBorders>
              <w:bottom w:val="single" w:sz="12" w:space="0" w:color="000000"/>
            </w:tcBorders>
            <w:vAlign w:val="center"/>
            <w:hideMark/>
          </w:tcPr>
          <w:p w14:paraId="6E2BA8E3" w14:textId="77777777" w:rsidR="006E6DAB" w:rsidRDefault="006E6DAB">
            <w:r>
              <w:t>2026</w:t>
            </w:r>
          </w:p>
        </w:tc>
        <w:tc>
          <w:tcPr>
            <w:tcW w:w="0" w:type="auto"/>
            <w:tcBorders>
              <w:bottom w:val="single" w:sz="12" w:space="0" w:color="000000"/>
            </w:tcBorders>
            <w:vAlign w:val="center"/>
            <w:hideMark/>
          </w:tcPr>
          <w:p w14:paraId="1BFB0181" w14:textId="77777777" w:rsidR="006E6DAB" w:rsidRDefault="006E6DAB">
            <w:r>
              <w:t>Citizen Digital (2026)</w:t>
            </w:r>
          </w:p>
        </w:tc>
      </w:tr>
    </w:tbl>
    <w:p w14:paraId="41EADC2B" w14:textId="77777777" w:rsidR="006E6DAB" w:rsidRDefault="006E6DAB" w:rsidP="001B32BE">
      <w:pPr>
        <w:pStyle w:val="NormalWeb"/>
        <w:jc w:val="both"/>
      </w:pPr>
      <w:r>
        <w:t>As indicated in Table 3, the debt burden among public universities is significantly high, particularly in major institutions. This suggests that the existing funding model is not sustainable, especially for universities that lack effective revenue diversification strategies.</w:t>
      </w:r>
    </w:p>
    <w:p w14:paraId="6A0D3882" w14:textId="77777777" w:rsidR="006E6DAB" w:rsidRDefault="006E6DAB" w:rsidP="001B32BE">
      <w:pPr>
        <w:pStyle w:val="NormalWeb"/>
        <w:jc w:val="both"/>
      </w:pPr>
      <w:r>
        <w:t>Further analysis revealed that debt accumulation is strongly influenced by delayed government disbursement, student fee arrears, rising operational costs, and weak revenue diversification. These relationships are summarized in Table 4.</w:t>
      </w:r>
    </w:p>
    <w:p w14:paraId="183DB9BB" w14:textId="77777777" w:rsidR="006E6DAB" w:rsidRDefault="006E6DAB" w:rsidP="006E6DAB">
      <w:pPr>
        <w:pStyle w:val="NormalWeb"/>
      </w:pPr>
      <w:r>
        <w:rPr>
          <w:rStyle w:val="Strong"/>
        </w:rPr>
        <w:t>Table 4</w:t>
      </w:r>
      <w:r>
        <w:br/>
      </w:r>
      <w:r>
        <w:rPr>
          <w:rStyle w:val="Emphasis"/>
          <w:rFonts w:eastAsia="SimSun"/>
        </w:rPr>
        <w:t>Relationship Between Funding Model Dependence and Debt Accumulation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4"/>
        <w:gridCol w:w="3335"/>
        <w:gridCol w:w="3121"/>
      </w:tblGrid>
      <w:tr w:rsidR="006E6DAB" w14:paraId="5E1E9DEF" w14:textId="77777777" w:rsidTr="004D4783">
        <w:trPr>
          <w:tblHeader/>
          <w:tblCellSpacing w:w="15" w:type="dxa"/>
        </w:trPr>
        <w:tc>
          <w:tcPr>
            <w:tcW w:w="0" w:type="auto"/>
            <w:tcBorders>
              <w:bottom w:val="single" w:sz="12" w:space="0" w:color="auto"/>
            </w:tcBorders>
            <w:vAlign w:val="center"/>
            <w:hideMark/>
          </w:tcPr>
          <w:p w14:paraId="130B00FF" w14:textId="77777777" w:rsidR="006E6DAB" w:rsidRDefault="006E6DAB">
            <w:pPr>
              <w:jc w:val="center"/>
              <w:rPr>
                <w:b/>
                <w:bCs/>
              </w:rPr>
            </w:pPr>
            <w:r>
              <w:rPr>
                <w:b/>
                <w:bCs/>
              </w:rPr>
              <w:t>Key Factor</w:t>
            </w:r>
          </w:p>
        </w:tc>
        <w:tc>
          <w:tcPr>
            <w:tcW w:w="0" w:type="auto"/>
            <w:tcBorders>
              <w:bottom w:val="single" w:sz="12" w:space="0" w:color="auto"/>
            </w:tcBorders>
            <w:vAlign w:val="center"/>
            <w:hideMark/>
          </w:tcPr>
          <w:p w14:paraId="2831E3BF" w14:textId="77777777" w:rsidR="006E6DAB" w:rsidRDefault="006E6DAB">
            <w:pPr>
              <w:jc w:val="center"/>
              <w:rPr>
                <w:b/>
                <w:bCs/>
              </w:rPr>
            </w:pPr>
            <w:r>
              <w:rPr>
                <w:b/>
                <w:bCs/>
              </w:rPr>
              <w:t>Observed Situation</w:t>
            </w:r>
          </w:p>
        </w:tc>
        <w:tc>
          <w:tcPr>
            <w:tcW w:w="0" w:type="auto"/>
            <w:tcBorders>
              <w:bottom w:val="single" w:sz="12" w:space="0" w:color="auto"/>
            </w:tcBorders>
            <w:vAlign w:val="center"/>
            <w:hideMark/>
          </w:tcPr>
          <w:p w14:paraId="1CFAD734" w14:textId="77777777" w:rsidR="006E6DAB" w:rsidRDefault="006E6DAB">
            <w:pPr>
              <w:jc w:val="center"/>
              <w:rPr>
                <w:b/>
                <w:bCs/>
              </w:rPr>
            </w:pPr>
            <w:r>
              <w:rPr>
                <w:b/>
                <w:bCs/>
              </w:rPr>
              <w:t>Resulting Debt Outcome</w:t>
            </w:r>
          </w:p>
        </w:tc>
      </w:tr>
      <w:tr w:rsidR="006E6DAB" w14:paraId="0617A7F4" w14:textId="77777777" w:rsidTr="004D4783">
        <w:trPr>
          <w:tblCellSpacing w:w="15" w:type="dxa"/>
        </w:trPr>
        <w:tc>
          <w:tcPr>
            <w:tcW w:w="0" w:type="auto"/>
            <w:tcBorders>
              <w:bottom w:val="single" w:sz="12" w:space="0" w:color="auto"/>
            </w:tcBorders>
            <w:vAlign w:val="center"/>
            <w:hideMark/>
          </w:tcPr>
          <w:p w14:paraId="579DD4EE" w14:textId="77777777" w:rsidR="006E6DAB" w:rsidRDefault="006E6DAB">
            <w:r>
              <w:t>Overreliance on government funding</w:t>
            </w:r>
          </w:p>
        </w:tc>
        <w:tc>
          <w:tcPr>
            <w:tcW w:w="0" w:type="auto"/>
            <w:tcBorders>
              <w:bottom w:val="single" w:sz="12" w:space="0" w:color="auto"/>
            </w:tcBorders>
            <w:vAlign w:val="center"/>
            <w:hideMark/>
          </w:tcPr>
          <w:p w14:paraId="5CFE9902" w14:textId="77777777" w:rsidR="006E6DAB" w:rsidRDefault="006E6DAB">
            <w:r>
              <w:t>Delayed and inadequate allocations</w:t>
            </w:r>
          </w:p>
        </w:tc>
        <w:tc>
          <w:tcPr>
            <w:tcW w:w="0" w:type="auto"/>
            <w:tcBorders>
              <w:bottom w:val="single" w:sz="12" w:space="0" w:color="auto"/>
            </w:tcBorders>
            <w:vAlign w:val="center"/>
            <w:hideMark/>
          </w:tcPr>
          <w:p w14:paraId="2E40C6CE" w14:textId="77777777" w:rsidR="006E6DAB" w:rsidRDefault="006E6DAB">
            <w:r>
              <w:t>Increased pending bills and borrowing</w:t>
            </w:r>
          </w:p>
        </w:tc>
      </w:tr>
      <w:tr w:rsidR="006E6DAB" w14:paraId="72814A35" w14:textId="77777777" w:rsidTr="004D4783">
        <w:trPr>
          <w:tblCellSpacing w:w="15" w:type="dxa"/>
        </w:trPr>
        <w:tc>
          <w:tcPr>
            <w:tcW w:w="0" w:type="auto"/>
            <w:tcBorders>
              <w:bottom w:val="single" w:sz="12" w:space="0" w:color="auto"/>
            </w:tcBorders>
            <w:vAlign w:val="center"/>
            <w:hideMark/>
          </w:tcPr>
          <w:p w14:paraId="5492EA52" w14:textId="77777777" w:rsidR="006E6DAB" w:rsidRDefault="006E6DAB">
            <w:r>
              <w:t>Overdependence on tuition fees</w:t>
            </w:r>
          </w:p>
        </w:tc>
        <w:tc>
          <w:tcPr>
            <w:tcW w:w="0" w:type="auto"/>
            <w:tcBorders>
              <w:bottom w:val="single" w:sz="12" w:space="0" w:color="auto"/>
            </w:tcBorders>
            <w:vAlign w:val="center"/>
            <w:hideMark/>
          </w:tcPr>
          <w:p w14:paraId="23342BD9" w14:textId="77777777" w:rsidR="006E6DAB" w:rsidRDefault="006E6DAB">
            <w:r>
              <w:t>Fee arrears and declining affordability</w:t>
            </w:r>
          </w:p>
        </w:tc>
        <w:tc>
          <w:tcPr>
            <w:tcW w:w="0" w:type="auto"/>
            <w:tcBorders>
              <w:bottom w:val="single" w:sz="12" w:space="0" w:color="auto"/>
            </w:tcBorders>
            <w:vAlign w:val="center"/>
            <w:hideMark/>
          </w:tcPr>
          <w:p w14:paraId="2382F86E" w14:textId="77777777" w:rsidR="006E6DAB" w:rsidRDefault="006E6DAB">
            <w:r>
              <w:t>Cash flow gaps and unpaid obligations</w:t>
            </w:r>
          </w:p>
        </w:tc>
      </w:tr>
      <w:tr w:rsidR="006E6DAB" w14:paraId="29233BAE" w14:textId="77777777" w:rsidTr="004D4783">
        <w:trPr>
          <w:tblCellSpacing w:w="15" w:type="dxa"/>
        </w:trPr>
        <w:tc>
          <w:tcPr>
            <w:tcW w:w="0" w:type="auto"/>
            <w:tcBorders>
              <w:bottom w:val="single" w:sz="12" w:space="0" w:color="auto"/>
            </w:tcBorders>
            <w:vAlign w:val="center"/>
            <w:hideMark/>
          </w:tcPr>
          <w:p w14:paraId="6508C093" w14:textId="77777777" w:rsidR="006E6DAB" w:rsidRDefault="006E6DAB">
            <w:r>
              <w:t>Weak diversification</w:t>
            </w:r>
          </w:p>
        </w:tc>
        <w:tc>
          <w:tcPr>
            <w:tcW w:w="0" w:type="auto"/>
            <w:tcBorders>
              <w:bottom w:val="single" w:sz="12" w:space="0" w:color="auto"/>
            </w:tcBorders>
            <w:vAlign w:val="center"/>
            <w:hideMark/>
          </w:tcPr>
          <w:p w14:paraId="1BD0A1D8" w14:textId="77777777" w:rsidR="006E6DAB" w:rsidRDefault="006E6DAB">
            <w:r>
              <w:t>Limited alternative revenue streams</w:t>
            </w:r>
          </w:p>
        </w:tc>
        <w:tc>
          <w:tcPr>
            <w:tcW w:w="0" w:type="auto"/>
            <w:tcBorders>
              <w:bottom w:val="single" w:sz="12" w:space="0" w:color="auto"/>
            </w:tcBorders>
            <w:vAlign w:val="center"/>
            <w:hideMark/>
          </w:tcPr>
          <w:p w14:paraId="2DDD9829" w14:textId="77777777" w:rsidR="006E6DAB" w:rsidRDefault="006E6DAB">
            <w:r>
              <w:t>Higher vulnerability to debt accumulation</w:t>
            </w:r>
          </w:p>
        </w:tc>
      </w:tr>
      <w:tr w:rsidR="006E6DAB" w14:paraId="6C112889" w14:textId="77777777" w:rsidTr="004D4783">
        <w:trPr>
          <w:tblCellSpacing w:w="15" w:type="dxa"/>
        </w:trPr>
        <w:tc>
          <w:tcPr>
            <w:tcW w:w="0" w:type="auto"/>
            <w:tcBorders>
              <w:bottom w:val="single" w:sz="12" w:space="0" w:color="auto"/>
            </w:tcBorders>
            <w:vAlign w:val="center"/>
            <w:hideMark/>
          </w:tcPr>
          <w:p w14:paraId="47B5536F" w14:textId="77777777" w:rsidR="006E6DAB" w:rsidRDefault="006E6DAB">
            <w:r>
              <w:t>Poor debt recovery</w:t>
            </w:r>
          </w:p>
        </w:tc>
        <w:tc>
          <w:tcPr>
            <w:tcW w:w="0" w:type="auto"/>
            <w:tcBorders>
              <w:bottom w:val="single" w:sz="12" w:space="0" w:color="auto"/>
            </w:tcBorders>
            <w:vAlign w:val="center"/>
            <w:hideMark/>
          </w:tcPr>
          <w:p w14:paraId="124E9F45" w14:textId="77777777" w:rsidR="006E6DAB" w:rsidRDefault="006E6DAB">
            <w:r>
              <w:t>Weak collection of student fee receivables</w:t>
            </w:r>
          </w:p>
        </w:tc>
        <w:tc>
          <w:tcPr>
            <w:tcW w:w="0" w:type="auto"/>
            <w:tcBorders>
              <w:bottom w:val="single" w:sz="12" w:space="0" w:color="auto"/>
            </w:tcBorders>
            <w:vAlign w:val="center"/>
            <w:hideMark/>
          </w:tcPr>
          <w:p w14:paraId="6D40DAA7" w14:textId="77777777" w:rsidR="006E6DAB" w:rsidRDefault="006E6DAB">
            <w:r>
              <w:t>Increased liquidity crisis</w:t>
            </w:r>
          </w:p>
        </w:tc>
      </w:tr>
      <w:tr w:rsidR="006E6DAB" w14:paraId="0840C96A" w14:textId="77777777" w:rsidTr="004D4783">
        <w:trPr>
          <w:tblCellSpacing w:w="15" w:type="dxa"/>
        </w:trPr>
        <w:tc>
          <w:tcPr>
            <w:tcW w:w="0" w:type="auto"/>
            <w:tcBorders>
              <w:bottom w:val="single" w:sz="12" w:space="0" w:color="auto"/>
            </w:tcBorders>
            <w:vAlign w:val="center"/>
            <w:hideMark/>
          </w:tcPr>
          <w:p w14:paraId="694CF0F3" w14:textId="77777777" w:rsidR="006E6DAB" w:rsidRDefault="006E6DAB">
            <w:r>
              <w:t>Rising operational costs</w:t>
            </w:r>
          </w:p>
        </w:tc>
        <w:tc>
          <w:tcPr>
            <w:tcW w:w="0" w:type="auto"/>
            <w:tcBorders>
              <w:bottom w:val="single" w:sz="12" w:space="0" w:color="auto"/>
            </w:tcBorders>
            <w:vAlign w:val="center"/>
            <w:hideMark/>
          </w:tcPr>
          <w:p w14:paraId="47C48ABF" w14:textId="77777777" w:rsidR="006E6DAB" w:rsidRDefault="006E6DAB">
            <w:r>
              <w:t>Higher expenditure without matching income</w:t>
            </w:r>
          </w:p>
        </w:tc>
        <w:tc>
          <w:tcPr>
            <w:tcW w:w="0" w:type="auto"/>
            <w:tcBorders>
              <w:bottom w:val="single" w:sz="12" w:space="0" w:color="auto"/>
            </w:tcBorders>
            <w:vAlign w:val="center"/>
            <w:hideMark/>
          </w:tcPr>
          <w:p w14:paraId="5A0B8D83" w14:textId="77777777" w:rsidR="006E6DAB" w:rsidRDefault="006E6DAB">
            <w:r>
              <w:t>Growth of liabilities</w:t>
            </w:r>
          </w:p>
        </w:tc>
      </w:tr>
    </w:tbl>
    <w:p w14:paraId="387B8D6C" w14:textId="77777777" w:rsidR="006E6DAB" w:rsidRDefault="006E6DAB" w:rsidP="001B32BE">
      <w:pPr>
        <w:pStyle w:val="NormalWeb"/>
        <w:jc w:val="both"/>
      </w:pPr>
      <w:r>
        <w:t>Table 4 shows that universities with limited revenue diversification and weak financial recovery systems are more vulnerable to debt accumulation. Therefore, the study concludes that the current funding models contribute directly to financial instability and increasing institutional liabilities.</w:t>
      </w:r>
    </w:p>
    <w:p w14:paraId="06886A87" w14:textId="77777777" w:rsidR="006E6DAB" w:rsidRPr="004D4783" w:rsidRDefault="006E6DAB" w:rsidP="006E6DAB">
      <w:pPr>
        <w:pStyle w:val="Heading2"/>
        <w:rPr>
          <w:rFonts w:ascii="Times New Roman" w:hAnsi="Times New Roman" w:cs="Times New Roman"/>
          <w:color w:val="000000" w:themeColor="text1"/>
          <w:sz w:val="24"/>
          <w:szCs w:val="24"/>
        </w:rPr>
      </w:pPr>
      <w:r w:rsidRPr="004D4783">
        <w:rPr>
          <w:rStyle w:val="Strong"/>
          <w:rFonts w:ascii="Times New Roman" w:hAnsi="Times New Roman" w:cs="Times New Roman"/>
          <w:color w:val="000000" w:themeColor="text1"/>
          <w:sz w:val="24"/>
          <w:szCs w:val="24"/>
        </w:rPr>
        <w:lastRenderedPageBreak/>
        <w:t>4.4 Implications of Debt on Sustainability</w:t>
      </w:r>
    </w:p>
    <w:p w14:paraId="3A6B6DD2" w14:textId="77777777" w:rsidR="006E6DAB" w:rsidRDefault="006E6DAB" w:rsidP="001B32BE">
      <w:pPr>
        <w:pStyle w:val="NormalWeb"/>
        <w:jc w:val="both"/>
      </w:pPr>
      <w:r>
        <w:t>The findings indicate that increasing debt has negatively affected the sustainability and operational performance of public universities. Debt accumulation has resulted in stalled infrastructure projects, unpaid supplier bills, and disruption of service delivery. This has reduced access to essential learning materials and compromised the quality of education offered in these institutions. In addition, delayed salary payments and limited research financing have lowered staff morale and reduced academic productivity.</w:t>
      </w:r>
    </w:p>
    <w:p w14:paraId="4660F4A5" w14:textId="77777777" w:rsidR="006E6DAB" w:rsidRDefault="006E6DAB" w:rsidP="001B32BE">
      <w:pPr>
        <w:pStyle w:val="NormalWeb"/>
        <w:jc w:val="both"/>
      </w:pPr>
      <w:r>
        <w:t>Furthermore, high debt levels expose universities to insolvency risks, which threaten long-term institutional viability. Continued financial distress may reduce the ability of universities to attract donor funding and establish partnerships, thereby weakening their competitiveness. The major implications of debt are summarized in Table 5.</w:t>
      </w:r>
    </w:p>
    <w:p w14:paraId="1096323D" w14:textId="77777777" w:rsidR="006E6DAB" w:rsidRDefault="006E6DAB" w:rsidP="006E6DAB">
      <w:pPr>
        <w:pStyle w:val="NormalWeb"/>
      </w:pPr>
      <w:r>
        <w:rPr>
          <w:rStyle w:val="Strong"/>
        </w:rPr>
        <w:t>Table 5</w:t>
      </w:r>
      <w:r>
        <w:br/>
      </w:r>
      <w:r>
        <w:rPr>
          <w:rStyle w:val="Emphasis"/>
          <w:rFonts w:eastAsia="SimSun"/>
        </w:rPr>
        <w:t>Implications of Rising Debt on the Sustainability of Public Universities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1"/>
        <w:gridCol w:w="3578"/>
        <w:gridCol w:w="3481"/>
      </w:tblGrid>
      <w:tr w:rsidR="006E6DAB" w14:paraId="4DEDEF8B" w14:textId="77777777" w:rsidTr="001B32BE">
        <w:trPr>
          <w:tblHeader/>
          <w:tblCellSpacing w:w="15" w:type="dxa"/>
        </w:trPr>
        <w:tc>
          <w:tcPr>
            <w:tcW w:w="0" w:type="auto"/>
            <w:tcBorders>
              <w:bottom w:val="single" w:sz="12" w:space="0" w:color="000000"/>
            </w:tcBorders>
            <w:vAlign w:val="center"/>
            <w:hideMark/>
          </w:tcPr>
          <w:p w14:paraId="6D120EE5" w14:textId="77777777" w:rsidR="006E6DAB" w:rsidRDefault="006E6DAB">
            <w:pPr>
              <w:jc w:val="center"/>
              <w:rPr>
                <w:b/>
                <w:bCs/>
              </w:rPr>
            </w:pPr>
            <w:r>
              <w:rPr>
                <w:b/>
                <w:bCs/>
              </w:rPr>
              <w:t>Area Affected</w:t>
            </w:r>
          </w:p>
        </w:tc>
        <w:tc>
          <w:tcPr>
            <w:tcW w:w="0" w:type="auto"/>
            <w:tcBorders>
              <w:bottom w:val="single" w:sz="12" w:space="0" w:color="000000"/>
            </w:tcBorders>
            <w:vAlign w:val="center"/>
            <w:hideMark/>
          </w:tcPr>
          <w:p w14:paraId="68D264FE" w14:textId="77777777" w:rsidR="006E6DAB" w:rsidRDefault="006E6DAB">
            <w:pPr>
              <w:jc w:val="center"/>
              <w:rPr>
                <w:b/>
                <w:bCs/>
              </w:rPr>
            </w:pPr>
            <w:r>
              <w:rPr>
                <w:b/>
                <w:bCs/>
              </w:rPr>
              <w:t>Observed Impact</w:t>
            </w:r>
          </w:p>
        </w:tc>
        <w:tc>
          <w:tcPr>
            <w:tcW w:w="0" w:type="auto"/>
            <w:tcBorders>
              <w:bottom w:val="single" w:sz="12" w:space="0" w:color="000000"/>
            </w:tcBorders>
            <w:vAlign w:val="center"/>
            <w:hideMark/>
          </w:tcPr>
          <w:p w14:paraId="6A796393" w14:textId="77777777" w:rsidR="006E6DAB" w:rsidRDefault="006E6DAB">
            <w:pPr>
              <w:jc w:val="center"/>
              <w:rPr>
                <w:b/>
                <w:bCs/>
              </w:rPr>
            </w:pPr>
            <w:r>
              <w:rPr>
                <w:b/>
                <w:bCs/>
              </w:rPr>
              <w:t>Sustainability Implication</w:t>
            </w:r>
          </w:p>
        </w:tc>
      </w:tr>
      <w:tr w:rsidR="006E6DAB" w14:paraId="75A86F12" w14:textId="77777777" w:rsidTr="001B32BE">
        <w:trPr>
          <w:tblCellSpacing w:w="15" w:type="dxa"/>
        </w:trPr>
        <w:tc>
          <w:tcPr>
            <w:tcW w:w="0" w:type="auto"/>
            <w:tcBorders>
              <w:bottom w:val="single" w:sz="12" w:space="0" w:color="000000"/>
            </w:tcBorders>
            <w:vAlign w:val="center"/>
            <w:hideMark/>
          </w:tcPr>
          <w:p w14:paraId="3C0B8BFA" w14:textId="77777777" w:rsidR="006E6DAB" w:rsidRDefault="006E6DAB">
            <w:r>
              <w:t>Infrastructure development</w:t>
            </w:r>
          </w:p>
        </w:tc>
        <w:tc>
          <w:tcPr>
            <w:tcW w:w="0" w:type="auto"/>
            <w:tcBorders>
              <w:bottom w:val="single" w:sz="12" w:space="0" w:color="000000"/>
            </w:tcBorders>
            <w:vAlign w:val="center"/>
            <w:hideMark/>
          </w:tcPr>
          <w:p w14:paraId="2205BF8D" w14:textId="77777777" w:rsidR="006E6DAB" w:rsidRDefault="006E6DAB">
            <w:r>
              <w:t>Stalled and incomplete projects</w:t>
            </w:r>
          </w:p>
        </w:tc>
        <w:tc>
          <w:tcPr>
            <w:tcW w:w="0" w:type="auto"/>
            <w:tcBorders>
              <w:bottom w:val="single" w:sz="12" w:space="0" w:color="000000"/>
            </w:tcBorders>
            <w:vAlign w:val="center"/>
            <w:hideMark/>
          </w:tcPr>
          <w:p w14:paraId="519253DF" w14:textId="77777777" w:rsidR="006E6DAB" w:rsidRDefault="006E6DAB">
            <w:r>
              <w:t>Reduced institutional growth and capacity</w:t>
            </w:r>
          </w:p>
        </w:tc>
      </w:tr>
      <w:tr w:rsidR="006E6DAB" w14:paraId="55C3A86E" w14:textId="77777777" w:rsidTr="001B32BE">
        <w:trPr>
          <w:tblCellSpacing w:w="15" w:type="dxa"/>
        </w:trPr>
        <w:tc>
          <w:tcPr>
            <w:tcW w:w="0" w:type="auto"/>
            <w:tcBorders>
              <w:bottom w:val="single" w:sz="12" w:space="0" w:color="000000"/>
            </w:tcBorders>
            <w:vAlign w:val="center"/>
            <w:hideMark/>
          </w:tcPr>
          <w:p w14:paraId="59B9F64E" w14:textId="77777777" w:rsidR="006E6DAB" w:rsidRDefault="006E6DAB">
            <w:r>
              <w:t>Supplier services</w:t>
            </w:r>
          </w:p>
        </w:tc>
        <w:tc>
          <w:tcPr>
            <w:tcW w:w="0" w:type="auto"/>
            <w:tcBorders>
              <w:bottom w:val="single" w:sz="12" w:space="0" w:color="000000"/>
            </w:tcBorders>
            <w:vAlign w:val="center"/>
            <w:hideMark/>
          </w:tcPr>
          <w:p w14:paraId="4E2AF669" w14:textId="77777777" w:rsidR="006E6DAB" w:rsidRDefault="006E6DAB">
            <w:r>
              <w:t>Unpaid bills and disrupted supplies</w:t>
            </w:r>
          </w:p>
        </w:tc>
        <w:tc>
          <w:tcPr>
            <w:tcW w:w="0" w:type="auto"/>
            <w:tcBorders>
              <w:bottom w:val="single" w:sz="12" w:space="0" w:color="000000"/>
            </w:tcBorders>
            <w:vAlign w:val="center"/>
            <w:hideMark/>
          </w:tcPr>
          <w:p w14:paraId="613BFF72" w14:textId="77777777" w:rsidR="006E6DAB" w:rsidRDefault="006E6DAB">
            <w:r>
              <w:t>Reduced learning and operational resources</w:t>
            </w:r>
          </w:p>
        </w:tc>
      </w:tr>
      <w:tr w:rsidR="006E6DAB" w14:paraId="7F6FE1FC" w14:textId="77777777" w:rsidTr="001B32BE">
        <w:trPr>
          <w:tblCellSpacing w:w="15" w:type="dxa"/>
        </w:trPr>
        <w:tc>
          <w:tcPr>
            <w:tcW w:w="0" w:type="auto"/>
            <w:tcBorders>
              <w:bottom w:val="single" w:sz="12" w:space="0" w:color="000000"/>
            </w:tcBorders>
            <w:vAlign w:val="center"/>
            <w:hideMark/>
          </w:tcPr>
          <w:p w14:paraId="4E217301" w14:textId="77777777" w:rsidR="006E6DAB" w:rsidRDefault="006E6DAB">
            <w:r>
              <w:t>Staff welfare</w:t>
            </w:r>
          </w:p>
        </w:tc>
        <w:tc>
          <w:tcPr>
            <w:tcW w:w="0" w:type="auto"/>
            <w:tcBorders>
              <w:bottom w:val="single" w:sz="12" w:space="0" w:color="000000"/>
            </w:tcBorders>
            <w:vAlign w:val="center"/>
            <w:hideMark/>
          </w:tcPr>
          <w:p w14:paraId="7445CE8B" w14:textId="77777777" w:rsidR="006E6DAB" w:rsidRDefault="006E6DAB">
            <w:r>
              <w:t>Salary delays and unpaid benefits</w:t>
            </w:r>
          </w:p>
        </w:tc>
        <w:tc>
          <w:tcPr>
            <w:tcW w:w="0" w:type="auto"/>
            <w:tcBorders>
              <w:bottom w:val="single" w:sz="12" w:space="0" w:color="000000"/>
            </w:tcBorders>
            <w:vAlign w:val="center"/>
            <w:hideMark/>
          </w:tcPr>
          <w:p w14:paraId="35119AE4" w14:textId="77777777" w:rsidR="006E6DAB" w:rsidRDefault="006E6DAB">
            <w:r>
              <w:t>Low morale, strikes, reduced productivity</w:t>
            </w:r>
          </w:p>
        </w:tc>
      </w:tr>
      <w:tr w:rsidR="006E6DAB" w14:paraId="2100363D" w14:textId="77777777" w:rsidTr="001B32BE">
        <w:trPr>
          <w:tblCellSpacing w:w="15" w:type="dxa"/>
        </w:trPr>
        <w:tc>
          <w:tcPr>
            <w:tcW w:w="0" w:type="auto"/>
            <w:tcBorders>
              <w:bottom w:val="single" w:sz="12" w:space="0" w:color="000000"/>
            </w:tcBorders>
            <w:vAlign w:val="center"/>
            <w:hideMark/>
          </w:tcPr>
          <w:p w14:paraId="023D737E" w14:textId="77777777" w:rsidR="006E6DAB" w:rsidRDefault="006E6DAB">
            <w:r>
              <w:t>Research output</w:t>
            </w:r>
          </w:p>
        </w:tc>
        <w:tc>
          <w:tcPr>
            <w:tcW w:w="0" w:type="auto"/>
            <w:tcBorders>
              <w:bottom w:val="single" w:sz="12" w:space="0" w:color="000000"/>
            </w:tcBorders>
            <w:vAlign w:val="center"/>
            <w:hideMark/>
          </w:tcPr>
          <w:p w14:paraId="0A844E77" w14:textId="77777777" w:rsidR="006E6DAB" w:rsidRDefault="006E6DAB">
            <w:r>
              <w:t>Limited funding and research support</w:t>
            </w:r>
          </w:p>
        </w:tc>
        <w:tc>
          <w:tcPr>
            <w:tcW w:w="0" w:type="auto"/>
            <w:tcBorders>
              <w:bottom w:val="single" w:sz="12" w:space="0" w:color="000000"/>
            </w:tcBorders>
            <w:vAlign w:val="center"/>
            <w:hideMark/>
          </w:tcPr>
          <w:p w14:paraId="10C2ECB9" w14:textId="77777777" w:rsidR="006E6DAB" w:rsidRDefault="006E6DAB">
            <w:r>
              <w:t>Declining innovation and academic output</w:t>
            </w:r>
          </w:p>
        </w:tc>
      </w:tr>
      <w:tr w:rsidR="006E6DAB" w14:paraId="1681A377" w14:textId="77777777" w:rsidTr="001B32BE">
        <w:trPr>
          <w:tblCellSpacing w:w="15" w:type="dxa"/>
        </w:trPr>
        <w:tc>
          <w:tcPr>
            <w:tcW w:w="0" w:type="auto"/>
            <w:tcBorders>
              <w:bottom w:val="single" w:sz="12" w:space="0" w:color="000000"/>
            </w:tcBorders>
            <w:vAlign w:val="center"/>
            <w:hideMark/>
          </w:tcPr>
          <w:p w14:paraId="202D7FDE" w14:textId="77777777" w:rsidR="006E6DAB" w:rsidRDefault="006E6DAB">
            <w:r>
              <w:t>Institutional credibility</w:t>
            </w:r>
          </w:p>
        </w:tc>
        <w:tc>
          <w:tcPr>
            <w:tcW w:w="0" w:type="auto"/>
            <w:tcBorders>
              <w:bottom w:val="single" w:sz="12" w:space="0" w:color="000000"/>
            </w:tcBorders>
            <w:vAlign w:val="center"/>
            <w:hideMark/>
          </w:tcPr>
          <w:p w14:paraId="0C8F1E3D" w14:textId="77777777" w:rsidR="006E6DAB" w:rsidRDefault="006E6DAB">
            <w:r>
              <w:t>Poor financial image and governance concerns</w:t>
            </w:r>
          </w:p>
        </w:tc>
        <w:tc>
          <w:tcPr>
            <w:tcW w:w="0" w:type="auto"/>
            <w:tcBorders>
              <w:bottom w:val="single" w:sz="12" w:space="0" w:color="000000"/>
            </w:tcBorders>
            <w:vAlign w:val="center"/>
            <w:hideMark/>
          </w:tcPr>
          <w:p w14:paraId="6987B6ED" w14:textId="77777777" w:rsidR="006E6DAB" w:rsidRDefault="006E6DAB">
            <w:r>
              <w:t>Reduced donor confidence and partnerships</w:t>
            </w:r>
          </w:p>
        </w:tc>
      </w:tr>
      <w:tr w:rsidR="006E6DAB" w14:paraId="78F9FD07" w14:textId="77777777" w:rsidTr="001B32BE">
        <w:trPr>
          <w:tblCellSpacing w:w="15" w:type="dxa"/>
        </w:trPr>
        <w:tc>
          <w:tcPr>
            <w:tcW w:w="0" w:type="auto"/>
            <w:tcBorders>
              <w:bottom w:val="single" w:sz="12" w:space="0" w:color="000000"/>
            </w:tcBorders>
            <w:vAlign w:val="center"/>
            <w:hideMark/>
          </w:tcPr>
          <w:p w14:paraId="0668C3AE" w14:textId="77777777" w:rsidR="006E6DAB" w:rsidRDefault="006E6DAB">
            <w:r>
              <w:t>Insolvency risk</w:t>
            </w:r>
          </w:p>
        </w:tc>
        <w:tc>
          <w:tcPr>
            <w:tcW w:w="0" w:type="auto"/>
            <w:tcBorders>
              <w:bottom w:val="single" w:sz="12" w:space="0" w:color="000000"/>
            </w:tcBorders>
            <w:vAlign w:val="center"/>
            <w:hideMark/>
          </w:tcPr>
          <w:p w14:paraId="7C27AD91" w14:textId="77777777" w:rsidR="006E6DAB" w:rsidRDefault="006E6DAB">
            <w:r>
              <w:t>Rising liabilities exceeding revenues</w:t>
            </w:r>
          </w:p>
        </w:tc>
        <w:tc>
          <w:tcPr>
            <w:tcW w:w="0" w:type="auto"/>
            <w:tcBorders>
              <w:bottom w:val="single" w:sz="12" w:space="0" w:color="000000"/>
            </w:tcBorders>
            <w:vAlign w:val="center"/>
            <w:hideMark/>
          </w:tcPr>
          <w:p w14:paraId="193A9F32" w14:textId="77777777" w:rsidR="006E6DAB" w:rsidRDefault="006E6DAB">
            <w:r>
              <w:t>Threat to long-term survival of institutions</w:t>
            </w:r>
          </w:p>
        </w:tc>
      </w:tr>
    </w:tbl>
    <w:p w14:paraId="37B03281" w14:textId="1046095A" w:rsidR="002D107D" w:rsidRPr="009500F9" w:rsidRDefault="006E6DAB" w:rsidP="001B32BE">
      <w:pPr>
        <w:pStyle w:val="NormalWeb"/>
        <w:jc w:val="both"/>
      </w:pPr>
      <w:r>
        <w:t>As shown in Table 5, institutional debt has broad implications beyond financial distress, affecting academic quality, research productivity, and long-term sustainability. These findings highlight the need for policy reforms to strengthen funding systems, improve governance, and enhance financial accountability in Kenya’s public university sector.</w:t>
      </w:r>
    </w:p>
    <w:p w14:paraId="7D8E5C5F" w14:textId="77777777" w:rsidR="002D107D" w:rsidRPr="00FD7D28" w:rsidRDefault="002D107D" w:rsidP="002D107D">
      <w:pPr>
        <w:pStyle w:val="Heading2"/>
        <w:rPr>
          <w:rFonts w:ascii="Times New Roman" w:hAnsi="Times New Roman" w:cs="Times New Roman"/>
          <w:color w:val="000000" w:themeColor="text1"/>
          <w:sz w:val="24"/>
          <w:szCs w:val="24"/>
        </w:rPr>
      </w:pPr>
      <w:r w:rsidRPr="00FD7D28">
        <w:rPr>
          <w:rStyle w:val="Strong"/>
          <w:rFonts w:ascii="Times New Roman" w:hAnsi="Times New Roman" w:cs="Times New Roman"/>
          <w:color w:val="000000" w:themeColor="text1"/>
          <w:sz w:val="24"/>
          <w:szCs w:val="24"/>
        </w:rPr>
        <w:lastRenderedPageBreak/>
        <w:t>5.0 Summary, Conclusions, and Recommendations</w:t>
      </w:r>
    </w:p>
    <w:p w14:paraId="597A9CB9"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5.1 Summary of Findings</w:t>
      </w:r>
    </w:p>
    <w:p w14:paraId="2D3BD0EC" w14:textId="561A25FC" w:rsidR="002D107D" w:rsidRPr="009500F9" w:rsidRDefault="002D107D" w:rsidP="00FD7D28">
      <w:pPr>
        <w:pStyle w:val="NormalWeb"/>
        <w:jc w:val="both"/>
      </w:pPr>
      <w:r w:rsidRPr="009500F9">
        <w:t xml:space="preserve">The study established that government allocations and tuition fees remain the primary funding sources for public universities in Kenya. However, these sources are insufficient and unpredictable. Although universities have adopted alternative funding sources such as consultancies, commercial ventures, and PPPs, these streams remain inconsistent. Financial sustainability is low, and institutional debt has increased significantly, with pending bills reaching </w:t>
      </w:r>
      <w:proofErr w:type="spellStart"/>
      <w:r w:rsidRPr="009500F9">
        <w:t>KSh</w:t>
      </w:r>
      <w:proofErr w:type="spellEnd"/>
      <w:r w:rsidRPr="009500F9">
        <w:t xml:space="preserve"> 98 billion by the end of 2025.</w:t>
      </w:r>
    </w:p>
    <w:p w14:paraId="6ACAC89F"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5.2 Conclusions</w:t>
      </w:r>
    </w:p>
    <w:p w14:paraId="31E990C3" w14:textId="443028C3" w:rsidR="002D107D" w:rsidRPr="009500F9" w:rsidRDefault="002D107D" w:rsidP="00FD7D28">
      <w:pPr>
        <w:pStyle w:val="NormalWeb"/>
        <w:jc w:val="both"/>
      </w:pPr>
      <w:r w:rsidRPr="009500F9">
        <w:t>The study concludes that the current funding models are inadequate for ensuring long-term financial sustainability in Kenyan public universities. Heavy dependence on government allocations and tuition fees has contributed significantly to liquidity constraints and debt accumulation. Revenue diversification enhances resilience, but without predictable government support and strong financial governance, sustainability challenges persist. Rising debt burdens threaten service delivery, academic quality, and institutional viability.</w:t>
      </w:r>
    </w:p>
    <w:p w14:paraId="68635C4F"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t>5.3 Recommendations</w:t>
      </w:r>
    </w:p>
    <w:p w14:paraId="46D93560" w14:textId="5B503E89" w:rsidR="002D107D" w:rsidRPr="009500F9" w:rsidRDefault="002D107D" w:rsidP="00F02DA0">
      <w:pPr>
        <w:pStyle w:val="NormalWeb"/>
        <w:jc w:val="both"/>
      </w:pPr>
      <w:r w:rsidRPr="009500F9">
        <w:t>The study recommends that the government should increase funding allocations to public universities and ensure predictable disbursement schedules. Funding models should reflect the true cost of delivering quality higher education, including research and infrastructure financing</w:t>
      </w:r>
      <w:r w:rsidR="00FD7D28">
        <w:t>.</w:t>
      </w:r>
    </w:p>
    <w:p w14:paraId="15E190F9" w14:textId="0B40C877" w:rsidR="002D107D" w:rsidRPr="009500F9" w:rsidRDefault="002D107D" w:rsidP="00F02DA0">
      <w:pPr>
        <w:pStyle w:val="NormalWeb"/>
        <w:jc w:val="both"/>
      </w:pPr>
      <w:r w:rsidRPr="009500F9">
        <w:t>Universities should strengthen revenue diversification through income-generating enterprises, research commercialization, alumni fundraising, and strategic partnerships. Such approaches reduce dependence on government funding and tuition fees</w:t>
      </w:r>
      <w:r w:rsidR="00FD7D28">
        <w:t>.</w:t>
      </w:r>
    </w:p>
    <w:p w14:paraId="098365EB" w14:textId="77777777" w:rsidR="002D107D" w:rsidRPr="009500F9" w:rsidRDefault="002D107D" w:rsidP="00F02DA0">
      <w:pPr>
        <w:pStyle w:val="NormalWeb"/>
        <w:jc w:val="both"/>
      </w:pPr>
      <w:r w:rsidRPr="009500F9">
        <w:t>Universities should improve financial governance by adopting performance-based budgeting, strict expenditure controls, and transparent procurement systems. Regular auditing should be strengthened to enhance accountability.</w:t>
      </w:r>
    </w:p>
    <w:p w14:paraId="10E9AA76" w14:textId="62E2EE80" w:rsidR="002D107D" w:rsidRPr="009500F9" w:rsidRDefault="002D107D" w:rsidP="00F02DA0">
      <w:pPr>
        <w:pStyle w:val="NormalWeb"/>
        <w:jc w:val="both"/>
      </w:pPr>
      <w:r w:rsidRPr="009500F9">
        <w:t>Debt recovery mechanisms should be improved to reduce student fee arrears. Structured payment plans, enhanced digital tracking systems, and collaboration with HELB would improve liquidity</w:t>
      </w:r>
      <w:r w:rsidR="00FD7D28">
        <w:t>.</w:t>
      </w:r>
    </w:p>
    <w:p w14:paraId="6F3D2C48" w14:textId="762DCCE3" w:rsidR="002D107D" w:rsidRPr="009500F9" w:rsidRDefault="002D107D" w:rsidP="00F02DA0">
      <w:pPr>
        <w:pStyle w:val="NormalWeb"/>
        <w:jc w:val="both"/>
      </w:pPr>
      <w:r w:rsidRPr="009500F9">
        <w:t>Public–private partnerships should be expanded under transparent governance frameworks to ensure alignment with institutional missions and equi</w:t>
      </w:r>
      <w:bookmarkStart w:id="0" w:name="_GoBack"/>
      <w:r w:rsidRPr="009500F9">
        <w:t>table</w:t>
      </w:r>
      <w:bookmarkEnd w:id="0"/>
      <w:r w:rsidRPr="009500F9">
        <w:t xml:space="preserve"> benefits</w:t>
      </w:r>
      <w:r w:rsidR="00FD7D28">
        <w:t>.</w:t>
      </w:r>
    </w:p>
    <w:p w14:paraId="18D8C7EF" w14:textId="29C77743" w:rsidR="002D107D" w:rsidRPr="009500F9" w:rsidRDefault="002D107D" w:rsidP="003A6EBC">
      <w:pPr>
        <w:jc w:val="both"/>
        <w:rPr>
          <w:rFonts w:ascii="Times New Roman" w:hAnsi="Times New Roman" w:cs="Times New Roman"/>
          <w:sz w:val="24"/>
          <w:szCs w:val="24"/>
        </w:rPr>
      </w:pPr>
    </w:p>
    <w:p w14:paraId="4F7AE661" w14:textId="77777777" w:rsidR="002D107D" w:rsidRPr="00257576" w:rsidRDefault="002D107D" w:rsidP="002D107D">
      <w:pPr>
        <w:pStyle w:val="Heading3"/>
        <w:rPr>
          <w:rFonts w:ascii="Times New Roman" w:hAnsi="Times New Roman" w:cs="Times New Roman"/>
          <w:color w:val="000000" w:themeColor="text1"/>
        </w:rPr>
      </w:pPr>
      <w:r w:rsidRPr="00257576">
        <w:rPr>
          <w:rStyle w:val="Strong"/>
          <w:rFonts w:ascii="Times New Roman" w:hAnsi="Times New Roman" w:cs="Times New Roman"/>
          <w:color w:val="000000" w:themeColor="text1"/>
        </w:rPr>
        <w:t>5.4 Suggestions for Further Research</w:t>
      </w:r>
    </w:p>
    <w:p w14:paraId="40778FA8" w14:textId="0698901E" w:rsidR="002D107D" w:rsidRPr="009500F9" w:rsidRDefault="002D107D" w:rsidP="00FD7D28">
      <w:pPr>
        <w:pStyle w:val="NormalWeb"/>
        <w:jc w:val="both"/>
      </w:pPr>
      <w:r w:rsidRPr="009500F9">
        <w:t>Future studies should consider using primary data to explore stakeholder perceptions on university financing and sustainability. Further research may also examine the effectiveness of specific debt restructuring policies and the role of university governance in financial performance.</w:t>
      </w:r>
    </w:p>
    <w:p w14:paraId="45CEEE8E" w14:textId="613D3A0B" w:rsidR="002D107D" w:rsidRPr="00614525" w:rsidRDefault="002D107D" w:rsidP="002D107D">
      <w:pPr>
        <w:pStyle w:val="Heading1"/>
        <w:rPr>
          <w:rFonts w:ascii="Times New Roman" w:hAnsi="Times New Roman" w:cs="Times New Roman"/>
          <w:color w:val="000000" w:themeColor="text1"/>
          <w:sz w:val="24"/>
          <w:szCs w:val="24"/>
        </w:rPr>
      </w:pPr>
      <w:r w:rsidRPr="00614525">
        <w:rPr>
          <w:rStyle w:val="Strong"/>
          <w:rFonts w:ascii="Times New Roman" w:hAnsi="Times New Roman" w:cs="Times New Roman"/>
          <w:color w:val="000000" w:themeColor="text1"/>
          <w:sz w:val="24"/>
          <w:szCs w:val="24"/>
        </w:rPr>
        <w:lastRenderedPageBreak/>
        <w:t xml:space="preserve">References </w:t>
      </w:r>
    </w:p>
    <w:p w14:paraId="114A9715"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African Population and Health Research Center. (2025). </w:t>
      </w:r>
      <w:r w:rsidRPr="00FD7D28">
        <w:rPr>
          <w:rFonts w:ascii="Times New Roman" w:eastAsia="Times New Roman" w:hAnsi="Times New Roman" w:cs="Times New Roman"/>
          <w:i/>
          <w:iCs/>
          <w:sz w:val="24"/>
          <w:szCs w:val="24"/>
        </w:rPr>
        <w:t>Higher education financing and sustainability report in Kenya</w:t>
      </w:r>
      <w:r w:rsidRPr="00FD7D28">
        <w:rPr>
          <w:rFonts w:ascii="Times New Roman" w:eastAsia="Times New Roman" w:hAnsi="Times New Roman" w:cs="Times New Roman"/>
          <w:sz w:val="24"/>
          <w:szCs w:val="24"/>
        </w:rPr>
        <w:t>. APHRC.</w:t>
      </w:r>
    </w:p>
    <w:p w14:paraId="7592BAFF"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Buchanan, J. M., &amp; </w:t>
      </w:r>
      <w:proofErr w:type="spellStart"/>
      <w:r w:rsidRPr="00FD7D28">
        <w:rPr>
          <w:rFonts w:ascii="Times New Roman" w:eastAsia="Times New Roman" w:hAnsi="Times New Roman" w:cs="Times New Roman"/>
          <w:sz w:val="24"/>
          <w:szCs w:val="24"/>
        </w:rPr>
        <w:t>Tullock</w:t>
      </w:r>
      <w:proofErr w:type="spellEnd"/>
      <w:r w:rsidRPr="00FD7D28">
        <w:rPr>
          <w:rFonts w:ascii="Times New Roman" w:eastAsia="Times New Roman" w:hAnsi="Times New Roman" w:cs="Times New Roman"/>
          <w:sz w:val="24"/>
          <w:szCs w:val="24"/>
        </w:rPr>
        <w:t xml:space="preserve">, G. (1962). </w:t>
      </w:r>
      <w:r w:rsidRPr="00FD7D28">
        <w:rPr>
          <w:rFonts w:ascii="Times New Roman" w:eastAsia="Times New Roman" w:hAnsi="Times New Roman" w:cs="Times New Roman"/>
          <w:i/>
          <w:iCs/>
          <w:sz w:val="24"/>
          <w:szCs w:val="24"/>
        </w:rPr>
        <w:t>The calculus of consent: Logical foundations of constitutional democracy</w:t>
      </w:r>
      <w:r w:rsidRPr="00FD7D28">
        <w:rPr>
          <w:rFonts w:ascii="Times New Roman" w:eastAsia="Times New Roman" w:hAnsi="Times New Roman" w:cs="Times New Roman"/>
          <w:sz w:val="24"/>
          <w:szCs w:val="24"/>
        </w:rPr>
        <w:t>. University of Michigan Press.</w:t>
      </w:r>
    </w:p>
    <w:p w14:paraId="191CB596"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Citizen Digital. (2026, February 8). Public universities’ debt burden may exceed </w:t>
      </w:r>
      <w:proofErr w:type="spellStart"/>
      <w:r w:rsidRPr="00FD7D28">
        <w:rPr>
          <w:rFonts w:ascii="Times New Roman" w:eastAsia="Times New Roman" w:hAnsi="Times New Roman" w:cs="Times New Roman"/>
          <w:sz w:val="24"/>
          <w:szCs w:val="24"/>
        </w:rPr>
        <w:t>KSh</w:t>
      </w:r>
      <w:proofErr w:type="spellEnd"/>
      <w:r w:rsidRPr="00FD7D28">
        <w:rPr>
          <w:rFonts w:ascii="Times New Roman" w:eastAsia="Times New Roman" w:hAnsi="Times New Roman" w:cs="Times New Roman"/>
          <w:sz w:val="24"/>
          <w:szCs w:val="24"/>
        </w:rPr>
        <w:t xml:space="preserve"> 100 billion, MPs told. </w:t>
      </w:r>
      <w:r w:rsidRPr="00FD7D28">
        <w:rPr>
          <w:rFonts w:ascii="Times New Roman" w:eastAsia="Times New Roman" w:hAnsi="Times New Roman" w:cs="Times New Roman"/>
          <w:i/>
          <w:iCs/>
          <w:sz w:val="24"/>
          <w:szCs w:val="24"/>
        </w:rPr>
        <w:t>Citizen Digital</w:t>
      </w:r>
      <w:r w:rsidRPr="00FD7D28">
        <w:rPr>
          <w:rFonts w:ascii="Times New Roman" w:eastAsia="Times New Roman" w:hAnsi="Times New Roman" w:cs="Times New Roman"/>
          <w:sz w:val="24"/>
          <w:szCs w:val="24"/>
        </w:rPr>
        <w:t>.</w:t>
      </w:r>
    </w:p>
    <w:p w14:paraId="7D6EF329"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Education News. (2026, January 15). Audit reveals public universities owed over </w:t>
      </w:r>
      <w:proofErr w:type="spellStart"/>
      <w:r w:rsidRPr="00FD7D28">
        <w:rPr>
          <w:rFonts w:ascii="Times New Roman" w:eastAsia="Times New Roman" w:hAnsi="Times New Roman" w:cs="Times New Roman"/>
          <w:sz w:val="24"/>
          <w:szCs w:val="24"/>
        </w:rPr>
        <w:t>KSh</w:t>
      </w:r>
      <w:proofErr w:type="spellEnd"/>
      <w:r w:rsidRPr="00FD7D28">
        <w:rPr>
          <w:rFonts w:ascii="Times New Roman" w:eastAsia="Times New Roman" w:hAnsi="Times New Roman" w:cs="Times New Roman"/>
          <w:sz w:val="24"/>
          <w:szCs w:val="24"/>
        </w:rPr>
        <w:t xml:space="preserve"> 3.17 billion in unpaid fees. </w:t>
      </w:r>
      <w:r w:rsidRPr="00FD7D28">
        <w:rPr>
          <w:rFonts w:ascii="Times New Roman" w:eastAsia="Times New Roman" w:hAnsi="Times New Roman" w:cs="Times New Roman"/>
          <w:i/>
          <w:iCs/>
          <w:sz w:val="24"/>
          <w:szCs w:val="24"/>
        </w:rPr>
        <w:t>Education News</w:t>
      </w:r>
      <w:r w:rsidRPr="00FD7D28">
        <w:rPr>
          <w:rFonts w:ascii="Times New Roman" w:eastAsia="Times New Roman" w:hAnsi="Times New Roman" w:cs="Times New Roman"/>
          <w:sz w:val="24"/>
          <w:szCs w:val="24"/>
        </w:rPr>
        <w:t>.</w:t>
      </w:r>
    </w:p>
    <w:p w14:paraId="24736A86"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proofErr w:type="spellStart"/>
      <w:r w:rsidRPr="00FD7D28">
        <w:rPr>
          <w:rFonts w:ascii="Times New Roman" w:eastAsia="Times New Roman" w:hAnsi="Times New Roman" w:cs="Times New Roman"/>
          <w:sz w:val="24"/>
          <w:szCs w:val="24"/>
        </w:rPr>
        <w:t>Gitonga</w:t>
      </w:r>
      <w:proofErr w:type="spellEnd"/>
      <w:r w:rsidRPr="00FD7D28">
        <w:rPr>
          <w:rFonts w:ascii="Times New Roman" w:eastAsia="Times New Roman" w:hAnsi="Times New Roman" w:cs="Times New Roman"/>
          <w:sz w:val="24"/>
          <w:szCs w:val="24"/>
        </w:rPr>
        <w:t xml:space="preserve">, P. M., &amp; Kamau, T. N. (2020). Effects of public–private partnerships on financing higher education infrastructure in Kenya. </w:t>
      </w:r>
      <w:r w:rsidRPr="00FD7D28">
        <w:rPr>
          <w:rFonts w:ascii="Times New Roman" w:eastAsia="Times New Roman" w:hAnsi="Times New Roman" w:cs="Times New Roman"/>
          <w:i/>
          <w:iCs/>
          <w:sz w:val="24"/>
          <w:szCs w:val="24"/>
        </w:rPr>
        <w:t>Journal of Education Finance and Policy, 10</w:t>
      </w:r>
      <w:r w:rsidRPr="00FD7D28">
        <w:rPr>
          <w:rFonts w:ascii="Times New Roman" w:eastAsia="Times New Roman" w:hAnsi="Times New Roman" w:cs="Times New Roman"/>
          <w:sz w:val="24"/>
          <w:szCs w:val="24"/>
        </w:rPr>
        <w:t>(2), 55–68.</w:t>
      </w:r>
    </w:p>
    <w:p w14:paraId="7ACA6F9E"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Kimathi, B. K., &amp; </w:t>
      </w:r>
      <w:proofErr w:type="spellStart"/>
      <w:r w:rsidRPr="00FD7D28">
        <w:rPr>
          <w:rFonts w:ascii="Times New Roman" w:eastAsia="Times New Roman" w:hAnsi="Times New Roman" w:cs="Times New Roman"/>
          <w:sz w:val="24"/>
          <w:szCs w:val="24"/>
        </w:rPr>
        <w:t>Irungu</w:t>
      </w:r>
      <w:proofErr w:type="spellEnd"/>
      <w:r w:rsidRPr="00FD7D28">
        <w:rPr>
          <w:rFonts w:ascii="Times New Roman" w:eastAsia="Times New Roman" w:hAnsi="Times New Roman" w:cs="Times New Roman"/>
          <w:sz w:val="24"/>
          <w:szCs w:val="24"/>
        </w:rPr>
        <w:t xml:space="preserve">, A. M. (2024). Revenue diversification and financial sustainability in Kenyan public universities. </w:t>
      </w:r>
      <w:r w:rsidRPr="00FD7D28">
        <w:rPr>
          <w:rFonts w:ascii="Times New Roman" w:eastAsia="Times New Roman" w:hAnsi="Times New Roman" w:cs="Times New Roman"/>
          <w:i/>
          <w:iCs/>
          <w:sz w:val="24"/>
          <w:szCs w:val="24"/>
        </w:rPr>
        <w:t>International Journal of Educational Management, 38</w:t>
      </w:r>
      <w:r w:rsidRPr="00FD7D28">
        <w:rPr>
          <w:rFonts w:ascii="Times New Roman" w:eastAsia="Times New Roman" w:hAnsi="Times New Roman" w:cs="Times New Roman"/>
          <w:sz w:val="24"/>
          <w:szCs w:val="24"/>
        </w:rPr>
        <w:t>(4), 423–438.</w:t>
      </w:r>
    </w:p>
    <w:p w14:paraId="4328F18A"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Munene, I. I. (2024). Financing higher education in Kenya: Challenges and prospects. </w:t>
      </w:r>
      <w:r w:rsidRPr="00FD7D28">
        <w:rPr>
          <w:rFonts w:ascii="Times New Roman" w:eastAsia="Times New Roman" w:hAnsi="Times New Roman" w:cs="Times New Roman"/>
          <w:i/>
          <w:iCs/>
          <w:sz w:val="24"/>
          <w:szCs w:val="24"/>
        </w:rPr>
        <w:t>Kenya Journal of Education and Policy, 5</w:t>
      </w:r>
      <w:r w:rsidRPr="00FD7D28">
        <w:rPr>
          <w:rFonts w:ascii="Times New Roman" w:eastAsia="Times New Roman" w:hAnsi="Times New Roman" w:cs="Times New Roman"/>
          <w:sz w:val="24"/>
          <w:szCs w:val="24"/>
        </w:rPr>
        <w:t>(1), 12–30.</w:t>
      </w:r>
    </w:p>
    <w:p w14:paraId="14C71FC4"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proofErr w:type="spellStart"/>
      <w:r w:rsidRPr="00FD7D28">
        <w:rPr>
          <w:rFonts w:ascii="Times New Roman" w:eastAsia="Times New Roman" w:hAnsi="Times New Roman" w:cs="Times New Roman"/>
          <w:sz w:val="24"/>
          <w:szCs w:val="24"/>
        </w:rPr>
        <w:t>Oketch</w:t>
      </w:r>
      <w:proofErr w:type="spellEnd"/>
      <w:r w:rsidRPr="00FD7D28">
        <w:rPr>
          <w:rFonts w:ascii="Times New Roman" w:eastAsia="Times New Roman" w:hAnsi="Times New Roman" w:cs="Times New Roman"/>
          <w:sz w:val="24"/>
          <w:szCs w:val="24"/>
        </w:rPr>
        <w:t xml:space="preserve">, M. (2020). Student fees and access to higher education in Kenya. </w:t>
      </w:r>
      <w:r w:rsidRPr="00FD7D28">
        <w:rPr>
          <w:rFonts w:ascii="Times New Roman" w:eastAsia="Times New Roman" w:hAnsi="Times New Roman" w:cs="Times New Roman"/>
          <w:i/>
          <w:iCs/>
          <w:sz w:val="24"/>
          <w:szCs w:val="24"/>
        </w:rPr>
        <w:t>African Education Review, 17</w:t>
      </w:r>
      <w:r w:rsidRPr="00FD7D28">
        <w:rPr>
          <w:rFonts w:ascii="Times New Roman" w:eastAsia="Times New Roman" w:hAnsi="Times New Roman" w:cs="Times New Roman"/>
          <w:sz w:val="24"/>
          <w:szCs w:val="24"/>
        </w:rPr>
        <w:t>(3), 340–357.</w:t>
      </w:r>
    </w:p>
    <w:p w14:paraId="361A5382"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Pfeffer, J., &amp; </w:t>
      </w:r>
      <w:proofErr w:type="spellStart"/>
      <w:r w:rsidRPr="00FD7D28">
        <w:rPr>
          <w:rFonts w:ascii="Times New Roman" w:eastAsia="Times New Roman" w:hAnsi="Times New Roman" w:cs="Times New Roman"/>
          <w:sz w:val="24"/>
          <w:szCs w:val="24"/>
        </w:rPr>
        <w:t>Salancik</w:t>
      </w:r>
      <w:proofErr w:type="spellEnd"/>
      <w:r w:rsidRPr="00FD7D28">
        <w:rPr>
          <w:rFonts w:ascii="Times New Roman" w:eastAsia="Times New Roman" w:hAnsi="Times New Roman" w:cs="Times New Roman"/>
          <w:sz w:val="24"/>
          <w:szCs w:val="24"/>
        </w:rPr>
        <w:t xml:space="preserve">, G. R. (1978). </w:t>
      </w:r>
      <w:r w:rsidRPr="00FD7D28">
        <w:rPr>
          <w:rFonts w:ascii="Times New Roman" w:eastAsia="Times New Roman" w:hAnsi="Times New Roman" w:cs="Times New Roman"/>
          <w:i/>
          <w:iCs/>
          <w:sz w:val="24"/>
          <w:szCs w:val="24"/>
        </w:rPr>
        <w:t>The external control of organizations: A resource dependence perspective</w:t>
      </w:r>
      <w:r w:rsidRPr="00FD7D28">
        <w:rPr>
          <w:rFonts w:ascii="Times New Roman" w:eastAsia="Times New Roman" w:hAnsi="Times New Roman" w:cs="Times New Roman"/>
          <w:sz w:val="24"/>
          <w:szCs w:val="24"/>
        </w:rPr>
        <w:t>. Harper &amp; Row.</w:t>
      </w:r>
    </w:p>
    <w:p w14:paraId="2B0269A3"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Standard Media. (2026, March 10). Public university bills hit </w:t>
      </w:r>
      <w:proofErr w:type="spellStart"/>
      <w:r w:rsidRPr="00FD7D28">
        <w:rPr>
          <w:rFonts w:ascii="Times New Roman" w:eastAsia="Times New Roman" w:hAnsi="Times New Roman" w:cs="Times New Roman"/>
          <w:sz w:val="24"/>
          <w:szCs w:val="24"/>
        </w:rPr>
        <w:t>KSh</w:t>
      </w:r>
      <w:proofErr w:type="spellEnd"/>
      <w:r w:rsidRPr="00FD7D28">
        <w:rPr>
          <w:rFonts w:ascii="Times New Roman" w:eastAsia="Times New Roman" w:hAnsi="Times New Roman" w:cs="Times New Roman"/>
          <w:sz w:val="24"/>
          <w:szCs w:val="24"/>
        </w:rPr>
        <w:t xml:space="preserve"> 98 billion—parliamentary report. </w:t>
      </w:r>
      <w:r w:rsidRPr="00FD7D28">
        <w:rPr>
          <w:rFonts w:ascii="Times New Roman" w:eastAsia="Times New Roman" w:hAnsi="Times New Roman" w:cs="Times New Roman"/>
          <w:i/>
          <w:iCs/>
          <w:sz w:val="24"/>
          <w:szCs w:val="24"/>
        </w:rPr>
        <w:t>Standard Media</w:t>
      </w:r>
      <w:r w:rsidRPr="00FD7D28">
        <w:rPr>
          <w:rFonts w:ascii="Times New Roman" w:eastAsia="Times New Roman" w:hAnsi="Times New Roman" w:cs="Times New Roman"/>
          <w:sz w:val="24"/>
          <w:szCs w:val="24"/>
        </w:rPr>
        <w:t>.</w:t>
      </w:r>
    </w:p>
    <w:p w14:paraId="169B49AA"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The Star. (2025, September 22). University of Nairobi and Kenyatta University among top debtors—report. </w:t>
      </w:r>
      <w:r w:rsidRPr="00FD7D28">
        <w:rPr>
          <w:rFonts w:ascii="Times New Roman" w:eastAsia="Times New Roman" w:hAnsi="Times New Roman" w:cs="Times New Roman"/>
          <w:i/>
          <w:iCs/>
          <w:sz w:val="24"/>
          <w:szCs w:val="24"/>
        </w:rPr>
        <w:t>The Star</w:t>
      </w:r>
      <w:r w:rsidRPr="00FD7D28">
        <w:rPr>
          <w:rFonts w:ascii="Times New Roman" w:eastAsia="Times New Roman" w:hAnsi="Times New Roman" w:cs="Times New Roman"/>
          <w:sz w:val="24"/>
          <w:szCs w:val="24"/>
        </w:rPr>
        <w:t>.</w:t>
      </w:r>
    </w:p>
    <w:p w14:paraId="5E65C21E"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proofErr w:type="spellStart"/>
      <w:r w:rsidRPr="00FD7D28">
        <w:rPr>
          <w:rFonts w:ascii="Times New Roman" w:eastAsia="Times New Roman" w:hAnsi="Times New Roman" w:cs="Times New Roman"/>
          <w:sz w:val="24"/>
          <w:szCs w:val="24"/>
        </w:rPr>
        <w:t>Uzalendo</w:t>
      </w:r>
      <w:proofErr w:type="spellEnd"/>
      <w:r w:rsidRPr="00FD7D28">
        <w:rPr>
          <w:rFonts w:ascii="Times New Roman" w:eastAsia="Times New Roman" w:hAnsi="Times New Roman" w:cs="Times New Roman"/>
          <w:sz w:val="24"/>
          <w:szCs w:val="24"/>
        </w:rPr>
        <w:t xml:space="preserve"> News. (2025, November 5). Public universities’ debts escalate: JKUAT owes </w:t>
      </w:r>
      <w:proofErr w:type="spellStart"/>
      <w:r w:rsidRPr="00FD7D28">
        <w:rPr>
          <w:rFonts w:ascii="Times New Roman" w:eastAsia="Times New Roman" w:hAnsi="Times New Roman" w:cs="Times New Roman"/>
          <w:sz w:val="24"/>
          <w:szCs w:val="24"/>
        </w:rPr>
        <w:t>KSh</w:t>
      </w:r>
      <w:proofErr w:type="spellEnd"/>
      <w:r w:rsidRPr="00FD7D28">
        <w:rPr>
          <w:rFonts w:ascii="Times New Roman" w:eastAsia="Times New Roman" w:hAnsi="Times New Roman" w:cs="Times New Roman"/>
          <w:sz w:val="24"/>
          <w:szCs w:val="24"/>
        </w:rPr>
        <w:t xml:space="preserve"> 9 billion and rising. </w:t>
      </w:r>
      <w:proofErr w:type="spellStart"/>
      <w:r w:rsidRPr="00FD7D28">
        <w:rPr>
          <w:rFonts w:ascii="Times New Roman" w:eastAsia="Times New Roman" w:hAnsi="Times New Roman" w:cs="Times New Roman"/>
          <w:i/>
          <w:iCs/>
          <w:sz w:val="24"/>
          <w:szCs w:val="24"/>
        </w:rPr>
        <w:t>Uzalendo</w:t>
      </w:r>
      <w:proofErr w:type="spellEnd"/>
      <w:r w:rsidRPr="00FD7D28">
        <w:rPr>
          <w:rFonts w:ascii="Times New Roman" w:eastAsia="Times New Roman" w:hAnsi="Times New Roman" w:cs="Times New Roman"/>
          <w:i/>
          <w:iCs/>
          <w:sz w:val="24"/>
          <w:szCs w:val="24"/>
        </w:rPr>
        <w:t xml:space="preserve"> News</w:t>
      </w:r>
      <w:r w:rsidRPr="00FD7D28">
        <w:rPr>
          <w:rFonts w:ascii="Times New Roman" w:eastAsia="Times New Roman" w:hAnsi="Times New Roman" w:cs="Times New Roman"/>
          <w:sz w:val="24"/>
          <w:szCs w:val="24"/>
        </w:rPr>
        <w:t>.</w:t>
      </w:r>
    </w:p>
    <w:p w14:paraId="00D4DE0E"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World Commission on Environment and Development. (1987). </w:t>
      </w:r>
      <w:r w:rsidRPr="00FD7D28">
        <w:rPr>
          <w:rFonts w:ascii="Times New Roman" w:eastAsia="Times New Roman" w:hAnsi="Times New Roman" w:cs="Times New Roman"/>
          <w:i/>
          <w:iCs/>
          <w:sz w:val="24"/>
          <w:szCs w:val="24"/>
        </w:rPr>
        <w:t>Our common future</w:t>
      </w:r>
      <w:r w:rsidRPr="00FD7D28">
        <w:rPr>
          <w:rFonts w:ascii="Times New Roman" w:eastAsia="Times New Roman" w:hAnsi="Times New Roman" w:cs="Times New Roman"/>
          <w:sz w:val="24"/>
          <w:szCs w:val="24"/>
        </w:rPr>
        <w:t>. Oxford University Press.</w:t>
      </w:r>
    </w:p>
    <w:p w14:paraId="3EE222E8" w14:textId="77777777" w:rsidR="00FD7D28" w:rsidRPr="009500F9" w:rsidRDefault="00FD7D28" w:rsidP="002D107D">
      <w:pPr>
        <w:pStyle w:val="NormalWeb"/>
      </w:pPr>
    </w:p>
    <w:p w14:paraId="1FB06D78" w14:textId="77777777" w:rsidR="002D107D" w:rsidRPr="009500F9" w:rsidRDefault="002D107D" w:rsidP="007E2E76">
      <w:pPr>
        <w:jc w:val="center"/>
        <w:rPr>
          <w:rFonts w:ascii="Times New Roman" w:hAnsi="Times New Roman" w:cs="Times New Roman"/>
          <w:b/>
          <w:bCs/>
          <w:sz w:val="24"/>
          <w:szCs w:val="24"/>
        </w:rPr>
      </w:pPr>
    </w:p>
    <w:sectPr w:rsidR="002D107D" w:rsidRPr="009500F9" w:rsidSect="00625EBA">
      <w:headerReference w:type="default" r:id="rId7"/>
      <w:footerReference w:type="default" r:id="rId8"/>
      <w:pgSz w:w="12240" w:h="15840"/>
      <w:pgMar w:top="1440" w:right="1440" w:bottom="1440" w:left="1440" w:header="0" w:footer="178" w:gutter="0"/>
      <w:pgNumType w:fmt="lowerRoman"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508F5" w14:textId="77777777" w:rsidR="00A74D78" w:rsidRDefault="00A74D78">
      <w:pPr>
        <w:spacing w:after="0" w:line="240" w:lineRule="auto"/>
      </w:pPr>
      <w:r>
        <w:separator/>
      </w:r>
    </w:p>
  </w:endnote>
  <w:endnote w:type="continuationSeparator" w:id="0">
    <w:p w14:paraId="06D1584B" w14:textId="77777777" w:rsidR="00A74D78" w:rsidRDefault="00A7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676960"/>
      <w:docPartObj>
        <w:docPartGallery w:val="Page Numbers (Bottom of Page)"/>
        <w:docPartUnique/>
      </w:docPartObj>
    </w:sdtPr>
    <w:sdtEndPr>
      <w:rPr>
        <w:noProof/>
      </w:rPr>
    </w:sdtEndPr>
    <w:sdtContent>
      <w:p w14:paraId="3132BCC2" w14:textId="77777777" w:rsidR="0042263E" w:rsidRDefault="001C663F">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2802703" w14:textId="77777777" w:rsidR="0042263E" w:rsidRDefault="00A74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1A125" w14:textId="77777777" w:rsidR="00A74D78" w:rsidRDefault="00A74D78">
      <w:pPr>
        <w:spacing w:after="0" w:line="240" w:lineRule="auto"/>
      </w:pPr>
      <w:r>
        <w:separator/>
      </w:r>
    </w:p>
  </w:footnote>
  <w:footnote w:type="continuationSeparator" w:id="0">
    <w:p w14:paraId="58D91D67" w14:textId="77777777" w:rsidR="00A74D78" w:rsidRDefault="00A74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8701" w14:textId="77777777" w:rsidR="0042263E" w:rsidRDefault="00A74D78">
    <w:pPr>
      <w:pStyle w:val="Header"/>
    </w:pPr>
  </w:p>
  <w:p w14:paraId="510EFAB8" w14:textId="77777777" w:rsidR="0042263E" w:rsidRDefault="00A74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5604"/>
    <w:multiLevelType w:val="multilevel"/>
    <w:tmpl w:val="6296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1C614E"/>
    <w:multiLevelType w:val="hybridMultilevel"/>
    <w:tmpl w:val="4EBC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263D1"/>
    <w:multiLevelType w:val="multilevel"/>
    <w:tmpl w:val="392CB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6E69F0"/>
    <w:multiLevelType w:val="hybridMultilevel"/>
    <w:tmpl w:val="EF289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9B1BC0"/>
    <w:multiLevelType w:val="multilevel"/>
    <w:tmpl w:val="8E36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F642B4"/>
    <w:multiLevelType w:val="hybridMultilevel"/>
    <w:tmpl w:val="F5BE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D3D33"/>
    <w:multiLevelType w:val="hybridMultilevel"/>
    <w:tmpl w:val="099E72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F2831"/>
    <w:multiLevelType w:val="multilevel"/>
    <w:tmpl w:val="3AE2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DE61E4"/>
    <w:multiLevelType w:val="hybridMultilevel"/>
    <w:tmpl w:val="5BBA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40918"/>
    <w:multiLevelType w:val="multilevel"/>
    <w:tmpl w:val="32D0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7"/>
  </w:num>
  <w:num w:numId="5">
    <w:abstractNumId w:val="0"/>
  </w:num>
  <w:num w:numId="6">
    <w:abstractNumId w:val="2"/>
  </w:num>
  <w:num w:numId="7">
    <w:abstractNumId w:val="9"/>
  </w:num>
  <w:num w:numId="8">
    <w:abstractNumId w:val="3"/>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B7"/>
    <w:rsid w:val="00022D93"/>
    <w:rsid w:val="00030605"/>
    <w:rsid w:val="000331B3"/>
    <w:rsid w:val="00033F0F"/>
    <w:rsid w:val="000365B8"/>
    <w:rsid w:val="000455D1"/>
    <w:rsid w:val="00070F0A"/>
    <w:rsid w:val="00080E86"/>
    <w:rsid w:val="000B34FF"/>
    <w:rsid w:val="000F5119"/>
    <w:rsid w:val="00194401"/>
    <w:rsid w:val="001B32BE"/>
    <w:rsid w:val="001C663F"/>
    <w:rsid w:val="001D2B52"/>
    <w:rsid w:val="001D60C6"/>
    <w:rsid w:val="001E6B65"/>
    <w:rsid w:val="00257576"/>
    <w:rsid w:val="002D107D"/>
    <w:rsid w:val="003A6EBC"/>
    <w:rsid w:val="004438AB"/>
    <w:rsid w:val="004C7AAE"/>
    <w:rsid w:val="004D4783"/>
    <w:rsid w:val="00512E30"/>
    <w:rsid w:val="005B76DB"/>
    <w:rsid w:val="00607E45"/>
    <w:rsid w:val="00614525"/>
    <w:rsid w:val="00625EBA"/>
    <w:rsid w:val="00673AB7"/>
    <w:rsid w:val="006E6DAB"/>
    <w:rsid w:val="00745A79"/>
    <w:rsid w:val="007627E7"/>
    <w:rsid w:val="007E2E76"/>
    <w:rsid w:val="007E4927"/>
    <w:rsid w:val="007F78C8"/>
    <w:rsid w:val="00845817"/>
    <w:rsid w:val="00876B89"/>
    <w:rsid w:val="009500F9"/>
    <w:rsid w:val="0097042E"/>
    <w:rsid w:val="00A127DF"/>
    <w:rsid w:val="00A74D78"/>
    <w:rsid w:val="00A9647F"/>
    <w:rsid w:val="00AB2025"/>
    <w:rsid w:val="00AB67BB"/>
    <w:rsid w:val="00B07579"/>
    <w:rsid w:val="00BF78DA"/>
    <w:rsid w:val="00C94D7C"/>
    <w:rsid w:val="00DA1BA6"/>
    <w:rsid w:val="00DA4681"/>
    <w:rsid w:val="00DC7656"/>
    <w:rsid w:val="00E21779"/>
    <w:rsid w:val="00E22D9B"/>
    <w:rsid w:val="00E57DA7"/>
    <w:rsid w:val="00EB529A"/>
    <w:rsid w:val="00F02DA0"/>
    <w:rsid w:val="00F124FC"/>
    <w:rsid w:val="00F41B8D"/>
    <w:rsid w:val="00F52C4B"/>
    <w:rsid w:val="00FD7D28"/>
    <w:rsid w:val="00FE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E99D"/>
  <w15:chartTrackingRefBased/>
  <w15:docId w15:val="{3EC54B1B-4026-4828-B584-31EB8CD3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AB7"/>
    <w:rPr>
      <w:rFonts w:eastAsia="SimSun"/>
    </w:rPr>
  </w:style>
  <w:style w:type="paragraph" w:styleId="Heading1">
    <w:name w:val="heading 1"/>
    <w:basedOn w:val="Normal"/>
    <w:next w:val="Normal"/>
    <w:link w:val="Heading1Char"/>
    <w:uiPriority w:val="9"/>
    <w:qFormat/>
    <w:rsid w:val="00673AB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76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1B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A1B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AB7"/>
    <w:pPr>
      <w:spacing w:after="0" w:line="240" w:lineRule="auto"/>
      <w:ind w:left="720"/>
      <w:contextualSpacing/>
    </w:pPr>
    <w:rPr>
      <w:rFonts w:ascii="Calibri" w:eastAsia="Calibri" w:hAnsi="Calibri" w:cs="Arial"/>
      <w:sz w:val="20"/>
      <w:szCs w:val="20"/>
    </w:rPr>
  </w:style>
  <w:style w:type="character" w:styleId="Hyperlink">
    <w:name w:val="Hyperlink"/>
    <w:basedOn w:val="DefaultParagraphFont"/>
    <w:uiPriority w:val="99"/>
    <w:unhideWhenUsed/>
    <w:rsid w:val="00673AB7"/>
    <w:rPr>
      <w:color w:val="0563C1" w:themeColor="hyperlink"/>
      <w:u w:val="single"/>
    </w:rPr>
  </w:style>
  <w:style w:type="character" w:styleId="UnresolvedMention">
    <w:name w:val="Unresolved Mention"/>
    <w:basedOn w:val="DefaultParagraphFont"/>
    <w:uiPriority w:val="99"/>
    <w:semiHidden/>
    <w:unhideWhenUsed/>
    <w:rsid w:val="00673AB7"/>
    <w:rPr>
      <w:color w:val="605E5C"/>
      <w:shd w:val="clear" w:color="auto" w:fill="E1DFDD"/>
    </w:rPr>
  </w:style>
  <w:style w:type="character" w:customStyle="1" w:styleId="Heading1Char">
    <w:name w:val="Heading 1 Char"/>
    <w:basedOn w:val="DefaultParagraphFont"/>
    <w:link w:val="Heading1"/>
    <w:uiPriority w:val="9"/>
    <w:rsid w:val="00673AB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AB7"/>
    <w:rPr>
      <w:rFonts w:eastAsia="SimSun"/>
    </w:rPr>
  </w:style>
  <w:style w:type="paragraph" w:styleId="Footer">
    <w:name w:val="footer"/>
    <w:basedOn w:val="Normal"/>
    <w:link w:val="FooterChar"/>
    <w:uiPriority w:val="99"/>
    <w:unhideWhenUsed/>
    <w:rsid w:val="00673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AB7"/>
    <w:rPr>
      <w:rFonts w:eastAsia="SimSun"/>
    </w:rPr>
  </w:style>
  <w:style w:type="paragraph" w:styleId="NormalWeb">
    <w:name w:val="Normal (Web)"/>
    <w:basedOn w:val="Normal"/>
    <w:uiPriority w:val="99"/>
    <w:unhideWhenUsed/>
    <w:qFormat/>
    <w:rsid w:val="00030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0605"/>
    <w:rPr>
      <w:b/>
      <w:bCs/>
    </w:rPr>
  </w:style>
  <w:style w:type="character" w:customStyle="1" w:styleId="Heading2Char">
    <w:name w:val="Heading 2 Char"/>
    <w:basedOn w:val="DefaultParagraphFont"/>
    <w:link w:val="Heading2"/>
    <w:uiPriority w:val="9"/>
    <w:rsid w:val="005B76D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5B76DB"/>
    <w:rPr>
      <w:i/>
      <w:iCs/>
    </w:rPr>
  </w:style>
  <w:style w:type="character" w:customStyle="1" w:styleId="Heading3Char">
    <w:name w:val="Heading 3 Char"/>
    <w:basedOn w:val="DefaultParagraphFont"/>
    <w:link w:val="Heading3"/>
    <w:uiPriority w:val="9"/>
    <w:rsid w:val="00DA1BA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A1BA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6667">
      <w:bodyDiv w:val="1"/>
      <w:marLeft w:val="0"/>
      <w:marRight w:val="0"/>
      <w:marTop w:val="0"/>
      <w:marBottom w:val="0"/>
      <w:divBdr>
        <w:top w:val="none" w:sz="0" w:space="0" w:color="auto"/>
        <w:left w:val="none" w:sz="0" w:space="0" w:color="auto"/>
        <w:bottom w:val="none" w:sz="0" w:space="0" w:color="auto"/>
        <w:right w:val="none" w:sz="0" w:space="0" w:color="auto"/>
      </w:divBdr>
      <w:divsChild>
        <w:div w:id="1398086825">
          <w:marLeft w:val="0"/>
          <w:marRight w:val="0"/>
          <w:marTop w:val="0"/>
          <w:marBottom w:val="0"/>
          <w:divBdr>
            <w:top w:val="none" w:sz="0" w:space="0" w:color="auto"/>
            <w:left w:val="none" w:sz="0" w:space="0" w:color="auto"/>
            <w:bottom w:val="none" w:sz="0" w:space="0" w:color="auto"/>
            <w:right w:val="none" w:sz="0" w:space="0" w:color="auto"/>
          </w:divBdr>
          <w:divsChild>
            <w:div w:id="17749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066">
      <w:bodyDiv w:val="1"/>
      <w:marLeft w:val="0"/>
      <w:marRight w:val="0"/>
      <w:marTop w:val="0"/>
      <w:marBottom w:val="0"/>
      <w:divBdr>
        <w:top w:val="none" w:sz="0" w:space="0" w:color="auto"/>
        <w:left w:val="none" w:sz="0" w:space="0" w:color="auto"/>
        <w:bottom w:val="none" w:sz="0" w:space="0" w:color="auto"/>
        <w:right w:val="none" w:sz="0" w:space="0" w:color="auto"/>
      </w:divBdr>
    </w:div>
    <w:div w:id="226570065">
      <w:bodyDiv w:val="1"/>
      <w:marLeft w:val="0"/>
      <w:marRight w:val="0"/>
      <w:marTop w:val="0"/>
      <w:marBottom w:val="0"/>
      <w:divBdr>
        <w:top w:val="none" w:sz="0" w:space="0" w:color="auto"/>
        <w:left w:val="none" w:sz="0" w:space="0" w:color="auto"/>
        <w:bottom w:val="none" w:sz="0" w:space="0" w:color="auto"/>
        <w:right w:val="none" w:sz="0" w:space="0" w:color="auto"/>
      </w:divBdr>
    </w:div>
    <w:div w:id="307713283">
      <w:bodyDiv w:val="1"/>
      <w:marLeft w:val="0"/>
      <w:marRight w:val="0"/>
      <w:marTop w:val="0"/>
      <w:marBottom w:val="0"/>
      <w:divBdr>
        <w:top w:val="none" w:sz="0" w:space="0" w:color="auto"/>
        <w:left w:val="none" w:sz="0" w:space="0" w:color="auto"/>
        <w:bottom w:val="none" w:sz="0" w:space="0" w:color="auto"/>
        <w:right w:val="none" w:sz="0" w:space="0" w:color="auto"/>
      </w:divBdr>
    </w:div>
    <w:div w:id="509755999">
      <w:bodyDiv w:val="1"/>
      <w:marLeft w:val="0"/>
      <w:marRight w:val="0"/>
      <w:marTop w:val="0"/>
      <w:marBottom w:val="0"/>
      <w:divBdr>
        <w:top w:val="none" w:sz="0" w:space="0" w:color="auto"/>
        <w:left w:val="none" w:sz="0" w:space="0" w:color="auto"/>
        <w:bottom w:val="none" w:sz="0" w:space="0" w:color="auto"/>
        <w:right w:val="none" w:sz="0" w:space="0" w:color="auto"/>
      </w:divBdr>
    </w:div>
    <w:div w:id="746072157">
      <w:bodyDiv w:val="1"/>
      <w:marLeft w:val="0"/>
      <w:marRight w:val="0"/>
      <w:marTop w:val="0"/>
      <w:marBottom w:val="0"/>
      <w:divBdr>
        <w:top w:val="none" w:sz="0" w:space="0" w:color="auto"/>
        <w:left w:val="none" w:sz="0" w:space="0" w:color="auto"/>
        <w:bottom w:val="none" w:sz="0" w:space="0" w:color="auto"/>
        <w:right w:val="none" w:sz="0" w:space="0" w:color="auto"/>
      </w:divBdr>
    </w:div>
    <w:div w:id="1056777797">
      <w:bodyDiv w:val="1"/>
      <w:marLeft w:val="0"/>
      <w:marRight w:val="0"/>
      <w:marTop w:val="0"/>
      <w:marBottom w:val="0"/>
      <w:divBdr>
        <w:top w:val="none" w:sz="0" w:space="0" w:color="auto"/>
        <w:left w:val="none" w:sz="0" w:space="0" w:color="auto"/>
        <w:bottom w:val="none" w:sz="0" w:space="0" w:color="auto"/>
        <w:right w:val="none" w:sz="0" w:space="0" w:color="auto"/>
      </w:divBdr>
    </w:div>
    <w:div w:id="1064598614">
      <w:bodyDiv w:val="1"/>
      <w:marLeft w:val="0"/>
      <w:marRight w:val="0"/>
      <w:marTop w:val="0"/>
      <w:marBottom w:val="0"/>
      <w:divBdr>
        <w:top w:val="none" w:sz="0" w:space="0" w:color="auto"/>
        <w:left w:val="none" w:sz="0" w:space="0" w:color="auto"/>
        <w:bottom w:val="none" w:sz="0" w:space="0" w:color="auto"/>
        <w:right w:val="none" w:sz="0" w:space="0" w:color="auto"/>
      </w:divBdr>
    </w:div>
    <w:div w:id="1074006097">
      <w:bodyDiv w:val="1"/>
      <w:marLeft w:val="0"/>
      <w:marRight w:val="0"/>
      <w:marTop w:val="0"/>
      <w:marBottom w:val="0"/>
      <w:divBdr>
        <w:top w:val="none" w:sz="0" w:space="0" w:color="auto"/>
        <w:left w:val="none" w:sz="0" w:space="0" w:color="auto"/>
        <w:bottom w:val="none" w:sz="0" w:space="0" w:color="auto"/>
        <w:right w:val="none" w:sz="0" w:space="0" w:color="auto"/>
      </w:divBdr>
    </w:div>
    <w:div w:id="1127427770">
      <w:bodyDiv w:val="1"/>
      <w:marLeft w:val="0"/>
      <w:marRight w:val="0"/>
      <w:marTop w:val="0"/>
      <w:marBottom w:val="0"/>
      <w:divBdr>
        <w:top w:val="none" w:sz="0" w:space="0" w:color="auto"/>
        <w:left w:val="none" w:sz="0" w:space="0" w:color="auto"/>
        <w:bottom w:val="none" w:sz="0" w:space="0" w:color="auto"/>
        <w:right w:val="none" w:sz="0" w:space="0" w:color="auto"/>
      </w:divBdr>
    </w:div>
    <w:div w:id="1151092910">
      <w:bodyDiv w:val="1"/>
      <w:marLeft w:val="0"/>
      <w:marRight w:val="0"/>
      <w:marTop w:val="0"/>
      <w:marBottom w:val="0"/>
      <w:divBdr>
        <w:top w:val="none" w:sz="0" w:space="0" w:color="auto"/>
        <w:left w:val="none" w:sz="0" w:space="0" w:color="auto"/>
        <w:bottom w:val="none" w:sz="0" w:space="0" w:color="auto"/>
        <w:right w:val="none" w:sz="0" w:space="0" w:color="auto"/>
      </w:divBdr>
      <w:divsChild>
        <w:div w:id="1421830788">
          <w:marLeft w:val="0"/>
          <w:marRight w:val="0"/>
          <w:marTop w:val="0"/>
          <w:marBottom w:val="0"/>
          <w:divBdr>
            <w:top w:val="none" w:sz="0" w:space="0" w:color="auto"/>
            <w:left w:val="none" w:sz="0" w:space="0" w:color="auto"/>
            <w:bottom w:val="none" w:sz="0" w:space="0" w:color="auto"/>
            <w:right w:val="none" w:sz="0" w:space="0" w:color="auto"/>
          </w:divBdr>
          <w:divsChild>
            <w:div w:id="1078752713">
              <w:marLeft w:val="0"/>
              <w:marRight w:val="0"/>
              <w:marTop w:val="0"/>
              <w:marBottom w:val="0"/>
              <w:divBdr>
                <w:top w:val="none" w:sz="0" w:space="0" w:color="auto"/>
                <w:left w:val="none" w:sz="0" w:space="0" w:color="auto"/>
                <w:bottom w:val="none" w:sz="0" w:space="0" w:color="auto"/>
                <w:right w:val="none" w:sz="0" w:space="0" w:color="auto"/>
              </w:divBdr>
            </w:div>
          </w:divsChild>
        </w:div>
        <w:div w:id="1410342570">
          <w:marLeft w:val="0"/>
          <w:marRight w:val="0"/>
          <w:marTop w:val="0"/>
          <w:marBottom w:val="0"/>
          <w:divBdr>
            <w:top w:val="none" w:sz="0" w:space="0" w:color="auto"/>
            <w:left w:val="none" w:sz="0" w:space="0" w:color="auto"/>
            <w:bottom w:val="none" w:sz="0" w:space="0" w:color="auto"/>
            <w:right w:val="none" w:sz="0" w:space="0" w:color="auto"/>
          </w:divBdr>
          <w:divsChild>
            <w:div w:id="414936604">
              <w:marLeft w:val="0"/>
              <w:marRight w:val="0"/>
              <w:marTop w:val="0"/>
              <w:marBottom w:val="0"/>
              <w:divBdr>
                <w:top w:val="none" w:sz="0" w:space="0" w:color="auto"/>
                <w:left w:val="none" w:sz="0" w:space="0" w:color="auto"/>
                <w:bottom w:val="none" w:sz="0" w:space="0" w:color="auto"/>
                <w:right w:val="none" w:sz="0" w:space="0" w:color="auto"/>
              </w:divBdr>
            </w:div>
          </w:divsChild>
        </w:div>
        <w:div w:id="1582838585">
          <w:marLeft w:val="0"/>
          <w:marRight w:val="0"/>
          <w:marTop w:val="0"/>
          <w:marBottom w:val="0"/>
          <w:divBdr>
            <w:top w:val="none" w:sz="0" w:space="0" w:color="auto"/>
            <w:left w:val="none" w:sz="0" w:space="0" w:color="auto"/>
            <w:bottom w:val="none" w:sz="0" w:space="0" w:color="auto"/>
            <w:right w:val="none" w:sz="0" w:space="0" w:color="auto"/>
          </w:divBdr>
          <w:divsChild>
            <w:div w:id="1542863174">
              <w:marLeft w:val="0"/>
              <w:marRight w:val="0"/>
              <w:marTop w:val="0"/>
              <w:marBottom w:val="0"/>
              <w:divBdr>
                <w:top w:val="none" w:sz="0" w:space="0" w:color="auto"/>
                <w:left w:val="none" w:sz="0" w:space="0" w:color="auto"/>
                <w:bottom w:val="none" w:sz="0" w:space="0" w:color="auto"/>
                <w:right w:val="none" w:sz="0" w:space="0" w:color="auto"/>
              </w:divBdr>
            </w:div>
          </w:divsChild>
        </w:div>
        <w:div w:id="19475898">
          <w:marLeft w:val="0"/>
          <w:marRight w:val="0"/>
          <w:marTop w:val="0"/>
          <w:marBottom w:val="0"/>
          <w:divBdr>
            <w:top w:val="none" w:sz="0" w:space="0" w:color="auto"/>
            <w:left w:val="none" w:sz="0" w:space="0" w:color="auto"/>
            <w:bottom w:val="none" w:sz="0" w:space="0" w:color="auto"/>
            <w:right w:val="none" w:sz="0" w:space="0" w:color="auto"/>
          </w:divBdr>
          <w:divsChild>
            <w:div w:id="1406143565">
              <w:marLeft w:val="0"/>
              <w:marRight w:val="0"/>
              <w:marTop w:val="0"/>
              <w:marBottom w:val="0"/>
              <w:divBdr>
                <w:top w:val="none" w:sz="0" w:space="0" w:color="auto"/>
                <w:left w:val="none" w:sz="0" w:space="0" w:color="auto"/>
                <w:bottom w:val="none" w:sz="0" w:space="0" w:color="auto"/>
                <w:right w:val="none" w:sz="0" w:space="0" w:color="auto"/>
              </w:divBdr>
            </w:div>
          </w:divsChild>
        </w:div>
        <w:div w:id="145971832">
          <w:marLeft w:val="0"/>
          <w:marRight w:val="0"/>
          <w:marTop w:val="0"/>
          <w:marBottom w:val="0"/>
          <w:divBdr>
            <w:top w:val="none" w:sz="0" w:space="0" w:color="auto"/>
            <w:left w:val="none" w:sz="0" w:space="0" w:color="auto"/>
            <w:bottom w:val="none" w:sz="0" w:space="0" w:color="auto"/>
            <w:right w:val="none" w:sz="0" w:space="0" w:color="auto"/>
          </w:divBdr>
          <w:divsChild>
            <w:div w:id="18700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2896">
      <w:bodyDiv w:val="1"/>
      <w:marLeft w:val="0"/>
      <w:marRight w:val="0"/>
      <w:marTop w:val="0"/>
      <w:marBottom w:val="0"/>
      <w:divBdr>
        <w:top w:val="none" w:sz="0" w:space="0" w:color="auto"/>
        <w:left w:val="none" w:sz="0" w:space="0" w:color="auto"/>
        <w:bottom w:val="none" w:sz="0" w:space="0" w:color="auto"/>
        <w:right w:val="none" w:sz="0" w:space="0" w:color="auto"/>
      </w:divBdr>
    </w:div>
    <w:div w:id="1384132328">
      <w:bodyDiv w:val="1"/>
      <w:marLeft w:val="0"/>
      <w:marRight w:val="0"/>
      <w:marTop w:val="0"/>
      <w:marBottom w:val="0"/>
      <w:divBdr>
        <w:top w:val="none" w:sz="0" w:space="0" w:color="auto"/>
        <w:left w:val="none" w:sz="0" w:space="0" w:color="auto"/>
        <w:bottom w:val="none" w:sz="0" w:space="0" w:color="auto"/>
        <w:right w:val="none" w:sz="0" w:space="0" w:color="auto"/>
      </w:divBdr>
    </w:div>
    <w:div w:id="1446467279">
      <w:bodyDiv w:val="1"/>
      <w:marLeft w:val="0"/>
      <w:marRight w:val="0"/>
      <w:marTop w:val="0"/>
      <w:marBottom w:val="0"/>
      <w:divBdr>
        <w:top w:val="none" w:sz="0" w:space="0" w:color="auto"/>
        <w:left w:val="none" w:sz="0" w:space="0" w:color="auto"/>
        <w:bottom w:val="none" w:sz="0" w:space="0" w:color="auto"/>
        <w:right w:val="none" w:sz="0" w:space="0" w:color="auto"/>
      </w:divBdr>
    </w:div>
    <w:div w:id="1469856113">
      <w:bodyDiv w:val="1"/>
      <w:marLeft w:val="0"/>
      <w:marRight w:val="0"/>
      <w:marTop w:val="0"/>
      <w:marBottom w:val="0"/>
      <w:divBdr>
        <w:top w:val="none" w:sz="0" w:space="0" w:color="auto"/>
        <w:left w:val="none" w:sz="0" w:space="0" w:color="auto"/>
        <w:bottom w:val="none" w:sz="0" w:space="0" w:color="auto"/>
        <w:right w:val="none" w:sz="0" w:space="0" w:color="auto"/>
      </w:divBdr>
    </w:div>
    <w:div w:id="1483158105">
      <w:bodyDiv w:val="1"/>
      <w:marLeft w:val="0"/>
      <w:marRight w:val="0"/>
      <w:marTop w:val="0"/>
      <w:marBottom w:val="0"/>
      <w:divBdr>
        <w:top w:val="none" w:sz="0" w:space="0" w:color="auto"/>
        <w:left w:val="none" w:sz="0" w:space="0" w:color="auto"/>
        <w:bottom w:val="none" w:sz="0" w:space="0" w:color="auto"/>
        <w:right w:val="none" w:sz="0" w:space="0" w:color="auto"/>
      </w:divBdr>
    </w:div>
    <w:div w:id="1498182906">
      <w:bodyDiv w:val="1"/>
      <w:marLeft w:val="0"/>
      <w:marRight w:val="0"/>
      <w:marTop w:val="0"/>
      <w:marBottom w:val="0"/>
      <w:divBdr>
        <w:top w:val="none" w:sz="0" w:space="0" w:color="auto"/>
        <w:left w:val="none" w:sz="0" w:space="0" w:color="auto"/>
        <w:bottom w:val="none" w:sz="0" w:space="0" w:color="auto"/>
        <w:right w:val="none" w:sz="0" w:space="0" w:color="auto"/>
      </w:divBdr>
    </w:div>
    <w:div w:id="1546059917">
      <w:bodyDiv w:val="1"/>
      <w:marLeft w:val="0"/>
      <w:marRight w:val="0"/>
      <w:marTop w:val="0"/>
      <w:marBottom w:val="0"/>
      <w:divBdr>
        <w:top w:val="none" w:sz="0" w:space="0" w:color="auto"/>
        <w:left w:val="none" w:sz="0" w:space="0" w:color="auto"/>
        <w:bottom w:val="none" w:sz="0" w:space="0" w:color="auto"/>
        <w:right w:val="none" w:sz="0" w:space="0" w:color="auto"/>
      </w:divBdr>
    </w:div>
    <w:div w:id="1555578423">
      <w:bodyDiv w:val="1"/>
      <w:marLeft w:val="0"/>
      <w:marRight w:val="0"/>
      <w:marTop w:val="0"/>
      <w:marBottom w:val="0"/>
      <w:divBdr>
        <w:top w:val="none" w:sz="0" w:space="0" w:color="auto"/>
        <w:left w:val="none" w:sz="0" w:space="0" w:color="auto"/>
        <w:bottom w:val="none" w:sz="0" w:space="0" w:color="auto"/>
        <w:right w:val="none" w:sz="0" w:space="0" w:color="auto"/>
      </w:divBdr>
    </w:div>
    <w:div w:id="1577594783">
      <w:bodyDiv w:val="1"/>
      <w:marLeft w:val="0"/>
      <w:marRight w:val="0"/>
      <w:marTop w:val="0"/>
      <w:marBottom w:val="0"/>
      <w:divBdr>
        <w:top w:val="none" w:sz="0" w:space="0" w:color="auto"/>
        <w:left w:val="none" w:sz="0" w:space="0" w:color="auto"/>
        <w:bottom w:val="none" w:sz="0" w:space="0" w:color="auto"/>
        <w:right w:val="none" w:sz="0" w:space="0" w:color="auto"/>
      </w:divBdr>
    </w:div>
    <w:div w:id="1827697119">
      <w:bodyDiv w:val="1"/>
      <w:marLeft w:val="0"/>
      <w:marRight w:val="0"/>
      <w:marTop w:val="0"/>
      <w:marBottom w:val="0"/>
      <w:divBdr>
        <w:top w:val="none" w:sz="0" w:space="0" w:color="auto"/>
        <w:left w:val="none" w:sz="0" w:space="0" w:color="auto"/>
        <w:bottom w:val="none" w:sz="0" w:space="0" w:color="auto"/>
        <w:right w:val="none" w:sz="0" w:space="0" w:color="auto"/>
      </w:divBdr>
    </w:div>
    <w:div w:id="1842355737">
      <w:bodyDiv w:val="1"/>
      <w:marLeft w:val="0"/>
      <w:marRight w:val="0"/>
      <w:marTop w:val="0"/>
      <w:marBottom w:val="0"/>
      <w:divBdr>
        <w:top w:val="none" w:sz="0" w:space="0" w:color="auto"/>
        <w:left w:val="none" w:sz="0" w:space="0" w:color="auto"/>
        <w:bottom w:val="none" w:sz="0" w:space="0" w:color="auto"/>
        <w:right w:val="none" w:sz="0" w:space="0" w:color="auto"/>
      </w:divBdr>
    </w:div>
    <w:div w:id="1895119749">
      <w:bodyDiv w:val="1"/>
      <w:marLeft w:val="0"/>
      <w:marRight w:val="0"/>
      <w:marTop w:val="0"/>
      <w:marBottom w:val="0"/>
      <w:divBdr>
        <w:top w:val="none" w:sz="0" w:space="0" w:color="auto"/>
        <w:left w:val="none" w:sz="0" w:space="0" w:color="auto"/>
        <w:bottom w:val="none" w:sz="0" w:space="0" w:color="auto"/>
        <w:right w:val="none" w:sz="0" w:space="0" w:color="auto"/>
      </w:divBdr>
    </w:div>
    <w:div w:id="2049640544">
      <w:bodyDiv w:val="1"/>
      <w:marLeft w:val="0"/>
      <w:marRight w:val="0"/>
      <w:marTop w:val="0"/>
      <w:marBottom w:val="0"/>
      <w:divBdr>
        <w:top w:val="none" w:sz="0" w:space="0" w:color="auto"/>
        <w:left w:val="none" w:sz="0" w:space="0" w:color="auto"/>
        <w:bottom w:val="none" w:sz="0" w:space="0" w:color="auto"/>
        <w:right w:val="none" w:sz="0" w:space="0" w:color="auto"/>
      </w:divBdr>
    </w:div>
    <w:div w:id="2083528951">
      <w:bodyDiv w:val="1"/>
      <w:marLeft w:val="0"/>
      <w:marRight w:val="0"/>
      <w:marTop w:val="0"/>
      <w:marBottom w:val="0"/>
      <w:divBdr>
        <w:top w:val="none" w:sz="0" w:space="0" w:color="auto"/>
        <w:left w:val="none" w:sz="0" w:space="0" w:color="auto"/>
        <w:bottom w:val="none" w:sz="0" w:space="0" w:color="auto"/>
        <w:right w:val="none" w:sz="0" w:space="0" w:color="auto"/>
      </w:divBdr>
    </w:div>
    <w:div w:id="2131701241">
      <w:bodyDiv w:val="1"/>
      <w:marLeft w:val="0"/>
      <w:marRight w:val="0"/>
      <w:marTop w:val="0"/>
      <w:marBottom w:val="0"/>
      <w:divBdr>
        <w:top w:val="none" w:sz="0" w:space="0" w:color="auto"/>
        <w:left w:val="none" w:sz="0" w:space="0" w:color="auto"/>
        <w:bottom w:val="none" w:sz="0" w:space="0" w:color="auto"/>
        <w:right w:val="none" w:sz="0" w:space="0" w:color="auto"/>
      </w:divBdr>
    </w:div>
    <w:div w:id="214696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14</Pages>
  <Words>5031</Words>
  <Characters>28682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1156</cp:lastModifiedBy>
  <cp:revision>21</cp:revision>
  <dcterms:created xsi:type="dcterms:W3CDTF">2026-03-06T04:15:00Z</dcterms:created>
  <dcterms:modified xsi:type="dcterms:W3CDTF">2026-04-13T06:07:00Z</dcterms:modified>
</cp:coreProperties>
</file>