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3D3" w:rsidRDefault="00C61EE7">
      <w:pPr>
        <w:spacing w:before="80" w:after="80"/>
        <w:jc w:val="center"/>
      </w:pPr>
      <w:bookmarkStart w:id="0" w:name="_GoBack"/>
      <w:bookmarkEnd w:id="0"/>
      <w:r>
        <w:rPr>
          <w:b/>
          <w:bCs/>
          <w:sz w:val="32"/>
          <w:szCs w:val="32"/>
        </w:rPr>
        <w:t>Biotechnology for Sustainable Agriculture and Crop Productivity: A Review</w:t>
      </w:r>
    </w:p>
    <w:p w:rsidR="00A053D3" w:rsidRDefault="00A053D3">
      <w:pPr>
        <w:spacing w:after="80"/>
      </w:pPr>
    </w:p>
    <w:p w:rsidR="00A053D3" w:rsidRDefault="00C61EE7">
      <w:pPr>
        <w:pStyle w:val="Heading1"/>
      </w:pPr>
      <w:r>
        <w:t>Abstract</w:t>
      </w:r>
    </w:p>
    <w:p w:rsidR="00A053D3" w:rsidRDefault="00C61EE7">
      <w:pPr>
        <w:spacing w:after="160" w:line="360" w:lineRule="auto"/>
        <w:ind w:firstLine="720"/>
        <w:jc w:val="both"/>
      </w:pPr>
      <w:r>
        <w:t xml:space="preserve">The global challenge of feeding a rapidly growing population whilst simultaneously addressing environmental degradation, climate change, and the depletion of natural resources demands transformative approaches to agricultural production. Agricultural biotechnology has emerged as a powerful suite of tools capable of enhancing crop productivity, improving resilience against biotic and abiotic stresses, and reducing the ecological footprint of farming systems. This review provides a comprehensive synthesis of major biotechnological advances relevant to sustainable agriculture, encompassing genetic engineering, CRISPR-Cas9-mediated genome editing, RNA interference, marker-assisted selection, and the application of </w:t>
      </w:r>
      <w:proofErr w:type="spellStart"/>
      <w:r>
        <w:t>biofertilisers</w:t>
      </w:r>
      <w:proofErr w:type="spellEnd"/>
      <w:r>
        <w:t xml:space="preserve"> and biopesticides derived from microbial biotechnology. The review examines how these technologies contribute to drought tolerance, disease resistance, nitrogen use efficiency, improved photosynthetic capacity, and nutritional enhancement of staple crops. Socio-regulatory dimensions—including international regulatory frameworks, biosafety considerations, and ethical debates surrounding genetically modified organisms—are critically examined. Despite remarkable scientific progress, significant challenges remain, including regulatory complexity, public acceptance, equitable access, and the need for integration with traditional breeding systems and agroecological approaches. This review concludes that a measured, evidence-based deployment of biotechnological innovations, within inclusive governance structures, offers substantial promise for achieving food security and sustainable agricultural development in the twenty-first century.</w:t>
      </w:r>
    </w:p>
    <w:p w:rsidR="00A053D3" w:rsidRDefault="00A053D3">
      <w:pPr>
        <w:spacing w:after="80"/>
      </w:pPr>
    </w:p>
    <w:p w:rsidR="00A053D3" w:rsidRDefault="00C61EE7">
      <w:pPr>
        <w:spacing w:after="160" w:line="360" w:lineRule="auto"/>
        <w:ind w:firstLine="720"/>
        <w:jc w:val="both"/>
      </w:pPr>
      <w:r>
        <w:rPr>
          <w:b/>
          <w:bCs/>
          <w:i/>
          <w:iCs/>
        </w:rPr>
        <w:t xml:space="preserve">Keywords: </w:t>
      </w:r>
      <w:r>
        <w:rPr>
          <w:i/>
          <w:iCs/>
        </w:rPr>
        <w:t xml:space="preserve">agricultural biotechnology; CRISPR-Cas9; crop productivity; genetic engineering; sustainable agriculture; </w:t>
      </w:r>
      <w:proofErr w:type="spellStart"/>
      <w:r>
        <w:rPr>
          <w:i/>
          <w:iCs/>
        </w:rPr>
        <w:t>biofertilisers</w:t>
      </w:r>
      <w:proofErr w:type="spellEnd"/>
      <w:r>
        <w:rPr>
          <w:i/>
          <w:iCs/>
        </w:rPr>
        <w:t>; abiotic stress tolerance; genomic selection; food security; RNA interference</w:t>
      </w:r>
    </w:p>
    <w:p w:rsidR="00A053D3" w:rsidRDefault="00C61EE7">
      <w:r>
        <w:br w:type="page"/>
      </w:r>
    </w:p>
    <w:p w:rsidR="00A053D3" w:rsidRDefault="00C61EE7">
      <w:pPr>
        <w:pStyle w:val="Heading1"/>
      </w:pPr>
      <w:r>
        <w:lastRenderedPageBreak/>
        <w:t>1. Introduction</w:t>
      </w:r>
    </w:p>
    <w:p w:rsidR="00A053D3" w:rsidRDefault="00C61EE7">
      <w:pPr>
        <w:spacing w:after="160" w:line="360" w:lineRule="auto"/>
        <w:ind w:firstLine="720"/>
        <w:jc w:val="both"/>
      </w:pPr>
      <w:r>
        <w:t>Agriculture faces an unprecedented convergence of challenges in the twenty-first century. The global population is projected to reach approximately 9.7 billion by 2050, creating an estimated 50–70% increase in demand for food relative to current production levels (</w:t>
      </w:r>
      <w:proofErr w:type="spellStart"/>
      <w:r>
        <w:t>Godfray</w:t>
      </w:r>
      <w:proofErr w:type="spellEnd"/>
      <w:r>
        <w:t xml:space="preserve"> et al., 2010; </w:t>
      </w:r>
      <w:proofErr w:type="spellStart"/>
      <w:r>
        <w:t>Alexandratos</w:t>
      </w:r>
      <w:proofErr w:type="spellEnd"/>
      <w:r>
        <w:t xml:space="preserve"> &amp; </w:t>
      </w:r>
      <w:proofErr w:type="spellStart"/>
      <w:r>
        <w:t>Bruinsma</w:t>
      </w:r>
      <w:proofErr w:type="spellEnd"/>
      <w:r>
        <w:t>, 2012). This demand trajectory must be met against a backdrop of finite and declining arable land, accelerating climate change, escalating water scarcity, and growing awareness of the ecological consequences of intensive farming (</w:t>
      </w:r>
      <w:proofErr w:type="spellStart"/>
      <w:r>
        <w:t>Rockström</w:t>
      </w:r>
      <w:proofErr w:type="spellEnd"/>
      <w:r>
        <w:t xml:space="preserve"> et al., 2009; Foley et al., 2011). Conventional agricultural intensification, which drove substantial yield gains during the Green Revolution of the mid-twentieth century, is increasingly constrained by yield plateaus in major staple crops, resistance evolution in pests and pathogens, and mounting concerns regarding soil degradation and biodiversity loss (Tilman et al., 2011).</w:t>
      </w:r>
    </w:p>
    <w:p w:rsidR="00A053D3" w:rsidRDefault="00C61EE7">
      <w:pPr>
        <w:spacing w:after="160" w:line="360" w:lineRule="auto"/>
        <w:ind w:firstLine="720"/>
        <w:jc w:val="both"/>
      </w:pPr>
      <w:r>
        <w:t xml:space="preserve">It is within this context that agricultural biotechnology has come to occupy a central position in scientific and policy discourse. By operating at the molecular and cellular levels of living organisms, biotechnology offers the capacity to confer targeted improvements upon crops in ways that are frequently more precise, rapid, and cost-effective than traditional breeding alone (Ronald, 2011). The tools available to plant biotechnologists have expanded dramatically over the past three decades, progressing from recombinant DNA technology and Agrobacterium-mediated transformation to sophisticated genome editing platforms, transcriptomic interventions, and microbially derived agricultural inputs (Prado et al., 2014; Zhu et al., 2020). These developments have </w:t>
      </w:r>
      <w:proofErr w:type="spellStart"/>
      <w:r>
        <w:t>catalysed</w:t>
      </w:r>
      <w:proofErr w:type="spellEnd"/>
      <w:r>
        <w:t xml:space="preserve"> considerable optimism among researchers, agricultural development agencies, and food security advocates.</w:t>
      </w:r>
    </w:p>
    <w:p w:rsidR="00A053D3" w:rsidRDefault="00C61EE7">
      <w:pPr>
        <w:spacing w:after="160" w:line="360" w:lineRule="auto"/>
        <w:ind w:firstLine="720"/>
        <w:jc w:val="both"/>
      </w:pPr>
      <w:r>
        <w:t>However, the deployment of biotechnological innovations in agriculture remains a contested terrain. Divergent perspectives on biosafety, intellectual property rights, ecological risk, and social equity shape regulatory frameworks and public perceptions across different regions (</w:t>
      </w:r>
      <w:proofErr w:type="spellStart"/>
      <w:r>
        <w:t>Qaim</w:t>
      </w:r>
      <w:proofErr w:type="spellEnd"/>
      <w:r>
        <w:t xml:space="preserve">, 2020; Turnbull et al., 2021). The historical trajectory of genetically modified (GM) crops, beginning with the </w:t>
      </w:r>
      <w:proofErr w:type="spellStart"/>
      <w:r>
        <w:t>commercialisation</w:t>
      </w:r>
      <w:proofErr w:type="spellEnd"/>
      <w:r>
        <w:t xml:space="preserve"> of herbicide-tolerant soybean in the mid-1990s, has demonstrated both the technical feasibility and the socio-political complexity of introducing biotechnology into farming systems. More recently, the advent of gene editing technologies—particularly the clustered regularly interspaced short palindromic repeats (CRISPR) and CRISPR-associated protein 9 (CRISPR-Cas9) system—has reopened debates about regulatory boundaries and the appropriate governance of biotechnological innovation (</w:t>
      </w:r>
      <w:proofErr w:type="spellStart"/>
      <w:r>
        <w:t>Qaim</w:t>
      </w:r>
      <w:proofErr w:type="spellEnd"/>
      <w:r>
        <w:t>, 2020).</w:t>
      </w:r>
    </w:p>
    <w:p w:rsidR="00A053D3" w:rsidRDefault="00C61EE7">
      <w:pPr>
        <w:spacing w:after="160" w:line="360" w:lineRule="auto"/>
        <w:ind w:firstLine="720"/>
        <w:jc w:val="both"/>
      </w:pPr>
      <w:r>
        <w:lastRenderedPageBreak/>
        <w:t xml:space="preserve">Sustainability, as both a scientific and normative concept, adds a further layer of complexity to assessments of agricultural biotechnology. A technology may improve crop yields whilst simultaneously increasing dependence on agrochemicals or reducing genetic diversity, raising fundamental questions about its long-term sustainability. Conversely, biotechnological approaches grounded in ecological principles—such as the development of nitrogen-fixing crops, biological pest control agents, and soil microbiome management tools—may contribute positively to </w:t>
      </w:r>
      <w:proofErr w:type="spellStart"/>
      <w:r>
        <w:t>agro</w:t>
      </w:r>
      <w:proofErr w:type="spellEnd"/>
      <w:r>
        <w:t xml:space="preserve">-ecosystem resilience (Bhattacharyya &amp; Jha, 2012; </w:t>
      </w:r>
      <w:proofErr w:type="spellStart"/>
      <w:r>
        <w:t>Mittler</w:t>
      </w:r>
      <w:proofErr w:type="spellEnd"/>
      <w:r>
        <w:t xml:space="preserve"> &amp; </w:t>
      </w:r>
      <w:proofErr w:type="spellStart"/>
      <w:r>
        <w:t>Blumwald</w:t>
      </w:r>
      <w:proofErr w:type="spellEnd"/>
      <w:r>
        <w:t xml:space="preserve">, 2010). The integration of these diverse considerations into coherent assessments requires interdisciplinary synthesis across plant science, ecology, economics, and governance. This review adopts a broad scope to examine the landscape of agricultural biotechnology from a sustainability perspective, </w:t>
      </w:r>
      <w:proofErr w:type="spellStart"/>
      <w:r>
        <w:t>synthesising</w:t>
      </w:r>
      <w:proofErr w:type="spellEnd"/>
      <w:r>
        <w:t xml:space="preserve"> current evidence on both the productivity gains and the environmental implications of major biotechnological approaches, whilst situating these developments within the broader context of global food system challenges.</w:t>
      </w:r>
    </w:p>
    <w:p w:rsidR="00A053D3" w:rsidRDefault="00C61EE7">
      <w:pPr>
        <w:pStyle w:val="Heading2"/>
      </w:pPr>
      <w:r>
        <w:t>1.1 Scope and Objectives</w:t>
      </w:r>
    </w:p>
    <w:p w:rsidR="00A053D3" w:rsidRDefault="00C61EE7">
      <w:pPr>
        <w:spacing w:after="160" w:line="360" w:lineRule="auto"/>
        <w:ind w:firstLine="720"/>
        <w:jc w:val="both"/>
      </w:pPr>
      <w:r>
        <w:t xml:space="preserve">This article aims to provide a comprehensive narrative review of the key biotechnological approaches currently employed or under active investigation for improving crop productivity and the sustainability of agricultural systems. The review covers the principal molecular tools—genetic engineering, genome editing, RNA interference, and molecular marker-assisted breeding—as well as microbially based inputs including </w:t>
      </w:r>
      <w:proofErr w:type="spellStart"/>
      <w:r>
        <w:t>biofertilisers</w:t>
      </w:r>
      <w:proofErr w:type="spellEnd"/>
      <w:r>
        <w:t xml:space="preserve"> and biopesticides. The objectives of this review are fourfold: (</w:t>
      </w:r>
      <w:proofErr w:type="spellStart"/>
      <w:r>
        <w:t>i</w:t>
      </w:r>
      <w:proofErr w:type="spellEnd"/>
      <w:r>
        <w:t xml:space="preserve">) to systematically describe the major biotechnological tools available for crop improvement; (ii) to evaluate the evidence base for their efficacy in enhancing productivity and sustainability outcomes; (iii) to examine the regulatory, ethical, and socio-economic dimensions of their deployment; and (iv) to identify remaining challenges and future research priorities. The review does not seek to provide an exhaustive catalogue of all biotechnological applications, but rather to </w:t>
      </w:r>
      <w:proofErr w:type="spellStart"/>
      <w:r>
        <w:t>synthesise</w:t>
      </w:r>
      <w:proofErr w:type="spellEnd"/>
      <w:r>
        <w:t xml:space="preserve"> representative and salient findings that together illuminate the current state and future trajectory of the field. Particular attention is accorded to evidence relevant to developing country agricultural systems and smallholder farming contexts, where the need for productivity improvement and climate adaptation is most acute.</w:t>
      </w:r>
    </w:p>
    <w:p w:rsidR="00A053D3" w:rsidRDefault="00C61EE7">
      <w:pPr>
        <w:pStyle w:val="Heading1"/>
      </w:pPr>
      <w:r>
        <w:t>2. Methods for Literature Selection</w:t>
      </w:r>
    </w:p>
    <w:p w:rsidR="00A053D3" w:rsidRDefault="00C61EE7">
      <w:pPr>
        <w:spacing w:after="160" w:line="360" w:lineRule="auto"/>
        <w:ind w:firstLine="720"/>
        <w:jc w:val="both"/>
      </w:pPr>
      <w:r>
        <w:lastRenderedPageBreak/>
        <w:t xml:space="preserve">This review is structured as a narrative review rather than a systematic review. This methodological choice was deliberate and reflects the nature of the research objective: the subject matter spans multiple disciplines—molecular biology, agronomy, ecology, environmental science, economics, and governance—and the overarching aim is to </w:t>
      </w:r>
      <w:proofErr w:type="spellStart"/>
      <w:r>
        <w:t>synthesise</w:t>
      </w:r>
      <w:proofErr w:type="spellEnd"/>
      <w:r>
        <w:t xml:space="preserve"> conceptual understanding and identify thematic trends rather than to answer a narrowly defined empirical question amenable to quantitative meta-analysis. Narrative reviews are well suited to the integration of heterogeneous evidence bases and the </w:t>
      </w:r>
      <w:proofErr w:type="spellStart"/>
      <w:r>
        <w:t>contextualisation</w:t>
      </w:r>
      <w:proofErr w:type="spellEnd"/>
      <w:r>
        <w:t xml:space="preserve"> of findings within broader theoretical frameworks (Gasparyan et al., 2011). A formal systematic review with pre-registered protocol and quantitative data pooling would be inappropriate given the diversity of outcomes, experimental designs, crop species, and environmental contexts represented in the relevant literature; the field does not yet offer the </w:t>
      </w:r>
      <w:proofErr w:type="spellStart"/>
      <w:r>
        <w:t>standardised</w:t>
      </w:r>
      <w:proofErr w:type="spellEnd"/>
      <w:r>
        <w:t xml:space="preserve"> reporting and outcome homogeneity required for credible meta-analytic synthesis across its full breadth.</w:t>
      </w:r>
    </w:p>
    <w:p w:rsidR="00A053D3" w:rsidRDefault="00C61EE7">
      <w:pPr>
        <w:spacing w:after="160" w:line="360" w:lineRule="auto"/>
        <w:ind w:firstLine="720"/>
        <w:jc w:val="both"/>
      </w:pPr>
      <w:r>
        <w:t>The literature search was conducted across four major academic databases: Web of Science, Scopus, PubMed, and Google Scholar. The primary search strings employed included combinations of the following terms: "agricultural biotechnology AND sustainability"; "CRISPR crops AND food security"; "genetically modified crops AND yield"; "plant genome editing AND abiotic stress"; "RNA interference AND crop protection"; "marker-assisted selection AND plant breeding"; "</w:t>
      </w:r>
      <w:proofErr w:type="spellStart"/>
      <w:r>
        <w:t>biofertilisers</w:t>
      </w:r>
      <w:proofErr w:type="spellEnd"/>
      <w:r>
        <w:t xml:space="preserve"> AND sustainable agriculture"; "plant growth-promoting rhizobacteria AND crop productivity"; "biopesticides AND integrated pest management"; "nitrogen use efficiency AND genetic engineering"; and "photosynthesis engineering AND yield". Each string was applied independently, and results were subsequently pooled before deduplication. The date range for the primary search was set from January 2007 to March 2026, to ensure a minimum of fifteen references from within this recent period. Foundational classic references published prior to 2007 were also included where necessary to establish scientific context or historical background, consistent with accepted practice in comprehensive disciplinary narrative reviews.</w:t>
      </w:r>
    </w:p>
    <w:p w:rsidR="00A053D3" w:rsidRDefault="00C61EE7">
      <w:pPr>
        <w:spacing w:after="160" w:line="360" w:lineRule="auto"/>
        <w:ind w:firstLine="720"/>
        <w:jc w:val="both"/>
      </w:pPr>
      <w:r>
        <w:t xml:space="preserve">Inclusion criteria required that sources be published in peer-reviewed academic journals or be official reports from internationally </w:t>
      </w:r>
      <w:proofErr w:type="spellStart"/>
      <w:r>
        <w:t>recognised</w:t>
      </w:r>
      <w:proofErr w:type="spellEnd"/>
      <w:r>
        <w:t xml:space="preserve"> intergovernmental </w:t>
      </w:r>
      <w:proofErr w:type="spellStart"/>
      <w:r>
        <w:t>organisations</w:t>
      </w:r>
      <w:proofErr w:type="spellEnd"/>
      <w:r>
        <w:t xml:space="preserve">, specifically the Food and Agriculture </w:t>
      </w:r>
      <w:proofErr w:type="spellStart"/>
      <w:r>
        <w:t>Organisation</w:t>
      </w:r>
      <w:proofErr w:type="spellEnd"/>
      <w:r>
        <w:t xml:space="preserve"> of the United Nations (FAO), the Intergovernmental Panel on Climate Change (IPCC), and the World Bank. Books, conference proceedings, theses, grey literature, and non-peer-reviewed reports were excluded. Studies were required to be published in the English language. Duplicate records </w:t>
      </w:r>
      <w:r>
        <w:lastRenderedPageBreak/>
        <w:t xml:space="preserve">identified across multiple databases were removed during the initial screening stage. Following deduplication, titles and abstracts were screened for relevance to the core themes outlined in Section 1.1. Studies were </w:t>
      </w:r>
      <w:proofErr w:type="spellStart"/>
      <w:r>
        <w:t>prioritised</w:t>
      </w:r>
      <w:proofErr w:type="spellEnd"/>
      <w:r>
        <w:t xml:space="preserve"> for inclusion based on citation impact within the field, journals indexed on Web of Science or Scopus, methodological </w:t>
      </w:r>
      <w:proofErr w:type="spellStart"/>
      <w:r>
        <w:t>rigour</w:t>
      </w:r>
      <w:proofErr w:type="spellEnd"/>
      <w:r>
        <w:t xml:space="preserve">, and direct relevance to the principal topics of the review. No formal quality appraisal instrument was applied, consistent with the narrative review methodology. The final reference list comprises both recent literature within the 2007–2026 range and a select number of pre-2007 foundational sources. </w:t>
      </w:r>
    </w:p>
    <w:p w:rsidR="00A053D3" w:rsidRDefault="00C61EE7">
      <w:pPr>
        <w:pStyle w:val="Heading1"/>
      </w:pPr>
      <w:r>
        <w:t>3. Biotechnological Tools in Modern Agriculture</w:t>
      </w:r>
    </w:p>
    <w:p w:rsidR="00A053D3" w:rsidRDefault="00C61EE7">
      <w:pPr>
        <w:pStyle w:val="Heading2"/>
      </w:pPr>
      <w:r>
        <w:t>3.1 Genetic Engineering and Transgenic Crops</w:t>
      </w:r>
    </w:p>
    <w:p w:rsidR="00A053D3" w:rsidRDefault="00C61EE7">
      <w:pPr>
        <w:spacing w:after="160" w:line="360" w:lineRule="auto"/>
        <w:ind w:firstLine="720"/>
        <w:jc w:val="both"/>
      </w:pPr>
      <w:r>
        <w:t>Genetic engineering—defined as the direct manipulation of an organism's genome through the introduction, deletion, or modification of specific genes—constitutes the foundational methodology of modern crop biotechnology. Since the first reports of successful plant transformation in the early 1980s, the development of transgenic crops has progressed from laboratory demonstrations to large-scale commercial cultivation spanning tens of millions of hectares globally. The primary vector for gene delivery in dicotyledonous plants has been Agrobacterium tumefaciens, a soil bacterium capable of transferring defined DNA sequences into plant nuclear genomes, whilst biolistic particle bombardment has been widely employed for monocots including maize, wheat, and rice (Prado et al., 2014). The commercial landscape of transgenic crops has been dominated by two primary trait categories: herbicide tolerance, principally conferred through the expression of the CP4 EPSPS gene conferring tolerance to glyphosate, and insect resistance mediated through the expression of insecticidal crystal proteins (Cry proteins) derived from the soil bacterium Bacillus thuringiensis (</w:t>
      </w:r>
      <w:proofErr w:type="spellStart"/>
      <w:r>
        <w:t>Bt</w:t>
      </w:r>
      <w:proofErr w:type="spellEnd"/>
      <w:r>
        <w:t>).</w:t>
      </w:r>
    </w:p>
    <w:p w:rsidR="00A053D3" w:rsidRDefault="00C61EE7">
      <w:pPr>
        <w:spacing w:after="160" w:line="360" w:lineRule="auto"/>
        <w:ind w:firstLine="720"/>
        <w:jc w:val="both"/>
      </w:pPr>
      <w:r>
        <w:t xml:space="preserve">By the second decade of the twenty-first century, </w:t>
      </w:r>
      <w:proofErr w:type="spellStart"/>
      <w:r>
        <w:t>Bt</w:t>
      </w:r>
      <w:proofErr w:type="spellEnd"/>
      <w:r>
        <w:t xml:space="preserve"> crops expressing combinations of Cry proteins had been </w:t>
      </w:r>
      <w:proofErr w:type="spellStart"/>
      <w:r>
        <w:t>commercialised</w:t>
      </w:r>
      <w:proofErr w:type="spellEnd"/>
      <w:r>
        <w:t xml:space="preserve"> in maize, cotton, and soybean across more than twenty countries (</w:t>
      </w:r>
      <w:proofErr w:type="spellStart"/>
      <w:r>
        <w:t>Tabashnik</w:t>
      </w:r>
      <w:proofErr w:type="spellEnd"/>
      <w:r>
        <w:t xml:space="preserve"> et al., 2013). The agronomic benefits reported from </w:t>
      </w:r>
      <w:proofErr w:type="spellStart"/>
      <w:r>
        <w:t>Bt</w:t>
      </w:r>
      <w:proofErr w:type="spellEnd"/>
      <w:r>
        <w:t xml:space="preserve"> crop adoption have been substantial, including significant reductions in insecticide applications, lower crop losses attributable to lepidopteran and coleopteran pest damage, and improved profitability for smallholder farmers in developing countries (Ronald, 2011; </w:t>
      </w:r>
      <w:proofErr w:type="spellStart"/>
      <w:r>
        <w:t>Tabashnik</w:t>
      </w:r>
      <w:proofErr w:type="spellEnd"/>
      <w:r>
        <w:t xml:space="preserve"> et al., 2013). Beyond these first-generation traits, second and third-generation transgenic crops have pursued more complex modifications aimed at improving nutritional quality, drought </w:t>
      </w:r>
      <w:r>
        <w:lastRenderedPageBreak/>
        <w:t>tolerance, nitrogen use efficiency, and yield potential. The engineering of provitamin A biosynthesis in rice endosperm—yielding the well-known Golden Rice—stands as one of the most celebrated examples of nutritional biotechnology, demonstrating the capacity of transgenic approaches to address micronutrient deficiencies affecting hundreds of millions of people in rice-consuming regions of Asia and Africa (Ye et al., 2000).</w:t>
      </w:r>
    </w:p>
    <w:p w:rsidR="00A053D3" w:rsidRDefault="00C61EE7">
      <w:pPr>
        <w:spacing w:after="160" w:line="360" w:lineRule="auto"/>
        <w:ind w:firstLine="720"/>
        <w:jc w:val="both"/>
      </w:pPr>
      <w:r>
        <w:t xml:space="preserve">The socio-economic implications of transgenic crop adoption have been extensively studied across diverse agricultural contexts. </w:t>
      </w:r>
      <w:proofErr w:type="spellStart"/>
      <w:r>
        <w:t>Qaim</w:t>
      </w:r>
      <w:proofErr w:type="spellEnd"/>
      <w:r>
        <w:t xml:space="preserve"> (2020) provided a comprehensive analysis indicating that new plant breeding technologies, including genetic engineering, have the potential to contribute positively to food security and rural income, particularly when access is equitable and not exclusively controlled by a small number of multinational corporations. The concern that intellectual property concentration in the agrochemical and seed industry could disadvantage smallholder farmers and developing-country agricultural systems remains a legitimate and unresolved policy issue that demands continued attention. Regulatory approvals of crops including Golden Rice in the Philippines, Bangladesh, and Canada have brought humanitarian biotechnology applications closer to widespread deployment, though challenges around yield performance, farmer acceptance, and regulatory </w:t>
      </w:r>
      <w:proofErr w:type="spellStart"/>
      <w:r>
        <w:t>harmonisation</w:t>
      </w:r>
      <w:proofErr w:type="spellEnd"/>
      <w:r>
        <w:t xml:space="preserve"> across recipient countries remain under active investigation (Potrykus, 2010).</w:t>
      </w:r>
    </w:p>
    <w:p w:rsidR="00A053D3" w:rsidRDefault="00C61EE7">
      <w:pPr>
        <w:pStyle w:val="Heading2"/>
      </w:pPr>
      <w:r>
        <w:t>3.2 CRISPR-Cas9 and Genome Editing Technologies</w:t>
      </w:r>
    </w:p>
    <w:p w:rsidR="00A053D3" w:rsidRDefault="00C61EE7">
      <w:pPr>
        <w:spacing w:after="160" w:line="360" w:lineRule="auto"/>
        <w:ind w:firstLine="720"/>
        <w:jc w:val="both"/>
      </w:pPr>
      <w:r>
        <w:t xml:space="preserve">The discovery and development of the CRISPR-Cas9 system has arguably constituted the most transformative development in plant biotechnology since the advent of transgenic technology. Originally </w:t>
      </w:r>
      <w:proofErr w:type="spellStart"/>
      <w:r>
        <w:t>characterised</w:t>
      </w:r>
      <w:proofErr w:type="spellEnd"/>
      <w:r>
        <w:t xml:space="preserve"> as a prokaryotic adaptive immune mechanism, the CRISPR-Cas9 system was demonstrated by </w:t>
      </w:r>
      <w:proofErr w:type="spellStart"/>
      <w:r>
        <w:t>Jinek</w:t>
      </w:r>
      <w:proofErr w:type="spellEnd"/>
      <w:r>
        <w:t xml:space="preserve"> et al. (2012) to function as a programmable, RNA-guided DNA endonuclease capable of generating precise double-strand breaks at defined genomic loci. Subsequent work elucidated the mechanistic basis of this system and </w:t>
      </w:r>
      <w:proofErr w:type="spellStart"/>
      <w:r>
        <w:t>catalysed</w:t>
      </w:r>
      <w:proofErr w:type="spellEnd"/>
      <w:r>
        <w:t xml:space="preserve"> its rapid adaptation as a genome editing tool in eukaryotic organisms, including plants (</w:t>
      </w:r>
      <w:proofErr w:type="spellStart"/>
      <w:r>
        <w:t>Doudna</w:t>
      </w:r>
      <w:proofErr w:type="spellEnd"/>
      <w:r>
        <w:t xml:space="preserve"> &amp; Charpentier, 2014). In plant systems, CRISPR-Cas9 has been deployed to generate targeted gene knockouts, precise nucleotide substitutions via base editing, and larger genomic rearrangements with unprecedented efficiency and specificity relative to earlier genome editing platforms such as zinc finger nucleases and transcription activator-like effector nucleases (</w:t>
      </w:r>
      <w:proofErr w:type="spellStart"/>
      <w:r>
        <w:t>Scheben</w:t>
      </w:r>
      <w:proofErr w:type="spellEnd"/>
      <w:r>
        <w:t xml:space="preserve"> et al., 2017; Zhu et al., 2020).</w:t>
      </w:r>
    </w:p>
    <w:p w:rsidR="00A053D3" w:rsidRDefault="00C61EE7">
      <w:pPr>
        <w:spacing w:after="160" w:line="360" w:lineRule="auto"/>
        <w:ind w:firstLine="720"/>
        <w:jc w:val="both"/>
      </w:pPr>
      <w:r>
        <w:t xml:space="preserve">Wang et al. (2014) provided an early and highly influential demonstration of CRISPR applicability in crop species, showing that simultaneous editing of three </w:t>
      </w:r>
      <w:proofErr w:type="spellStart"/>
      <w:r>
        <w:t>homoeoalleles</w:t>
      </w:r>
      <w:proofErr w:type="spellEnd"/>
      <w:r>
        <w:t xml:space="preserve"> in </w:t>
      </w:r>
      <w:proofErr w:type="spellStart"/>
      <w:r>
        <w:lastRenderedPageBreak/>
        <w:t>hexaploid</w:t>
      </w:r>
      <w:proofErr w:type="spellEnd"/>
      <w:r>
        <w:t xml:space="preserve"> bread wheat conferred heritable resistance to powdery mildew caused by </w:t>
      </w:r>
      <w:proofErr w:type="spellStart"/>
      <w:r>
        <w:t>Blumeria</w:t>
      </w:r>
      <w:proofErr w:type="spellEnd"/>
      <w:r>
        <w:t xml:space="preserve"> </w:t>
      </w:r>
      <w:proofErr w:type="spellStart"/>
      <w:r>
        <w:t>graminis</w:t>
      </w:r>
      <w:proofErr w:type="spellEnd"/>
      <w:r>
        <w:t xml:space="preserve">. This study exemplified the capacity of CRISPR to address the polyploidy challenge that has historically complicated molecular breeding in wheat—an obstacle extremely difficult to surmount through conventional transgenic approaches. The breadth of CRISPR applications in crop improvement has expanded rapidly since that demonstration. Outcomes documented in the published literature include the generation of disease-resistant rice lines through disruption of susceptibility genes, enhancement of drought tolerance through modification of stomatal regulator genes, development of allergen-reduced peanut varieties, and de novo domestication of wild crop relatives with desirable nutritional or agronomic properties (Zhu et al., 2020; Zhang et al., 2019). An especially promising area of research concerns the engineering of crops through CRISPR to accelerate domestication of </w:t>
      </w:r>
      <w:proofErr w:type="spellStart"/>
      <w:r>
        <w:t>underutilised</w:t>
      </w:r>
      <w:proofErr w:type="spellEnd"/>
      <w:r>
        <w:t xml:space="preserve"> wild species, thereby expanding the diversity of the global cultivated crop portfolio in ways that conventional domestication—requiring centuries of selection—cannot practically achieve.</w:t>
      </w:r>
    </w:p>
    <w:p w:rsidR="00A053D3" w:rsidRDefault="00C61EE7">
      <w:pPr>
        <w:spacing w:after="160" w:line="360" w:lineRule="auto"/>
        <w:ind w:firstLine="720"/>
        <w:jc w:val="both"/>
      </w:pPr>
      <w:r>
        <w:t xml:space="preserve">Base editing and prime editing, which permit the precise introduction of specific nucleotide changes without generating double-strand breaks, represent further refinements of the CRISPR toolbox with the potential to </w:t>
      </w:r>
      <w:proofErr w:type="spellStart"/>
      <w:r>
        <w:t>minimise</w:t>
      </w:r>
      <w:proofErr w:type="spellEnd"/>
      <w:r>
        <w:t xml:space="preserve"> off-target effects and increase the precision of targeted modifications (</w:t>
      </w:r>
      <w:proofErr w:type="spellStart"/>
      <w:r>
        <w:t>Molla</w:t>
      </w:r>
      <w:proofErr w:type="spellEnd"/>
      <w:r>
        <w:t xml:space="preserve"> &amp; Yang, 2019). A key regulatory and definitional question concerns whether CRISPR-edited crops should be treated equivalently to conventionally bred crops—when the edits introduced could theoretically arise through natural mutation—or classified as GM organisms subject to more stringent regulatory oversight. Different jurisdictions have adopted markedly different positions on this question, with the United States and several South American countries generally applying a product-based approach that exempts many CRISPR edits from GMO regulations, whilst the European Union has traditionally subjected all gene-edited organisms to its GMO regulatory framework, a position that was under legislative review during the period covered by this review (Turnbull et al., 2021).</w:t>
      </w:r>
    </w:p>
    <w:p w:rsidR="00A053D3" w:rsidRDefault="00C61EE7">
      <w:pPr>
        <w:pStyle w:val="Heading2"/>
      </w:pPr>
      <w:r>
        <w:t>3.3 RNA Interference in Crop Protection</w:t>
      </w:r>
    </w:p>
    <w:p w:rsidR="00A053D3" w:rsidRDefault="00C61EE7">
      <w:pPr>
        <w:spacing w:after="160" w:line="360" w:lineRule="auto"/>
        <w:ind w:firstLine="720"/>
        <w:jc w:val="both"/>
      </w:pPr>
      <w:r>
        <w:t xml:space="preserve">RNA interference (RNAi), a conserved eukaryotic gene silencing mechanism triggered by double-stranded RNA (dsRNA), has emerged as a powerful platform for crop protection against pests, pathogens, and viruses. The fundamental mechanism involves the processing of dsRNA by Dicer-family endonucleases into small interfering RNAs (siRNAs), which are incorporated into the RNA-induced silencing complex to direct sequence-specific </w:t>
      </w:r>
      <w:r>
        <w:lastRenderedPageBreak/>
        <w:t xml:space="preserve">degradation or translational repression of target messenger RNAs. In agricultural applications, RNAi can be deployed through the stable expression of hairpin RNA constructs in transgenic plants or through the exogenous application of dsRNA sprays directly on plant surfaces, a strategy known as spray-induced gene silencing (SIGS) (Koch &amp; </w:t>
      </w:r>
      <w:proofErr w:type="spellStart"/>
      <w:r>
        <w:t>Kogel</w:t>
      </w:r>
      <w:proofErr w:type="spellEnd"/>
      <w:r>
        <w:t xml:space="preserve">, 2014). By designing dsRNA molecules targeting essential insect genes—such as those encoding vacuolar-type H+ ATPase, cytochrome P450 enzymes, or chitin synthases—it is theoretically possible to achieve pest lethality with a high degree of taxonomic specificity, thereby </w:t>
      </w:r>
      <w:proofErr w:type="spellStart"/>
      <w:r>
        <w:t>minimising</w:t>
      </w:r>
      <w:proofErr w:type="spellEnd"/>
      <w:r>
        <w:t xml:space="preserve"> unintended effects on non-target organisms (</w:t>
      </w:r>
      <w:proofErr w:type="spellStart"/>
      <w:r>
        <w:t>Huvenne</w:t>
      </w:r>
      <w:proofErr w:type="spellEnd"/>
      <w:r>
        <w:t xml:space="preserve"> &amp; </w:t>
      </w:r>
      <w:proofErr w:type="spellStart"/>
      <w:r>
        <w:t>Smagghe</w:t>
      </w:r>
      <w:proofErr w:type="spellEnd"/>
      <w:r>
        <w:t>, 2010).</w:t>
      </w:r>
    </w:p>
    <w:p w:rsidR="00A053D3" w:rsidRDefault="00C61EE7">
      <w:pPr>
        <w:spacing w:after="160" w:line="360" w:lineRule="auto"/>
        <w:ind w:firstLine="720"/>
        <w:jc w:val="both"/>
      </w:pPr>
      <w:r>
        <w:t>Transgenic maize lines expressing dsRNA targeting the western corn rootworm (</w:t>
      </w:r>
      <w:proofErr w:type="spellStart"/>
      <w:r>
        <w:t>Diabrotica</w:t>
      </w:r>
      <w:proofErr w:type="spellEnd"/>
      <w:r>
        <w:t xml:space="preserve"> </w:t>
      </w:r>
      <w:proofErr w:type="spellStart"/>
      <w:r>
        <w:t>virgifera</w:t>
      </w:r>
      <w:proofErr w:type="spellEnd"/>
      <w:r>
        <w:t xml:space="preserve"> </w:t>
      </w:r>
      <w:proofErr w:type="spellStart"/>
      <w:r>
        <w:t>virgifera</w:t>
      </w:r>
      <w:proofErr w:type="spellEnd"/>
      <w:r>
        <w:t>) have demonstrated efficacy in contained field trials, and similar approaches are under development for a range of economically important pest species. The specificity and biodegradability of dsRNA-based biopesticides represent significant environmental advantages relative to broad-spectrum synthetic insecticides. However, questions around environmental persistence, the potential for horizontal spread of dsRNA sequences in agroecosystems, and the possible off-target effects on non-pest insects—including beneficial pollinators—require further investigation before large-scale deployment can be considered fully justified (</w:t>
      </w:r>
      <w:proofErr w:type="spellStart"/>
      <w:r>
        <w:t>Huvenne</w:t>
      </w:r>
      <w:proofErr w:type="spellEnd"/>
      <w:r>
        <w:t xml:space="preserve"> &amp; </w:t>
      </w:r>
      <w:proofErr w:type="spellStart"/>
      <w:r>
        <w:t>Smagghe</w:t>
      </w:r>
      <w:proofErr w:type="spellEnd"/>
      <w:r>
        <w:t xml:space="preserve">, 2010). In the domain of plant disease management, host-induced gene silencing (HIGS), whereby plants are engineered to produce dsRNA targeting essential genes of invading pathogens, has shown considerable promise against fungal pathogens including powdery mildews and Fusarium species in wheat and barley, representing a new paradigm for durable, mechanism-independent disease resistance (Koch &amp; </w:t>
      </w:r>
      <w:proofErr w:type="spellStart"/>
      <w:r>
        <w:t>Kogel</w:t>
      </w:r>
      <w:proofErr w:type="spellEnd"/>
      <w:r>
        <w:t>, 2014).</w:t>
      </w:r>
    </w:p>
    <w:p w:rsidR="00A053D3" w:rsidRDefault="00C61EE7">
      <w:pPr>
        <w:pStyle w:val="Heading2"/>
      </w:pPr>
      <w:r>
        <w:t>3.4 Marker-Assisted Selection and Genomic Breeding</w:t>
      </w:r>
    </w:p>
    <w:p w:rsidR="00A053D3" w:rsidRDefault="00C61EE7">
      <w:pPr>
        <w:spacing w:after="160" w:line="360" w:lineRule="auto"/>
        <w:ind w:firstLine="720"/>
        <w:jc w:val="both"/>
      </w:pPr>
      <w:r>
        <w:t xml:space="preserve">Marker-assisted selection (MAS) leverages the association between molecular genetic markers—such as single nucleotide polymorphisms (SNPs), microsatellites, or insertion-deletion polymorphisms—and agronomic traits of interest to accelerate and improve the precision of plant breeding </w:t>
      </w:r>
      <w:proofErr w:type="spellStart"/>
      <w:r>
        <w:t>programmes</w:t>
      </w:r>
      <w:proofErr w:type="spellEnd"/>
      <w:r>
        <w:t xml:space="preserve">. Unlike genetic engineering or genome editing, MAS operates entirely within conventional breeding frameworks, using molecular information to identify </w:t>
      </w:r>
      <w:proofErr w:type="spellStart"/>
      <w:r>
        <w:t>favourable</w:t>
      </w:r>
      <w:proofErr w:type="spellEnd"/>
      <w:r>
        <w:t xml:space="preserve"> genotypes among populations generated through conventional </w:t>
      </w:r>
      <w:proofErr w:type="spellStart"/>
      <w:r>
        <w:t>hybridisation</w:t>
      </w:r>
      <w:proofErr w:type="spellEnd"/>
      <w:r>
        <w:t xml:space="preserve"> and selection. Collard and </w:t>
      </w:r>
      <w:proofErr w:type="spellStart"/>
      <w:r>
        <w:t>Mackill</w:t>
      </w:r>
      <w:proofErr w:type="spellEnd"/>
      <w:r>
        <w:t xml:space="preserve"> (2008) articulated the principle and practice of MAS comprehensively, describing it as an approach for precision plant breeding capable of significantly reducing the time required to pyramid multiple resistance genes or to recover parental genomes in backcross breeding </w:t>
      </w:r>
      <w:proofErr w:type="spellStart"/>
      <w:r>
        <w:t>programmes</w:t>
      </w:r>
      <w:proofErr w:type="spellEnd"/>
      <w:r>
        <w:t xml:space="preserve">. The practical advantages of MAS </w:t>
      </w:r>
      <w:r>
        <w:lastRenderedPageBreak/>
        <w:t>include the ability to select for traits that are difficult or expensive to phenotype directly, and the capacity to manipulate multiple traits simultaneously in a single breeding generation.</w:t>
      </w:r>
    </w:p>
    <w:p w:rsidR="00A053D3" w:rsidRDefault="00C61EE7">
      <w:pPr>
        <w:spacing w:after="160" w:line="360" w:lineRule="auto"/>
        <w:ind w:firstLine="720"/>
        <w:jc w:val="both"/>
      </w:pPr>
      <w:r>
        <w:t xml:space="preserve">Advances in high-throughput genotyping technologies and bioinformatics have enabled the transition from MAS based on a small number of markers flanking major quantitative trait loci to genome-wide approaches encompassing hundreds of thousands of SNP markers distributed across entire genomes. Genomic selection, in which statistical models trained on genome-wide marker data are used to predict the breeding values of individual plants without requiring phenotypic evaluation of the selection candidates themselves, has emerged as a transformative methodology particularly well suited to traits governed by large numbers of small-effect loci (Varshney et al., 2021). Genomic selection has been widely adopted in animal breeding </w:t>
      </w:r>
      <w:proofErr w:type="spellStart"/>
      <w:r>
        <w:t>programmes</w:t>
      </w:r>
      <w:proofErr w:type="spellEnd"/>
      <w:r>
        <w:t xml:space="preserve"> and is increasingly applied in crop species including maize, wheat, sorghum, and cassava. The integration of genomic tools with high-throughput phenotyping platforms—including unmanned aerial vehicles, hyperspectral imaging, and ground-based robotic sensing systems—is enabling the development of high-efficiency breeding platforms capable of processing thousands of breeding lines per season across multiple environments (Varshney et al., 2021). These platforms have the potential to dramatically accelerate genetic gain per unit time and cost, addressing one of the central bottlenecks of conventional crop improvement whilst remaining compatible with public sector research priorities.</w:t>
      </w:r>
    </w:p>
    <w:p w:rsidR="00A053D3" w:rsidRDefault="00C61EE7">
      <w:pPr>
        <w:pStyle w:val="Heading1"/>
      </w:pPr>
      <w:r>
        <w:t>4. Enhancing Crop Productivity Through Biotechnology</w:t>
      </w:r>
    </w:p>
    <w:p w:rsidR="00A053D3" w:rsidRDefault="00C61EE7">
      <w:pPr>
        <w:pStyle w:val="Heading2"/>
      </w:pPr>
      <w:r>
        <w:t>4.1 Drought and Abiotic Stress Tolerance</w:t>
      </w:r>
    </w:p>
    <w:p w:rsidR="00A053D3" w:rsidRDefault="00C61EE7">
      <w:pPr>
        <w:spacing w:after="160" w:line="360" w:lineRule="auto"/>
        <w:ind w:firstLine="720"/>
        <w:jc w:val="both"/>
      </w:pPr>
      <w:r>
        <w:t>Abiotic stresses—encompassing drought, heat, salinity, waterlogging, and nutrient deficiency—are estimated to account for the majority of yield losses in crop production globally, with drought alone affecting more than half of the world's agricultural land at any given time (</w:t>
      </w:r>
      <w:proofErr w:type="spellStart"/>
      <w:r>
        <w:t>Mittler</w:t>
      </w:r>
      <w:proofErr w:type="spellEnd"/>
      <w:r>
        <w:t xml:space="preserve"> &amp; </w:t>
      </w:r>
      <w:proofErr w:type="spellStart"/>
      <w:r>
        <w:t>Blumwald</w:t>
      </w:r>
      <w:proofErr w:type="spellEnd"/>
      <w:r>
        <w:t xml:space="preserve">, 2010). Climate change is projected to intensify the frequency and severity of extreme drought and heat events in major agricultural regions, making the development of stress-tolerant crop varieties an urgent scientific and humanitarian priority (Lobell &amp; </w:t>
      </w:r>
      <w:proofErr w:type="spellStart"/>
      <w:r>
        <w:t>Gourdji</w:t>
      </w:r>
      <w:proofErr w:type="spellEnd"/>
      <w:r>
        <w:t xml:space="preserve">, 2012; </w:t>
      </w:r>
      <w:proofErr w:type="spellStart"/>
      <w:r>
        <w:t>Lesk</w:t>
      </w:r>
      <w:proofErr w:type="spellEnd"/>
      <w:r>
        <w:t xml:space="preserve"> et al., 2016). Biotechnological approaches to stress tolerance improvement operate through multiple mechanisms, including the overexpression of stress-responsive transcription factors, engineering of osmotic adjustment through accumulation of compatible solutes, modification of root architecture to </w:t>
      </w:r>
      <w:r>
        <w:lastRenderedPageBreak/>
        <w:t>improve water extraction, and enhancement of antioxidant enzyme systems to mitigate oxidative damage under stress conditions.</w:t>
      </w:r>
    </w:p>
    <w:p w:rsidR="00A053D3" w:rsidRDefault="00C61EE7">
      <w:pPr>
        <w:spacing w:after="160" w:line="360" w:lineRule="auto"/>
        <w:ind w:firstLine="720"/>
        <w:jc w:val="both"/>
      </w:pPr>
      <w:r>
        <w:t xml:space="preserve">Overexpression of transcription factors belonging to the DREB (dehydration-responsive element-binding protein) and NAC (no apical meristem/ATAF/CUP-shaped cotyledon) families has been demonstrated to confer drought tolerance in transgenic rice, wheat, and soybean, though concerns about yield penalties under non-stress conditions have complicated the translation of laboratory findings to field performance (Hu &amp; </w:t>
      </w:r>
      <w:proofErr w:type="spellStart"/>
      <w:r>
        <w:t>Xiong</w:t>
      </w:r>
      <w:proofErr w:type="spellEnd"/>
      <w:r>
        <w:t xml:space="preserve">, 2014). CRISPR-mediated approaches offer the possibility of modifying stomatal regulatory genes to reduce </w:t>
      </w:r>
      <w:proofErr w:type="spellStart"/>
      <w:r>
        <w:t>transpirational</w:t>
      </w:r>
      <w:proofErr w:type="spellEnd"/>
      <w:r>
        <w:t xml:space="preserve"> water loss without invoking the regulatory complexities of transgene introduction, and several research groups have demonstrated proof-of-concept improvements in water use efficiency through targeted editing of stomatal </w:t>
      </w:r>
      <w:proofErr w:type="spellStart"/>
      <w:r>
        <w:t>signalling</w:t>
      </w:r>
      <w:proofErr w:type="spellEnd"/>
      <w:r>
        <w:t xml:space="preserve"> genes in both model and crop species (Zhu et al., 2020). In sub-Saharan Africa and South Asia, public-private breeding consortia have developed drought-tolerant maize and sorghum varieties through conventional breeding assisted by molecular marker technologies, yielding varieties that maintain acceptable yields under moderate drought conditions whilst avoiding the regulatory burdens associated with transgenic approaches (Varshney et al., 2011). The challenge of simultaneously improving stress tolerance, yield potential, and quality traits under variable field conditions across heterogeneous environments remains a central and ongoing goal of crop biotechnology research.</w:t>
      </w:r>
    </w:p>
    <w:p w:rsidR="00A053D3" w:rsidRDefault="00C61EE7">
      <w:pPr>
        <w:pStyle w:val="Heading2"/>
      </w:pPr>
      <w:r>
        <w:t>4.2 Disease and Pest Resistance</w:t>
      </w:r>
    </w:p>
    <w:p w:rsidR="00A053D3" w:rsidRDefault="00C61EE7">
      <w:pPr>
        <w:spacing w:after="160" w:line="360" w:lineRule="auto"/>
        <w:ind w:firstLine="720"/>
        <w:jc w:val="both"/>
      </w:pPr>
      <w:r>
        <w:t xml:space="preserve">Crop losses attributable to plant pathogens and insect pests represent a persistent and economically devastating challenge to global agriculture. </w:t>
      </w:r>
      <w:proofErr w:type="spellStart"/>
      <w:r>
        <w:t>Savary</w:t>
      </w:r>
      <w:proofErr w:type="spellEnd"/>
      <w:r>
        <w:t xml:space="preserve"> et al. (2019) provided a landmark quantification of the global burden of major pathogens and pests, estimating that wheat, rice, maize, potato, and soybean face aggregate production losses of between 17% and 30% annually from biotic stresses alone, with actual losses in some regions substantially exceeding these figures. The economic and food security dimensions of these losses are particularly acute in low- and middle-income countries where smallholder farming systems have limited access to effective crop protection inputs and where crop failure translates directly into food insecurity and rural poverty.</w:t>
      </w:r>
    </w:p>
    <w:p w:rsidR="00A053D3" w:rsidRDefault="00C61EE7">
      <w:pPr>
        <w:spacing w:after="160" w:line="360" w:lineRule="auto"/>
        <w:ind w:firstLine="720"/>
        <w:jc w:val="both"/>
      </w:pPr>
      <w:r>
        <w:t xml:space="preserve">Biotechnological approaches to disease resistance encompass transgenic expression of broad-spectrum resistance mechanisms, deployment of race-specific resistance genes identified through molecular genetic mapping, and CRISPR-mediated disruption of host </w:t>
      </w:r>
      <w:r>
        <w:lastRenderedPageBreak/>
        <w:t xml:space="preserve">susceptibility factors exploited by pathogens. The Xa21 gene conferring broad-spectrum resistance to bacterial blight caused by Xanthomonas </w:t>
      </w:r>
      <w:proofErr w:type="spellStart"/>
      <w:r>
        <w:t>oryzae</w:t>
      </w:r>
      <w:proofErr w:type="spellEnd"/>
      <w:r>
        <w:t xml:space="preserve"> </w:t>
      </w:r>
      <w:proofErr w:type="spellStart"/>
      <w:r>
        <w:t>pv</w:t>
      </w:r>
      <w:proofErr w:type="spellEnd"/>
      <w:r>
        <w:t xml:space="preserve">. </w:t>
      </w:r>
      <w:proofErr w:type="spellStart"/>
      <w:r>
        <w:t>oryzae</w:t>
      </w:r>
      <w:proofErr w:type="spellEnd"/>
      <w:r>
        <w:t xml:space="preserve"> in rice represents a canonical example of resistance gene deployment through molecular breeding, with Xa21 having been successfully </w:t>
      </w:r>
      <w:proofErr w:type="spellStart"/>
      <w:r>
        <w:t>introgressed</w:t>
      </w:r>
      <w:proofErr w:type="spellEnd"/>
      <w:r>
        <w:t xml:space="preserve"> into elite rice backgrounds through MAS </w:t>
      </w:r>
      <w:proofErr w:type="spellStart"/>
      <w:r>
        <w:t>programmes</w:t>
      </w:r>
      <w:proofErr w:type="spellEnd"/>
      <w:r>
        <w:t xml:space="preserve">, demonstrating the practical utility of molecular tools in accelerating resistance gene pyramiding (Ronald, 2011). More recently, CRISPR-mediated editing of the </w:t>
      </w:r>
      <w:proofErr w:type="spellStart"/>
      <w:r>
        <w:t>OsSWEET</w:t>
      </w:r>
      <w:proofErr w:type="spellEnd"/>
      <w:r>
        <w:t xml:space="preserve"> sugar transporter genes—which function as susceptibility factors exploited by X. </w:t>
      </w:r>
      <w:proofErr w:type="spellStart"/>
      <w:r>
        <w:t>oryzae</w:t>
      </w:r>
      <w:proofErr w:type="spellEnd"/>
      <w:r>
        <w:t xml:space="preserve"> as nutrient sources—has been demonstrated to confer durable, broad-spectrum resistance to bacterial blight without detectable yield penalties (Zhu et al., 2020). This approach is conceptually superior to race-specific resistance, which is vulnerable to rapid pathogen evolution.</w:t>
      </w:r>
    </w:p>
    <w:p w:rsidR="00A053D3" w:rsidRDefault="00C61EE7">
      <w:pPr>
        <w:spacing w:after="160" w:line="360" w:lineRule="auto"/>
        <w:ind w:firstLine="720"/>
        <w:jc w:val="both"/>
      </w:pPr>
      <w:proofErr w:type="spellStart"/>
      <w:r>
        <w:t>Bt</w:t>
      </w:r>
      <w:proofErr w:type="spellEnd"/>
      <w:r>
        <w:t xml:space="preserve"> technology remains the most widely deployed biotechnological approach to insect pest management globally, with stacked </w:t>
      </w:r>
      <w:proofErr w:type="spellStart"/>
      <w:r>
        <w:t>Bt</w:t>
      </w:r>
      <w:proofErr w:type="spellEnd"/>
      <w:r>
        <w:t xml:space="preserve"> hybrids expressing multiple Cry proteins providing durable efficacy against the principal lepidopteran and coleopteran pests of maize and cotton in commercial agricultural systems. The evolutionary ecology of insect resistance to </w:t>
      </w:r>
      <w:proofErr w:type="spellStart"/>
      <w:r>
        <w:t>Bt</w:t>
      </w:r>
      <w:proofErr w:type="spellEnd"/>
      <w:r>
        <w:t xml:space="preserve"> toxins has been extensively investigated, and the development of high-dose refuge strategies—wherein a specified fraction of the cropping area is planted with non-</w:t>
      </w:r>
      <w:proofErr w:type="spellStart"/>
      <w:r>
        <w:t>Bt</w:t>
      </w:r>
      <w:proofErr w:type="spellEnd"/>
      <w:r>
        <w:t xml:space="preserve"> varieties to maintain susceptible allele frequencies in pest populations—has proved effective in delaying resistance evolution in regions where regulatory compliance is maintained (</w:t>
      </w:r>
      <w:proofErr w:type="spellStart"/>
      <w:r>
        <w:t>Tabashnik</w:t>
      </w:r>
      <w:proofErr w:type="spellEnd"/>
      <w:r>
        <w:t xml:space="preserve"> et al., 2013). The documented evolution of resistance to individual </w:t>
      </w:r>
      <w:proofErr w:type="spellStart"/>
      <w:r>
        <w:t>Bt</w:t>
      </w:r>
      <w:proofErr w:type="spellEnd"/>
      <w:r>
        <w:t xml:space="preserve"> proteins in field populations of the fall armyworm (</w:t>
      </w:r>
      <w:proofErr w:type="spellStart"/>
      <w:r>
        <w:t>Spodoptera</w:t>
      </w:r>
      <w:proofErr w:type="spellEnd"/>
      <w:r>
        <w:t xml:space="preserve"> </w:t>
      </w:r>
      <w:proofErr w:type="spellStart"/>
      <w:r>
        <w:t>frugiperda</w:t>
      </w:r>
      <w:proofErr w:type="spellEnd"/>
      <w:r>
        <w:t>) and corn rootworm (</w:t>
      </w:r>
      <w:proofErr w:type="spellStart"/>
      <w:r>
        <w:t>Diabrotica</w:t>
      </w:r>
      <w:proofErr w:type="spellEnd"/>
      <w:r>
        <w:t xml:space="preserve"> spp.) underscores the necessity of integrated resistance management strategies that combine biotechnological, agronomic, and chemical approaches within a coherent pest management framework.</w:t>
      </w:r>
    </w:p>
    <w:p w:rsidR="00A053D3" w:rsidRDefault="00C61EE7">
      <w:pPr>
        <w:pStyle w:val="Heading2"/>
      </w:pPr>
      <w:r>
        <w:t>4.3 Nitrogen Use Efficiency</w:t>
      </w:r>
    </w:p>
    <w:p w:rsidR="00A053D3" w:rsidRDefault="00C61EE7">
      <w:pPr>
        <w:spacing w:after="160" w:line="360" w:lineRule="auto"/>
        <w:ind w:firstLine="720"/>
        <w:jc w:val="both"/>
      </w:pPr>
      <w:r>
        <w:t xml:space="preserve">Nitrogen is the macronutrient most commonly limiting crop productivity in agricultural systems worldwide, and its synthetic provision through the Haber-Bosch process represents one of the most energy-intensive and environmentally consequential inputs of modern agriculture. Global reactive nitrogen flows have been severely disrupted by anthropogenic activities, with agricultural nitrogen </w:t>
      </w:r>
      <w:proofErr w:type="spellStart"/>
      <w:r>
        <w:t>fertilisation</w:t>
      </w:r>
      <w:proofErr w:type="spellEnd"/>
      <w:r>
        <w:t xml:space="preserve"> making a dominant contribution to nitrous oxide emissions, aquatic eutrophication, and soil acidification (</w:t>
      </w:r>
      <w:proofErr w:type="spellStart"/>
      <w:r>
        <w:t>Rockström</w:t>
      </w:r>
      <w:proofErr w:type="spellEnd"/>
      <w:r>
        <w:t xml:space="preserve"> et al., 2009; Xu et al., 2012). Improving the efficiency with which crops acquire, assimilate, and </w:t>
      </w:r>
      <w:proofErr w:type="spellStart"/>
      <w:r>
        <w:t>utilise</w:t>
      </w:r>
      <w:proofErr w:type="spellEnd"/>
      <w:r>
        <w:t xml:space="preserve"> nitrogen is therefore a priority both for yield improvement under </w:t>
      </w:r>
      <w:r>
        <w:lastRenderedPageBreak/>
        <w:t xml:space="preserve">resource-constrained farming systems and for reducing the environmental externalities of nitrogen </w:t>
      </w:r>
      <w:proofErr w:type="spellStart"/>
      <w:r>
        <w:t>fertilisation</w:t>
      </w:r>
      <w:proofErr w:type="spellEnd"/>
      <w:r>
        <w:t xml:space="preserve">. Sinclair and Rufty (2012) </w:t>
      </w:r>
      <w:proofErr w:type="spellStart"/>
      <w:r>
        <w:t>emphasised</w:t>
      </w:r>
      <w:proofErr w:type="spellEnd"/>
      <w:r>
        <w:t xml:space="preserve"> that nitrogen and water resource limitations commonly constrain yield increases in practice, suggesting that genetic improvements in nitrogen use efficiency (NUE) may yield more reliable and sustainable productivity gains than approaches focused exclusively on yield potential under non-limiting conditions.</w:t>
      </w:r>
    </w:p>
    <w:p w:rsidR="00A053D3" w:rsidRDefault="00C61EE7">
      <w:pPr>
        <w:spacing w:after="160" w:line="360" w:lineRule="auto"/>
        <w:ind w:firstLine="720"/>
        <w:jc w:val="both"/>
      </w:pPr>
      <w:r>
        <w:t xml:space="preserve">Biotechnological strategies for improving NUE operate at multiple levels of plant metabolism. Overexpression of high-affinity nitrate transporters of the NRT family has been demonstrated to enhance nitrogen uptake at low external nitrate concentrations in rice and maize, translating into improved growth under nitrogen-limiting conditions (Xu et al., 2012). Genetic modification of glutamine synthetase (GS) and glutamate synthase (GOGAT) activities in the primary nitrogen assimilation pathway can influence the efficiency of nitrogen incorporation into amino acids, with transgenic overexpression of GS genes reported to improve grain protein content and yield in wheat under nitrogen-limiting conditions. Perhaps the most ambitious goal in NUE biotechnology is the engineering of biological nitrogen fixation—the capacity to form effective symbioses with nitrogen-fixing bacteria—into cereal crops that currently lack this capacity (Sinclair &amp; Rufty, 2012). The genetic and biochemical complexity of the nitrogen fixation process and the intricate </w:t>
      </w:r>
      <w:proofErr w:type="spellStart"/>
      <w:r>
        <w:t>signalling</w:t>
      </w:r>
      <w:proofErr w:type="spellEnd"/>
      <w:r>
        <w:t xml:space="preserve"> network governing </w:t>
      </w:r>
      <w:proofErr w:type="spellStart"/>
      <w:r>
        <w:t>rhizobial</w:t>
      </w:r>
      <w:proofErr w:type="spellEnd"/>
      <w:r>
        <w:t xml:space="preserve"> symbiosis represent substantial barriers to this goal, though research progress continues in the domain of synthetic biology-based approaches to expanding the host range of nitrogen-fixing microorganisms.</w:t>
      </w:r>
    </w:p>
    <w:p w:rsidR="00A053D3" w:rsidRDefault="00C61EE7">
      <w:pPr>
        <w:pStyle w:val="Heading2"/>
      </w:pPr>
      <w:r>
        <w:t>4.4 Yield Enhancement and Photosynthesis Improvement</w:t>
      </w:r>
    </w:p>
    <w:p w:rsidR="00A053D3" w:rsidRDefault="00C61EE7">
      <w:pPr>
        <w:spacing w:after="160" w:line="360" w:lineRule="auto"/>
        <w:ind w:firstLine="720"/>
        <w:jc w:val="both"/>
      </w:pPr>
      <w:r>
        <w:t xml:space="preserve">Increasing the photosynthetic efficiency of crops, and thereby their theoretical maximum yield potential, represents a long-standing objective of plant biotechnology and synthetic biology. The C4 photosynthetic pathway, found in crops such as maize, sorghum, and sugarcane, concentrates carbon dioxide at the site of </w:t>
      </w:r>
      <w:proofErr w:type="spellStart"/>
      <w:r>
        <w:t>RuBisCO</w:t>
      </w:r>
      <w:proofErr w:type="spellEnd"/>
      <w:r>
        <w:t xml:space="preserve"> activity and thereby suppresses photorespiration, achieving substantially higher photosynthetic efficiencies than C3 crops such as rice, wheat, and soybean under warm conditions (Hibberd et al., 2008). The engineering of a functional C4 photosynthetic cycle into rice—the subject of a high-profile international consortium project—has been pursued as a potential means of increasing the theoretical yield potential of the world's most important food crop for billions of people by 50% or more (Long et al., 2015). Whilst fully functional C4 rice has not yet been achieved, partial engineering of C4-related genes and overexpression of individual C4 enzymes have </w:t>
      </w:r>
      <w:r>
        <w:lastRenderedPageBreak/>
        <w:t>demonstrated measurable improvements in carbon assimilation and water use efficiency in experimental rice lines (Hibberd et al., 2008).</w:t>
      </w:r>
    </w:p>
    <w:p w:rsidR="00A053D3" w:rsidRDefault="00C61EE7">
      <w:pPr>
        <w:spacing w:after="160" w:line="360" w:lineRule="auto"/>
        <w:ind w:firstLine="720"/>
        <w:jc w:val="both"/>
      </w:pPr>
      <w:r>
        <w:t xml:space="preserve">An alternative approach to yield improvement through photosynthesis engineering focuses on the recovery of carbon lost through photorespiration, the metabolic process by which </w:t>
      </w:r>
      <w:proofErr w:type="spellStart"/>
      <w:r>
        <w:t>RuBisCO</w:t>
      </w:r>
      <w:proofErr w:type="spellEnd"/>
      <w:r>
        <w:t xml:space="preserve"> incorrectly oxygenates rather than carboxylates ribulose-1,5-bisphosphate. Synthetic carbon-fixing bypasses designed to convert </w:t>
      </w:r>
      <w:proofErr w:type="spellStart"/>
      <w:r>
        <w:t>phosphoglycolate</w:t>
      </w:r>
      <w:proofErr w:type="spellEnd"/>
      <w:r>
        <w:t>—the primary photorespiratory product—into useful metabolites within the chloroplast have been demonstrated to increase plant biomass and yield by substantial margins in controlled experiments, with promising results emerging from field trials of engineered tobacco and soybean lines (Long et al., 2015). These photosynthesis engineering approaches exemplify the transformative ambition of contemporary crop biotechnology and illustrate the potential for step-change improvements in agricultural productivity that go well beyond incremental gains achievable through conventional trait improvement alone.</w:t>
      </w:r>
    </w:p>
    <w:p w:rsidR="00A053D3" w:rsidRDefault="00C61EE7">
      <w:pPr>
        <w:pStyle w:val="Heading1"/>
      </w:pPr>
      <w:r>
        <w:t>5. Biotechnology for Sustainable Agriculture</w:t>
      </w:r>
    </w:p>
    <w:p w:rsidR="00A053D3" w:rsidRDefault="00C61EE7">
      <w:pPr>
        <w:pStyle w:val="Heading2"/>
      </w:pPr>
      <w:r>
        <w:t xml:space="preserve">5.1 </w:t>
      </w:r>
      <w:proofErr w:type="spellStart"/>
      <w:r>
        <w:t>Biofertilisers</w:t>
      </w:r>
      <w:proofErr w:type="spellEnd"/>
      <w:r>
        <w:t xml:space="preserve"> and Plant Growth-Promoting Rhizobacteria</w:t>
      </w:r>
    </w:p>
    <w:p w:rsidR="00A053D3" w:rsidRDefault="00C61EE7">
      <w:pPr>
        <w:spacing w:after="160" w:line="360" w:lineRule="auto"/>
        <w:ind w:firstLine="720"/>
        <w:jc w:val="both"/>
      </w:pPr>
      <w:proofErr w:type="spellStart"/>
      <w:r>
        <w:t>Biofertilisers</w:t>
      </w:r>
      <w:proofErr w:type="spellEnd"/>
      <w:r>
        <w:t xml:space="preserve">—broadly defined as preparations containing living microorganisms that, when applied to seeds, plant surfaces, or soils, </w:t>
      </w:r>
      <w:proofErr w:type="spellStart"/>
      <w:r>
        <w:t>colonise</w:t>
      </w:r>
      <w:proofErr w:type="spellEnd"/>
      <w:r>
        <w:t xml:space="preserve"> the rhizosphere and promote plant growth by increasing the supply or availability of primary nutrients—represent a biotechnologically grounded approach to reducing chemical </w:t>
      </w:r>
      <w:proofErr w:type="spellStart"/>
      <w:r>
        <w:t>fertiliser</w:t>
      </w:r>
      <w:proofErr w:type="spellEnd"/>
      <w:r>
        <w:t xml:space="preserve"> dependence in agricultural systems. Plant growth-promoting rhizobacteria (PGPR) constitute the most extensively studied class of </w:t>
      </w:r>
      <w:proofErr w:type="spellStart"/>
      <w:r>
        <w:t>biofertiliser</w:t>
      </w:r>
      <w:proofErr w:type="spellEnd"/>
      <w:r>
        <w:t xml:space="preserve"> organisms and encompass taxonomically diverse bacterial genera including Rhizobium, </w:t>
      </w:r>
      <w:proofErr w:type="spellStart"/>
      <w:r>
        <w:t>Azospirillum</w:t>
      </w:r>
      <w:proofErr w:type="spellEnd"/>
      <w:r>
        <w:t xml:space="preserve">, Pseudomonas, Bacillus, and </w:t>
      </w:r>
      <w:proofErr w:type="spellStart"/>
      <w:r>
        <w:t>Burkholderia</w:t>
      </w:r>
      <w:proofErr w:type="spellEnd"/>
      <w:r>
        <w:t xml:space="preserve"> (Glick, 2012; Bhattacharyya &amp; Jha, 2012). PGPR promote plant growth through a range of mechanisms, including biological nitrogen fixation, phosphate </w:t>
      </w:r>
      <w:proofErr w:type="spellStart"/>
      <w:r>
        <w:t>solubilisation</w:t>
      </w:r>
      <w:proofErr w:type="spellEnd"/>
      <w:r>
        <w:t xml:space="preserve">, phytohormone production (particularly indole-3-acetic acid and </w:t>
      </w:r>
      <w:proofErr w:type="spellStart"/>
      <w:r>
        <w:t>cytokinins</w:t>
      </w:r>
      <w:proofErr w:type="spellEnd"/>
      <w:r>
        <w:t>), and the synthesis of 1-aminocyclopropane-1-carboxylate (ACC) deaminase, which reduces ethylene-mediated growth inhibition under environmental stress conditions.</w:t>
      </w:r>
    </w:p>
    <w:p w:rsidR="00A053D3" w:rsidRDefault="00C61EE7">
      <w:pPr>
        <w:spacing w:after="160" w:line="360" w:lineRule="auto"/>
        <w:ind w:firstLine="720"/>
        <w:jc w:val="both"/>
      </w:pPr>
      <w:r>
        <w:t xml:space="preserve">The biotechnological dimension of PGPR research extends beyond the isolation and formulation of naturally occurring strains to encompass the genetic engineering of rhizobacterial strains with enhanced traits, including improved root </w:t>
      </w:r>
      <w:proofErr w:type="spellStart"/>
      <w:r>
        <w:t>colonisation</w:t>
      </w:r>
      <w:proofErr w:type="spellEnd"/>
      <w:r>
        <w:t xml:space="preserve"> efficiency, environmental stress tolerance, and expression of additional growth-promoting functions. Genome-based approaches have facilitated the identification of molecular mechanisms </w:t>
      </w:r>
      <w:r>
        <w:lastRenderedPageBreak/>
        <w:t>underlying plant-microbe interactions and the rational design of improved inoculant strains with predictable and stable performance under defined conditions (</w:t>
      </w:r>
      <w:proofErr w:type="spellStart"/>
      <w:r>
        <w:t>Kour</w:t>
      </w:r>
      <w:proofErr w:type="spellEnd"/>
      <w:r>
        <w:t xml:space="preserve"> et al., 2020). Field-based evidence for the efficacy of PGPR inoculants has been variable, with inconsistency in outcomes frequently attributed to competition from indigenous soil microbial communities, environmental variables including soil pH and temperature, and formulation challenges affecting inoculant viability. Nevertheless, comparative analyses of inoculant trial outcomes indicate consistent, modest improvements in crop yields and reductions in synthetic nitrogen </w:t>
      </w:r>
      <w:proofErr w:type="spellStart"/>
      <w:r>
        <w:t>fertiliser</w:t>
      </w:r>
      <w:proofErr w:type="spellEnd"/>
      <w:r>
        <w:t xml:space="preserve"> requirements when appropriate strain-crop-environment combinations are identified and deployed (Bhattacharyya &amp; Jha, 2012).</w:t>
      </w:r>
    </w:p>
    <w:p w:rsidR="00A053D3" w:rsidRDefault="00C61EE7">
      <w:pPr>
        <w:pStyle w:val="Heading2"/>
      </w:pPr>
      <w:r>
        <w:t>5.2 Biopesticides and Integrated Pest Management</w:t>
      </w:r>
    </w:p>
    <w:p w:rsidR="00A053D3" w:rsidRDefault="00C61EE7">
      <w:pPr>
        <w:spacing w:after="160" w:line="360" w:lineRule="auto"/>
        <w:ind w:firstLine="720"/>
        <w:jc w:val="both"/>
      </w:pPr>
      <w:r>
        <w:t xml:space="preserve">Biopesticides—comprising microbially derived, plant-incorporated, and biochemical pesticides—offer targeted crop protection with generally reduced risks to non-target organisms and the environment relative to synthetic chemical insecticides. The most commercially successful biopesticide is the </w:t>
      </w:r>
      <w:proofErr w:type="spellStart"/>
      <w:r>
        <w:t>Bt</w:t>
      </w:r>
      <w:proofErr w:type="spellEnd"/>
      <w:r>
        <w:t xml:space="preserve"> toxin itself, deployed both as a foliar spray formulation and as a plant-incorporated protectant in transgenic </w:t>
      </w:r>
      <w:proofErr w:type="spellStart"/>
      <w:r>
        <w:t>Bt</w:t>
      </w:r>
      <w:proofErr w:type="spellEnd"/>
      <w:r>
        <w:t xml:space="preserve"> crops. Beyond </w:t>
      </w:r>
      <w:proofErr w:type="spellStart"/>
      <w:r>
        <w:t>Bt</w:t>
      </w:r>
      <w:proofErr w:type="spellEnd"/>
      <w:r>
        <w:t xml:space="preserve">, a growing portfolio of biopesticide products is based on entomopathogenic fungi (such as Beauveria </w:t>
      </w:r>
      <w:proofErr w:type="spellStart"/>
      <w:r>
        <w:t>bassiana</w:t>
      </w:r>
      <w:proofErr w:type="spellEnd"/>
      <w:r>
        <w:t xml:space="preserve"> and </w:t>
      </w:r>
      <w:proofErr w:type="spellStart"/>
      <w:r>
        <w:t>Metarhizium</w:t>
      </w:r>
      <w:proofErr w:type="spellEnd"/>
      <w:r>
        <w:t xml:space="preserve"> </w:t>
      </w:r>
      <w:proofErr w:type="spellStart"/>
      <w:r>
        <w:t>anisopliae</w:t>
      </w:r>
      <w:proofErr w:type="spellEnd"/>
      <w:r>
        <w:t xml:space="preserve">), entomopathogenic nematodes, viral bioinsecticides (including </w:t>
      </w:r>
      <w:proofErr w:type="spellStart"/>
      <w:r>
        <w:t>nucleopolyhedroviruses</w:t>
      </w:r>
      <w:proofErr w:type="spellEnd"/>
      <w:r>
        <w:t xml:space="preserve">), and antagonistic bacteria such as Pseudomonas fluorescens and Bacillus subtilis strains that suppress soilborne plant pathogens through competitive exclusion, antibiosis, and induced systemic resistance (Pretty &amp; </w:t>
      </w:r>
      <w:proofErr w:type="spellStart"/>
      <w:r>
        <w:t>Bharucha</w:t>
      </w:r>
      <w:proofErr w:type="spellEnd"/>
      <w:r>
        <w:t>, 2015).</w:t>
      </w:r>
    </w:p>
    <w:p w:rsidR="00A053D3" w:rsidRDefault="00C61EE7">
      <w:pPr>
        <w:spacing w:after="160" w:line="360" w:lineRule="auto"/>
        <w:ind w:firstLine="720"/>
        <w:jc w:val="both"/>
      </w:pPr>
      <w:r>
        <w:t xml:space="preserve">Biotechnology has contributed to the improvement of biopesticide efficacy, shelf life, and host range through the engineering of strains with enhanced virulence, improved environmental persistence, and expanded target pest spectra. Molecular </w:t>
      </w:r>
      <w:proofErr w:type="spellStart"/>
      <w:r>
        <w:t>characterisation</w:t>
      </w:r>
      <w:proofErr w:type="spellEnd"/>
      <w:r>
        <w:t xml:space="preserve"> of the insecticidal protein diversity within B. thuringiensis has revealed a vast repertoire of toxin variants with distinct pest target specificities, facilitating the development of next-generation </w:t>
      </w:r>
      <w:proofErr w:type="spellStart"/>
      <w:r>
        <w:t>Bt</w:t>
      </w:r>
      <w:proofErr w:type="spellEnd"/>
      <w:r>
        <w:t xml:space="preserve"> products active against resistant pest populations or novel target pests (</w:t>
      </w:r>
      <w:proofErr w:type="spellStart"/>
      <w:r>
        <w:t>Tabashnik</w:t>
      </w:r>
      <w:proofErr w:type="spellEnd"/>
      <w:r>
        <w:t xml:space="preserve"> et al., 2013). The integration of biopesticides within broader integrated pest management (IPM) frameworks—combining biological, cultural, mechanical, and chemical control tactics within an ecologically rational management system—represents the most promising pathway to sustainable crop protection that preserves beneficial arthropod biodiversity, manages resistance evolution, and reduces chemical residues in food and the environment (Pretty &amp; </w:t>
      </w:r>
      <w:proofErr w:type="spellStart"/>
      <w:r>
        <w:t>Bharucha</w:t>
      </w:r>
      <w:proofErr w:type="spellEnd"/>
      <w:r>
        <w:t xml:space="preserve">, 2015). The adoption of IPM remains uneven globally, with implementation </w:t>
      </w:r>
      <w:r>
        <w:lastRenderedPageBreak/>
        <w:t>particularly constrained in smallholder farming systems by limited extension support, fragmented input markets, and inadequate access to technical knowledge.</w:t>
      </w:r>
    </w:p>
    <w:p w:rsidR="00A053D3" w:rsidRDefault="00C61EE7">
      <w:pPr>
        <w:pStyle w:val="Heading2"/>
      </w:pPr>
      <w:r>
        <w:t>5.3 Soil Microbiome Engineering</w:t>
      </w:r>
    </w:p>
    <w:p w:rsidR="00A053D3" w:rsidRDefault="00C61EE7">
      <w:pPr>
        <w:spacing w:after="160" w:line="360" w:lineRule="auto"/>
        <w:ind w:firstLine="720"/>
        <w:jc w:val="both"/>
      </w:pPr>
      <w:r>
        <w:t>The soil microbiome—the extraordinarily diverse assemblage of bacteria, fungi, archaea, protozoa, and viruses inhabiting the rhizosphere and bulk soil—plays a fundamental role in mediating nutrient cycling, soil organic matter decomposition, plant disease suppression, and the maintenance of soil structural properties critical for water infiltration and root penetration. Emerging evidence from microbiome research indicates that the composition and functional diversity of the rhizosphere microbiome are substantially shaped by host plant genotype through the composition of root exudates, opening the possibility of plant breeding and biotechnology approaches that recruit beneficial microbial communities as a heritable component of crop adaptation (</w:t>
      </w:r>
      <w:proofErr w:type="spellStart"/>
      <w:r>
        <w:t>Kour</w:t>
      </w:r>
      <w:proofErr w:type="spellEnd"/>
      <w:r>
        <w:t xml:space="preserve"> et al., 2020). The concept of breeding or engineering plants to recruit and maintain specific beneficial microbial consortia—sometimes referred to as the extended phenotype of the plant—represents a frontier area of agricultural biotechnology with potentially transformative implications for soil health, </w:t>
      </w:r>
      <w:proofErr w:type="spellStart"/>
      <w:r>
        <w:t>fertiliser</w:t>
      </w:r>
      <w:proofErr w:type="spellEnd"/>
      <w:r>
        <w:t xml:space="preserve"> efficiency, and disease suppression.</w:t>
      </w:r>
    </w:p>
    <w:p w:rsidR="00A053D3" w:rsidRDefault="00C61EE7">
      <w:pPr>
        <w:spacing w:after="160" w:line="360" w:lineRule="auto"/>
        <w:ind w:firstLine="720"/>
        <w:jc w:val="both"/>
      </w:pPr>
      <w:r>
        <w:t xml:space="preserve">Metagenomics, </w:t>
      </w:r>
      <w:proofErr w:type="spellStart"/>
      <w:r>
        <w:t>metatranscriptomics</w:t>
      </w:r>
      <w:proofErr w:type="spellEnd"/>
      <w:r>
        <w:t xml:space="preserve">, and metabolomics technologies have dramatically expanded the capacity to </w:t>
      </w:r>
      <w:proofErr w:type="spellStart"/>
      <w:r>
        <w:t>characterise</w:t>
      </w:r>
      <w:proofErr w:type="spellEnd"/>
      <w:r>
        <w:t xml:space="preserve"> soil microbial communities and their functional activities in situ, providing the knowledge base necessary for rational microbiome engineering approaches. Biotechnological interventions currently under investigation include the development of synthetic microbial consortia with complementary functional capabilities, the engineering of crop root exudate profiles to attract specific beneficial microbes, and the application of biologically based soil amendments derived from fermentation of plant-promoting microbial strains (</w:t>
      </w:r>
      <w:proofErr w:type="spellStart"/>
      <w:r>
        <w:t>Kour</w:t>
      </w:r>
      <w:proofErr w:type="spellEnd"/>
      <w:r>
        <w:t xml:space="preserve"> et al., 2020). These approaches align with broader agroecological principles of working with natural ecosystem processes rather than substituting synthetic inputs for biological functions, and they hold particular promise for the design of farming systems capable of maintaining productivity whilst progressively reducing external input requirements.</w:t>
      </w:r>
    </w:p>
    <w:p w:rsidR="00A053D3" w:rsidRDefault="00C61EE7">
      <w:pPr>
        <w:pStyle w:val="Heading2"/>
      </w:pPr>
      <w:r>
        <w:t>5.4 Biofortification and Nutritional Quality Enhancement</w:t>
      </w:r>
    </w:p>
    <w:p w:rsidR="00A053D3" w:rsidRDefault="00C61EE7">
      <w:pPr>
        <w:spacing w:after="160" w:line="360" w:lineRule="auto"/>
        <w:ind w:firstLine="720"/>
        <w:jc w:val="both"/>
      </w:pPr>
      <w:r>
        <w:t xml:space="preserve">Biofortification—the process of increasing the density of vitamins, minerals, and other micronutrients in food crops through breeding or biotechnology—addresses the global burden of micronutrient malnutrition, which according to WHO estimates affects more than </w:t>
      </w:r>
      <w:r>
        <w:lastRenderedPageBreak/>
        <w:t>two billion people and represents the most prevalent form of malnutrition worldwide. Biotechnological approaches to biofortification include the engineering of metabolic pathways for vitamin synthesis, overexpression of iron and zinc uptake transporters to increase grain mineral density, and modification of anti-nutritional factors such as phytic acid that chelate divalent minerals in the gastrointestinal tract and reduce their bioavailability (Ye et al., 2000; Potrykus, 2010). The Golden Rice project, which employs a multi-gene transgenic approach to express beta-carotene biosynthesis enzymes in rice endosperm, exemplifies the potential of biotechnological biofortification to deliver nutritional improvements that are simply not achievable through conventional breeding with available germplasm (Ye et al., 2000).</w:t>
      </w:r>
    </w:p>
    <w:p w:rsidR="00A053D3" w:rsidRDefault="00C61EE7">
      <w:pPr>
        <w:spacing w:after="160" w:line="360" w:lineRule="auto"/>
        <w:ind w:firstLine="720"/>
        <w:jc w:val="both"/>
      </w:pPr>
      <w:r>
        <w:t xml:space="preserve">Importantly, biofortification must be considered not only at the level of nutrient concentration in the raw grain, but also with regard to bioavailability, stability during storage and processing, and consumer acceptability in the cultural and culinary contexts of target populations. The </w:t>
      </w:r>
      <w:proofErr w:type="spellStart"/>
      <w:r>
        <w:t>HarvestPlus</w:t>
      </w:r>
      <w:proofErr w:type="spellEnd"/>
      <w:r>
        <w:t xml:space="preserve"> </w:t>
      </w:r>
      <w:proofErr w:type="spellStart"/>
      <w:r>
        <w:t>programme</w:t>
      </w:r>
      <w:proofErr w:type="spellEnd"/>
      <w:r>
        <w:t>, coordinated through the CGIAR research network, has demonstrated that conventional and marker-assisted breeding can deliver biofortified varieties of major staple crops including iron-rich beans, zinc-rich wheat, and orange-fleshed sweet potato rich in beta-carotene, with impacts on nutritional status documented in rigorous efficacy and effectiveness trials across sub-Saharan Africa and South Asia. Biotechnological biofortification offers the potential to achieve micronutrient improvements beyond the natural genetic variation available in crop germplasm, thereby extending the impact of the nutritional enhancement agenda to crops and micronutrients where germplasm variation is insufficient (Prado et al., 2014).</w:t>
      </w:r>
    </w:p>
    <w:p w:rsidR="00A053D3" w:rsidRDefault="00C61EE7">
      <w:pPr>
        <w:pStyle w:val="Heading1"/>
      </w:pPr>
      <w:r>
        <w:t>6. Climate Change Adaptation and Carbon Footprint Reduction</w:t>
      </w:r>
    </w:p>
    <w:p w:rsidR="00A053D3" w:rsidRDefault="00C61EE7">
      <w:pPr>
        <w:pStyle w:val="Heading2"/>
      </w:pPr>
      <w:r>
        <w:t>6.1 Climate-Resilient Crop Development</w:t>
      </w:r>
    </w:p>
    <w:p w:rsidR="00A053D3" w:rsidRDefault="00C61EE7">
      <w:pPr>
        <w:spacing w:after="160" w:line="360" w:lineRule="auto"/>
        <w:ind w:firstLine="720"/>
        <w:jc w:val="both"/>
      </w:pPr>
      <w:r>
        <w:t xml:space="preserve">Climate change poses multidimensional threats to agricultural productivity through shifts in temperature and precipitation regimes, increased frequency and intensity of extreme weather events, rising atmospheric carbon dioxide concentrations, and the geographical redistribution of pests and pathogens into previously unaffected regions (Lobell &amp; </w:t>
      </w:r>
      <w:proofErr w:type="spellStart"/>
      <w:r>
        <w:t>Gourdji</w:t>
      </w:r>
      <w:proofErr w:type="spellEnd"/>
      <w:r>
        <w:t xml:space="preserve">, 2012; IPCC, 2022). </w:t>
      </w:r>
      <w:proofErr w:type="spellStart"/>
      <w:r>
        <w:t>Lesk</w:t>
      </w:r>
      <w:proofErr w:type="spellEnd"/>
      <w:r>
        <w:t xml:space="preserve"> et al. (2016) demonstrated through analysis of global historical data that extreme weather disasters—principally droughts and extreme heat events—reduced national cereal production by an average of 9–10% in directly affected countries, with the most severe and sustained impacts concentrated in developing countries with limited adaptive </w:t>
      </w:r>
      <w:r>
        <w:lastRenderedPageBreak/>
        <w:t xml:space="preserve">capacity. Biotechnological crop improvement is widely </w:t>
      </w:r>
      <w:proofErr w:type="spellStart"/>
      <w:r>
        <w:t>recognised</w:t>
      </w:r>
      <w:proofErr w:type="spellEnd"/>
      <w:r>
        <w:t xml:space="preserve"> as a critical component of climate change adaptation strategies in agriculture, complementing agronomic and landscape-level interventions and providing the genetic material upon which adaptive management strategies depend.</w:t>
      </w:r>
    </w:p>
    <w:p w:rsidR="00A053D3" w:rsidRDefault="00C61EE7">
      <w:pPr>
        <w:spacing w:after="160" w:line="360" w:lineRule="auto"/>
        <w:ind w:firstLine="720"/>
        <w:jc w:val="both"/>
      </w:pPr>
      <w:r>
        <w:t xml:space="preserve">The development of heat-tolerant crop varieties is of particular importance given projections of significant and sustained temperature increases in tropical and subtropical agricultural regions by mid-century (IPCC, 2022). Biotechnological approaches to heat tolerance include the identification and introgression of genetic loci associated with heat stress response through MAS, overexpression of heat shock protein genes, and modification of membrane lipid composition to maintain cellular integrity at elevated temperatures (Varshney et al., 2011). The combined effects of heat and drought stresses, which frequently co-occur in agricultural environments and may interact in complex and non-additive ways physiologically, present particular breeding challenges. The capacity of CRISPR and related genome editing tools to introduce multiple targeted modifications simultaneously, combined with high-throughput phenotyping under controlled multi-stress conditions, is enabling more efficient </w:t>
      </w:r>
      <w:proofErr w:type="spellStart"/>
      <w:r>
        <w:t>characterisation</w:t>
      </w:r>
      <w:proofErr w:type="spellEnd"/>
      <w:r>
        <w:t xml:space="preserve"> of edited germplasm for combined stress tolerance (Zhu et al., 2020). Early-maturing crop varieties, produced through conventional or molecular breeding, represent an important adaptation strategy in regions experiencing shortened growing seasons or altered rainfall distributions, enabling crops to complete their reproductive cycle before the onset of terminal heat or drought stress.</w:t>
      </w:r>
    </w:p>
    <w:p w:rsidR="00A053D3" w:rsidRDefault="00C61EE7">
      <w:pPr>
        <w:pStyle w:val="Heading2"/>
      </w:pPr>
      <w:r>
        <w:t>6.2 Carbon Sequestration and Reduced Agrochemical Use</w:t>
      </w:r>
    </w:p>
    <w:p w:rsidR="00A053D3" w:rsidRDefault="00C61EE7">
      <w:pPr>
        <w:spacing w:after="160" w:line="360" w:lineRule="auto"/>
        <w:ind w:firstLine="720"/>
        <w:jc w:val="both"/>
      </w:pPr>
      <w:r>
        <w:t xml:space="preserve">The mitigation of agricultural greenhouse gas emissions and the enhancement of soil carbon sequestration represent important dimensions of the sustainability agenda for agricultural biotechnology. Soils represent the largest terrestrial carbon pool, containing approximately three times more carbon than the atmosphere and over four times more than living vegetation, and agricultural management practices profoundly influence whether soils function as net sources or sinks of atmospheric carbon dioxide (Lal, 2004). Biotechnological approaches with potential relevance to soil carbon dynamics include the development of crops with deep, extensive root systems that deposit proportionally more carbon at depth where it resides more persistently, the enhancement of suberin content in root cell walls to increase the chemical recalcitrance of root-derived carbon in soil, and the engineering of plant-microbe interactions that promote </w:t>
      </w:r>
      <w:proofErr w:type="spellStart"/>
      <w:r>
        <w:t>stabilisation</w:t>
      </w:r>
      <w:proofErr w:type="spellEnd"/>
      <w:r>
        <w:t xml:space="preserve"> of organic carbon within soil mineral-organic aggregates.</w:t>
      </w:r>
    </w:p>
    <w:p w:rsidR="00A053D3" w:rsidRDefault="00C61EE7">
      <w:pPr>
        <w:spacing w:after="160" w:line="360" w:lineRule="auto"/>
        <w:ind w:firstLine="720"/>
        <w:jc w:val="both"/>
      </w:pPr>
      <w:r>
        <w:lastRenderedPageBreak/>
        <w:t xml:space="preserve">The reduction of agrochemical inputs through biotechnology—particularly through the development of pest- and disease-resistant varieties and crops with improved nutrient </w:t>
      </w:r>
      <w:proofErr w:type="spellStart"/>
      <w:r>
        <w:t>utilisation</w:t>
      </w:r>
      <w:proofErr w:type="spellEnd"/>
      <w:r>
        <w:t xml:space="preserve"> efficiency—has direct implications for the greenhouse gas footprint of agricultural systems. The production of synthetic nitrogen </w:t>
      </w:r>
      <w:proofErr w:type="spellStart"/>
      <w:r>
        <w:t>fertilisers</w:t>
      </w:r>
      <w:proofErr w:type="spellEnd"/>
      <w:r>
        <w:t xml:space="preserve"> via the energy-intensive Haber-Bosch process consumes substantial fossil energy, and the application of surplus nitrogen </w:t>
      </w:r>
      <w:proofErr w:type="spellStart"/>
      <w:r>
        <w:t>fertiliser</w:t>
      </w:r>
      <w:proofErr w:type="spellEnd"/>
      <w:r>
        <w:t xml:space="preserve"> to agricultural soils is the dominant source of nitrous oxide emissions globally—a greenhouse gas with approximately 273 times the global warming potential of carbon dioxide over a 100-year time horizon (IPCC, 2022). Biotechnological approaches that reduce nitrogen </w:t>
      </w:r>
      <w:proofErr w:type="spellStart"/>
      <w:r>
        <w:t>fertiliser</w:t>
      </w:r>
      <w:proofErr w:type="spellEnd"/>
      <w:r>
        <w:t xml:space="preserve"> requirements—whether through improved NUE in engineered crop varieties, through the deployment of PGPR that supply biologically fixed nitrogen, or through the development of crops with expanded symbiotic nitrogen fixation capacity—thus contribute simultaneously to production efficiency and to climate change mitigation objectives, yielding what may be </w:t>
      </w:r>
      <w:proofErr w:type="spellStart"/>
      <w:r>
        <w:t>characterised</w:t>
      </w:r>
      <w:proofErr w:type="spellEnd"/>
      <w:r>
        <w:t xml:space="preserve"> as a dual sustainability dividend.</w:t>
      </w:r>
    </w:p>
    <w:p w:rsidR="00A053D3" w:rsidRDefault="00C61EE7">
      <w:pPr>
        <w:pStyle w:val="Heading1"/>
      </w:pPr>
      <w:r>
        <w:t>7. Regulatory Frameworks and Ethical Dimensions</w:t>
      </w:r>
    </w:p>
    <w:p w:rsidR="00A053D3" w:rsidRDefault="00C61EE7">
      <w:pPr>
        <w:pStyle w:val="Heading2"/>
      </w:pPr>
      <w:r>
        <w:t>7.1 Global Regulatory Landscape</w:t>
      </w:r>
    </w:p>
    <w:p w:rsidR="00A053D3" w:rsidRDefault="00C61EE7">
      <w:pPr>
        <w:spacing w:after="160" w:line="360" w:lineRule="auto"/>
        <w:ind w:firstLine="720"/>
        <w:jc w:val="both"/>
      </w:pPr>
      <w:r>
        <w:t xml:space="preserve">The regulatory governance of agricultural biotechnology is complex, fragmented across jurisdictions, and subject to ongoing evolution in response to technological innovation and changing political contexts. The foundational regulatory distinction is that between products derived from transgenic approaches, in which foreign DNA sequences are stably introduced into host plant genomes, and those produced through genome editing techniques that may or may not introduce exogenous genetic material. The Cartagena Protocol on Biosafety, an international agreement under the Convention on Biological Diversity, provides a framework for the transboundary movement of living modified organisms, </w:t>
      </w:r>
      <w:proofErr w:type="spellStart"/>
      <w:r>
        <w:t>emphasising</w:t>
      </w:r>
      <w:proofErr w:type="spellEnd"/>
      <w:r>
        <w:t xml:space="preserve"> the precautionary principle and requiring that risk assessments be conducted prior to the deliberate release of transgenic organisms into the environment (Turnbull et al., 2021). Within this international framework, national regulatory systems vary substantially in their scope, stringency, and administrative efficiency.</w:t>
      </w:r>
    </w:p>
    <w:p w:rsidR="00A053D3" w:rsidRDefault="00C61EE7">
      <w:pPr>
        <w:spacing w:after="160" w:line="360" w:lineRule="auto"/>
        <w:ind w:firstLine="720"/>
        <w:jc w:val="both"/>
      </w:pPr>
      <w:r>
        <w:t xml:space="preserve">The United States, Canada, and Argentina have tended to adopt product-based regulatory approaches that focus on the novel characteristics of the final product rather than the process by which it was produced, resulting in relatively streamlined pathways for approval of genetically engineered crops with established safety profiles. The European Union has maintained a process-based regulatory framework that historically subjected </w:t>
      </w:r>
      <w:r>
        <w:lastRenderedPageBreak/>
        <w:t xml:space="preserve">transgenic crops to rigorous and time-consuming approval procedures, with very few transgenic crop approvals for field cultivation having been granted (Turnbull et al., 2021). The European Court of Justice ruling in 2018 that gene-edited crops fall within the scope of existing GMO legislation was widely </w:t>
      </w:r>
      <w:proofErr w:type="spellStart"/>
      <w:r>
        <w:t>criticised</w:t>
      </w:r>
      <w:proofErr w:type="spellEnd"/>
      <w:r>
        <w:t xml:space="preserve"> by European plant scientists as creating a regulatory environment that unfairly impedes </w:t>
      </w:r>
      <w:proofErr w:type="spellStart"/>
      <w:r>
        <w:t>publically</w:t>
      </w:r>
      <w:proofErr w:type="spellEnd"/>
      <w:r>
        <w:t xml:space="preserve"> beneficial biotechnological innovation, particularly given the regulatory-free status of mutagenesis-derived crop varieties produced by earlier imprecise techniques. Subsequent EU legislative proposals have sought to revise this position for certain categories of new genomic techniques, </w:t>
      </w:r>
      <w:proofErr w:type="spellStart"/>
      <w:r>
        <w:t>recognising</w:t>
      </w:r>
      <w:proofErr w:type="spellEnd"/>
      <w:r>
        <w:t xml:space="preserve"> the scientific distinction between targeted and random mutagenesis. In Africa and Asia, regulatory frameworks for biotechnology are diverse, with some countries having established functional biosafety regulatory systems and others still in the process of developing and implementing enabling legislation.</w:t>
      </w:r>
    </w:p>
    <w:p w:rsidR="00A053D3" w:rsidRDefault="00C61EE7">
      <w:pPr>
        <w:pStyle w:val="Heading2"/>
      </w:pPr>
      <w:r>
        <w:t>7.2 Biosafety Assessment</w:t>
      </w:r>
    </w:p>
    <w:p w:rsidR="00A053D3" w:rsidRDefault="00C61EE7">
      <w:pPr>
        <w:spacing w:after="160" w:line="360" w:lineRule="auto"/>
        <w:ind w:firstLine="720"/>
        <w:jc w:val="both"/>
      </w:pPr>
      <w:r>
        <w:t xml:space="preserve">Rigorous, science-based biosafety assessment of transgenic and gene-edited crops is essential for maintaining public confidence and ensuring that biotechnological innovations are introduced responsibly and in ways proportionate to evidence-based risks. Standard biosafety dossiers for transgenic crops typically include molecular </w:t>
      </w:r>
      <w:proofErr w:type="spellStart"/>
      <w:r>
        <w:t>characterisation</w:t>
      </w:r>
      <w:proofErr w:type="spellEnd"/>
      <w:r>
        <w:t xml:space="preserve"> of the transgenic event, assessment of compositional equivalence with conventional counterparts, toxicological and allergenicity testing of expressed proteins, and evaluation of potential environmental impacts including gene flow to wild relatives, effects on non-target organisms, and potential for </w:t>
      </w:r>
      <w:proofErr w:type="spellStart"/>
      <w:r>
        <w:t>weediness</w:t>
      </w:r>
      <w:proofErr w:type="spellEnd"/>
      <w:r>
        <w:t xml:space="preserve"> or invasiveness under field conditions (Prado et al., 2014). Decades of commercial cultivation of transgenic crops across multiple continents and food systems, combined with an extensive peer-reviewed scientific literature, have not provided evidence of systematic adverse health effects attributable to the consumption of approved transgenic crops as food or feed, though ongoing scientific debate around specific risk assessment methodologies continues (</w:t>
      </w:r>
      <w:proofErr w:type="spellStart"/>
      <w:r>
        <w:t>Qaim</w:t>
      </w:r>
      <w:proofErr w:type="spellEnd"/>
      <w:r>
        <w:t>, 2020).</w:t>
      </w:r>
    </w:p>
    <w:p w:rsidR="00A053D3" w:rsidRDefault="00C61EE7">
      <w:pPr>
        <w:spacing w:after="160" w:line="360" w:lineRule="auto"/>
        <w:ind w:firstLine="720"/>
        <w:jc w:val="both"/>
      </w:pPr>
      <w:r>
        <w:t xml:space="preserve">For CRISPR-edited crops, the biosafety considerations differ depending on whether the editing has introduced exogenous DNA sequences or has been restricted to precise modifications within the existing genome. Where no foreign DNA is present in the final edited variety, many regulatory bodies have concluded that the product is phenotypically and molecularly indistinguishable from conventionally bred varieties and does not require GMO-level risk assessment. The potential for off-target editing effects—unintended changes at genomic locations other than the intended target site—is an active area of research, and </w:t>
      </w:r>
      <w:r>
        <w:lastRenderedPageBreak/>
        <w:t xml:space="preserve">whole-genome sequencing of edited lines is increasingly deployed as a standard quality control procedure to </w:t>
      </w:r>
      <w:proofErr w:type="spellStart"/>
      <w:r>
        <w:t>characterise</w:t>
      </w:r>
      <w:proofErr w:type="spellEnd"/>
      <w:r>
        <w:t xml:space="preserve"> and </w:t>
      </w:r>
      <w:proofErr w:type="spellStart"/>
      <w:r>
        <w:t>minimise</w:t>
      </w:r>
      <w:proofErr w:type="spellEnd"/>
      <w:r>
        <w:t xml:space="preserve"> such effects prior to advancement in breeding pipelines (</w:t>
      </w:r>
      <w:proofErr w:type="spellStart"/>
      <w:r>
        <w:t>Molla</w:t>
      </w:r>
      <w:proofErr w:type="spellEnd"/>
      <w:r>
        <w:t xml:space="preserve"> &amp; Yang, 2019). The broader framework of proportionate, evidence-based regulation that distinguishes between different categories of molecular change based on scientific principles rather than political considerations represents an important frontier in global agricultural biotechnology governance.</w:t>
      </w:r>
    </w:p>
    <w:p w:rsidR="00A053D3" w:rsidRDefault="00C61EE7">
      <w:pPr>
        <w:pStyle w:val="Heading2"/>
      </w:pPr>
      <w:r>
        <w:t>7.3 Ethical, Social, and Economic Dimensions</w:t>
      </w:r>
    </w:p>
    <w:p w:rsidR="00A053D3" w:rsidRDefault="00C61EE7">
      <w:pPr>
        <w:spacing w:after="160" w:line="360" w:lineRule="auto"/>
        <w:ind w:firstLine="720"/>
        <w:jc w:val="both"/>
      </w:pPr>
      <w:r>
        <w:t xml:space="preserve">The deployment of agricultural biotechnology raises a range of ethical questions that extend substantially beyond the domain of empirical risk assessment into questions of justice, autonomy, and the appropriate governance of technological change. Concerns about corporate control of the food system—including the concentration of biotechnological intellectual property in the hands of a small number of transnational corporations following waves of mergers and acquisitions—have been prominently articulated by civil society </w:t>
      </w:r>
      <w:proofErr w:type="spellStart"/>
      <w:r>
        <w:t>organisations</w:t>
      </w:r>
      <w:proofErr w:type="spellEnd"/>
      <w:r>
        <w:t xml:space="preserve">, independent researchers, and some governmental bodies. These concerns are not without empirical foundation: the commercial biotechnology industry is </w:t>
      </w:r>
      <w:proofErr w:type="spellStart"/>
      <w:r>
        <w:t>characterised</w:t>
      </w:r>
      <w:proofErr w:type="spellEnd"/>
      <w:r>
        <w:t xml:space="preserve"> by substantial market concentration that may disadvantage smallholder farmers through seed price increases, erosion of farmer seed saving rights, and potential lock-in to specific proprietary input packages (</w:t>
      </w:r>
      <w:proofErr w:type="spellStart"/>
      <w:r>
        <w:t>Qaim</w:t>
      </w:r>
      <w:proofErr w:type="spellEnd"/>
      <w:r>
        <w:t>, 2020).</w:t>
      </w:r>
    </w:p>
    <w:p w:rsidR="00A053D3" w:rsidRDefault="00C61EE7">
      <w:pPr>
        <w:spacing w:after="160" w:line="360" w:lineRule="auto"/>
        <w:ind w:firstLine="720"/>
        <w:jc w:val="both"/>
      </w:pPr>
      <w:r>
        <w:t xml:space="preserve">Cultural and religious dimensions of public attitudes to biotechnology are also relevant to the practical deployment of these technologies, with some communities expressing principled opposition to genetic modification on the grounds that it crosses natural or moral boundaries that ought not to be transgressed. The scientific consensus on the safety of approved transgenic crops coexists with persistent public </w:t>
      </w:r>
      <w:proofErr w:type="spellStart"/>
      <w:r>
        <w:t>scepticism</w:t>
      </w:r>
      <w:proofErr w:type="spellEnd"/>
      <w:r>
        <w:t xml:space="preserve"> in many countries, particularly in Europe, and this divergence between scientific consensus and public perception represents an ongoing challenge for science communication, evidence-based policymaking, and democratic governance of technological change (</w:t>
      </w:r>
      <w:proofErr w:type="spellStart"/>
      <w:r>
        <w:t>Tyczewska</w:t>
      </w:r>
      <w:proofErr w:type="spellEnd"/>
      <w:r>
        <w:t xml:space="preserve"> et al., 2018). Equitable access to biotechnological innovations is a particularly important consideration for international development policy, given that the crops and traits most relevant to smallholder farmers in developing countries—such as drought-tolerant sorghum, disease-resistant cassava, or iron-rich beans—may represent less commercially attractive targets for private sector investment than the major commodity crops of temperate industrial agriculture. Strengthening public sector biotechnology research capacity and establishing clear </w:t>
      </w:r>
      <w:r>
        <w:lastRenderedPageBreak/>
        <w:t>intellectual property frameworks that enable access for humanitarian and food security applications are essential components of a globally equitable biotechnology agenda.</w:t>
      </w:r>
    </w:p>
    <w:p w:rsidR="00A053D3" w:rsidRDefault="00C61EE7">
      <w:pPr>
        <w:pStyle w:val="Heading1"/>
      </w:pPr>
      <w:r>
        <w:t>8. Challenges and Future Directions</w:t>
      </w:r>
    </w:p>
    <w:p w:rsidR="00A053D3" w:rsidRDefault="00C61EE7">
      <w:pPr>
        <w:spacing w:after="160" w:line="360" w:lineRule="auto"/>
        <w:ind w:firstLine="720"/>
        <w:jc w:val="both"/>
      </w:pPr>
      <w:r>
        <w:t xml:space="preserve">Notwithstanding the considerable scientific advances reviewed in preceding sections, the path from laboratory discovery to widespread deployment of biotechnological innovations in agriculture is </w:t>
      </w:r>
      <w:proofErr w:type="spellStart"/>
      <w:r>
        <w:t>characterised</w:t>
      </w:r>
      <w:proofErr w:type="spellEnd"/>
      <w:r>
        <w:t xml:space="preserve"> by numerous interacting challenges spanning scientific, regulatory, economic, and social dimensions. At the scientific level, the incomplete understanding of complex quantitative traits—including yield potential, abiotic stress tolerance, and NUE—governed by the combined action of hundreds or thousands of genes in interaction with diverse and variable environments, continues to limit the efficacy of targeted biotechnological interventions. The phenomenon of genotype-by-environment interaction, whereby the performance of a particular genetic modification varies considerably across different soil types, climates, and management systems, underscores the need for extensive multi-environment testing and </w:t>
      </w:r>
      <w:proofErr w:type="spellStart"/>
      <w:r>
        <w:t>contextualised</w:t>
      </w:r>
      <w:proofErr w:type="spellEnd"/>
      <w:r>
        <w:t xml:space="preserve"> evaluation before any biotechnologically improved variety can be recommended for widespread farmer adoption (Varshney et al., 2021).</w:t>
      </w:r>
    </w:p>
    <w:p w:rsidR="00A053D3" w:rsidRDefault="00C61EE7">
      <w:pPr>
        <w:spacing w:after="160" w:line="360" w:lineRule="auto"/>
        <w:ind w:firstLine="720"/>
        <w:jc w:val="both"/>
      </w:pPr>
      <w:r>
        <w:t xml:space="preserve">The regulatory landscape presents challenges distinct from, but as significant as, the scientific ones. The high costs and lengthy timescales associated with regulatory approval of transgenic crops—estimated at several tens of millions of US dollars per trait and several years per jurisdiction under most current regulatory frameworks—constitute a substantial barrier to entry that effectively concentrates biotechnological innovation in a small number of large commercial entities and a handful of publicly funded research </w:t>
      </w:r>
      <w:proofErr w:type="spellStart"/>
      <w:r>
        <w:t>programmes</w:t>
      </w:r>
      <w:proofErr w:type="spellEnd"/>
      <w:r>
        <w:t xml:space="preserve"> with access to substantial regulatory and legal infrastructure (Turnbull et al., 2021). This economic reality has profound implications for which crops and traits receive biotechnological investment, with staple crops of critical importance to developing-country food security frequently under-represented in commercial biotechnology development pipelines relative to their global significance for human nutrition and livelihoods.</w:t>
      </w:r>
    </w:p>
    <w:p w:rsidR="00A053D3" w:rsidRDefault="00C61EE7">
      <w:pPr>
        <w:spacing w:after="160" w:line="360" w:lineRule="auto"/>
        <w:ind w:firstLine="720"/>
        <w:jc w:val="both"/>
      </w:pPr>
      <w:r>
        <w:t>The integration of biotechnological approaches with agroecological and traditional farming knowledge systems represents both a challenge and an opportunity for the field. There is growing recognition among agricultural researchers and development practitioners that the most resilient and sustainable farming systems are likely to emerge from the thoughtful integration of molecular biotechnology with the ecological sophistication, place-</w:t>
      </w:r>
      <w:r>
        <w:lastRenderedPageBreak/>
        <w:t xml:space="preserve">based knowledge, and social capital embedded in diverse farming traditions that have evolved over generations (Foley et al., 2011). However, achieving this integration requires institutional arrangements, research priorities, training </w:t>
      </w:r>
      <w:proofErr w:type="spellStart"/>
      <w:r>
        <w:t>programmes</w:t>
      </w:r>
      <w:proofErr w:type="spellEnd"/>
      <w:r>
        <w:t>, and technology transfer mechanisms that are not yet well established in most national agricultural research systems, particularly those in lower-income countries.</w:t>
      </w:r>
    </w:p>
    <w:p w:rsidR="00A053D3" w:rsidRDefault="00C61EE7">
      <w:pPr>
        <w:spacing w:after="160" w:line="360" w:lineRule="auto"/>
        <w:ind w:firstLine="720"/>
        <w:jc w:val="both"/>
      </w:pPr>
      <w:r>
        <w:t xml:space="preserve">Looking towards the future, several technological trajectories hold particular promise for advancing the field. The continued evolution of the CRISPR toolbox—including developments in RNA base editing, epigenome editing, transcriptional activation and repression tools, and the delivery of editing machinery via non-integrating RNA or protein vectors that leave no trace of foreign genetic material—is likely to expand the precision and scope of genome engineering whilst reducing unintended effects and potentially simplifying regulatory classification (Zhu et al., 2020). Advances in synthetic biology, including the rational design of novel genetic circuits, metabolic pathways, and plant-microbe interaction systems with no natural precedent, may eventually enable improvements to crops and agricultural systems currently beyond the reach of conventional biotechnology. High-resolution </w:t>
      </w:r>
      <w:proofErr w:type="spellStart"/>
      <w:r>
        <w:t>characterisation</w:t>
      </w:r>
      <w:proofErr w:type="spellEnd"/>
      <w:r>
        <w:t xml:space="preserve"> of the soil microbiome and its dynamic interactions with plant roots, building on rapid advances in microbial ecology and metagenomics, is opening entirely new dimensions of biological management for soil health and crop nutrition that could substantially reduce reliance on synthetic inputs.</w:t>
      </w:r>
    </w:p>
    <w:p w:rsidR="00A053D3" w:rsidRDefault="00C61EE7">
      <w:pPr>
        <w:spacing w:after="160" w:line="360" w:lineRule="auto"/>
        <w:ind w:firstLine="720"/>
        <w:jc w:val="both"/>
      </w:pPr>
      <w:r>
        <w:t xml:space="preserve">Artificial intelligence and machine learning are increasingly important enablers across the full spectrum of agricultural biotechnology, from the identification of gene-trait associations in large-scale genomic and </w:t>
      </w:r>
      <w:proofErr w:type="spellStart"/>
      <w:r>
        <w:t>phenomic</w:t>
      </w:r>
      <w:proofErr w:type="spellEnd"/>
      <w:r>
        <w:t xml:space="preserve"> datasets, to the </w:t>
      </w:r>
      <w:proofErr w:type="spellStart"/>
      <w:r>
        <w:t>optimisation</w:t>
      </w:r>
      <w:proofErr w:type="spellEnd"/>
      <w:r>
        <w:t xml:space="preserve"> of CRISPR guide RNA design, prediction of off-target editing effects, and modelling of complex crop-environment-management interactions (Varshney et al., 2021). The integration of multi-omics data streams—genomics, transcriptomics, proteomics, metabolomics, and high-resolution </w:t>
      </w:r>
      <w:proofErr w:type="spellStart"/>
      <w:r>
        <w:t>phenomics</w:t>
      </w:r>
      <w:proofErr w:type="spellEnd"/>
      <w:r>
        <w:t xml:space="preserve">—within machine learning analytical frameworks is creating unprecedented capacity to dissect the molecular underpinnings of complex agronomic traits and to predict the performance of untested genetic combinations across environments. The </w:t>
      </w:r>
      <w:proofErr w:type="spellStart"/>
      <w:r>
        <w:t>realisation</w:t>
      </w:r>
      <w:proofErr w:type="spellEnd"/>
      <w:r>
        <w:t xml:space="preserve"> of these capabilities within inclusive research frameworks—encompassing public sector plant breeding </w:t>
      </w:r>
      <w:proofErr w:type="spellStart"/>
      <w:r>
        <w:t>programmes</w:t>
      </w:r>
      <w:proofErr w:type="spellEnd"/>
      <w:r>
        <w:t xml:space="preserve">, national agricultural research systems in developing countries, and participatory approaches that engage farmers in variety development and evaluation—will be essential for ensuring that the transformative potential of agricultural </w:t>
      </w:r>
      <w:r>
        <w:lastRenderedPageBreak/>
        <w:t>biotechnology is broadly distributed rather than concentrated among already-advantaged agricultural systems.</w:t>
      </w:r>
    </w:p>
    <w:p w:rsidR="00A053D3" w:rsidRDefault="00C61EE7">
      <w:pPr>
        <w:spacing w:after="160" w:line="360" w:lineRule="auto"/>
        <w:ind w:firstLine="720"/>
        <w:jc w:val="both"/>
      </w:pPr>
      <w:r>
        <w:t xml:space="preserve">International scientific collaboration, underpinned by equitable sharing of genetic resources, research outputs, and capacity for beneficial application, is essential for ensuring that biotechnological advances genuinely contribute to global food security. Multilateral research platforms, open-access data repositories, and pre-competitive research consortia that bring together researchers from diverse institutional and national contexts represent important vehicles for this collaboration. Sustainable funding models for public-sector biotechnology research—including clear commitments from development finance institutions and national governments to invest in agricultural innovation as a global public good—are a prerequisite for </w:t>
      </w:r>
      <w:proofErr w:type="spellStart"/>
      <w:r>
        <w:t>realising</w:t>
      </w:r>
      <w:proofErr w:type="spellEnd"/>
      <w:r>
        <w:t xml:space="preserve"> the food security and sustainability potential that the scientific evidence reviewed in this article suggests agricultural biotechnology can offer.</w:t>
      </w:r>
    </w:p>
    <w:p w:rsidR="00A053D3" w:rsidRDefault="00C61EE7">
      <w:pPr>
        <w:pStyle w:val="Heading1"/>
      </w:pPr>
      <w:r>
        <w:t>9. Conclusions</w:t>
      </w:r>
    </w:p>
    <w:p w:rsidR="00A053D3" w:rsidRDefault="00C61EE7">
      <w:pPr>
        <w:spacing w:after="160" w:line="360" w:lineRule="auto"/>
        <w:ind w:firstLine="720"/>
        <w:jc w:val="both"/>
      </w:pPr>
      <w:r>
        <w:t xml:space="preserve">Agricultural biotechnology has made well-documented and substantial contributions to crop productivity, disease resistance, abiotic stress tolerance, and nutritional quality over the past three decades, and its potential contributions to food security and agricultural sustainability in the coming decades are scientifically credible and strategically important. The major tools reviewed in this article—genetic engineering, CRISPR-Cas9 and related genome editing platforms, RNA interference, molecular marker-assisted and genomic selection, and microbially based </w:t>
      </w:r>
      <w:proofErr w:type="spellStart"/>
      <w:r>
        <w:t>biofertilisers</w:t>
      </w:r>
      <w:proofErr w:type="spellEnd"/>
      <w:r>
        <w:t xml:space="preserve"> and biopesticides—collectively represent a diverse and complementary repertoire capable of addressing many of the most pressing challenges facing agricultural systems in the twenty-first century. No single technology is sufficient in isolation, and the most impactful applications are likely to emerge from thoughtful integration of multiple biotechnological approaches with agroecological principles, participatory breeding methodologies, and supportive policy and governance frameworks.</w:t>
      </w:r>
    </w:p>
    <w:p w:rsidR="00A053D3" w:rsidRDefault="00C61EE7">
      <w:pPr>
        <w:spacing w:after="160" w:line="360" w:lineRule="auto"/>
        <w:ind w:firstLine="720"/>
        <w:jc w:val="both"/>
      </w:pPr>
      <w:r>
        <w:t xml:space="preserve">The evidence base reviewed supports a cautiously optimistic assessment of the role of biotechnology in sustainable agricultural development. This optimism is conditional, however, on the meeting of several important prerequisites: regulatory frameworks must be grounded in scientific evidence and proportionate to actual risks; access to innovation must be broadened beyond the current concentration in large commercial entities; development of biotechnological solutions must remain responsive to the priorities and values of farming </w:t>
      </w:r>
      <w:r>
        <w:lastRenderedPageBreak/>
        <w:t xml:space="preserve">communities, food consumers, and governments globally; and the integration of biotechnological and ecological approaches must be actively pursued rather than treated as inherently in tension. The promise of CRISPR-based crop improvement, in particular, is sufficiently compelling that updating regulatory frameworks to distinguish appropriately between different types of genetic modification—based on the nature of the change introduced rather than the process by which it was achieved—merits serious and sustained consideration by national and international policymakers. Sustained investment in public sector crop improvement </w:t>
      </w:r>
      <w:proofErr w:type="spellStart"/>
      <w:r>
        <w:t>programmes</w:t>
      </w:r>
      <w:proofErr w:type="spellEnd"/>
      <w:r>
        <w:t xml:space="preserve"> that apply biotechnological tools to the crops and traits most critical for food and nutritional security in low-income countries remains an essential and currently inadequately funded dimension of the global agricultural research agenda.</w:t>
      </w:r>
    </w:p>
    <w:p w:rsidR="00A053D3" w:rsidRDefault="00C61EE7">
      <w:pPr>
        <w:pStyle w:val="Heading1"/>
      </w:pPr>
      <w:r>
        <w:t>10. Limitations</w:t>
      </w:r>
    </w:p>
    <w:p w:rsidR="00A053D3" w:rsidRDefault="00C61EE7">
      <w:pPr>
        <w:spacing w:after="160" w:line="360" w:lineRule="auto"/>
        <w:ind w:firstLine="720"/>
        <w:jc w:val="both"/>
      </w:pPr>
      <w:r>
        <w:t>This review is subject to several limitations that should be acknowledged in interpreting its conclusions. As a narrative review, it does not employ the systematic literature search protocol or quantitative data synthesis methods of a systematic review or meta-analysis. The selection of studies for inclusion, whilst guided by explicit and stated criteria outlined in Section 2, inevitably involves some degree of authorial judgement that may introduce selection bias towards positive or high-profile findings. Studies reporting statistically positive outcomes of biotechnological interventions may be somewhat over-represented in the published scientific literature due to well-documented publication bias, and this review is necessarily bounded by the availability of peer-reviewed evidence published in English-language academic journals. The rapid pace of progress in fields such as CRISPR biotechnology, synthetic biology, and microbiome science means that some recent developments may not yet be represented in the peer-reviewed literature at the time of writing.</w:t>
      </w:r>
    </w:p>
    <w:p w:rsidR="00A053D3" w:rsidRDefault="00C61EE7">
      <w:pPr>
        <w:spacing w:after="160" w:line="360" w:lineRule="auto"/>
        <w:ind w:firstLine="720"/>
        <w:jc w:val="both"/>
      </w:pPr>
      <w:r>
        <w:t xml:space="preserve">The review spans a broad range of biotechnological approaches and crop systems, precluding the depth of thematic coverage achievable in a more narrowly focused review of a single technology or crop. Coverage of regulatory frameworks is necessarily simplified and </w:t>
      </w:r>
      <w:proofErr w:type="spellStart"/>
      <w:r>
        <w:t>generalised</w:t>
      </w:r>
      <w:proofErr w:type="spellEnd"/>
      <w:r>
        <w:t xml:space="preserve"> given the complexity, jurisdictional specificity, and rapid evolution of biotechnology governance globally; readers seeking detailed regulatory guidance should consult primary legislative and regulatory sources in the relevant jurisdiction. The review does not include quantitative synthesis of yield or sustainability outcome data across studies, which would require full meta-analytic methodology and </w:t>
      </w:r>
      <w:proofErr w:type="spellStart"/>
      <w:r>
        <w:t>standardisation</w:t>
      </w:r>
      <w:proofErr w:type="spellEnd"/>
      <w:r>
        <w:t xml:space="preserve"> of outcomes across </w:t>
      </w:r>
      <w:r>
        <w:lastRenderedPageBreak/>
        <w:t xml:space="preserve">highly heterogeneous experimental contexts not conducive to such an approach. Finally, the review reflects primarily the perspectives embedded in the published scientific literature, which may not fully capture the diverse and equally important perspectives of farmers, consumers, civil society </w:t>
      </w:r>
      <w:proofErr w:type="spellStart"/>
      <w:r>
        <w:t>organisations</w:t>
      </w:r>
      <w:proofErr w:type="spellEnd"/>
      <w:r>
        <w:t>, indigenous communities, and policymakers who are essential stakeholders in any decisions about the deployment of agricultural biotechnology in specific social and ecological contexts.</w:t>
      </w:r>
    </w:p>
    <w:p w:rsidR="00A053D3" w:rsidRDefault="00C61EE7">
      <w:r>
        <w:br w:type="page"/>
      </w:r>
    </w:p>
    <w:p w:rsidR="00A053D3" w:rsidRDefault="00C61EE7">
      <w:pPr>
        <w:pStyle w:val="Heading1"/>
      </w:pPr>
      <w:r>
        <w:lastRenderedPageBreak/>
        <w:t>References</w:t>
      </w:r>
    </w:p>
    <w:p w:rsidR="00A053D3" w:rsidRDefault="00C61EE7">
      <w:pPr>
        <w:spacing w:after="160" w:line="360" w:lineRule="auto"/>
        <w:ind w:left="720" w:hanging="720"/>
        <w:jc w:val="both"/>
      </w:pPr>
      <w:proofErr w:type="spellStart"/>
      <w:r>
        <w:t>Alexandratos</w:t>
      </w:r>
      <w:proofErr w:type="spellEnd"/>
      <w:r>
        <w:t xml:space="preserve">, N., &amp; </w:t>
      </w:r>
      <w:proofErr w:type="spellStart"/>
      <w:r>
        <w:t>Bruinsma</w:t>
      </w:r>
      <w:proofErr w:type="spellEnd"/>
      <w:r>
        <w:t xml:space="preserve">, J. (2012). World agriculture towards 2030/2050: The 2012 revision (ESA Working Paper No. 12-03). Food and Agriculture </w:t>
      </w:r>
      <w:proofErr w:type="spellStart"/>
      <w:r>
        <w:t>Organisation</w:t>
      </w:r>
      <w:proofErr w:type="spellEnd"/>
      <w:r>
        <w:t xml:space="preserve"> of the United Nations. </w:t>
      </w:r>
      <w:hyperlink r:id="rId7" w:history="1">
        <w:r w:rsidR="00A6615F" w:rsidRPr="001538BF">
          <w:rPr>
            <w:rStyle w:val="Hyperlink"/>
          </w:rPr>
          <w:t>https://www.fao.org/3/ap106e/ap106e.pdf</w:t>
        </w:r>
      </w:hyperlink>
      <w:r w:rsidR="00A6615F">
        <w:t xml:space="preserve"> </w:t>
      </w:r>
    </w:p>
    <w:p w:rsidR="00A053D3" w:rsidRDefault="00C61EE7">
      <w:pPr>
        <w:spacing w:after="160" w:line="360" w:lineRule="auto"/>
        <w:ind w:left="720" w:hanging="720"/>
        <w:jc w:val="both"/>
      </w:pPr>
      <w:r>
        <w:t xml:space="preserve">Bhattacharyya, P. N., &amp; Jha, D. K. (2012). Plant growth-promoting rhizobacteria (PGPR): Emergence in agriculture. World Journal of Microbiology and Biotechnology, 28(4), 1327–1350. </w:t>
      </w:r>
      <w:hyperlink r:id="rId8" w:history="1">
        <w:r w:rsidR="00A6615F" w:rsidRPr="001538BF">
          <w:rPr>
            <w:rStyle w:val="Hyperlink"/>
          </w:rPr>
          <w:t>https://doi.org/10.1007/s11274-011-0979-9</w:t>
        </w:r>
      </w:hyperlink>
      <w:r w:rsidR="00A6615F">
        <w:t xml:space="preserve"> </w:t>
      </w:r>
    </w:p>
    <w:p w:rsidR="00A053D3" w:rsidRDefault="00C61EE7">
      <w:pPr>
        <w:spacing w:after="160" w:line="360" w:lineRule="auto"/>
        <w:ind w:left="720" w:hanging="720"/>
        <w:jc w:val="both"/>
      </w:pPr>
      <w:r>
        <w:t xml:space="preserve">Collard, B. C. Y., &amp; </w:t>
      </w:r>
      <w:proofErr w:type="spellStart"/>
      <w:r>
        <w:t>Mackill</w:t>
      </w:r>
      <w:proofErr w:type="spellEnd"/>
      <w:r>
        <w:t xml:space="preserve">, D. J. (2008). Marker-assisted selection: An approach for precision plant breeding in the twenty-first century. Philosophical Transactions of the Royal Society B: Biological Sciences, 363(1491), 557–572. </w:t>
      </w:r>
      <w:hyperlink r:id="rId9" w:history="1">
        <w:r w:rsidR="00A6615F" w:rsidRPr="001538BF">
          <w:rPr>
            <w:rStyle w:val="Hyperlink"/>
          </w:rPr>
          <w:t>https://doi.org/10.1098/rstb.2007.2170</w:t>
        </w:r>
      </w:hyperlink>
      <w:r w:rsidR="00A6615F">
        <w:t xml:space="preserve"> </w:t>
      </w:r>
    </w:p>
    <w:p w:rsidR="00A053D3" w:rsidRDefault="00C61EE7">
      <w:pPr>
        <w:spacing w:after="160" w:line="360" w:lineRule="auto"/>
        <w:ind w:left="720" w:hanging="720"/>
        <w:jc w:val="both"/>
      </w:pPr>
      <w:proofErr w:type="spellStart"/>
      <w:r>
        <w:t>Doudna</w:t>
      </w:r>
      <w:proofErr w:type="spellEnd"/>
      <w:r>
        <w:t>, J. A., &amp; Charpentier, E. (2014). The new frontier of genome engineering with CRISPR-Cas9. Science, 346(6213), 1258096. https://doi.org/10.1126/science.1258096</w:t>
      </w:r>
    </w:p>
    <w:p w:rsidR="00A053D3" w:rsidRDefault="00C61EE7">
      <w:pPr>
        <w:spacing w:after="160" w:line="360" w:lineRule="auto"/>
        <w:ind w:left="720" w:hanging="720"/>
        <w:jc w:val="both"/>
      </w:pPr>
      <w:r>
        <w:t xml:space="preserve">Foley, J. A., </w:t>
      </w:r>
      <w:proofErr w:type="spellStart"/>
      <w:r>
        <w:t>Ramankutty</w:t>
      </w:r>
      <w:proofErr w:type="spellEnd"/>
      <w:r>
        <w:t xml:space="preserve">, N., </w:t>
      </w:r>
      <w:proofErr w:type="spellStart"/>
      <w:r>
        <w:t>Brauman</w:t>
      </w:r>
      <w:proofErr w:type="spellEnd"/>
      <w:r>
        <w:t xml:space="preserve">, K. A., Cassidy, E. S., Gerber, J. S., Johnston, M., Mueller, N. D., O'Connell, C., Ray, D. K., West, P. C., Balzer, C., Bennett, E. M., Carpenter, S. R., Hill, J., </w:t>
      </w:r>
      <w:proofErr w:type="spellStart"/>
      <w:r>
        <w:t>Monfreda</w:t>
      </w:r>
      <w:proofErr w:type="spellEnd"/>
      <w:r>
        <w:t xml:space="preserve">, C., </w:t>
      </w:r>
      <w:proofErr w:type="spellStart"/>
      <w:r>
        <w:t>Polasky</w:t>
      </w:r>
      <w:proofErr w:type="spellEnd"/>
      <w:r>
        <w:t xml:space="preserve">, S., </w:t>
      </w:r>
      <w:proofErr w:type="spellStart"/>
      <w:r>
        <w:t>Rockström</w:t>
      </w:r>
      <w:proofErr w:type="spellEnd"/>
      <w:r>
        <w:t xml:space="preserve">, J., Sheehan, J., Siebert, S., &amp; </w:t>
      </w:r>
      <w:proofErr w:type="spellStart"/>
      <w:r>
        <w:t>Zaks</w:t>
      </w:r>
      <w:proofErr w:type="spellEnd"/>
      <w:r>
        <w:t>, D. P. M. (2011). Solutions for a cultivated planet. Nature, 478(7369), 337–342. https://doi.org/10.1038/nature10452</w:t>
      </w:r>
    </w:p>
    <w:p w:rsidR="00A053D3" w:rsidRDefault="00C61EE7">
      <w:pPr>
        <w:spacing w:after="160" w:line="360" w:lineRule="auto"/>
        <w:ind w:left="720" w:hanging="720"/>
        <w:jc w:val="both"/>
      </w:pPr>
      <w:r>
        <w:t xml:space="preserve">Gasparyan, A. Y., </w:t>
      </w:r>
      <w:proofErr w:type="spellStart"/>
      <w:r>
        <w:t>Ayvazyan</w:t>
      </w:r>
      <w:proofErr w:type="spellEnd"/>
      <w:r>
        <w:t xml:space="preserve">, L., Blackmore, H., &amp; </w:t>
      </w:r>
      <w:proofErr w:type="spellStart"/>
      <w:r>
        <w:t>Kitas</w:t>
      </w:r>
      <w:proofErr w:type="spellEnd"/>
      <w:r>
        <w:t>, G. D. (2011). Writing a narrative biomedical review: Considerations for authors, peer reviewers, and editors. Rheumatology International, 31(11), 1409–1417. https://doi.org/10.1007/s00296-011-1999-3</w:t>
      </w:r>
    </w:p>
    <w:p w:rsidR="00A053D3" w:rsidRDefault="00C61EE7">
      <w:pPr>
        <w:spacing w:after="160" w:line="360" w:lineRule="auto"/>
        <w:ind w:left="720" w:hanging="720"/>
        <w:jc w:val="both"/>
      </w:pPr>
      <w:r>
        <w:t xml:space="preserve">Glick, B. R. (2012). Plant growth-promoting bacteria: Mechanisms and applications. </w:t>
      </w:r>
      <w:proofErr w:type="spellStart"/>
      <w:r>
        <w:t>Scientifica</w:t>
      </w:r>
      <w:proofErr w:type="spellEnd"/>
      <w:r>
        <w:t>, 2012, 963401. https://doi.org/10.6064/2012/963401</w:t>
      </w:r>
    </w:p>
    <w:p w:rsidR="00A053D3" w:rsidRDefault="00C61EE7">
      <w:pPr>
        <w:spacing w:after="160" w:line="360" w:lineRule="auto"/>
        <w:ind w:left="720" w:hanging="720"/>
        <w:jc w:val="both"/>
      </w:pPr>
      <w:proofErr w:type="spellStart"/>
      <w:r>
        <w:t>Godfray</w:t>
      </w:r>
      <w:proofErr w:type="spellEnd"/>
      <w:r>
        <w:t xml:space="preserve">, H. C. J., </w:t>
      </w:r>
      <w:proofErr w:type="spellStart"/>
      <w:r>
        <w:t>Beddington</w:t>
      </w:r>
      <w:proofErr w:type="spellEnd"/>
      <w:r>
        <w:t xml:space="preserve">, J. R., </w:t>
      </w:r>
      <w:proofErr w:type="spellStart"/>
      <w:r>
        <w:t>Crute</w:t>
      </w:r>
      <w:proofErr w:type="spellEnd"/>
      <w:r>
        <w:t>, I. R., Haddad, L., Lawrence, D., Muir, J. F., Pretty, J., Robinson, S., Thomas, S. M., &amp; Toulmin, C. (2010). Food security: The challenge of feeding 9 billion people. Science, 327(5967), 812–818. https://doi.org/10.1126/science.1185383</w:t>
      </w:r>
    </w:p>
    <w:p w:rsidR="00A053D3" w:rsidRDefault="00C61EE7">
      <w:pPr>
        <w:spacing w:after="160" w:line="360" w:lineRule="auto"/>
        <w:ind w:left="720" w:hanging="720"/>
        <w:jc w:val="both"/>
      </w:pPr>
      <w:r>
        <w:lastRenderedPageBreak/>
        <w:t>Hibberd, J. M., Sheehy, J. E., &amp; Langdale, J. A. (2008). Using C4 photosynthesis to increase the yield of rice – rationale and feasibility. Current Opinion in Plant Biology, 11(2), 228–231. https://doi.org/10.1016/j.pbi.2007.11.002</w:t>
      </w:r>
    </w:p>
    <w:p w:rsidR="00A053D3" w:rsidRDefault="00C61EE7">
      <w:pPr>
        <w:spacing w:after="160" w:line="360" w:lineRule="auto"/>
        <w:ind w:left="720" w:hanging="720"/>
        <w:jc w:val="both"/>
      </w:pPr>
      <w:r>
        <w:t xml:space="preserve">Hu, H., &amp; </w:t>
      </w:r>
      <w:proofErr w:type="spellStart"/>
      <w:r>
        <w:t>Xiong</w:t>
      </w:r>
      <w:proofErr w:type="spellEnd"/>
      <w:r>
        <w:t>, L. (2014). Genetic engineering and breeding of drought-resistant crops. Annual Review of Plant Biology, 65, 715–741. https://doi.org/10.1146/annurev-arplant-050213-040000</w:t>
      </w:r>
    </w:p>
    <w:p w:rsidR="00A053D3" w:rsidRDefault="00C61EE7">
      <w:pPr>
        <w:spacing w:after="160" w:line="360" w:lineRule="auto"/>
        <w:ind w:left="720" w:hanging="720"/>
        <w:jc w:val="both"/>
      </w:pPr>
      <w:proofErr w:type="spellStart"/>
      <w:r>
        <w:t>Huvenne</w:t>
      </w:r>
      <w:proofErr w:type="spellEnd"/>
      <w:r>
        <w:t xml:space="preserve">, H., &amp; </w:t>
      </w:r>
      <w:proofErr w:type="spellStart"/>
      <w:r>
        <w:t>Smagghe</w:t>
      </w:r>
      <w:proofErr w:type="spellEnd"/>
      <w:r>
        <w:t>, G. (2010). Mechanisms of dsRNA uptake in insects and potential of RNAi for pest control: A review. Journal of Insect Physiology, 56(3), 227–235. https://doi.org/10.1016/j.jinsphys.2009.10.004</w:t>
      </w:r>
    </w:p>
    <w:p w:rsidR="00A053D3" w:rsidRDefault="00C61EE7">
      <w:pPr>
        <w:spacing w:after="160" w:line="360" w:lineRule="auto"/>
        <w:ind w:left="720" w:hanging="720"/>
        <w:jc w:val="both"/>
      </w:pPr>
      <w:r>
        <w:t>IPCC. (2022). Climate change 2022: Impacts, adaptation and vulnerability. Contribution of Working Group II to the Sixth Assessment Report of the Intergovernmental Panel on Climate Change. Cambridge University Press. https://www.ipcc.ch/report/ar6/wg2/</w:t>
      </w:r>
    </w:p>
    <w:p w:rsidR="00A053D3" w:rsidRDefault="00C61EE7">
      <w:pPr>
        <w:spacing w:after="160" w:line="360" w:lineRule="auto"/>
        <w:ind w:left="720" w:hanging="720"/>
        <w:jc w:val="both"/>
      </w:pPr>
      <w:proofErr w:type="spellStart"/>
      <w:r>
        <w:t>Jinek</w:t>
      </w:r>
      <w:proofErr w:type="spellEnd"/>
      <w:r>
        <w:t xml:space="preserve">, M., </w:t>
      </w:r>
      <w:proofErr w:type="spellStart"/>
      <w:r>
        <w:t>Chylinski</w:t>
      </w:r>
      <w:proofErr w:type="spellEnd"/>
      <w:r>
        <w:t xml:space="preserve">, K., Fonfara, I., Hauer, M., </w:t>
      </w:r>
      <w:proofErr w:type="spellStart"/>
      <w:r>
        <w:t>Doudna</w:t>
      </w:r>
      <w:proofErr w:type="spellEnd"/>
      <w:r>
        <w:t>, J. A., &amp; Charpentier, E. (2012). A programmable dual-RNA–guided DNA endonuclease in adaptive bacterial immunity. Science, 337(6096), 816–821. https://doi.org/10.1126/science.1225829</w:t>
      </w:r>
    </w:p>
    <w:p w:rsidR="00A053D3" w:rsidRDefault="00C61EE7">
      <w:pPr>
        <w:spacing w:after="160" w:line="360" w:lineRule="auto"/>
        <w:ind w:left="720" w:hanging="720"/>
        <w:jc w:val="both"/>
      </w:pPr>
      <w:r>
        <w:t xml:space="preserve">Koch, A., &amp; </w:t>
      </w:r>
      <w:proofErr w:type="spellStart"/>
      <w:r>
        <w:t>Kogel</w:t>
      </w:r>
      <w:proofErr w:type="spellEnd"/>
      <w:r>
        <w:t>, K. H. (2014). New wind in the sails: Improving the agronomic value of crop plants through RNAi-mediated gene silencing. Plant Biotechnology Journal, 12(7), 821–831. https://doi.org/10.1111/pbi.12226</w:t>
      </w:r>
    </w:p>
    <w:p w:rsidR="00A053D3" w:rsidRDefault="00C61EE7">
      <w:pPr>
        <w:spacing w:after="160" w:line="360" w:lineRule="auto"/>
        <w:ind w:left="720" w:hanging="720"/>
        <w:jc w:val="both"/>
      </w:pPr>
      <w:proofErr w:type="spellStart"/>
      <w:r>
        <w:t>Kour</w:t>
      </w:r>
      <w:proofErr w:type="spellEnd"/>
      <w:r>
        <w:t xml:space="preserve">, D., Rana, K. L., Yadav, A. N., Yadav, N., Kumar, M., Kumar, V., Vyas, P., Dhaliwal, H. S., &amp; Saxena, A. K. (2020). Microbial biofertilizers: Bioresources and eco-friendly technologies for agricultural and environmental sustainability. </w:t>
      </w:r>
      <w:proofErr w:type="spellStart"/>
      <w:r>
        <w:t>Biocatalysis</w:t>
      </w:r>
      <w:proofErr w:type="spellEnd"/>
      <w:r>
        <w:t xml:space="preserve"> and Agricultural Biotechnology, 23, 101487. https://doi.org/10.1016/j.bcab.2019.101487</w:t>
      </w:r>
    </w:p>
    <w:p w:rsidR="00A053D3" w:rsidRDefault="00C61EE7">
      <w:pPr>
        <w:spacing w:after="160" w:line="360" w:lineRule="auto"/>
        <w:ind w:left="720" w:hanging="720"/>
        <w:jc w:val="both"/>
      </w:pPr>
      <w:r>
        <w:t>Lal, R. (2004). Soil carbon sequestration impacts on global climate change and food security. Science, 304(5677), 1623–1627. https://doi.org/10.1126/science.1097396</w:t>
      </w:r>
    </w:p>
    <w:p w:rsidR="00A053D3" w:rsidRDefault="00C61EE7">
      <w:pPr>
        <w:spacing w:after="160" w:line="360" w:lineRule="auto"/>
        <w:ind w:left="720" w:hanging="720"/>
        <w:jc w:val="both"/>
      </w:pPr>
      <w:proofErr w:type="spellStart"/>
      <w:r>
        <w:t>Lesk</w:t>
      </w:r>
      <w:proofErr w:type="spellEnd"/>
      <w:r>
        <w:t xml:space="preserve">, C., Rowhani, P., &amp; </w:t>
      </w:r>
      <w:proofErr w:type="spellStart"/>
      <w:r>
        <w:t>Ramankutty</w:t>
      </w:r>
      <w:proofErr w:type="spellEnd"/>
      <w:r>
        <w:t>, N. (2016). Influence of extreme weather disasters on global crop production. Nature, 529(7584), 84–87. https://doi.org/10.1038/nature16467</w:t>
      </w:r>
    </w:p>
    <w:p w:rsidR="00A053D3" w:rsidRDefault="00C61EE7">
      <w:pPr>
        <w:spacing w:after="160" w:line="360" w:lineRule="auto"/>
        <w:ind w:left="720" w:hanging="720"/>
        <w:jc w:val="both"/>
      </w:pPr>
      <w:r>
        <w:t xml:space="preserve">Lobell, D. B., &amp; </w:t>
      </w:r>
      <w:proofErr w:type="spellStart"/>
      <w:r>
        <w:t>Gourdji</w:t>
      </w:r>
      <w:proofErr w:type="spellEnd"/>
      <w:r>
        <w:t>, S. M. (2012). The influence of climate change on global crop productivity. Plant Physiology, 160(4), 1686–1697. https://doi.org/10.1104/pp.112.208298</w:t>
      </w:r>
    </w:p>
    <w:p w:rsidR="00A053D3" w:rsidRDefault="00C61EE7">
      <w:pPr>
        <w:spacing w:after="160" w:line="360" w:lineRule="auto"/>
        <w:ind w:left="720" w:hanging="720"/>
        <w:jc w:val="both"/>
      </w:pPr>
      <w:r>
        <w:lastRenderedPageBreak/>
        <w:t>Long, S. P., Marshall-Colon, A., &amp; Zhu, X. G. (2015). Meeting the global food demand of the future by engineering crop photosynthesis and yield potential. Cell, 161(1), 56–66. https://doi.org/10.1016/j.cell.2015.03.019</w:t>
      </w:r>
    </w:p>
    <w:p w:rsidR="00A053D3" w:rsidRDefault="00C61EE7">
      <w:pPr>
        <w:spacing w:after="160" w:line="360" w:lineRule="auto"/>
        <w:ind w:left="720" w:hanging="720"/>
        <w:jc w:val="both"/>
      </w:pPr>
      <w:proofErr w:type="spellStart"/>
      <w:r>
        <w:t>Mittler</w:t>
      </w:r>
      <w:proofErr w:type="spellEnd"/>
      <w:r>
        <w:t xml:space="preserve">, R., &amp; </w:t>
      </w:r>
      <w:proofErr w:type="spellStart"/>
      <w:r>
        <w:t>Blumwald</w:t>
      </w:r>
      <w:proofErr w:type="spellEnd"/>
      <w:r>
        <w:t>, E. (2010). Genetic engineering for modern agriculture: Challenges and perspectives. Annual Review of Plant Biology, 61, 443–462. https://doi.org/10.1146/annurev-arplant-042809-112116</w:t>
      </w:r>
    </w:p>
    <w:p w:rsidR="00A053D3" w:rsidRDefault="00C61EE7">
      <w:pPr>
        <w:spacing w:after="160" w:line="360" w:lineRule="auto"/>
        <w:ind w:left="720" w:hanging="720"/>
        <w:jc w:val="both"/>
      </w:pPr>
      <w:proofErr w:type="spellStart"/>
      <w:r>
        <w:t>Molla</w:t>
      </w:r>
      <w:proofErr w:type="spellEnd"/>
      <w:r>
        <w:t>, K. A., &amp; Yang, Y. (2019). CRISPR/Cas-mediated base editing: Technical considerations and practical applications. Trends in Biotechnology, 37(10), 1121–1142. https://doi.org/10.1016/j.tibtech.2019.03.008</w:t>
      </w:r>
    </w:p>
    <w:p w:rsidR="00A053D3" w:rsidRDefault="00C61EE7">
      <w:pPr>
        <w:spacing w:after="160" w:line="360" w:lineRule="auto"/>
        <w:ind w:left="720" w:hanging="720"/>
        <w:jc w:val="both"/>
      </w:pPr>
      <w:r>
        <w:t>Potrykus, I. (2010). Lessons from the "Humanitarian Golden Rice" project: Regulation prevents development of public good genetically engineered crop products. New Biotechnology, 27(5), 466–472. https://doi.org/10.1016/j.nbt.2010.07.012</w:t>
      </w:r>
    </w:p>
    <w:p w:rsidR="00A053D3" w:rsidRDefault="00C61EE7">
      <w:pPr>
        <w:spacing w:after="160" w:line="360" w:lineRule="auto"/>
        <w:ind w:left="720" w:hanging="720"/>
        <w:jc w:val="both"/>
      </w:pPr>
      <w:r>
        <w:t xml:space="preserve">Prado, J. R., </w:t>
      </w:r>
      <w:proofErr w:type="spellStart"/>
      <w:r>
        <w:t>Segers</w:t>
      </w:r>
      <w:proofErr w:type="spellEnd"/>
      <w:r>
        <w:t xml:space="preserve">, G., Voelker, T., Carson, D., </w:t>
      </w:r>
      <w:proofErr w:type="spellStart"/>
      <w:r>
        <w:t>Dobert</w:t>
      </w:r>
      <w:proofErr w:type="spellEnd"/>
      <w:r>
        <w:t xml:space="preserve">, R., Phillips, J., Cook, K., Cornejo, C., </w:t>
      </w:r>
      <w:proofErr w:type="spellStart"/>
      <w:r>
        <w:t>Monken</w:t>
      </w:r>
      <w:proofErr w:type="spellEnd"/>
      <w:r>
        <w:t>, J., Grapes, L., Reynolds, T., &amp; Martino-Catt, S. (2014). Genetically engineered crops: From idea to product. Annual Review of Plant Biology, 65, 769–790. https://doi.org/10.1146/annurev-arplant-050213-035901</w:t>
      </w:r>
    </w:p>
    <w:p w:rsidR="00A053D3" w:rsidRDefault="00C61EE7">
      <w:pPr>
        <w:spacing w:after="160" w:line="360" w:lineRule="auto"/>
        <w:ind w:left="720" w:hanging="720"/>
        <w:jc w:val="both"/>
      </w:pPr>
      <w:r>
        <w:t xml:space="preserve">Pretty, J., &amp; </w:t>
      </w:r>
      <w:proofErr w:type="spellStart"/>
      <w:r>
        <w:t>Bharucha</w:t>
      </w:r>
      <w:proofErr w:type="spellEnd"/>
      <w:r>
        <w:t>, Z. P. (2015). Integrated pest management for sustainable intensification of agriculture in Asia and Africa. Insects, 6(1), 152–182. https://doi.org/10.3390/insects6010152</w:t>
      </w:r>
    </w:p>
    <w:p w:rsidR="00A053D3" w:rsidRDefault="00C61EE7">
      <w:pPr>
        <w:spacing w:after="160" w:line="360" w:lineRule="auto"/>
        <w:ind w:left="720" w:hanging="720"/>
        <w:jc w:val="both"/>
      </w:pPr>
      <w:proofErr w:type="spellStart"/>
      <w:r>
        <w:t>Qaim</w:t>
      </w:r>
      <w:proofErr w:type="spellEnd"/>
      <w:r>
        <w:t>, M. (2020). Role of new plant breeding technologies for food security and sustainable agricultural development. Applied Economic Perspectives and Policy, 42(2), 129–150. https://doi.org/10.1002/aepp.13044</w:t>
      </w:r>
    </w:p>
    <w:p w:rsidR="00A053D3" w:rsidRDefault="00C61EE7">
      <w:pPr>
        <w:spacing w:after="160" w:line="360" w:lineRule="auto"/>
        <w:ind w:left="720" w:hanging="720"/>
        <w:jc w:val="both"/>
      </w:pPr>
      <w:proofErr w:type="spellStart"/>
      <w:r>
        <w:t>Rockström</w:t>
      </w:r>
      <w:proofErr w:type="spellEnd"/>
      <w:r>
        <w:t xml:space="preserve">, J., Steffen, W., </w:t>
      </w:r>
      <w:proofErr w:type="spellStart"/>
      <w:r>
        <w:t>Noone</w:t>
      </w:r>
      <w:proofErr w:type="spellEnd"/>
      <w:r>
        <w:t xml:space="preserve">, K., Persson, A., Chapin, F. S., </w:t>
      </w:r>
      <w:proofErr w:type="spellStart"/>
      <w:r>
        <w:t>Lambin</w:t>
      </w:r>
      <w:proofErr w:type="spellEnd"/>
      <w:r>
        <w:t xml:space="preserve">, E. F., </w:t>
      </w:r>
      <w:proofErr w:type="spellStart"/>
      <w:r>
        <w:t>Lenton</w:t>
      </w:r>
      <w:proofErr w:type="spellEnd"/>
      <w:r>
        <w:t xml:space="preserve">, T. M., </w:t>
      </w:r>
      <w:proofErr w:type="spellStart"/>
      <w:r>
        <w:t>Scheffer</w:t>
      </w:r>
      <w:proofErr w:type="spellEnd"/>
      <w:r>
        <w:t xml:space="preserve">, M., </w:t>
      </w:r>
      <w:proofErr w:type="spellStart"/>
      <w:r>
        <w:t>Folke</w:t>
      </w:r>
      <w:proofErr w:type="spellEnd"/>
      <w:r>
        <w:t xml:space="preserve">, C., </w:t>
      </w:r>
      <w:proofErr w:type="spellStart"/>
      <w:r>
        <w:t>Schellnhuber</w:t>
      </w:r>
      <w:proofErr w:type="spellEnd"/>
      <w:r>
        <w:t xml:space="preserve">, H. J., </w:t>
      </w:r>
      <w:proofErr w:type="spellStart"/>
      <w:r>
        <w:t>Nykvist</w:t>
      </w:r>
      <w:proofErr w:type="spellEnd"/>
      <w:r>
        <w:t xml:space="preserve">, B., de Wit, C. A., Hughes, T., van der Leeuw, S., Rodhe, H., </w:t>
      </w:r>
      <w:proofErr w:type="spellStart"/>
      <w:r>
        <w:t>Sorlin</w:t>
      </w:r>
      <w:proofErr w:type="spellEnd"/>
      <w:r>
        <w:t xml:space="preserve">, S., Snyder, P. K., Costanza, R., </w:t>
      </w:r>
      <w:proofErr w:type="spellStart"/>
      <w:r>
        <w:t>Svedin</w:t>
      </w:r>
      <w:proofErr w:type="spellEnd"/>
      <w:r>
        <w:t>, U., &amp; Foley, J. A. (2009). A safe operating space for humanity. Nature, 461(7263), 472–475. https://doi.org/10.1038/461472a</w:t>
      </w:r>
    </w:p>
    <w:p w:rsidR="00A053D3" w:rsidRDefault="00C61EE7">
      <w:pPr>
        <w:spacing w:after="160" w:line="360" w:lineRule="auto"/>
        <w:ind w:left="720" w:hanging="720"/>
        <w:jc w:val="both"/>
      </w:pPr>
      <w:r>
        <w:t>Ronald, P. (2011). Plant genetics, sustainable agriculture and global food security. Genetics, 188(1), 11–20. https://doi.org/10.1534/genetics.111.128553</w:t>
      </w:r>
    </w:p>
    <w:p w:rsidR="00A053D3" w:rsidRDefault="00C61EE7">
      <w:pPr>
        <w:spacing w:after="160" w:line="360" w:lineRule="auto"/>
        <w:ind w:left="720" w:hanging="720"/>
        <w:jc w:val="both"/>
      </w:pPr>
      <w:proofErr w:type="spellStart"/>
      <w:r>
        <w:lastRenderedPageBreak/>
        <w:t>Savary</w:t>
      </w:r>
      <w:proofErr w:type="spellEnd"/>
      <w:r>
        <w:t xml:space="preserve">, S., </w:t>
      </w:r>
      <w:proofErr w:type="spellStart"/>
      <w:r>
        <w:t>Willocquet</w:t>
      </w:r>
      <w:proofErr w:type="spellEnd"/>
      <w:r>
        <w:t xml:space="preserve">, L., </w:t>
      </w:r>
      <w:proofErr w:type="spellStart"/>
      <w:r>
        <w:t>Pethybridge</w:t>
      </w:r>
      <w:proofErr w:type="spellEnd"/>
      <w:r>
        <w:t>, S. J., Esker, P., McRoberts, N., &amp; Nelson, A. (2019). The global burden of pathogens and pests on major food crops. Nature Ecology &amp; Evolution, 3(3), 430–439. https://doi.org/10.1038/s41559-018-0793-y</w:t>
      </w:r>
    </w:p>
    <w:p w:rsidR="00A053D3" w:rsidRDefault="00C61EE7">
      <w:pPr>
        <w:spacing w:after="160" w:line="360" w:lineRule="auto"/>
        <w:ind w:left="720" w:hanging="720"/>
        <w:jc w:val="both"/>
      </w:pPr>
      <w:proofErr w:type="spellStart"/>
      <w:r>
        <w:t>Scheben</w:t>
      </w:r>
      <w:proofErr w:type="spellEnd"/>
      <w:r>
        <w:t xml:space="preserve">, A., Wolter, F., </w:t>
      </w:r>
      <w:proofErr w:type="spellStart"/>
      <w:r>
        <w:t>Batley</w:t>
      </w:r>
      <w:proofErr w:type="spellEnd"/>
      <w:r>
        <w:t xml:space="preserve">, J., </w:t>
      </w:r>
      <w:proofErr w:type="spellStart"/>
      <w:r>
        <w:t>Puchta</w:t>
      </w:r>
      <w:proofErr w:type="spellEnd"/>
      <w:r>
        <w:t xml:space="preserve">, H., &amp; Edwards, D. (2017). Towards CRISPR/Cas crops – bringing together genomics and genome editing. New </w:t>
      </w:r>
      <w:proofErr w:type="spellStart"/>
      <w:r>
        <w:t>Phytologist</w:t>
      </w:r>
      <w:proofErr w:type="spellEnd"/>
      <w:r>
        <w:t>, 216(3), 682–698. https://doi.org/10.1111/nph.14702</w:t>
      </w:r>
    </w:p>
    <w:p w:rsidR="00A053D3" w:rsidRDefault="00C61EE7">
      <w:pPr>
        <w:spacing w:after="160" w:line="360" w:lineRule="auto"/>
        <w:ind w:left="720" w:hanging="720"/>
        <w:jc w:val="both"/>
      </w:pPr>
      <w:r>
        <w:t>Sinclair, T. R., &amp; Rufty, T. W. (2012). Nitrogen and water resources commonly limit crop yield increases, not necessarily plant genetics. Global Food Security, 1(2), 94–98. https://doi.org/10.1016/j.gfs.2012.07.001</w:t>
      </w:r>
    </w:p>
    <w:p w:rsidR="00A053D3" w:rsidRDefault="00C61EE7">
      <w:pPr>
        <w:spacing w:after="160" w:line="360" w:lineRule="auto"/>
        <w:ind w:left="720" w:hanging="720"/>
        <w:jc w:val="both"/>
      </w:pPr>
      <w:proofErr w:type="spellStart"/>
      <w:r>
        <w:t>Tabashnik</w:t>
      </w:r>
      <w:proofErr w:type="spellEnd"/>
      <w:r>
        <w:t xml:space="preserve">, B. E., </w:t>
      </w:r>
      <w:proofErr w:type="spellStart"/>
      <w:r>
        <w:t>Brevault</w:t>
      </w:r>
      <w:proofErr w:type="spellEnd"/>
      <w:r>
        <w:t xml:space="preserve">, T., &amp; Carriere, Y. (2013). Insect resistance to </w:t>
      </w:r>
      <w:proofErr w:type="spellStart"/>
      <w:r>
        <w:t>Bt</w:t>
      </w:r>
      <w:proofErr w:type="spellEnd"/>
      <w:r>
        <w:t xml:space="preserve"> crops: Lessons from the first billion acres. Nature Biotechnology, 31(6), 510–521. </w:t>
      </w:r>
      <w:hyperlink r:id="rId10" w:history="1">
        <w:r w:rsidR="00A6615F" w:rsidRPr="001538BF">
          <w:rPr>
            <w:rStyle w:val="Hyperlink"/>
          </w:rPr>
          <w:t>https://doi.org/10.1038/nbt.2597</w:t>
        </w:r>
      </w:hyperlink>
      <w:r w:rsidR="00A6615F">
        <w:t xml:space="preserve"> </w:t>
      </w:r>
    </w:p>
    <w:p w:rsidR="00A053D3" w:rsidRDefault="00C61EE7">
      <w:pPr>
        <w:spacing w:after="160" w:line="360" w:lineRule="auto"/>
        <w:ind w:left="720" w:hanging="720"/>
        <w:jc w:val="both"/>
      </w:pPr>
      <w:r>
        <w:t xml:space="preserve">Tilman, D., Balzer, C., Hill, J., &amp; </w:t>
      </w:r>
      <w:proofErr w:type="spellStart"/>
      <w:r>
        <w:t>Befort</w:t>
      </w:r>
      <w:proofErr w:type="spellEnd"/>
      <w:r>
        <w:t xml:space="preserve">, B. L. (2011). Global food demand and the sustainable intensification of agriculture. Proceedings of the National Academy of Sciences, 108(50), 20260–20264. </w:t>
      </w:r>
      <w:hyperlink r:id="rId11" w:history="1">
        <w:r w:rsidR="00A6615F" w:rsidRPr="001538BF">
          <w:rPr>
            <w:rStyle w:val="Hyperlink"/>
          </w:rPr>
          <w:t>https://doi.org/10.1073/pnas.1116437108</w:t>
        </w:r>
      </w:hyperlink>
      <w:r w:rsidR="00A6615F">
        <w:t xml:space="preserve"> </w:t>
      </w:r>
    </w:p>
    <w:p w:rsidR="00A053D3" w:rsidRDefault="00C61EE7">
      <w:pPr>
        <w:spacing w:after="160" w:line="360" w:lineRule="auto"/>
        <w:ind w:left="720" w:hanging="720"/>
        <w:jc w:val="both"/>
      </w:pPr>
      <w:r>
        <w:t xml:space="preserve">Turnbull, C., </w:t>
      </w:r>
      <w:proofErr w:type="spellStart"/>
      <w:r>
        <w:t>Lillemo</w:t>
      </w:r>
      <w:proofErr w:type="spellEnd"/>
      <w:r>
        <w:t xml:space="preserve">, M., &amp; </w:t>
      </w:r>
      <w:proofErr w:type="spellStart"/>
      <w:r>
        <w:t>Hvoslef</w:t>
      </w:r>
      <w:proofErr w:type="spellEnd"/>
      <w:r>
        <w:t>-Eide, T. A. K. (2021). Global regulation of genetically modified crops amid the gene editing revolution. Frontiers in Plant Science, 12, 630396. https://doi.org/10.3389/fpls.2021.630396</w:t>
      </w:r>
    </w:p>
    <w:p w:rsidR="00A053D3" w:rsidRDefault="00C61EE7">
      <w:pPr>
        <w:spacing w:after="160" w:line="360" w:lineRule="auto"/>
        <w:ind w:left="720" w:hanging="720"/>
        <w:jc w:val="both"/>
      </w:pPr>
      <w:proofErr w:type="spellStart"/>
      <w:r>
        <w:t>Tyczewska</w:t>
      </w:r>
      <w:proofErr w:type="spellEnd"/>
      <w:r>
        <w:t xml:space="preserve">, A., Wozniak, E., </w:t>
      </w:r>
      <w:proofErr w:type="spellStart"/>
      <w:r>
        <w:t>Gracz</w:t>
      </w:r>
      <w:proofErr w:type="spellEnd"/>
      <w:r>
        <w:t>, J., Kuczynski, J., &amp; Twardowski, T. (2018). Towards food security: Current state and future prospects of agrobiotechnology. Trends in Biotechnology, 36(12), 1219–1229. https://doi.org/10.1016/j.tibtech.2018.07.008</w:t>
      </w:r>
    </w:p>
    <w:p w:rsidR="00A053D3" w:rsidRDefault="00C61EE7">
      <w:pPr>
        <w:spacing w:after="160" w:line="360" w:lineRule="auto"/>
        <w:ind w:left="720" w:hanging="720"/>
        <w:jc w:val="both"/>
      </w:pPr>
      <w:r>
        <w:t xml:space="preserve">Varshney, R. K., Bansal, K. C., Aggarwal, P. K., Datta, S. K., &amp; </w:t>
      </w:r>
      <w:proofErr w:type="spellStart"/>
      <w:r>
        <w:t>Craufurd</w:t>
      </w:r>
      <w:proofErr w:type="spellEnd"/>
      <w:r>
        <w:t>, P. Q. (2011). Agricultural biotechnology for crop improvement in a variable climate: Hope or hype? Trends in Plant Science, 16(7), 363–371. https://doi.org/10.1016/j.tplants.2011.03.004</w:t>
      </w:r>
    </w:p>
    <w:p w:rsidR="00A053D3" w:rsidRDefault="00C61EE7">
      <w:pPr>
        <w:spacing w:after="160" w:line="360" w:lineRule="auto"/>
        <w:ind w:left="720" w:hanging="720"/>
        <w:jc w:val="both"/>
      </w:pPr>
      <w:r>
        <w:t>Varshney, R. K., Bohra, A., Yu, J., Graner, A., Zhang, Q., &amp; Sorrells, M. E. (2021). Designing future crops: Genomics-assisted breeding comes of age. Trends in Plant Science, 26(6), 631–649. https://doi.org/10.1016/j.tplants.2021.03.010</w:t>
      </w:r>
    </w:p>
    <w:p w:rsidR="00A053D3" w:rsidRDefault="00C61EE7">
      <w:pPr>
        <w:spacing w:after="160" w:line="360" w:lineRule="auto"/>
        <w:ind w:left="720" w:hanging="720"/>
        <w:jc w:val="both"/>
      </w:pPr>
      <w:r>
        <w:t xml:space="preserve">Wang, Y., Cheng, X., Shan, Q., Zhang, Y., Liu, J., Gao, C., &amp; </w:t>
      </w:r>
      <w:proofErr w:type="spellStart"/>
      <w:r>
        <w:t>Qiu</w:t>
      </w:r>
      <w:proofErr w:type="spellEnd"/>
      <w:r>
        <w:t xml:space="preserve">, J. L. (2014). Simultaneous editing of three </w:t>
      </w:r>
      <w:proofErr w:type="spellStart"/>
      <w:r>
        <w:t>homoeoalleles</w:t>
      </w:r>
      <w:proofErr w:type="spellEnd"/>
      <w:r>
        <w:t xml:space="preserve"> in </w:t>
      </w:r>
      <w:proofErr w:type="spellStart"/>
      <w:r>
        <w:t>hexaploid</w:t>
      </w:r>
      <w:proofErr w:type="spellEnd"/>
      <w:r>
        <w:t xml:space="preserve"> bread wheat confers </w:t>
      </w:r>
      <w:r>
        <w:lastRenderedPageBreak/>
        <w:t>heritable resistance to powdery mildew. Nature Biotechnology, 32(9), 947–951. https://doi.org/10.1038/nbt.2969</w:t>
      </w:r>
    </w:p>
    <w:p w:rsidR="00A053D3" w:rsidRDefault="00C61EE7">
      <w:pPr>
        <w:spacing w:after="160" w:line="360" w:lineRule="auto"/>
        <w:ind w:left="720" w:hanging="720"/>
        <w:jc w:val="both"/>
      </w:pPr>
      <w:r>
        <w:t>Xu, G., Fan, X., &amp; Miller, A. J. (2012). Plant nitrogen assimilation and use efficiency. Annual Review of Plant Biology, 63, 153–182. https://doi.org/10.1146/annurev-arplant-042811-105532</w:t>
      </w:r>
    </w:p>
    <w:p w:rsidR="00A053D3" w:rsidRDefault="00C61EE7">
      <w:pPr>
        <w:spacing w:after="160" w:line="360" w:lineRule="auto"/>
        <w:ind w:left="720" w:hanging="720"/>
        <w:jc w:val="both"/>
      </w:pPr>
      <w:r>
        <w:t>Ye, X., Al-</w:t>
      </w:r>
      <w:proofErr w:type="spellStart"/>
      <w:r>
        <w:t>Babili</w:t>
      </w:r>
      <w:proofErr w:type="spellEnd"/>
      <w:r>
        <w:t xml:space="preserve">, S., </w:t>
      </w:r>
      <w:proofErr w:type="spellStart"/>
      <w:r>
        <w:t>Kloti</w:t>
      </w:r>
      <w:proofErr w:type="spellEnd"/>
      <w:r>
        <w:t>, A., Zhang, J., Lucca, P., Beyer, P., &amp; Potrykus, I. (2000). Engineering the provitamin A (beta-carotene) biosynthetic pathway into (carotenoid-free) rice endosperm. Science, 287(5451), 303–305. https://doi.org/10.1126/science.287.5451.303</w:t>
      </w:r>
    </w:p>
    <w:p w:rsidR="00A053D3" w:rsidRDefault="00C61EE7">
      <w:pPr>
        <w:spacing w:after="160" w:line="360" w:lineRule="auto"/>
        <w:ind w:left="720" w:hanging="720"/>
        <w:jc w:val="both"/>
      </w:pPr>
      <w:r>
        <w:t xml:space="preserve">Zhang, Y., Malzahn, A. A., </w:t>
      </w:r>
      <w:proofErr w:type="spellStart"/>
      <w:r>
        <w:t>Sretenovic</w:t>
      </w:r>
      <w:proofErr w:type="spellEnd"/>
      <w:r>
        <w:t xml:space="preserve">, S., &amp; Qi, Y. (2019). The emerging and uncultivated potential of CRISPR technology in plant science. Nature Plants, 5(8), 778–794. </w:t>
      </w:r>
      <w:hyperlink r:id="rId12" w:history="1">
        <w:r w:rsidR="00A6615F" w:rsidRPr="001538BF">
          <w:rPr>
            <w:rStyle w:val="Hyperlink"/>
          </w:rPr>
          <w:t>https://doi.org/10.1038/s41477-019-0461-5</w:t>
        </w:r>
      </w:hyperlink>
      <w:r w:rsidR="00A6615F">
        <w:t xml:space="preserve"> </w:t>
      </w:r>
    </w:p>
    <w:p w:rsidR="00A053D3" w:rsidRDefault="00C61EE7">
      <w:pPr>
        <w:spacing w:after="160" w:line="360" w:lineRule="auto"/>
        <w:ind w:left="720" w:hanging="720"/>
        <w:jc w:val="both"/>
      </w:pPr>
      <w:r>
        <w:t xml:space="preserve">Zhu, H., Li, C., &amp; Gao, C. (2020). Applications of CRISPR-Cas in agriculture and plant biotechnology. Nature Reviews Molecular Cell Biology, 21(11), 661–677. </w:t>
      </w:r>
      <w:hyperlink r:id="rId13" w:history="1">
        <w:r w:rsidR="00A6615F" w:rsidRPr="001538BF">
          <w:rPr>
            <w:rStyle w:val="Hyperlink"/>
          </w:rPr>
          <w:t>https://doi.org/10.1038/s41580-020-00288-9</w:t>
        </w:r>
      </w:hyperlink>
      <w:r w:rsidR="00A6615F">
        <w:t xml:space="preserve"> </w:t>
      </w:r>
    </w:p>
    <w:sectPr w:rsidR="00A053D3" w:rsidSect="00A053D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A2C" w:rsidRDefault="00B54A2C" w:rsidP="00A053D3">
      <w:r>
        <w:separator/>
      </w:r>
    </w:p>
  </w:endnote>
  <w:endnote w:type="continuationSeparator" w:id="0">
    <w:p w:rsidR="00B54A2C" w:rsidRDefault="00B54A2C" w:rsidP="00A0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1F6" w:rsidRDefault="00F55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3D3" w:rsidRDefault="005F362B">
    <w:pPr>
      <w:jc w:val="center"/>
    </w:pPr>
    <w:r>
      <w:rPr>
        <w:sz w:val="20"/>
        <w:szCs w:val="20"/>
      </w:rPr>
      <w:fldChar w:fldCharType="begin"/>
    </w:r>
    <w:r w:rsidR="00C61EE7">
      <w:rPr>
        <w:sz w:val="20"/>
        <w:szCs w:val="20"/>
      </w:rPr>
      <w:instrText>PAGE</w:instrText>
    </w:r>
    <w:r>
      <w:rPr>
        <w:sz w:val="20"/>
        <w:szCs w:val="20"/>
      </w:rPr>
      <w:fldChar w:fldCharType="separate"/>
    </w:r>
    <w:r w:rsidR="00A6615F">
      <w:rPr>
        <w:noProof/>
        <w:sz w:val="20"/>
        <w:szCs w:val="20"/>
      </w:rPr>
      <w:t>26</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1F6" w:rsidRDefault="00F55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A2C" w:rsidRDefault="00B54A2C" w:rsidP="00A053D3">
      <w:r>
        <w:separator/>
      </w:r>
    </w:p>
  </w:footnote>
  <w:footnote w:type="continuationSeparator" w:id="0">
    <w:p w:rsidR="00B54A2C" w:rsidRDefault="00B54A2C" w:rsidP="00A05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1F6" w:rsidRDefault="00F551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19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1F6" w:rsidRDefault="00F551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19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1F6" w:rsidRDefault="00F551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19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4725A"/>
    <w:multiLevelType w:val="hybridMultilevel"/>
    <w:tmpl w:val="ED5C6204"/>
    <w:lvl w:ilvl="0" w:tplc="AD86A210">
      <w:start w:val="1"/>
      <w:numFmt w:val="bullet"/>
      <w:lvlText w:val="●"/>
      <w:lvlJc w:val="left"/>
      <w:pPr>
        <w:ind w:left="720" w:hanging="360"/>
      </w:pPr>
    </w:lvl>
    <w:lvl w:ilvl="1" w:tplc="CB48FEDC">
      <w:start w:val="1"/>
      <w:numFmt w:val="bullet"/>
      <w:lvlText w:val="○"/>
      <w:lvlJc w:val="left"/>
      <w:pPr>
        <w:ind w:left="1440" w:hanging="360"/>
      </w:pPr>
    </w:lvl>
    <w:lvl w:ilvl="2" w:tplc="E5A6C272">
      <w:start w:val="1"/>
      <w:numFmt w:val="bullet"/>
      <w:lvlText w:val="■"/>
      <w:lvlJc w:val="left"/>
      <w:pPr>
        <w:ind w:left="2160" w:hanging="360"/>
      </w:pPr>
    </w:lvl>
    <w:lvl w:ilvl="3" w:tplc="0FE2BFF6">
      <w:start w:val="1"/>
      <w:numFmt w:val="bullet"/>
      <w:lvlText w:val="●"/>
      <w:lvlJc w:val="left"/>
      <w:pPr>
        <w:ind w:left="2880" w:hanging="360"/>
      </w:pPr>
    </w:lvl>
    <w:lvl w:ilvl="4" w:tplc="F02EA290">
      <w:start w:val="1"/>
      <w:numFmt w:val="bullet"/>
      <w:lvlText w:val="○"/>
      <w:lvlJc w:val="left"/>
      <w:pPr>
        <w:ind w:left="3600" w:hanging="360"/>
      </w:pPr>
    </w:lvl>
    <w:lvl w:ilvl="5" w:tplc="F964299A">
      <w:start w:val="1"/>
      <w:numFmt w:val="bullet"/>
      <w:lvlText w:val="■"/>
      <w:lvlJc w:val="left"/>
      <w:pPr>
        <w:ind w:left="4320" w:hanging="360"/>
      </w:pPr>
    </w:lvl>
    <w:lvl w:ilvl="6" w:tplc="57F85DB0">
      <w:start w:val="1"/>
      <w:numFmt w:val="bullet"/>
      <w:lvlText w:val="●"/>
      <w:lvlJc w:val="left"/>
      <w:pPr>
        <w:ind w:left="5040" w:hanging="360"/>
      </w:pPr>
    </w:lvl>
    <w:lvl w:ilvl="7" w:tplc="8FA67E1E">
      <w:start w:val="1"/>
      <w:numFmt w:val="bullet"/>
      <w:lvlText w:val="●"/>
      <w:lvlJc w:val="left"/>
      <w:pPr>
        <w:ind w:left="5760" w:hanging="360"/>
      </w:pPr>
    </w:lvl>
    <w:lvl w:ilvl="8" w:tplc="A89AB72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3D3"/>
    <w:rsid w:val="00041214"/>
    <w:rsid w:val="005F362B"/>
    <w:rsid w:val="00A053D3"/>
    <w:rsid w:val="00A6615F"/>
    <w:rsid w:val="00B54A2C"/>
    <w:rsid w:val="00C61EE7"/>
    <w:rsid w:val="00C84F92"/>
    <w:rsid w:val="00D361D1"/>
    <w:rsid w:val="00F5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111E0A9-6FEA-407F-9012-560BFB94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62B"/>
  </w:style>
  <w:style w:type="paragraph" w:styleId="Heading1">
    <w:name w:val="heading 1"/>
    <w:qFormat/>
    <w:rsid w:val="00A053D3"/>
    <w:pPr>
      <w:spacing w:before="320" w:after="160"/>
      <w:outlineLvl w:val="0"/>
    </w:pPr>
    <w:rPr>
      <w:b/>
      <w:bCs/>
      <w:color w:val="000000"/>
      <w:sz w:val="28"/>
      <w:szCs w:val="28"/>
    </w:rPr>
  </w:style>
  <w:style w:type="paragraph" w:styleId="Heading2">
    <w:name w:val="heading 2"/>
    <w:qFormat/>
    <w:rsid w:val="00A053D3"/>
    <w:pPr>
      <w:spacing w:before="240" w:after="120"/>
      <w:outlineLvl w:val="1"/>
    </w:pPr>
    <w:rPr>
      <w:b/>
      <w:bCs/>
      <w:i/>
      <w:iCs/>
      <w:color w:val="000000"/>
    </w:rPr>
  </w:style>
  <w:style w:type="paragraph" w:styleId="Heading3">
    <w:name w:val="heading 3"/>
    <w:qFormat/>
    <w:rsid w:val="00A053D3"/>
    <w:pPr>
      <w:outlineLvl w:val="2"/>
    </w:pPr>
    <w:rPr>
      <w:color w:val="1F4D78"/>
    </w:rPr>
  </w:style>
  <w:style w:type="paragraph" w:styleId="Heading4">
    <w:name w:val="heading 4"/>
    <w:qFormat/>
    <w:rsid w:val="00A053D3"/>
    <w:pPr>
      <w:outlineLvl w:val="3"/>
    </w:pPr>
    <w:rPr>
      <w:i/>
      <w:iCs/>
      <w:color w:val="2E74B5"/>
    </w:rPr>
  </w:style>
  <w:style w:type="paragraph" w:styleId="Heading5">
    <w:name w:val="heading 5"/>
    <w:qFormat/>
    <w:rsid w:val="00A053D3"/>
    <w:pPr>
      <w:outlineLvl w:val="4"/>
    </w:pPr>
    <w:rPr>
      <w:color w:val="2E74B5"/>
    </w:rPr>
  </w:style>
  <w:style w:type="paragraph" w:styleId="Heading6">
    <w:name w:val="heading 6"/>
    <w:qFormat/>
    <w:rsid w:val="00A053D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053D3"/>
    <w:rPr>
      <w:sz w:val="56"/>
      <w:szCs w:val="56"/>
    </w:rPr>
  </w:style>
  <w:style w:type="paragraph" w:customStyle="1" w:styleId="Strong1">
    <w:name w:val="Strong1"/>
    <w:qFormat/>
    <w:rsid w:val="00A053D3"/>
    <w:rPr>
      <w:b/>
      <w:bCs/>
    </w:rPr>
  </w:style>
  <w:style w:type="paragraph" w:styleId="ListParagraph">
    <w:name w:val="List Paragraph"/>
    <w:qFormat/>
    <w:rsid w:val="00A053D3"/>
  </w:style>
  <w:style w:type="character" w:styleId="Hyperlink">
    <w:name w:val="Hyperlink"/>
    <w:uiPriority w:val="99"/>
    <w:unhideWhenUsed/>
    <w:rsid w:val="00A053D3"/>
    <w:rPr>
      <w:color w:val="0563C1"/>
      <w:u w:val="single"/>
    </w:rPr>
  </w:style>
  <w:style w:type="character" w:styleId="FootnoteReference">
    <w:name w:val="footnote reference"/>
    <w:uiPriority w:val="99"/>
    <w:semiHidden/>
    <w:unhideWhenUsed/>
    <w:rsid w:val="00A053D3"/>
    <w:rPr>
      <w:vertAlign w:val="superscript"/>
    </w:rPr>
  </w:style>
  <w:style w:type="paragraph" w:styleId="FootnoteText">
    <w:name w:val="footnote text"/>
    <w:link w:val="FootnoteTextChar"/>
    <w:uiPriority w:val="99"/>
    <w:semiHidden/>
    <w:unhideWhenUsed/>
    <w:rsid w:val="00A053D3"/>
    <w:rPr>
      <w:sz w:val="20"/>
      <w:szCs w:val="20"/>
    </w:rPr>
  </w:style>
  <w:style w:type="character" w:customStyle="1" w:styleId="FootnoteTextChar">
    <w:name w:val="Footnote Text Char"/>
    <w:link w:val="FootnoteText"/>
    <w:uiPriority w:val="99"/>
    <w:semiHidden/>
    <w:unhideWhenUsed/>
    <w:rsid w:val="00A053D3"/>
    <w:rPr>
      <w:sz w:val="20"/>
      <w:szCs w:val="20"/>
    </w:rPr>
  </w:style>
  <w:style w:type="character" w:styleId="EndnoteReference">
    <w:name w:val="endnote reference"/>
    <w:uiPriority w:val="99"/>
    <w:semiHidden/>
    <w:unhideWhenUsed/>
    <w:rsid w:val="00A053D3"/>
    <w:rPr>
      <w:vertAlign w:val="superscript"/>
    </w:rPr>
  </w:style>
  <w:style w:type="paragraph" w:styleId="EndnoteText">
    <w:name w:val="endnote text"/>
    <w:link w:val="EndnoteTextChar"/>
    <w:uiPriority w:val="99"/>
    <w:semiHidden/>
    <w:unhideWhenUsed/>
    <w:rsid w:val="00A053D3"/>
    <w:rPr>
      <w:sz w:val="20"/>
      <w:szCs w:val="20"/>
    </w:rPr>
  </w:style>
  <w:style w:type="character" w:customStyle="1" w:styleId="EndnoteTextChar">
    <w:name w:val="Endnote Text Char"/>
    <w:link w:val="EndnoteText"/>
    <w:uiPriority w:val="99"/>
    <w:semiHidden/>
    <w:unhideWhenUsed/>
    <w:rsid w:val="00A053D3"/>
    <w:rPr>
      <w:sz w:val="20"/>
      <w:szCs w:val="20"/>
    </w:rPr>
  </w:style>
  <w:style w:type="paragraph" w:styleId="Header">
    <w:name w:val="header"/>
    <w:basedOn w:val="Normal"/>
    <w:link w:val="HeaderChar"/>
    <w:uiPriority w:val="99"/>
    <w:unhideWhenUsed/>
    <w:rsid w:val="00F551F6"/>
    <w:pPr>
      <w:tabs>
        <w:tab w:val="center" w:pos="4680"/>
        <w:tab w:val="right" w:pos="9360"/>
      </w:tabs>
    </w:pPr>
  </w:style>
  <w:style w:type="character" w:customStyle="1" w:styleId="HeaderChar">
    <w:name w:val="Header Char"/>
    <w:basedOn w:val="DefaultParagraphFont"/>
    <w:link w:val="Header"/>
    <w:uiPriority w:val="99"/>
    <w:rsid w:val="00F551F6"/>
  </w:style>
  <w:style w:type="paragraph" w:styleId="Footer">
    <w:name w:val="footer"/>
    <w:basedOn w:val="Normal"/>
    <w:link w:val="FooterChar"/>
    <w:uiPriority w:val="99"/>
    <w:unhideWhenUsed/>
    <w:rsid w:val="00F551F6"/>
    <w:pPr>
      <w:tabs>
        <w:tab w:val="center" w:pos="4680"/>
        <w:tab w:val="right" w:pos="9360"/>
      </w:tabs>
    </w:pPr>
  </w:style>
  <w:style w:type="character" w:customStyle="1" w:styleId="FooterChar">
    <w:name w:val="Footer Char"/>
    <w:basedOn w:val="DefaultParagraphFont"/>
    <w:link w:val="Footer"/>
    <w:uiPriority w:val="99"/>
    <w:rsid w:val="00F55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274-011-0979-9" TargetMode="External"/><Relationship Id="rId13" Type="http://schemas.openxmlformats.org/officeDocument/2006/relationships/hyperlink" Target="https://doi.org/10.1038/s41580-020-00288-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ao.org/3/ap106e/ap106e.pdf" TargetMode="External"/><Relationship Id="rId12" Type="http://schemas.openxmlformats.org/officeDocument/2006/relationships/hyperlink" Target="https://doi.org/10.1038/s41477-019-0461-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3/pnas.11164371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38/nbt.259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98/rstb.2007.217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30</Pages>
  <Words>11100</Words>
  <Characters>63275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6</cp:revision>
  <dcterms:created xsi:type="dcterms:W3CDTF">2026-04-18T12:42:00Z</dcterms:created>
  <dcterms:modified xsi:type="dcterms:W3CDTF">2026-04-20T13:13:00Z</dcterms:modified>
</cp:coreProperties>
</file>