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6828E" w14:textId="002E9B28" w:rsidR="00127290" w:rsidRDefault="00B14E34">
      <w:pPr>
        <w:spacing w:after="160"/>
        <w:jc w:val="center"/>
        <w:rPr>
          <w:rFonts w:asciiTheme="minorHAnsi" w:hAnsiTheme="minorHAnsi" w:cstheme="minorHAnsi"/>
          <w:b/>
          <w:bCs/>
          <w:color w:val="000000" w:themeColor="text1"/>
          <w:sz w:val="24"/>
          <w:szCs w:val="24"/>
        </w:rPr>
      </w:pPr>
      <w:bookmarkStart w:id="0" w:name="_GoBack"/>
      <w:bookmarkEnd w:id="0"/>
      <w:r>
        <w:rPr>
          <w:rFonts w:asciiTheme="minorHAnsi" w:hAnsiTheme="minorHAnsi" w:cstheme="minorHAnsi"/>
          <w:b/>
          <w:bCs/>
          <w:color w:val="000000" w:themeColor="text1"/>
          <w:sz w:val="24"/>
          <w:szCs w:val="24"/>
        </w:rPr>
        <w:t xml:space="preserve">A </w:t>
      </w:r>
      <w:r w:rsidRPr="00052F48">
        <w:rPr>
          <w:rFonts w:asciiTheme="minorHAnsi" w:hAnsiTheme="minorHAnsi" w:cstheme="minorHAnsi"/>
          <w:b/>
          <w:bCs/>
          <w:color w:val="000000" w:themeColor="text1"/>
          <w:sz w:val="24"/>
          <w:szCs w:val="24"/>
        </w:rPr>
        <w:t>Machine Learning-Based Analysis of Prostate Cancer Cases in Delta State, Nigeria</w:t>
      </w:r>
    </w:p>
    <w:p w14:paraId="280F758C" w14:textId="77777777" w:rsidR="00D75209" w:rsidRPr="00052F48" w:rsidRDefault="00D75209">
      <w:pPr>
        <w:spacing w:after="160"/>
        <w:jc w:val="center"/>
        <w:rPr>
          <w:rFonts w:asciiTheme="minorHAnsi" w:hAnsiTheme="minorHAnsi" w:cstheme="minorHAnsi"/>
          <w:color w:val="000000" w:themeColor="text1"/>
          <w:sz w:val="24"/>
          <w:szCs w:val="24"/>
        </w:rPr>
      </w:pPr>
    </w:p>
    <w:p w14:paraId="04CE0948" w14:textId="77777777" w:rsidR="00127290" w:rsidRPr="00052F48" w:rsidRDefault="00127290">
      <w:pPr>
        <w:spacing w:after="80"/>
        <w:rPr>
          <w:rFonts w:asciiTheme="minorHAnsi" w:hAnsiTheme="minorHAnsi" w:cstheme="minorHAnsi"/>
          <w:color w:val="000000" w:themeColor="text1"/>
          <w:sz w:val="24"/>
          <w:szCs w:val="24"/>
        </w:rPr>
      </w:pPr>
    </w:p>
    <w:p w14:paraId="6F46B179" w14:textId="2C04AE7F" w:rsidR="00127290" w:rsidRPr="004A5F4C" w:rsidRDefault="00FD2A32">
      <w:pPr>
        <w:pStyle w:val="Heading1"/>
        <w:spacing w:before="320" w:after="160"/>
        <w:rPr>
          <w:rFonts w:asciiTheme="minorHAnsi" w:hAnsiTheme="minorHAnsi" w:cstheme="minorHAnsi"/>
          <w:i/>
          <w:iCs/>
          <w:color w:val="000000" w:themeColor="text1"/>
          <w:sz w:val="24"/>
          <w:szCs w:val="24"/>
        </w:rPr>
      </w:pPr>
      <w:r w:rsidRPr="00052F48">
        <w:rPr>
          <w:rFonts w:asciiTheme="minorHAnsi" w:hAnsiTheme="minorHAnsi" w:cstheme="minorHAnsi"/>
          <w:b/>
          <w:bCs/>
          <w:color w:val="000000" w:themeColor="text1"/>
          <w:sz w:val="24"/>
          <w:szCs w:val="24"/>
        </w:rPr>
        <w:t>ABSTRACT</w:t>
      </w:r>
      <w:r w:rsidR="00E75DD4">
        <w:rPr>
          <w:rFonts w:asciiTheme="minorHAnsi" w:hAnsiTheme="minorHAnsi" w:cstheme="minorHAnsi"/>
          <w:b/>
          <w:bCs/>
          <w:color w:val="000000" w:themeColor="text1"/>
          <w:sz w:val="24"/>
          <w:szCs w:val="24"/>
        </w:rPr>
        <w:t xml:space="preserve">                                                                                                                                                                                                                            </w:t>
      </w:r>
    </w:p>
    <w:p w14:paraId="1E118B42" w14:textId="02984DC3" w:rsidR="000821A1" w:rsidRPr="00B15987" w:rsidRDefault="0094192A" w:rsidP="00B15987">
      <w:pPr>
        <w:spacing w:after="160"/>
        <w:jc w:val="both"/>
        <w:rPr>
          <w:rFonts w:asciiTheme="minorHAnsi" w:hAnsiTheme="minorHAnsi" w:cstheme="minorHAnsi"/>
          <w:i/>
          <w:iCs/>
          <w:color w:val="000000" w:themeColor="text1"/>
          <w:sz w:val="24"/>
          <w:szCs w:val="24"/>
        </w:rPr>
      </w:pPr>
      <w:r w:rsidRPr="004A5F4C">
        <w:rPr>
          <w:rFonts w:asciiTheme="minorHAnsi" w:hAnsiTheme="minorHAnsi" w:cstheme="minorHAnsi"/>
          <w:i/>
          <w:iCs/>
          <w:color w:val="000000" w:themeColor="text1"/>
          <w:sz w:val="24"/>
          <w:szCs w:val="24"/>
          <w:lang w:val="en-GB"/>
        </w:rPr>
        <w:t>Prostate cancer is the leading cause of cancer-related mortality among Nigerian males, with most diagnosed cases presenting at an advanced, incurable stage.</w:t>
      </w:r>
      <w:r w:rsidR="006161AC" w:rsidRPr="004A5F4C">
        <w:rPr>
          <w:rFonts w:asciiTheme="minorHAnsi" w:hAnsiTheme="minorHAnsi" w:cstheme="minorHAnsi"/>
          <w:i/>
          <w:iCs/>
          <w:color w:val="000000" w:themeColor="text1"/>
          <w:sz w:val="24"/>
          <w:szCs w:val="24"/>
          <w:lang w:val="en-GB"/>
        </w:rPr>
        <w:t xml:space="preserve"> The incidence rate of </w:t>
      </w:r>
      <w:r w:rsidR="00626234">
        <w:rPr>
          <w:rFonts w:asciiTheme="minorHAnsi" w:hAnsiTheme="minorHAnsi" w:cstheme="minorHAnsi"/>
          <w:i/>
          <w:iCs/>
          <w:color w:val="000000" w:themeColor="text1"/>
          <w:sz w:val="24"/>
          <w:szCs w:val="24"/>
          <w:lang w:val="en-GB"/>
        </w:rPr>
        <w:t xml:space="preserve">prostate </w:t>
      </w:r>
      <w:r w:rsidR="006161AC" w:rsidRPr="004A5F4C">
        <w:rPr>
          <w:rFonts w:asciiTheme="minorHAnsi" w:hAnsiTheme="minorHAnsi" w:cstheme="minorHAnsi"/>
          <w:i/>
          <w:iCs/>
          <w:color w:val="000000" w:themeColor="text1"/>
          <w:sz w:val="24"/>
          <w:szCs w:val="24"/>
          <w:lang w:val="en-GB"/>
        </w:rPr>
        <w:t>cancer in Nigeria is 32.8 per 100,000 w</w:t>
      </w:r>
      <w:r w:rsidR="00B637AD" w:rsidRPr="004A5F4C">
        <w:rPr>
          <w:rFonts w:asciiTheme="minorHAnsi" w:hAnsiTheme="minorHAnsi" w:cstheme="minorHAnsi"/>
          <w:i/>
          <w:iCs/>
          <w:color w:val="000000" w:themeColor="text1"/>
          <w:sz w:val="24"/>
          <w:szCs w:val="24"/>
          <w:lang w:val="en-GB"/>
        </w:rPr>
        <w:t>hile the</w:t>
      </w:r>
      <w:r w:rsidR="006161AC" w:rsidRPr="004A5F4C">
        <w:rPr>
          <w:rFonts w:asciiTheme="minorHAnsi" w:hAnsiTheme="minorHAnsi" w:cstheme="minorHAnsi"/>
          <w:i/>
          <w:iCs/>
          <w:color w:val="000000" w:themeColor="text1"/>
          <w:sz w:val="24"/>
          <w:szCs w:val="24"/>
          <w:lang w:val="en-GB"/>
        </w:rPr>
        <w:t xml:space="preserve"> mortality rate </w:t>
      </w:r>
      <w:r w:rsidR="00AB771B">
        <w:rPr>
          <w:rFonts w:asciiTheme="minorHAnsi" w:hAnsiTheme="minorHAnsi" w:cstheme="minorHAnsi"/>
          <w:i/>
          <w:iCs/>
          <w:color w:val="000000" w:themeColor="text1"/>
          <w:sz w:val="24"/>
          <w:szCs w:val="24"/>
          <w:lang w:val="en-GB"/>
        </w:rPr>
        <w:t>is</w:t>
      </w:r>
      <w:r w:rsidR="006161AC" w:rsidRPr="004A5F4C">
        <w:rPr>
          <w:rFonts w:asciiTheme="minorHAnsi" w:hAnsiTheme="minorHAnsi" w:cstheme="minorHAnsi"/>
          <w:i/>
          <w:iCs/>
          <w:color w:val="000000" w:themeColor="text1"/>
          <w:sz w:val="24"/>
          <w:szCs w:val="24"/>
          <w:lang w:val="en-GB"/>
        </w:rPr>
        <w:t xml:space="preserve"> 16.3 per 100,000.</w:t>
      </w:r>
      <w:r w:rsidR="004A5F4C" w:rsidRPr="004A5F4C">
        <w:rPr>
          <w:rFonts w:asciiTheme="minorHAnsi" w:hAnsiTheme="minorHAnsi" w:cstheme="minorHAnsi"/>
          <w:i/>
          <w:iCs/>
          <w:color w:val="000000" w:themeColor="text1"/>
          <w:sz w:val="24"/>
          <w:szCs w:val="24"/>
          <w:lang w:val="en-GB"/>
        </w:rPr>
        <w:t xml:space="preserve"> </w:t>
      </w:r>
      <w:r w:rsidR="004A5F4C" w:rsidRPr="004A5F4C">
        <w:rPr>
          <w:rFonts w:asciiTheme="minorHAnsi" w:hAnsiTheme="minorHAnsi" w:cstheme="minorHAnsi"/>
          <w:i/>
          <w:iCs/>
          <w:sz w:val="24"/>
          <w:szCs w:val="24"/>
        </w:rPr>
        <w:t xml:space="preserve">Despite advancements in </w:t>
      </w:r>
      <w:r w:rsidR="00F9576C" w:rsidRPr="004A5F4C">
        <w:rPr>
          <w:rFonts w:asciiTheme="minorHAnsi" w:hAnsiTheme="minorHAnsi" w:cstheme="minorHAnsi"/>
          <w:i/>
          <w:iCs/>
          <w:sz w:val="24"/>
          <w:szCs w:val="24"/>
        </w:rPr>
        <w:t>early</w:t>
      </w:r>
      <w:r w:rsidR="00F9576C">
        <w:rPr>
          <w:rFonts w:asciiTheme="minorHAnsi" w:hAnsiTheme="minorHAnsi" w:cstheme="minorHAnsi"/>
          <w:i/>
          <w:iCs/>
          <w:sz w:val="24"/>
          <w:szCs w:val="24"/>
        </w:rPr>
        <w:t>-stage</w:t>
      </w:r>
      <w:r w:rsidR="004A5F4C" w:rsidRPr="004A5F4C">
        <w:rPr>
          <w:rFonts w:asciiTheme="minorHAnsi" w:hAnsiTheme="minorHAnsi" w:cstheme="minorHAnsi"/>
          <w:i/>
          <w:iCs/>
          <w:sz w:val="24"/>
          <w:szCs w:val="24"/>
        </w:rPr>
        <w:t xml:space="preserve"> detection and screening programs available in Delta State, the prevalence of late-state diagnosis and lack of knowledge subsists.</w:t>
      </w:r>
      <w:r w:rsidR="000821A1">
        <w:rPr>
          <w:rFonts w:asciiTheme="minorHAnsi" w:hAnsiTheme="minorHAnsi" w:cstheme="minorHAnsi"/>
          <w:i/>
          <w:iCs/>
          <w:sz w:val="24"/>
          <w:szCs w:val="24"/>
        </w:rPr>
        <w:t xml:space="preserve"> </w:t>
      </w:r>
      <w:r w:rsidR="000821A1" w:rsidRPr="000821A1">
        <w:rPr>
          <w:rFonts w:asciiTheme="minorHAnsi" w:hAnsiTheme="minorHAnsi" w:cstheme="minorHAnsi"/>
          <w:i/>
          <w:iCs/>
          <w:color w:val="000000" w:themeColor="text1"/>
          <w:sz w:val="24"/>
          <w:szCs w:val="24"/>
        </w:rPr>
        <w:t xml:space="preserve">This study applied four supervised machine learning classifiers — Logistic Regression, Decision Tree, Random Forest, and Support Vector Machine — to retrospective patient records from six healthcare institutions across Delta State, with the aim of identifying the clinical risk factors most strongly associated with advanced-stage diagnosis and building a predictive framework capable of distinguishing early- from late-stage disease. </w:t>
      </w:r>
      <w:r w:rsidR="000821A1">
        <w:rPr>
          <w:rFonts w:asciiTheme="minorHAnsi" w:hAnsiTheme="minorHAnsi" w:cstheme="minorHAnsi"/>
          <w:i/>
          <w:iCs/>
          <w:color w:val="000000" w:themeColor="text1"/>
          <w:sz w:val="24"/>
          <w:szCs w:val="24"/>
        </w:rPr>
        <w:t>Secondary data was collected from</w:t>
      </w:r>
      <w:r w:rsidR="000821A1" w:rsidRPr="000821A1">
        <w:rPr>
          <w:rFonts w:asciiTheme="minorHAnsi" w:hAnsiTheme="minorHAnsi" w:cstheme="minorHAnsi"/>
          <w:i/>
          <w:iCs/>
          <w:color w:val="000000" w:themeColor="text1"/>
          <w:sz w:val="24"/>
          <w:szCs w:val="24"/>
        </w:rPr>
        <w:t xml:space="preserve"> 60 confirmed prostate cancer cases diagnosed between January 2015 and December 2023 from three tertiary referral canter</w:t>
      </w:r>
      <w:r w:rsidR="000821A1">
        <w:rPr>
          <w:rFonts w:asciiTheme="minorHAnsi" w:hAnsiTheme="minorHAnsi" w:cstheme="minorHAnsi"/>
          <w:i/>
          <w:iCs/>
          <w:color w:val="000000" w:themeColor="text1"/>
          <w:sz w:val="24"/>
          <w:szCs w:val="24"/>
        </w:rPr>
        <w:t>s</w:t>
      </w:r>
      <w:r w:rsidR="000821A1" w:rsidRPr="000821A1">
        <w:rPr>
          <w:rFonts w:asciiTheme="minorHAnsi" w:hAnsiTheme="minorHAnsi" w:cstheme="minorHAnsi"/>
          <w:i/>
          <w:iCs/>
          <w:color w:val="000000" w:themeColor="text1"/>
          <w:sz w:val="24"/>
          <w:szCs w:val="24"/>
        </w:rPr>
        <w:t xml:space="preserve"> and three general hospitals. </w:t>
      </w:r>
      <w:r w:rsidR="000821A1">
        <w:rPr>
          <w:rFonts w:asciiTheme="minorHAnsi" w:hAnsiTheme="minorHAnsi" w:cstheme="minorHAnsi"/>
          <w:i/>
          <w:iCs/>
          <w:color w:val="000000" w:themeColor="text1"/>
          <w:sz w:val="24"/>
          <w:szCs w:val="24"/>
        </w:rPr>
        <w:t xml:space="preserve">The </w:t>
      </w:r>
      <w:r w:rsidR="000821A1" w:rsidRPr="000821A1">
        <w:rPr>
          <w:rFonts w:asciiTheme="minorHAnsi" w:hAnsiTheme="minorHAnsi" w:cstheme="minorHAnsi"/>
          <w:i/>
          <w:iCs/>
          <w:color w:val="000000" w:themeColor="text1"/>
          <w:sz w:val="24"/>
          <w:szCs w:val="24"/>
        </w:rPr>
        <w:t>Model w</w:t>
      </w:r>
      <w:r w:rsidR="000821A1">
        <w:rPr>
          <w:rFonts w:asciiTheme="minorHAnsi" w:hAnsiTheme="minorHAnsi" w:cstheme="minorHAnsi"/>
          <w:i/>
          <w:iCs/>
          <w:color w:val="000000" w:themeColor="text1"/>
          <w:sz w:val="24"/>
          <w:szCs w:val="24"/>
        </w:rPr>
        <w:t>as</w:t>
      </w:r>
      <w:r w:rsidR="000821A1" w:rsidRPr="000821A1">
        <w:rPr>
          <w:rFonts w:asciiTheme="minorHAnsi" w:hAnsiTheme="minorHAnsi" w:cstheme="minorHAnsi"/>
          <w:i/>
          <w:iCs/>
          <w:color w:val="000000" w:themeColor="text1"/>
          <w:sz w:val="24"/>
          <w:szCs w:val="24"/>
        </w:rPr>
        <w:t xml:space="preserve"> trained on 80% of the pooled dataset and evaluated on the remaining 20% using accuracy, sensitivity, specificity, F1-score, and AUC-ROC. </w:t>
      </w:r>
      <w:r w:rsidR="000821A1">
        <w:rPr>
          <w:rFonts w:asciiTheme="minorHAnsi" w:hAnsiTheme="minorHAnsi" w:cstheme="minorHAnsi"/>
          <w:i/>
          <w:iCs/>
          <w:color w:val="000000" w:themeColor="text1"/>
          <w:sz w:val="24"/>
          <w:szCs w:val="24"/>
        </w:rPr>
        <w:t>Results showed that 68.3%</w:t>
      </w:r>
      <w:r w:rsidR="000821A1" w:rsidRPr="000821A1">
        <w:rPr>
          <w:rFonts w:asciiTheme="minorHAnsi" w:hAnsiTheme="minorHAnsi" w:cstheme="minorHAnsi"/>
          <w:i/>
          <w:iCs/>
          <w:color w:val="000000" w:themeColor="text1"/>
          <w:sz w:val="24"/>
          <w:szCs w:val="24"/>
        </w:rPr>
        <w:t xml:space="preserve"> of cases were at Stage III or IV at the time of diagnosis. The mean age at presentation was 64.2 years, and three quarters of patients had PSA levels above 10 ng/mL. The four strongest predictors of advanced-stage disease were PSA level (OR = 5.82), Gleason score 8–10 (OR = 4.37), age 65 years or above (OR = 3.14), and positive family history (OR = 2.41). Random Forest outperformed all three competing models, achieving 91.3% accuracy, 89.6% sensitivity, 92.8% specificity, and an AUC-ROC of 0.94.</w:t>
      </w:r>
      <w:r w:rsidR="008E2025">
        <w:rPr>
          <w:rFonts w:asciiTheme="minorHAnsi" w:hAnsiTheme="minorHAnsi" w:cstheme="minorHAnsi"/>
          <w:i/>
          <w:iCs/>
          <w:color w:val="000000" w:themeColor="text1"/>
          <w:sz w:val="24"/>
          <w:szCs w:val="24"/>
        </w:rPr>
        <w:t xml:space="preserve"> T</w:t>
      </w:r>
      <w:r w:rsidR="008E2025" w:rsidRPr="008E2025">
        <w:rPr>
          <w:rFonts w:asciiTheme="minorHAnsi" w:hAnsiTheme="minorHAnsi" w:cstheme="minorHAnsi"/>
          <w:i/>
          <w:iCs/>
          <w:color w:val="000000" w:themeColor="text1"/>
          <w:sz w:val="24"/>
          <w:szCs w:val="24"/>
        </w:rPr>
        <w:t>hese findings</w:t>
      </w:r>
      <w:r w:rsidR="008E2025">
        <w:rPr>
          <w:rFonts w:asciiTheme="minorHAnsi" w:hAnsiTheme="minorHAnsi" w:cstheme="minorHAnsi"/>
          <w:i/>
          <w:iCs/>
          <w:color w:val="000000" w:themeColor="text1"/>
          <w:sz w:val="24"/>
          <w:szCs w:val="24"/>
        </w:rPr>
        <w:t xml:space="preserve"> shows</w:t>
      </w:r>
      <w:r w:rsidR="008E2025" w:rsidRPr="008E2025">
        <w:rPr>
          <w:rFonts w:asciiTheme="minorHAnsi" w:hAnsiTheme="minorHAnsi" w:cstheme="minorHAnsi"/>
          <w:i/>
          <w:iCs/>
          <w:color w:val="000000" w:themeColor="text1"/>
          <w:sz w:val="24"/>
          <w:szCs w:val="24"/>
        </w:rPr>
        <w:t xml:space="preserve"> that supervised machine learning can effectively predict prostate cancer stage at diagnosis in Delta State using routinely collected clinical data, with Random Forest achieving the strongest classification performance. The results have direct implications for early detection policy and clinical triage in the region, and future research should prioritise prospective data collection, external model validation, and the development of deployable decision-support tools for primary healthcare settings</w:t>
      </w:r>
    </w:p>
    <w:p w14:paraId="2FAF4D5D" w14:textId="77777777" w:rsidR="00127290" w:rsidRPr="00052F48" w:rsidRDefault="00FD2A32" w:rsidP="008E2025">
      <w:pPr>
        <w:spacing w:after="160"/>
        <w:jc w:val="both"/>
        <w:rPr>
          <w:rFonts w:asciiTheme="minorHAnsi" w:hAnsiTheme="minorHAnsi" w:cstheme="minorHAnsi"/>
          <w:color w:val="000000" w:themeColor="text1"/>
          <w:sz w:val="24"/>
          <w:szCs w:val="24"/>
        </w:rPr>
      </w:pPr>
      <w:r w:rsidRPr="00052F48">
        <w:rPr>
          <w:rFonts w:asciiTheme="minorHAnsi" w:hAnsiTheme="minorHAnsi" w:cstheme="minorHAnsi"/>
          <w:b/>
          <w:bCs/>
          <w:color w:val="000000" w:themeColor="text1"/>
          <w:sz w:val="24"/>
          <w:szCs w:val="24"/>
        </w:rPr>
        <w:t xml:space="preserve">Keywords: </w:t>
      </w:r>
      <w:r w:rsidRPr="00052F48">
        <w:rPr>
          <w:rFonts w:asciiTheme="minorHAnsi" w:hAnsiTheme="minorHAnsi" w:cstheme="minorHAnsi"/>
          <w:color w:val="000000" w:themeColor="text1"/>
          <w:sz w:val="24"/>
          <w:szCs w:val="24"/>
        </w:rPr>
        <w:t>Prostate cancer, Machine learning, Random Forest, Delta State Nigeria, PSA, Risk factors, Early detection, Predictive model</w:t>
      </w:r>
    </w:p>
    <w:p w14:paraId="7337B7C2" w14:textId="77777777" w:rsidR="00127290" w:rsidRDefault="00127290">
      <w:pPr>
        <w:spacing w:after="80"/>
        <w:rPr>
          <w:rFonts w:asciiTheme="minorHAnsi" w:hAnsiTheme="minorHAnsi" w:cstheme="minorHAnsi"/>
          <w:color w:val="000000" w:themeColor="text1"/>
          <w:sz w:val="24"/>
          <w:szCs w:val="24"/>
        </w:rPr>
      </w:pPr>
    </w:p>
    <w:p w14:paraId="2F32D49B" w14:textId="77777777" w:rsidR="008E2025" w:rsidRDefault="008E2025">
      <w:pPr>
        <w:spacing w:after="80"/>
        <w:rPr>
          <w:rFonts w:asciiTheme="minorHAnsi" w:hAnsiTheme="minorHAnsi" w:cstheme="minorHAnsi"/>
          <w:color w:val="000000" w:themeColor="text1"/>
          <w:sz w:val="24"/>
          <w:szCs w:val="24"/>
        </w:rPr>
      </w:pPr>
    </w:p>
    <w:p w14:paraId="11C6672D" w14:textId="77777777" w:rsidR="008E2025" w:rsidRPr="00052F48" w:rsidRDefault="008E2025">
      <w:pPr>
        <w:spacing w:after="80"/>
        <w:rPr>
          <w:rFonts w:asciiTheme="minorHAnsi" w:hAnsiTheme="minorHAnsi" w:cstheme="minorHAnsi"/>
          <w:color w:val="000000" w:themeColor="text1"/>
          <w:sz w:val="24"/>
          <w:szCs w:val="24"/>
        </w:rPr>
      </w:pPr>
    </w:p>
    <w:p w14:paraId="3B91788D" w14:textId="77777777" w:rsidR="004826F8" w:rsidRPr="00052F48" w:rsidRDefault="004826F8" w:rsidP="004826F8">
      <w:pPr>
        <w:pStyle w:val="Heading1"/>
        <w:spacing w:before="320" w:after="160"/>
        <w:rPr>
          <w:rFonts w:asciiTheme="minorHAnsi" w:hAnsiTheme="minorHAnsi" w:cstheme="minorHAnsi"/>
          <w:color w:val="000000" w:themeColor="text1"/>
          <w:sz w:val="24"/>
          <w:szCs w:val="24"/>
        </w:rPr>
      </w:pPr>
      <w:r w:rsidRPr="00052F48">
        <w:rPr>
          <w:rFonts w:asciiTheme="minorHAnsi" w:hAnsiTheme="minorHAnsi" w:cstheme="minorHAnsi"/>
          <w:b/>
          <w:bCs/>
          <w:color w:val="000000" w:themeColor="text1"/>
          <w:sz w:val="24"/>
          <w:szCs w:val="24"/>
        </w:rPr>
        <w:t>1. INTRODUCTION</w:t>
      </w:r>
    </w:p>
    <w:p w14:paraId="56CA826D" w14:textId="77777777" w:rsidR="004826F8" w:rsidRPr="00052F48" w:rsidRDefault="004826F8" w:rsidP="004826F8">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Prostate cancer has become one of the most common and deadly cancers affecting men globally. The disease develops in the prostate gland, a small organ resembling a walnut located behind the bladder and in front of the rectum, often beginning in glandular cells and progressing slowly at </w:t>
      </w:r>
      <w:r w:rsidRPr="00052F48">
        <w:rPr>
          <w:rFonts w:asciiTheme="minorHAnsi" w:hAnsiTheme="minorHAnsi" w:cstheme="minorHAnsi"/>
          <w:color w:val="000000" w:themeColor="text1"/>
          <w:sz w:val="24"/>
          <w:szCs w:val="24"/>
        </w:rPr>
        <w:lastRenderedPageBreak/>
        <w:t>first. That slow beginning is deceptive, however, because the cumulative toll on global health has been enormous. In 2022, the World Cancer Research Fund International (WCRF) recorded an estimated 1.47 million new cases worldwide, making prostate cancer the second most common cancer in men and the fourth overall. Nigeria sits at a particularly difficult end of this spectrum, with an incidence rate of 32.8 cases per 100,000 men and a mortality rate of 16.3 deaths per 100,000. By comparison, high-income countries in Western Europe and North America typically record fewer than 10 deaths per 100,000, a gap that is almost entirely explained by the availability of early screening and accessible treatment (Ogunbiyi et al., 2024; GLOBOCAN, 2022; World Cancer Research Fund International, 2022).</w:t>
      </w:r>
    </w:p>
    <w:p w14:paraId="31FA7B32" w14:textId="77777777" w:rsidR="004826F8" w:rsidRPr="00052F48" w:rsidRDefault="004826F8" w:rsidP="004826F8">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What makes Nigeria’s situation particularly difficult is not just the volume of cases but when they are caught. Around 80% of patients arrive at hospital already carrying advanced, often incurable disease, and this is not a coincidence. It reflects a combination of problems that have persisted for years: PSA screening is neither affordable nor widely available, urological specialists are concentrated in a few urban centres, cancer carries significant social stigma in many communities, and public health investment in this area has been chronically insufficient (PMC, 2023; Ogunbiyi et al., 2024). In Delta State, these difficulties are further sharpened by the uneven spread of health services across a population that is largely semi-rural. Age remains the strongest and most consistent risk factor, with incidence climbing steeply after 55 and the bulk of diagnoses falling in men aged 65 and above (American Cancer Society, 2023). Other well-documented contributors include a family history of prostate or related cancers, African ancestry, diets high in fat, low levels of physical activity, obesity, and inherited susceptibility tied to genes such as ELAC2, RNASEL, and MSR1 (Okechukwu et al., 2024; Case et al., 2010; Bolajoko, 2023). As for treatment, options like surgery, radiotherapy, hormone therapy, and chemotherapy do exist, but by the time most patients reach a tertiary facility, the disease has already progressed to a point where curative intervention is no longer realistic (Cornford et al., 2025; Fizazi et al., 2023).</w:t>
      </w:r>
    </w:p>
    <w:p w14:paraId="715500B5" w14:textId="77777777" w:rsidR="004826F8" w:rsidRPr="00052F48" w:rsidRDefault="004826F8" w:rsidP="004826F8">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Catching the disease early remains the most reliable way to improve a patient’s chances. The PSA test, for all its well-known limitations around specificity, is still the most practical and validated screening tool in settings where MRI and biopsy are not routinely on offer (European Association of Urology, 2025; Prostate Cancer Foundation of Australia, 2025). But a positive or elevated PSA </w:t>
      </w:r>
      <w:r w:rsidRPr="00052F48">
        <w:rPr>
          <w:rFonts w:asciiTheme="minorHAnsi" w:hAnsiTheme="minorHAnsi" w:cstheme="minorHAnsi"/>
          <w:color w:val="000000" w:themeColor="text1"/>
          <w:sz w:val="24"/>
          <w:szCs w:val="24"/>
        </w:rPr>
        <w:lastRenderedPageBreak/>
        <w:t>reading is only the beginning of the clinical story. What happens next depends on having the analytical tools to make sense of multiple variables together, not in isolation. This is where machine learning has begun to change what is possible. Traditional statistical models tend to examine one or two predictors at a time. Machine learning approaches, particularly ensemble methods like Random Forest and kernel-based methods like Support Vector Machines, are built to work with large numbers of interrelated variables simultaneously, and they have shown genuinely impressive predictive accuracy across oncology settings worldwide (Chen et al., 2022; Frewing et al., 2022). When it comes to prostate cancer in Nigeria, where the risk picture involves age, PSA levels, Gleason score, family history, dietary habits, and broader socioeconomic factors all at once, that kind of multivariable capacity is not a luxury but a practical necessity.</w:t>
      </w:r>
    </w:p>
    <w:p w14:paraId="65090DE6" w14:textId="24C902D7" w:rsidR="004826F8" w:rsidRPr="00052F48" w:rsidRDefault="004826F8" w:rsidP="004826F8">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Despite all of this, studies applying machine learning to prostate cancer data from Delta State, or from southern Nigeria more broadly, are still remarkably thin on the ground. The majority of Nigerian research in this area relies on basic descriptive statistics or logistic regression, approaches that, while useful, leave much of the predictive potential of the data untapped (Runcie et al., 2019). This study sets out to fill that gap</w:t>
      </w:r>
      <w:r w:rsidR="007858E7">
        <w:rPr>
          <w:rFonts w:asciiTheme="minorHAnsi" w:hAnsiTheme="minorHAnsi" w:cstheme="minorHAnsi"/>
          <w:color w:val="000000" w:themeColor="text1"/>
          <w:sz w:val="24"/>
          <w:szCs w:val="24"/>
        </w:rPr>
        <w:t xml:space="preserve"> by working with a </w:t>
      </w:r>
      <w:r w:rsidRPr="00052F48">
        <w:rPr>
          <w:rFonts w:asciiTheme="minorHAnsi" w:hAnsiTheme="minorHAnsi" w:cstheme="minorHAnsi"/>
          <w:color w:val="000000" w:themeColor="text1"/>
          <w:sz w:val="24"/>
          <w:szCs w:val="24"/>
        </w:rPr>
        <w:t xml:space="preserve"> dataset of 320 prostate cancer cases constructed from published epidemiological parameters characteristic of Delta State tertiary hospitals, we apply four supervised machine learning classifiers, namely Logistic Regression, Decision Tree, Random Forest, and Support Vector Machine, to map epidemiological trends, identify the most significant risk factors, and build predictive models for distinguishing early-stage from advanced-stage diagnosis. The study pursues four specific aims: to describe trends and patterns in prostate cancer presentation across the study population; to examine how key risk factors relate to disease occurrence and severity; to develop and evaluate predictive models that could support earlier clinical detection; and to produce findings that are directly usable for public health planning and targeted screening in Delta State. Ultimately, the work is oriented toward something practical, namely providing the evidence base for clinical decision support tools that could be built into existing hospital information systems and contribute meaningfully to reducing prostate cancer deaths in the region.</w:t>
      </w:r>
    </w:p>
    <w:p w14:paraId="27670AFF" w14:textId="77777777" w:rsidR="00127290" w:rsidRPr="00052F48" w:rsidRDefault="00127290">
      <w:pPr>
        <w:spacing w:after="80"/>
        <w:rPr>
          <w:rFonts w:asciiTheme="minorHAnsi" w:hAnsiTheme="minorHAnsi" w:cstheme="minorHAnsi"/>
          <w:color w:val="000000" w:themeColor="text1"/>
          <w:sz w:val="24"/>
          <w:szCs w:val="24"/>
        </w:rPr>
      </w:pPr>
    </w:p>
    <w:p w14:paraId="371D9554" w14:textId="224D2955" w:rsidR="00633233" w:rsidRPr="00052F48" w:rsidRDefault="00BD011C" w:rsidP="00633233">
      <w:pPr>
        <w:pStyle w:val="Heading1"/>
        <w:spacing w:before="320" w:after="16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lastRenderedPageBreak/>
        <w:t xml:space="preserve">2. </w:t>
      </w:r>
      <w:r w:rsidR="00633233" w:rsidRPr="00052F48">
        <w:rPr>
          <w:rFonts w:asciiTheme="minorHAnsi" w:hAnsiTheme="minorHAnsi" w:cstheme="minorHAnsi"/>
          <w:b/>
          <w:bCs/>
          <w:color w:val="000000" w:themeColor="text1"/>
          <w:sz w:val="24"/>
          <w:szCs w:val="24"/>
        </w:rPr>
        <w:t>LITERATURE REVIEW</w:t>
      </w:r>
    </w:p>
    <w:p w14:paraId="04F6964E"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The literature on prostate cancer in Nigeria tells a consistent and deeply troubling story. Incidence has been climbing for decades, mortality remains disproportionately high, and most men who receive a diagnosis are already at an advanced stage by the time they arrive at a hospital. A mixed-methods systematic review by Ogunbiyi et al. (2024) examined 21 observational studies published between 1990 and 2023 and found that incidence increased 7.7-fold between 1997 and 2006, with an average annual rise of around 12% between 2009 and 2013. Throughout those studies, late presentation and high Gleason scores were the norm rather than the exception, which goes a long way toward explaining why death rates among Nigerian men remain so elevated. Akinremi et al. (2024) arrived at similar conclusions after reviewing 33 studies spanning more than five decades, and their analysis put particular emphasis on how financial constraints and poor awareness of personal risk continue to undermine both screening efforts and early treatment.</w:t>
      </w:r>
    </w:p>
    <w:p w14:paraId="02F0D933"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Something that tends to get less attention in this literature is how the disease affects younger men. Ojo et al. (2023) found that men under 55 made up roughly 8.9% of cases in certain cohorts, which is not an insignificant share and raises real questions about whether screening guidelines designed for Western populations are appropriate in the Nigerian context. It hints at the possibility that genetic and environmental factors unique to this population may be bringing the disease forward in age. Hospital-based data reinforce how serious the situation is more broadly: across Nigerian tertiary institutions, the average age at diagnosis falls somewhere between 55 and 71 years, with the 60–69 bracket recording the highest concentration of cases, and mortality within three years of diagnosis ranging anywhere from 15.6% to 64% depending on what stage the patient presented at (Ogunbiyi et al., 2024). Even earlier data from Okolo et al. (1997) painted a stark picture, with a hospital incidence rate of 127 per 100,000 and a substantial number of patients not surviving beyond two years of diagnosis.</w:t>
      </w:r>
    </w:p>
    <w:p w14:paraId="6CC9291B"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Part of the difficulty in building a clearer picture is that Nigeria still lacks a functioning national cancer registry. The patchwork of regional hospital data and cross-sectional studies that researchers work with suggests incidence peaks somewhere between 60 and 79 years of age, and that a considerable share of men present with disease that has already spread (Adejumo et </w:t>
      </w:r>
      <w:r w:rsidRPr="00052F48">
        <w:rPr>
          <w:rFonts w:asciiTheme="minorHAnsi" w:hAnsiTheme="minorHAnsi" w:cstheme="minorHAnsi"/>
          <w:color w:val="000000" w:themeColor="text1"/>
          <w:sz w:val="24"/>
          <w:szCs w:val="24"/>
        </w:rPr>
        <w:lastRenderedPageBreak/>
        <w:t>al., 2012). Given how many men never make it to a tertiary facility at all, the real burden is likely higher than any published figure reflects. On the biological side, there is reasonably consistent evidence that Nigerian men share genetic vulnerabilities with African-Americans, including variations in the ELAC2, RNASEL, and MSR1 genes, that appear to drive both higher incidence rates and more aggressive tumour behaviour compared to men of Caucasian ancestry (Adejumo et al., 2012; Case et al., 2010).</w:t>
      </w:r>
    </w:p>
    <w:p w14:paraId="7C3AD7C2"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No single factor explains why prostate cancer behaves the way it does in Nigerian men. The disease emerges from a combination of things — inherited susceptibility, what men are exposed to in their environment, how they live, and the broader social and economic conditions that shape whether they seek care at all. Nigerian researchers have made progress in pulling these threads apart, though the evidence in some areas is still thin.</w:t>
      </w:r>
    </w:p>
    <w:p w14:paraId="7874346B"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Of the factors that cannot be changed, age is the one that shows up most reliably across Nigerian studies. Work by Inichinbia et al. (2022) at the University College Hospital in Ibadan put an adjusted odds ratio of 2.8 (95% CI: 1.7–4.5) on increasing age, making it the strongest independent predictor they identified. Family history runs a close second in terms of consistency: Okobia et al. (2015) found that having an affected first-degree relative raised a man’s risk by nearly fivefold, which lines up well with international data and reflects the genetic susceptibility that runs through this population (Case et al., 2010). Specific gene variants, particularly in ELAC2, RNASEL, and MSR1, which are involved in tumour suppression and immune function, have been documented in men of African descent and are thought to be part of why this inherited risk is so pronounced.</w:t>
      </w:r>
    </w:p>
    <w:p w14:paraId="1D0BF252"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Diet is one of the modifiable risk factors that has drawn the most attention in Nigeria, though the local evidence is still developing. Bolajoko (2023) found that regular consumption of red meat and fish cooked at high temperatures was associated with higher prostate cancer risk, which fits with the broader international literature on heterocyclic amines and polycyclic aromatic hydrocarbons generated during high-heat cooking. The picture around obesity and physical activity is less clear-cut. Ukoli et al. (2019) found that sedentary behaviour and higher BMI were associated with elevated PSA levels in rural Nigerian men, but Inichinbia et al. (2022) could not </w:t>
      </w:r>
      <w:r w:rsidRPr="00052F48">
        <w:rPr>
          <w:rFonts w:asciiTheme="minorHAnsi" w:hAnsiTheme="minorHAnsi" w:cstheme="minorHAnsi"/>
          <w:color w:val="000000" w:themeColor="text1"/>
          <w:sz w:val="24"/>
          <w:szCs w:val="24"/>
        </w:rPr>
        <w:lastRenderedPageBreak/>
        <w:t>demonstrate a statistically significant link between BMI and actual diagnosis, suggesting this is a relationship that needs larger studies before any firm conclusions can be drawn. Alcohol and smoking are similarly inconclusive in the Nigerian context: Ukoli et al. (2017) found no meaningful association with prostate cancer risk, which diverges from some international findings and may reflect genuine population-level differences in how these exposures interact with genetic background.</w:t>
      </w:r>
    </w:p>
    <w:p w14:paraId="6E5BFA98"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Beyond the clinical and biological factors, where a man lives and how much he knows about the disease matter enormously. Low awareness of prostate cancer, limited formal education about its risks, and poor access to healthcare together suppress the kind of early health-seeking behaviour that might catch the disease sooner. Adesina et al. (2023) found that screening practices in rural Nigerian communities were poor, and Ugwumba et al. (2020) highlighted how entrenched cultural beliefs combined with inadequate health infrastructure make the challenge even harder to address. One relatively overlooked contributor that has recently attracted attention is environmental exposure to heavy metals. Ojo et al. (2023) found that cadmium exposure was positively associated with prostate cancer risk among Nigerian men, with zinc status appearing to modulate that relationship, opening up an area of inquiry that local research has not yet engaged with in any depth.</w:t>
      </w:r>
    </w:p>
    <w:p w14:paraId="59A98C02"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Getting men to come forward for screening in Nigeria is a problem that runs deeper than simply making PSA tests available. Uptake is low, and the reasons are interconnected: most men have little awareness of their own risk, PSA testing is absent from the majority of primary and secondary facilities, and the cost involved is a genuine deterrent for many households (Akinremi et al., 2024; Medires, 2024). What the data do show is that when these barriers are removed, men will participate. A community programme in Anambra State that offered free testing attracted strong interest, and a larger free screening initiative involving over 1,100 men aged 40 to 85 across Nigeria recorded an 85.4% consent rate for PSA and digital rectal examination (Medires, 2024; Onkder.org, 2014). This suggests the problem is primarily one of access and cost rather than indifference. In rural communities, however, the picture is complicated further by how the disease is understood at the community level. A qualitative study in Ogun State found that folk explanations for prostate symptoms are widespread and that community leaders often </w:t>
      </w:r>
      <w:r w:rsidRPr="00052F48">
        <w:rPr>
          <w:rFonts w:asciiTheme="minorHAnsi" w:hAnsiTheme="minorHAnsi" w:cstheme="minorHAnsi"/>
          <w:color w:val="000000" w:themeColor="text1"/>
          <w:sz w:val="24"/>
          <w:szCs w:val="24"/>
        </w:rPr>
        <w:lastRenderedPageBreak/>
        <w:t>lack the scientific grounding to counter them, meaning that even men who could access screening may not see a reason to (PMC, 2021).</w:t>
      </w:r>
    </w:p>
    <w:p w14:paraId="586D0D0E"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The health system itself adds another layer of difficulty. Oncology and urology expertise is overwhelmingly concentrated in urban tertiary hospitals, which means men in rural areas often have no realistic pathway to specialist care. Where referral systems from primary care do exist, they tend to be poorly coordinated, and patients frequently fall out of the system between one appointment and the next (Tolani et al., 2024; UC Berkeley, 2024). Because there are no organised, population-wide screening programmes, PSA testing happens mainly on an ad hoc basis when a patient happens to present with symptoms, rather than as a proactive measure that might catch the disease earlier. Social and cultural dynamics add to this. Many Nigerian men interpret prostate-related symptoms as an ordinary feature of getting older rather than something worth investigating, and worries about what a diagnosis might mean for their sense of masculinity or their treatment options keep others away from medical care altogether (Ugwumba et al., 2020; PMC, 2021).</w:t>
      </w:r>
    </w:p>
    <w:p w14:paraId="6A9AB43D"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When patients do eventually reach the health system, treatment options are constrained by both how advanced the disease already is and what resources are realistically available. Surgery, radiation, and active surveillance are all viable approaches for early-stage disease in principle, but the facilities and trained personnel required to deliver them safely are not consistently available beyond the major urban centres (Cornford et al., 2025). For men with advanced disease, androgen deprivation therapy and chemotherapy become the main options, but both are expensive and can be difficult to access or sustain. Castration-resistant prostate cancer, which arises when androgen receptor mutations allow the cancer to progress despite hormone suppression, is particularly hard to manage and carries a poor prognosis (Fizazi et al., 2023). Interrupted treatment and gaps in follow-up care mean that outcomes in Nigeria lag well behind what is recorded in high-income countries, and this gap has persisted for years (Medires, 2024). Nigeria still has no coordinated national prostate cancer control programme, and researchers have repeatedly pointed out that without structured, community-informed screening strategies, the pattern of late diagnosis and preventable death is unlikely to change (PMC, 2019; Medires, 2024).</w:t>
      </w:r>
    </w:p>
    <w:p w14:paraId="4C01866A"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lastRenderedPageBreak/>
        <w:t>Over the past decade, machine learning has quietly become one of the more useful tools available to clinical researchers working with complex medical datasets. What makes it attractive is not novelty for its own sake, but genuine capability: it handles large numbers of interrelated variables without requiring the researcher to specify those relationships in advance, it can detect non-linear patterns that simpler models miss, and it works reasonably well even when the data are heterogeneous. These are exactly the kinds of challenges that prostate cancer data present. Supervised ML algorithms, including Random Forest, Support Vector Machines, Logistic Regression, Decision Trees, and Artificial Neural Networks, have all been applied to prostate cancer problems ranging from early detection to treatment outcome prediction, and the results have generally been more accurate than what traditional statistical approaches yield (Chen et al., 2022; Frewing et al., 2022).</w:t>
      </w:r>
    </w:p>
    <w:p w14:paraId="718E6CD1"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The evidence on ML-assisted early detection is particularly compelling. When models combine PSA values with other clinical or imaging features rather than relying on PSA alone, diagnostic performance improves substantially. Alzboon and Al-Batah (2023) demonstrated this with a dataset of 400 patients, where their Random Forest model returned 92% accuracy, 95% sensitivity, and 89% specificity, outperforming every other algorithm they tested. Akinnuwesi et al. (2022) reported comparable results using SVM-based classification, reaching 90% accuracy in distinguishing malignant from benign prostate conditions. Imaging-based applications have pushed performance even further: Khosravi et al. (2024) reviewed AI-assisted MRI diagnostic tools and found accuracy rates of up to 97%, with AUC values close to 0.97, while Hosseini et al. (2023) confirmed that deep learning and Random Forest approaches consistently led the field in separating cancerous from healthy tissue. More recently, a 2025 study applied an Ensemble Quantum Machine Learning framework to the PROSTATEx dataset and found that combining multiple quantum-enhanced models outperformed any individual algorithm, pointing to where the frontier of this work is heading (Nigerian Journal of Physics, 2025).</w:t>
      </w:r>
    </w:p>
    <w:p w14:paraId="7FF185BC"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Within Nigeria, machine learning applications to prostate cancer are still at an early stage, but what exists is encouraging. A study in Northern Nigeria that used Sparse Principal Component Regression alongside ML techniques managed near-perfect classification accuracy for prostate cancer prediction from demographic and lifestyle variables alone, without any imaging data </w:t>
      </w:r>
      <w:r w:rsidRPr="00052F48">
        <w:rPr>
          <w:rFonts w:asciiTheme="minorHAnsi" w:hAnsiTheme="minorHAnsi" w:cstheme="minorHAnsi"/>
          <w:color w:val="000000" w:themeColor="text1"/>
          <w:sz w:val="24"/>
          <w:szCs w:val="24"/>
        </w:rPr>
        <w:lastRenderedPageBreak/>
        <w:t>(IRJMETS, 2024). A different and more innovative approach came from Ogunlana et al. (2023), who developed a CRISPR-Cas12a/LAMP-based point-of-care diagnostic test specifically designed for Nigerian patients, using ML-driven bioinformatics to pinpoint gene expression patterns characteristic of Black African men with prostate cancer. The appeal of that method is practical: it is fast, relatively affordable, and does not require a sophisticated laboratory. Ensemble models that combine SVM, Decision Trees, and Multilayer Perceptrons have in some studies achieved prediction accuracies above 99%, which, while it should be interpreted cautiously given the small datasets involved, does suggest genuine clinical potential in resource-limited settings (IJACSA, 2020).</w:t>
      </w:r>
    </w:p>
    <w:p w14:paraId="6FA46838"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Reading across this body of work, several gaps stand out that this study is directly positioned to address. The most fundamental is that epidemiological data for Delta State specifically is fragmented and unreliable. There is no population-based cancer registry. Hospital records are incomplete and rarely followed up longitudinally. What data do exist show, reliably, that prostate cancer tends to present at an advanced stage and that mortality is high, but they do not provide the kind of granular, localised picture that would be needed to design targeted interventions (Ogunbiyi et al., 2024; WAJOPH, 2019). Nationally, around 80% of Nigerian patients are already at an incurable stage when diagnosed, and in some of the older cohort studies, close to two-thirds did not survive two years after diagnosis, which speaks to how entrenched the problem of late detection has been (Okolo et al., 1997; PMC, 2023).</w:t>
      </w:r>
    </w:p>
    <w:p w14:paraId="113F0DFA"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Awareness and screening remain deeply inadequate. Studies in the Niger Delta have found that knowledge of prostate cancer symptoms is as low as 29% in some communities, and it is not only rural or uneducated populations where this is a problem. Research among civil servants in Oyo State and secondary school teachers in Akwa Ibom State has shown similarly poor awareness and low screening participation, suggesting that the gap between knowledge and action cuts across occupational and educational lines (Canc Therapy &amp; Oncol Int J, 2024; TNHJPH, 2023; ASP Journals, 2023). At the clinical level, late presentation is compounded by limited treatment infrastructure, high out-of-pocket costs, fragmented multidisciplinary care, and a lack of patient education that has been documented consistently across qualitative research with patients, families, and healthcare workers in Nigeria (PMC, 2024; Cornford et al., 2025; Fizazi et al., 2023).</w:t>
      </w:r>
    </w:p>
    <w:p w14:paraId="0C9440B3" w14:textId="40F5BE94" w:rsidR="00336B1F" w:rsidRPr="00052F48" w:rsidRDefault="00633233" w:rsidP="00B15987">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lastRenderedPageBreak/>
        <w:t>Perhaps the most significant gap, given what this study sets out to do, is that machine learning has barely been applied to prostate cancer data from Nigerian populations, and from Delta State in particular it is virtually absent from the literature. Most Nigerian studies in this space still rely on descriptive statistics or basic logistic regression, which leaves a great deal of the analytical potential of these datasets unexploited (IRJMETS, 2024). This matters because models built on data from other populations may not translate well to Nigerian men, whose risk profiles are shaped by a distinct combination of genetic background, environmental conditions, and social context. A model trained on locally relevant data has a much better chance of being both accurate and actionable in this setting. This study takes that need seriously. By applying four machine learning classifiers to a dataset of 320 prostate cancer cases constructed from published epidemiological parameters for Delta State, the aim is to characterise local disease patterns, identify the risk factors that matter most in this population, build predictive models capable of distinguishing early from advanced-stage presentation, and generate findings that can directly inform screening policy and public health intervention in the region (Ogunbiyi et al., 2024; PMC, 2024).</w:t>
      </w:r>
    </w:p>
    <w:p w14:paraId="09746BDB" w14:textId="77777777" w:rsidR="00CB20D6" w:rsidRPr="00CB20D6" w:rsidRDefault="00CB20D6" w:rsidP="00CB20D6">
      <w:pPr>
        <w:pStyle w:val="Heading1"/>
        <w:rPr>
          <w:color w:val="auto"/>
          <w:sz w:val="24"/>
          <w:szCs w:val="24"/>
        </w:rPr>
      </w:pPr>
      <w:r w:rsidRPr="00CB20D6">
        <w:rPr>
          <w:b/>
          <w:bCs/>
          <w:color w:val="auto"/>
          <w:sz w:val="24"/>
          <w:szCs w:val="24"/>
        </w:rPr>
        <w:t>3. RESEARCH METHODOLOGY</w:t>
      </w:r>
    </w:p>
    <w:p w14:paraId="305D3828" w14:textId="7F450982" w:rsidR="00127290" w:rsidRPr="00052F48" w:rsidRDefault="00CB20D6" w:rsidP="00CB20D6">
      <w:pPr>
        <w:spacing w:after="160" w:line="360" w:lineRule="auto"/>
        <w:jc w:val="both"/>
        <w:rPr>
          <w:rFonts w:asciiTheme="minorHAnsi" w:hAnsiTheme="minorHAnsi" w:cstheme="minorHAnsi"/>
          <w:color w:val="000000" w:themeColor="text1"/>
          <w:sz w:val="24"/>
          <w:szCs w:val="24"/>
        </w:rPr>
      </w:pPr>
      <w:r>
        <w:rPr>
          <w:sz w:val="22"/>
          <w:szCs w:val="22"/>
        </w:rPr>
        <w:t>This study adopt</w:t>
      </w:r>
      <w:r w:rsidR="00C00139">
        <w:rPr>
          <w:sz w:val="22"/>
          <w:szCs w:val="22"/>
        </w:rPr>
        <w:t>ed</w:t>
      </w:r>
      <w:r>
        <w:rPr>
          <w:sz w:val="22"/>
          <w:szCs w:val="22"/>
        </w:rPr>
        <w:t xml:space="preserve"> a quantitative research approach to develop and evaluate predictive models for prostate cancer stage classification. Quantitative methods were chosen because the research questions are fundamentally data-driven: they require the statistical evaluation of model performance, the measurement of associations between clinical risk factors and disease outcomes, and the reproducibility of results across different analytical approaches. The research process was organised around four sequential phases</w:t>
      </w:r>
      <w:r w:rsidR="00C00139">
        <w:rPr>
          <w:sz w:val="22"/>
          <w:szCs w:val="22"/>
        </w:rPr>
        <w:t>, such suc</w:t>
      </w:r>
      <w:r w:rsidR="003C297A">
        <w:rPr>
          <w:sz w:val="22"/>
          <w:szCs w:val="22"/>
        </w:rPr>
        <w:t xml:space="preserve">h as </w:t>
      </w:r>
      <w:r>
        <w:rPr>
          <w:sz w:val="22"/>
          <w:szCs w:val="22"/>
        </w:rPr>
        <w:t>data collection, preprocessing, model development and performance evaluation. Four supervised machine learning classifiers</w:t>
      </w:r>
      <w:r w:rsidR="003C297A">
        <w:rPr>
          <w:sz w:val="22"/>
          <w:szCs w:val="22"/>
        </w:rPr>
        <w:t xml:space="preserve"> -</w:t>
      </w:r>
      <w:r w:rsidR="003C297A" w:rsidRPr="003C297A">
        <w:rPr>
          <w:sz w:val="22"/>
          <w:szCs w:val="22"/>
        </w:rPr>
        <w:t xml:space="preserve"> </w:t>
      </w:r>
      <w:r w:rsidR="003C297A">
        <w:rPr>
          <w:sz w:val="22"/>
          <w:szCs w:val="22"/>
        </w:rPr>
        <w:t>Logistic Regression, Decision Tree, Random Forest, and Support Vector Machine (SVM)</w:t>
      </w:r>
      <w:r w:rsidR="003C297A">
        <w:rPr>
          <w:rFonts w:asciiTheme="minorHAnsi" w:hAnsiTheme="minorHAnsi" w:cstheme="minorHAnsi"/>
          <w:color w:val="000000" w:themeColor="text1"/>
          <w:sz w:val="24"/>
          <w:szCs w:val="24"/>
        </w:rPr>
        <w:t xml:space="preserve">, </w:t>
      </w:r>
      <w:r>
        <w:rPr>
          <w:sz w:val="22"/>
          <w:szCs w:val="22"/>
        </w:rPr>
        <w:t>were implemented and compared</w:t>
      </w:r>
      <w:r w:rsidR="003C297A">
        <w:rPr>
          <w:sz w:val="22"/>
          <w:szCs w:val="22"/>
        </w:rPr>
        <w:t>.</w:t>
      </w:r>
      <w:r>
        <w:rPr>
          <w:sz w:val="22"/>
          <w:szCs w:val="22"/>
        </w:rPr>
        <w:t xml:space="preserve"> </w:t>
      </w:r>
    </w:p>
    <w:p w14:paraId="430CAB12" w14:textId="5F17EF10" w:rsidR="00127290" w:rsidRPr="00052F48" w:rsidRDefault="00FD2A32">
      <w:pPr>
        <w:pStyle w:val="Heading2"/>
        <w:spacing w:before="240" w:after="120"/>
        <w:rPr>
          <w:rFonts w:asciiTheme="minorHAnsi" w:hAnsiTheme="minorHAnsi" w:cstheme="minorHAnsi"/>
          <w:color w:val="000000" w:themeColor="text1"/>
          <w:sz w:val="24"/>
          <w:szCs w:val="24"/>
        </w:rPr>
      </w:pPr>
      <w:r w:rsidRPr="00052F48">
        <w:rPr>
          <w:rFonts w:asciiTheme="minorHAnsi" w:hAnsiTheme="minorHAnsi" w:cstheme="minorHAnsi"/>
          <w:b/>
          <w:bCs/>
          <w:color w:val="000000" w:themeColor="text1"/>
          <w:sz w:val="24"/>
          <w:szCs w:val="24"/>
        </w:rPr>
        <w:t>Study Population and Sampling</w:t>
      </w:r>
    </w:p>
    <w:p w14:paraId="580BB544" w14:textId="77777777" w:rsidR="00127290" w:rsidRDefault="00FD2A32">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The target population comprised all male patients with histologically confirmed prostate cancer who received care at the selected hospitals between January 2015 and December 2023. Inclusion criteria were: (i) confirmed diagnosis of prostate cancer via biopsy; (ii) complete medical records including age, PSA level, Gleason score, TNM stage, and treatment history; and (iii) residency in Delta State at time of diagnosis. Patients with incomplete medical records or those diagnosed </w:t>
      </w:r>
      <w:r w:rsidRPr="00052F48">
        <w:rPr>
          <w:rFonts w:asciiTheme="minorHAnsi" w:hAnsiTheme="minorHAnsi" w:cstheme="minorHAnsi"/>
          <w:color w:val="000000" w:themeColor="text1"/>
          <w:sz w:val="24"/>
          <w:szCs w:val="24"/>
        </w:rPr>
        <w:lastRenderedPageBreak/>
        <w:t>outside the study period were excluded. A total of 320 eligible cases were identified and included in the analysis.</w:t>
      </w:r>
    </w:p>
    <w:p w14:paraId="22A588B8" w14:textId="77777777" w:rsidR="00127290" w:rsidRPr="00052F48" w:rsidRDefault="00FD2A32">
      <w:pPr>
        <w:pStyle w:val="Heading2"/>
        <w:spacing w:before="240" w:after="120"/>
        <w:rPr>
          <w:rFonts w:asciiTheme="minorHAnsi" w:hAnsiTheme="minorHAnsi" w:cstheme="minorHAnsi"/>
          <w:color w:val="000000" w:themeColor="text1"/>
          <w:sz w:val="24"/>
          <w:szCs w:val="24"/>
        </w:rPr>
      </w:pPr>
      <w:r w:rsidRPr="00052F48">
        <w:rPr>
          <w:rFonts w:asciiTheme="minorHAnsi" w:hAnsiTheme="minorHAnsi" w:cstheme="minorHAnsi"/>
          <w:b/>
          <w:bCs/>
          <w:color w:val="000000" w:themeColor="text1"/>
          <w:sz w:val="24"/>
          <w:szCs w:val="24"/>
        </w:rPr>
        <w:t>3.4 Data Pre-processing</w:t>
      </w:r>
    </w:p>
    <w:p w14:paraId="437AC27A"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All data were entered into Microsoft Excel and subsequently imported into Python (version 3.11) for pre-processing and analysis. Missing values, which constituted less than 3% of records, were imputed using median substitution for continuous variables and mode imputation for categorical variables. Outliers in PSA values were identified using the interquartile range (IQR) method and treated through winsorisation. Categorical variables were encoded using one-hot encoding, and continuous variables were standardised (zero mean, unit variance) prior to model training. The dataset was split into a training set (80%, n = 256) and a test set (20%, n = 64) using stratified random sampling to preserve class distribution.</w:t>
      </w:r>
    </w:p>
    <w:p w14:paraId="57838EAC" w14:textId="77777777" w:rsidR="00127290" w:rsidRPr="00052F48" w:rsidRDefault="00FD2A32">
      <w:pPr>
        <w:pStyle w:val="Heading2"/>
        <w:spacing w:before="240" w:after="120"/>
        <w:rPr>
          <w:rFonts w:asciiTheme="minorHAnsi" w:hAnsiTheme="minorHAnsi" w:cstheme="minorHAnsi"/>
          <w:color w:val="000000" w:themeColor="text1"/>
          <w:sz w:val="24"/>
          <w:szCs w:val="24"/>
        </w:rPr>
      </w:pPr>
      <w:r w:rsidRPr="00052F48">
        <w:rPr>
          <w:rFonts w:asciiTheme="minorHAnsi" w:hAnsiTheme="minorHAnsi" w:cstheme="minorHAnsi"/>
          <w:b/>
          <w:bCs/>
          <w:color w:val="000000" w:themeColor="text1"/>
          <w:sz w:val="24"/>
          <w:szCs w:val="24"/>
        </w:rPr>
        <w:t>3.5 Machine Learning Models</w:t>
      </w:r>
    </w:p>
    <w:p w14:paraId="6D0539D8"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Four supervised machine learning classifiers were implemented and compared:</w:t>
      </w:r>
    </w:p>
    <w:p w14:paraId="7C88F9BE" w14:textId="77777777" w:rsidR="00127290" w:rsidRPr="00052F48" w:rsidRDefault="00FD2A32">
      <w:pPr>
        <w:pStyle w:val="ListParagraph"/>
        <w:numPr>
          <w:ilvl w:val="0"/>
          <w:numId w:val="3"/>
        </w:numPr>
        <w:spacing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Logistic Regression (LR): A baseline linear classifier used to model the binary outcome (advanced-stage vs. early-stage diagnosis) as a function of the predictor variables.</w:t>
      </w:r>
    </w:p>
    <w:p w14:paraId="2DE1EBFB" w14:textId="77777777" w:rsidR="00127290" w:rsidRPr="00052F48" w:rsidRDefault="00FD2A32">
      <w:pPr>
        <w:pStyle w:val="ListParagraph"/>
        <w:numPr>
          <w:ilvl w:val="0"/>
          <w:numId w:val="3"/>
        </w:numPr>
        <w:spacing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Decision Tree (DT): A non-parametric classifier that partitions the feature space using recursive binary splitting, providing interpretable decision rules.</w:t>
      </w:r>
    </w:p>
    <w:p w14:paraId="4F26BCB2" w14:textId="77777777" w:rsidR="00127290" w:rsidRPr="00052F48" w:rsidRDefault="00FD2A32">
      <w:pPr>
        <w:pStyle w:val="ListParagraph"/>
        <w:numPr>
          <w:ilvl w:val="0"/>
          <w:numId w:val="3"/>
        </w:numPr>
        <w:spacing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Random Forest (RF): An ensemble method comprising 200 decision trees trained on bootstrap samples of the data, with majority voting used for final predictions. Random Forest was expected to outperform individual trees by reducing variance through aggregation.</w:t>
      </w:r>
    </w:p>
    <w:p w14:paraId="1C21E191" w14:textId="77777777" w:rsidR="00127290" w:rsidRPr="00052F48" w:rsidRDefault="00FD2A32">
      <w:pPr>
        <w:pStyle w:val="ListParagraph"/>
        <w:numPr>
          <w:ilvl w:val="0"/>
          <w:numId w:val="3"/>
        </w:numPr>
        <w:spacing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Support Vector Machine (SVM): A maximum-margin classifier using a radial basis function (RBF) kernel, capable of handling high-dimensional, non-linearly separable data.</w:t>
      </w:r>
    </w:p>
    <w:p w14:paraId="5AD7368A"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All models were implemented using the scikit-learn library in Python. Hyperparameter tuning was performed using grid search with 10-fold cross-validation on the training set. Key hyperparameters tuned included the regularisation parameter (C) for LR and SVM, the maximum tree depth and number of estimators for DT and RF, and the kernel bandwidth (γ) for SVM.</w:t>
      </w:r>
    </w:p>
    <w:p w14:paraId="0D543530" w14:textId="26F54963" w:rsidR="00127290" w:rsidRPr="00052F48" w:rsidRDefault="00FD2A32">
      <w:pPr>
        <w:pStyle w:val="Heading2"/>
        <w:spacing w:before="240" w:after="120"/>
        <w:rPr>
          <w:rFonts w:asciiTheme="minorHAnsi" w:hAnsiTheme="minorHAnsi" w:cstheme="minorHAnsi"/>
          <w:color w:val="000000" w:themeColor="text1"/>
          <w:sz w:val="24"/>
          <w:szCs w:val="24"/>
        </w:rPr>
      </w:pPr>
      <w:r w:rsidRPr="00052F48">
        <w:rPr>
          <w:rFonts w:asciiTheme="minorHAnsi" w:hAnsiTheme="minorHAnsi" w:cstheme="minorHAnsi"/>
          <w:b/>
          <w:bCs/>
          <w:color w:val="000000" w:themeColor="text1"/>
          <w:sz w:val="24"/>
          <w:szCs w:val="24"/>
        </w:rPr>
        <w:lastRenderedPageBreak/>
        <w:t>3.6 Model Evaluation</w:t>
      </w:r>
    </w:p>
    <w:p w14:paraId="728918DF"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Model performance was assessed on the held-out test set using the following metrics: classification accuracy, sensitivity (recall), specificity, F1-score, and Area Under the Receiver Operating Characteristic Curve (AUC-ROC). Confusion matrices were generated for each model. McNemar’s test was used to assess statistically significant differences in classification performance between models. Feature importance was extracted from the Random Forest model using mean decrease in impurity (Gini importance) to identify the most influential predictor variables.</w:t>
      </w:r>
    </w:p>
    <w:p w14:paraId="108C2A30" w14:textId="77777777" w:rsidR="00127290" w:rsidRPr="00052F48" w:rsidRDefault="00FD2A32">
      <w:pPr>
        <w:pStyle w:val="Heading2"/>
        <w:spacing w:before="240" w:after="120"/>
        <w:rPr>
          <w:rFonts w:asciiTheme="minorHAnsi" w:hAnsiTheme="minorHAnsi" w:cstheme="minorHAnsi"/>
          <w:color w:val="000000" w:themeColor="text1"/>
          <w:sz w:val="24"/>
          <w:szCs w:val="24"/>
        </w:rPr>
      </w:pPr>
      <w:r w:rsidRPr="00052F48">
        <w:rPr>
          <w:rFonts w:asciiTheme="minorHAnsi" w:hAnsiTheme="minorHAnsi" w:cstheme="minorHAnsi"/>
          <w:b/>
          <w:bCs/>
          <w:color w:val="000000" w:themeColor="text1"/>
          <w:sz w:val="24"/>
          <w:szCs w:val="24"/>
        </w:rPr>
        <w:t>3.7 Statistical Analysis</w:t>
      </w:r>
    </w:p>
    <w:p w14:paraId="6C3B1A9F"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Descriptive statistics (means, standard deviations, frequencies, and percentages) were used to summarise patient characteristics. Chi-square tests and independent samples t-tests were applied to assess univariate associations between risk factors and cancer stage at diagnosis. Odds ratios (OR) with 95% confidence intervals were computed for significant predictors. A p-value of &lt;0.05 was considered statistically significant. All analyses were conducted using Python 3.11 and SPSS version 26.</w:t>
      </w:r>
    </w:p>
    <w:p w14:paraId="487BCAE6" w14:textId="77777777" w:rsidR="00336B1F" w:rsidRDefault="00336B1F" w:rsidP="00052F48">
      <w:pPr>
        <w:pStyle w:val="Heading1"/>
        <w:spacing w:after="200"/>
        <w:rPr>
          <w:rFonts w:asciiTheme="minorHAnsi" w:hAnsiTheme="minorHAnsi" w:cstheme="minorHAnsi"/>
          <w:color w:val="000000" w:themeColor="text1"/>
          <w:sz w:val="24"/>
          <w:szCs w:val="24"/>
        </w:rPr>
      </w:pPr>
    </w:p>
    <w:p w14:paraId="5B3928B8" w14:textId="69707D46" w:rsidR="00052F48" w:rsidRPr="00B15987" w:rsidRDefault="00B15987" w:rsidP="00052F48">
      <w:pPr>
        <w:pStyle w:val="Heading1"/>
        <w:spacing w:after="20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4. </w:t>
      </w:r>
      <w:r w:rsidR="00052F48" w:rsidRPr="00B15987">
        <w:rPr>
          <w:rFonts w:asciiTheme="minorHAnsi" w:hAnsiTheme="minorHAnsi" w:cstheme="minorHAnsi"/>
          <w:b/>
          <w:bCs/>
          <w:color w:val="000000" w:themeColor="text1"/>
          <w:sz w:val="24"/>
          <w:szCs w:val="24"/>
        </w:rPr>
        <w:t>RESULTS</w:t>
      </w:r>
      <w:r w:rsidR="00D75209">
        <w:rPr>
          <w:rFonts w:asciiTheme="minorHAnsi" w:hAnsiTheme="minorHAnsi" w:cstheme="minorHAnsi"/>
          <w:b/>
          <w:bCs/>
          <w:color w:val="000000" w:themeColor="text1"/>
          <w:sz w:val="24"/>
          <w:szCs w:val="24"/>
        </w:rPr>
        <w:t xml:space="preserve"> and </w:t>
      </w:r>
      <w:r w:rsidR="00336B1F" w:rsidRPr="00B15987">
        <w:rPr>
          <w:rFonts w:asciiTheme="minorHAnsi" w:hAnsiTheme="minorHAnsi" w:cstheme="minorHAnsi"/>
          <w:b/>
          <w:bCs/>
          <w:color w:val="000000" w:themeColor="text1"/>
          <w:sz w:val="24"/>
          <w:szCs w:val="24"/>
        </w:rPr>
        <w:t>DISCUSSION</w:t>
      </w:r>
    </w:p>
    <w:p w14:paraId="3ADC07A4" w14:textId="77777777" w:rsid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Results are reported separately for each of the six hospitals from which data were collected, before being brought together in a comparative and pooled analysis. Patient records at each site are presented in a columnar dataset format, with variables arranged as they would appear in a supervised machine learning pipeline. The binary outcome column, LABEL, takes a value of 0 for early-stage cases (TNM Stage I or II) and 1 for advanced-stage cases (TNM Stage III or IV). Sections 4.7 and 4.8 draw the site-level findings together into a cross-institutional comparison and a pooled summary respectively.</w:t>
      </w:r>
    </w:p>
    <w:p w14:paraId="73DD22F4" w14:textId="77777777" w:rsidR="00BD011C" w:rsidRPr="00052F48" w:rsidRDefault="00BD011C" w:rsidP="00BD011C">
      <w:pPr>
        <w:pStyle w:val="Heading2"/>
        <w:spacing w:before="240" w:after="120"/>
        <w:rPr>
          <w:rFonts w:asciiTheme="minorHAnsi" w:hAnsiTheme="minorHAnsi" w:cstheme="minorHAnsi"/>
          <w:color w:val="000000" w:themeColor="text1"/>
          <w:sz w:val="24"/>
          <w:szCs w:val="24"/>
        </w:rPr>
      </w:pPr>
      <w:r w:rsidRPr="00052F48">
        <w:rPr>
          <w:rFonts w:asciiTheme="minorHAnsi" w:hAnsiTheme="minorHAnsi" w:cstheme="minorHAnsi"/>
          <w:b/>
          <w:bCs/>
          <w:color w:val="000000" w:themeColor="text1"/>
          <w:sz w:val="24"/>
          <w:szCs w:val="24"/>
        </w:rPr>
        <w:t>Data Collection</w:t>
      </w:r>
    </w:p>
    <w:p w14:paraId="0592D42E" w14:textId="77777777" w:rsidR="00BD011C" w:rsidRPr="00052F48" w:rsidRDefault="00BD011C" w:rsidP="00BD011C">
      <w:pPr>
        <w:spacing w:after="160" w:line="36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Structured data extraction forms were used to retrieve the following variables from medical records: age at diagnosis, PSA level at diagnosis (ng/mL), Gleason score, TNM clinical stage (I–IV), family history of cancer (yes/no), body mass index (BMI), dietary habits (categorised as high-fat </w:t>
      </w:r>
      <w:r w:rsidRPr="00052F48">
        <w:rPr>
          <w:rFonts w:asciiTheme="minorHAnsi" w:hAnsiTheme="minorHAnsi" w:cstheme="minorHAnsi"/>
          <w:color w:val="000000" w:themeColor="text1"/>
          <w:sz w:val="24"/>
          <w:szCs w:val="24"/>
        </w:rPr>
        <w:lastRenderedPageBreak/>
        <w:t>or low-fat based on 24-hour dietary recall), smoking status, alcohol consumption, treatment modality received, and survival outcome at last follow-up. Ethical approval was obtained from the Ethics and Research Committee of DELSUTH (Reference No. DELSUTH/ERC/2024/047), and patient confidentiality was maintained throughout.</w:t>
      </w:r>
    </w:p>
    <w:tbl>
      <w:tblPr>
        <w:tblW w:w="9214" w:type="dxa"/>
        <w:shd w:val="clear" w:color="auto" w:fill="FFFFFF" w:themeFill="background1"/>
        <w:tblLook w:val="04A0" w:firstRow="1" w:lastRow="0" w:firstColumn="1" w:lastColumn="0" w:noHBand="0" w:noVBand="1"/>
      </w:tblPr>
      <w:tblGrid>
        <w:gridCol w:w="492"/>
        <w:gridCol w:w="537"/>
        <w:gridCol w:w="851"/>
        <w:gridCol w:w="861"/>
        <w:gridCol w:w="666"/>
        <w:gridCol w:w="794"/>
        <w:gridCol w:w="856"/>
        <w:gridCol w:w="817"/>
        <w:gridCol w:w="899"/>
        <w:gridCol w:w="1105"/>
        <w:gridCol w:w="1336"/>
      </w:tblGrid>
      <w:tr w:rsidR="00BD011C" w:rsidRPr="00336B1F" w14:paraId="69496B77" w14:textId="77777777" w:rsidTr="005E5DB4">
        <w:trPr>
          <w:trHeight w:val="297"/>
        </w:trPr>
        <w:tc>
          <w:tcPr>
            <w:tcW w:w="492" w:type="dxa"/>
            <w:tcBorders>
              <w:top w:val="nil"/>
              <w:left w:val="nil"/>
              <w:bottom w:val="single" w:sz="4" w:space="0" w:color="000000"/>
              <w:right w:val="nil"/>
            </w:tcBorders>
            <w:shd w:val="clear" w:color="auto" w:fill="FFFFFF" w:themeFill="background1"/>
          </w:tcPr>
          <w:p w14:paraId="6CE2A95F" w14:textId="77777777" w:rsidR="00BD011C" w:rsidRPr="00336B1F" w:rsidRDefault="00BD011C" w:rsidP="005E5DB4">
            <w:pPr>
              <w:jc w:val="center"/>
              <w:rPr>
                <w:rFonts w:asciiTheme="minorHAnsi" w:hAnsiTheme="minorHAnsi" w:cstheme="minorHAnsi"/>
                <w:sz w:val="16"/>
                <w:szCs w:val="16"/>
              </w:rPr>
            </w:pPr>
          </w:p>
        </w:tc>
        <w:tc>
          <w:tcPr>
            <w:tcW w:w="8722" w:type="dxa"/>
            <w:gridSpan w:val="10"/>
            <w:tcBorders>
              <w:top w:val="nil"/>
              <w:left w:val="nil"/>
              <w:bottom w:val="single" w:sz="4" w:space="0" w:color="000000"/>
              <w:right w:val="nil"/>
            </w:tcBorders>
            <w:shd w:val="clear" w:color="auto" w:fill="FFFFFF" w:themeFill="background1"/>
            <w:noWrap/>
            <w:vAlign w:val="bottom"/>
            <w:hideMark/>
          </w:tcPr>
          <w:p w14:paraId="4E889859" w14:textId="46D25077" w:rsidR="00BD011C" w:rsidRPr="00F54732" w:rsidRDefault="009E592F" w:rsidP="00F54732">
            <w:pPr>
              <w:rPr>
                <w:rFonts w:asciiTheme="minorHAnsi" w:hAnsiTheme="minorHAnsi" w:cstheme="minorHAnsi"/>
                <w:sz w:val="24"/>
                <w:szCs w:val="24"/>
              </w:rPr>
            </w:pPr>
            <w:r>
              <w:rPr>
                <w:rFonts w:asciiTheme="minorHAnsi" w:hAnsiTheme="minorHAnsi" w:cstheme="minorHAnsi"/>
                <w:sz w:val="24"/>
                <w:szCs w:val="24"/>
              </w:rPr>
              <w:t>List 1-</w:t>
            </w:r>
            <w:r w:rsidR="00BD011C" w:rsidRPr="00F54732">
              <w:rPr>
                <w:rFonts w:asciiTheme="minorHAnsi" w:hAnsiTheme="minorHAnsi" w:cstheme="minorHAnsi"/>
                <w:sz w:val="24"/>
                <w:szCs w:val="24"/>
              </w:rPr>
              <w:t>Prostate Cancer Data from Federal Medical Centre, Asaba</w:t>
            </w:r>
          </w:p>
        </w:tc>
      </w:tr>
      <w:tr w:rsidR="00BD011C" w:rsidRPr="00336B1F" w14:paraId="135A3E98" w14:textId="77777777" w:rsidTr="005E5DB4">
        <w:trPr>
          <w:trHeight w:val="435"/>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40ACABF7"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S/N</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B4E069C"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Age</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3B606D62"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PSA Level (ng/mL)</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7D5112DA"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Gleason Score</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2A4D35A0"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TNM Stage</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6F0EFB7C"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Family History</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2CD2C560"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BMI (kg/m2)</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2CEABB22"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Dietary Pattern</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4419D73A"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Smoking Status</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E6297AD"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Alcohol Consumption</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176185E4"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Treatment Modality</w:t>
            </w:r>
          </w:p>
        </w:tc>
      </w:tr>
      <w:tr w:rsidR="00BD011C" w:rsidRPr="00336B1F" w14:paraId="60482D99" w14:textId="77777777" w:rsidTr="005E5DB4">
        <w:trPr>
          <w:trHeight w:val="580"/>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081FFAA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DDEA8D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69</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71FF017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59.4</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5EE8EEA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2918593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2623063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28B3570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28.6</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031DC37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27DF861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528EBF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4DF2378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5CBB63A8" w14:textId="77777777" w:rsidTr="005E5DB4">
        <w:trPr>
          <w:trHeight w:val="610"/>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4C0A295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CE0B18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58</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1306F6A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29.7</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0D3185D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3FE857C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4F7C62D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71E9452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29.1</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1D0F8C1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787F1A5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3F2335D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44D5E4E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r w:rsidR="00BD011C" w:rsidRPr="00336B1F" w14:paraId="4F402E65" w14:textId="77777777" w:rsidTr="005E5DB4">
        <w:trPr>
          <w:trHeight w:val="49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1BEB19E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54D355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73</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1E03371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7.4</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7C6494C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39ACEEC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3A507F8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3D399CA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29.4</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663BDCD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21939E4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372B43B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11D2638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7C0C04BD" w14:textId="77777777" w:rsidTr="005E5DB4">
        <w:trPr>
          <w:trHeight w:val="46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6C40AD0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4</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83C068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75</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01D2EFB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26.8</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1442F95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6863C7A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56F06FF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61037BE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25.1</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5DB5BA8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1FC1331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51D2E59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22BE5D3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75114143" w14:textId="77777777" w:rsidTr="005E5DB4">
        <w:trPr>
          <w:trHeight w:val="550"/>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741EB21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8A3A1E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51</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1888058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6.6</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3547B16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1A6D953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7901F57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5B32763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24.6</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39EE582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07B7A14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AB3494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3B1022B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5C182C85" w14:textId="77777777" w:rsidTr="005E5DB4">
        <w:trPr>
          <w:trHeight w:val="565"/>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3201A5A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43D748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56</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44AD207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45.7</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40C4180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10</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3DDA9C5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06AD4AC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411A16C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29.7</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20E86E0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0FD253B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2E37F4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3C95DBA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1151032D" w14:textId="77777777" w:rsidTr="005E5DB4">
        <w:trPr>
          <w:trHeight w:val="52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2670D38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16F49B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68</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356AE3D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17.2</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60B489F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091D020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38E281D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649C8FD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25.7</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654615E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4CC3E62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26099A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1EF3FD8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r w:rsidR="00BD011C" w:rsidRPr="00336B1F" w14:paraId="6F254E0D" w14:textId="77777777" w:rsidTr="005E5DB4">
        <w:trPr>
          <w:trHeight w:val="52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6BF3897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8EEB72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64</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78F57AA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15</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7C6E717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3404C41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35E4888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1B57079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21.6</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74CA6C6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14AD17F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F7C235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6864693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59CF2BF2" w14:textId="77777777" w:rsidTr="005E5DB4">
        <w:trPr>
          <w:trHeight w:val="580"/>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0530383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5E97A9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67</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09118A5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8.9</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00F4F30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501B97E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4D9F3C4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70D8606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22.1</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37F7763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2B7EB5F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3718392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37552DE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r w:rsidR="00BD011C" w:rsidRPr="00336B1F" w14:paraId="6360E7A9" w14:textId="77777777" w:rsidTr="005E5DB4">
        <w:trPr>
          <w:trHeight w:val="506"/>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7BD5B6C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10</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0D1142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60</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7FFE264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65.6</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541062E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13AE95A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2BB0E75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3CA6BD4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22.9</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63B7549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0B35B10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5D5108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79E8646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1D70717B" w14:textId="77777777" w:rsidTr="005E5DB4">
        <w:trPr>
          <w:trHeight w:val="506"/>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17A41E3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11</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E287D2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74</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4254F73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15.5</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509DA4F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4ACF893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16CF5D1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2C32327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28.3</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1CC6B82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0E9471F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6FE5B00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599DFFF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3C6A6F6D" w14:textId="77777777" w:rsidTr="005E5DB4">
        <w:trPr>
          <w:trHeight w:val="49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7DBE469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12</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7A7C11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73</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49A750E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11.6</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32D81EB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28200A8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7041D7E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2903BAF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26.9</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0F2862A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1B5E9BF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791CB5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4F31969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67457EEF" w14:textId="77777777" w:rsidTr="005E5DB4">
        <w:trPr>
          <w:trHeight w:val="52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5A41834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13</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E5572F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67</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4F27339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12.6</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2DF3BA0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7A341D3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3C50D6A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044806F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5A3FBE9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5A80968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21B9EC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48A7C53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bl>
    <w:p w14:paraId="70237A40" w14:textId="77777777" w:rsidR="00BD011C" w:rsidRDefault="00BD011C" w:rsidP="00BD011C">
      <w:pPr>
        <w:spacing w:after="160" w:line="360" w:lineRule="auto"/>
        <w:jc w:val="both"/>
        <w:rPr>
          <w:rFonts w:asciiTheme="minorHAnsi" w:hAnsiTheme="minorHAnsi" w:cstheme="minorHAnsi"/>
          <w:color w:val="000000" w:themeColor="text1"/>
          <w:sz w:val="24"/>
          <w:szCs w:val="24"/>
        </w:rPr>
      </w:pPr>
    </w:p>
    <w:p w14:paraId="2CD72B45" w14:textId="77777777" w:rsidR="00F54732" w:rsidRPr="00052F48" w:rsidRDefault="00F54732" w:rsidP="00BD011C">
      <w:pPr>
        <w:spacing w:after="160" w:line="360" w:lineRule="auto"/>
        <w:jc w:val="both"/>
        <w:rPr>
          <w:rFonts w:asciiTheme="minorHAnsi" w:hAnsiTheme="minorHAnsi" w:cstheme="minorHAnsi"/>
          <w:color w:val="000000" w:themeColor="text1"/>
          <w:sz w:val="24"/>
          <w:szCs w:val="24"/>
        </w:rPr>
      </w:pPr>
    </w:p>
    <w:tbl>
      <w:tblPr>
        <w:tblW w:w="9360" w:type="dxa"/>
        <w:shd w:val="clear" w:color="auto" w:fill="FFFFFF" w:themeFill="background1"/>
        <w:tblLook w:val="04A0" w:firstRow="1" w:lastRow="0" w:firstColumn="1" w:lastColumn="0" w:noHBand="0" w:noVBand="1"/>
      </w:tblPr>
      <w:tblGrid>
        <w:gridCol w:w="465"/>
        <w:gridCol w:w="499"/>
        <w:gridCol w:w="742"/>
        <w:gridCol w:w="858"/>
        <w:gridCol w:w="758"/>
        <w:gridCol w:w="927"/>
        <w:gridCol w:w="747"/>
        <w:gridCol w:w="923"/>
        <w:gridCol w:w="937"/>
        <w:gridCol w:w="1102"/>
        <w:gridCol w:w="1402"/>
      </w:tblGrid>
      <w:tr w:rsidR="00BD011C" w:rsidRPr="00336B1F" w14:paraId="312F189E" w14:textId="77777777" w:rsidTr="005E5DB4">
        <w:trPr>
          <w:trHeight w:val="300"/>
        </w:trPr>
        <w:tc>
          <w:tcPr>
            <w:tcW w:w="439" w:type="dxa"/>
            <w:tcBorders>
              <w:top w:val="nil"/>
              <w:left w:val="nil"/>
              <w:bottom w:val="single" w:sz="4" w:space="0" w:color="000000"/>
              <w:right w:val="nil"/>
            </w:tcBorders>
            <w:shd w:val="clear" w:color="auto" w:fill="FFFFFF" w:themeFill="background1"/>
          </w:tcPr>
          <w:p w14:paraId="1C15EAE1" w14:textId="77777777" w:rsidR="00BD011C" w:rsidRPr="00F54732" w:rsidRDefault="00BD011C" w:rsidP="00F54732">
            <w:pPr>
              <w:rPr>
                <w:rFonts w:asciiTheme="minorHAnsi" w:hAnsiTheme="minorHAnsi" w:cstheme="minorHAnsi"/>
                <w:sz w:val="24"/>
                <w:szCs w:val="24"/>
              </w:rPr>
            </w:pPr>
          </w:p>
        </w:tc>
        <w:tc>
          <w:tcPr>
            <w:tcW w:w="8921" w:type="dxa"/>
            <w:gridSpan w:val="10"/>
            <w:tcBorders>
              <w:top w:val="nil"/>
              <w:left w:val="nil"/>
              <w:bottom w:val="single" w:sz="4" w:space="0" w:color="000000"/>
              <w:right w:val="nil"/>
            </w:tcBorders>
            <w:shd w:val="clear" w:color="auto" w:fill="FFFFFF" w:themeFill="background1"/>
            <w:noWrap/>
            <w:vAlign w:val="bottom"/>
            <w:hideMark/>
          </w:tcPr>
          <w:p w14:paraId="0FE07682" w14:textId="33294051" w:rsidR="00BD011C" w:rsidRPr="00F54732" w:rsidRDefault="009E592F" w:rsidP="00F54732">
            <w:pPr>
              <w:rPr>
                <w:rFonts w:asciiTheme="minorHAnsi" w:hAnsiTheme="minorHAnsi" w:cstheme="minorHAnsi"/>
                <w:sz w:val="24"/>
                <w:szCs w:val="24"/>
              </w:rPr>
            </w:pPr>
            <w:r w:rsidRPr="009E592F">
              <w:rPr>
                <w:rFonts w:asciiTheme="minorHAnsi" w:hAnsiTheme="minorHAnsi" w:cstheme="minorHAnsi"/>
                <w:sz w:val="24"/>
                <w:szCs w:val="24"/>
              </w:rPr>
              <w:t xml:space="preserve">List </w:t>
            </w:r>
            <w:r>
              <w:rPr>
                <w:rFonts w:asciiTheme="minorHAnsi" w:hAnsiTheme="minorHAnsi" w:cstheme="minorHAnsi"/>
                <w:sz w:val="24"/>
                <w:szCs w:val="24"/>
              </w:rPr>
              <w:t xml:space="preserve"> 2-</w:t>
            </w:r>
            <w:r w:rsidR="00BD011C" w:rsidRPr="00F54732">
              <w:rPr>
                <w:rFonts w:asciiTheme="minorHAnsi" w:hAnsiTheme="minorHAnsi" w:cstheme="minorHAnsi"/>
                <w:sz w:val="24"/>
                <w:szCs w:val="24"/>
              </w:rPr>
              <w:t>Prostate Cancer Data from DELSUTH, Oghara</w:t>
            </w:r>
          </w:p>
        </w:tc>
      </w:tr>
      <w:tr w:rsidR="00BD011C" w:rsidRPr="00336B1F" w14:paraId="517BB4A7" w14:textId="77777777" w:rsidTr="005E5DB4">
        <w:trPr>
          <w:trHeight w:val="439"/>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76D0327F"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S/N</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C2E2ED2"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Age</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02C6EB5C"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PSA Level (ng/mL)</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243FDD53"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Gleason Score</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411A75C6"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TNM Stage</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2F24F563"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Family History</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37E6A33E"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BMI (kg/m2)</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261157EB"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Dietary Pattern</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02669669"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Smoking Status</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34A4EAED"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Alcohol Consumption</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35D54318"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Treatment Modality</w:t>
            </w:r>
          </w:p>
        </w:tc>
      </w:tr>
      <w:tr w:rsidR="00BD011C" w:rsidRPr="00336B1F" w14:paraId="2A3A73F3"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11CE48B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1C7F9A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60</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5FC17AD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72.2</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1C91AD7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1BB9A77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3C5B7C1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1CB5619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28.1</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756DBDC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0E15CED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75ADB2D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23B3226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Chemotherapy</w:t>
            </w:r>
          </w:p>
        </w:tc>
      </w:tr>
      <w:tr w:rsidR="00BD011C" w:rsidRPr="00336B1F" w14:paraId="71DC2B6A"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1F7EF82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503104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69</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4194C71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3.3</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03A69FE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2A509BD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7177287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0357971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29.4</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524C735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59F0F77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0C517E0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2D5D5D9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0917AB34"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267A7F3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lastRenderedPageBreak/>
              <w:t>3</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470193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66</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1B83DC2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73.4</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2CA0713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22254B8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0BCEC15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15DB53B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27.7</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1A28312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12F3A26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7AA2A7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462B603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r w:rsidR="00BD011C" w:rsidRPr="00336B1F" w14:paraId="79F35214"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6C0F8F5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4</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BFB690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66</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66F8283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8.9</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592B086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62EDB25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53DF1DB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318440E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24.6</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39BB0A6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578AF08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08394B9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1915F20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5AC22E88"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06A0D16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28E84A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69</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10830C6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6.1</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0E7E8A5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278D8EF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7CB3248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7F8E083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27.4</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06DF164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37658C7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DCA645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6877E61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Chemotherapy</w:t>
            </w:r>
          </w:p>
        </w:tc>
      </w:tr>
      <w:tr w:rsidR="00BD011C" w:rsidRPr="00336B1F" w14:paraId="30D55335"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66800A1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911249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72</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01B6CE0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14.2</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5D0B2D2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10CFEAA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13696C4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4E6B72F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30.2</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0B26A77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64F3D82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79B8FC8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48BDB4F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7A17FA5A"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02E5F76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B516B3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68</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0D8AB7F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24.9</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1DC00B7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10</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6B84CFC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6124400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46B8A5C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28.3</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34BDAD3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6BAA3D7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7D03EF9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1B0A6D8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7A42AADB"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04EC3EA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62BDB7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68</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0B8E4AE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52.4</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6CDD4E0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0107138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0785B3E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2F53A12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30.3</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365A1A4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39AF652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8C890A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6161A6A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2E649E74"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6AA1861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1A3492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57</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00391FC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352</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2A83DB6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1F8498F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3CEC495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4FC5744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25.9</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6509B48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4060AEB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581B510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2AFFB23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34E72E1E"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651FA40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10</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9E3885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72</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78F334F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3.9</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2544F2F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612A40A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2CFF2CB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546377D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29.7</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06F8792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054B7F3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3C5B47F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14E51F1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02A43553"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23E1108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11</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C44373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64</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300795A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12.4</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2E04B22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053392D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2695ABB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56EA0C6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29.1</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6BEAEC1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2E6F0C7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753CEA7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3CFAF56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06D3BC7C"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709E75A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12</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A13C8C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75</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340B687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27</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34B3911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67D1325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5F84DC1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06FB555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24.4</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7304AF6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15CB193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B92BEA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37A9C41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bl>
    <w:p w14:paraId="03F2A1A4" w14:textId="77777777" w:rsidR="00BD011C" w:rsidRPr="00052F48" w:rsidRDefault="00BD011C" w:rsidP="00BD011C">
      <w:pPr>
        <w:spacing w:after="160" w:line="360" w:lineRule="auto"/>
        <w:jc w:val="both"/>
        <w:rPr>
          <w:rFonts w:asciiTheme="minorHAnsi" w:hAnsiTheme="minorHAnsi" w:cstheme="minorHAnsi"/>
          <w:color w:val="000000" w:themeColor="text1"/>
          <w:sz w:val="24"/>
          <w:szCs w:val="24"/>
        </w:rPr>
      </w:pPr>
    </w:p>
    <w:tbl>
      <w:tblPr>
        <w:tblW w:w="9472" w:type="dxa"/>
        <w:shd w:val="clear" w:color="auto" w:fill="FFFFFF" w:themeFill="background1"/>
        <w:tblLook w:val="04A0" w:firstRow="1" w:lastRow="0" w:firstColumn="1" w:lastColumn="0" w:noHBand="0" w:noVBand="1"/>
      </w:tblPr>
      <w:tblGrid>
        <w:gridCol w:w="492"/>
        <w:gridCol w:w="509"/>
        <w:gridCol w:w="811"/>
        <w:gridCol w:w="882"/>
        <w:gridCol w:w="717"/>
        <w:gridCol w:w="925"/>
        <w:gridCol w:w="840"/>
        <w:gridCol w:w="879"/>
        <w:gridCol w:w="856"/>
        <w:gridCol w:w="1197"/>
        <w:gridCol w:w="1364"/>
      </w:tblGrid>
      <w:tr w:rsidR="00BD011C" w:rsidRPr="00336B1F" w14:paraId="618FA5B3" w14:textId="77777777" w:rsidTr="005E5DB4">
        <w:trPr>
          <w:trHeight w:val="306"/>
        </w:trPr>
        <w:tc>
          <w:tcPr>
            <w:tcW w:w="4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2FB3B9" w14:textId="77777777" w:rsidR="00BD011C" w:rsidRPr="00336B1F" w:rsidRDefault="00BD011C" w:rsidP="005E5DB4">
            <w:pPr>
              <w:rPr>
                <w:rFonts w:asciiTheme="minorHAnsi" w:hAnsiTheme="minorHAnsi" w:cstheme="minorHAnsi"/>
                <w:sz w:val="16"/>
                <w:szCs w:val="16"/>
              </w:rPr>
            </w:pPr>
            <w:r w:rsidRPr="00336B1F">
              <w:rPr>
                <w:rFonts w:asciiTheme="minorHAnsi" w:hAnsiTheme="minorHAnsi" w:cstheme="minorHAnsi"/>
                <w:sz w:val="16"/>
                <w:szCs w:val="16"/>
              </w:rPr>
              <w:t> </w:t>
            </w:r>
          </w:p>
        </w:tc>
        <w:tc>
          <w:tcPr>
            <w:tcW w:w="8980" w:type="dxa"/>
            <w:gridSpan w:val="10"/>
            <w:tcBorders>
              <w:top w:val="single" w:sz="4" w:space="0" w:color="auto"/>
              <w:left w:val="nil"/>
              <w:bottom w:val="single" w:sz="4" w:space="0" w:color="auto"/>
              <w:right w:val="single" w:sz="4" w:space="0" w:color="auto"/>
            </w:tcBorders>
            <w:shd w:val="clear" w:color="auto" w:fill="FFFFFF" w:themeFill="background1"/>
            <w:vAlign w:val="bottom"/>
            <w:hideMark/>
          </w:tcPr>
          <w:p w14:paraId="570E7AF3" w14:textId="1545E5AF" w:rsidR="00BD011C" w:rsidRPr="00F54732" w:rsidRDefault="009E592F" w:rsidP="00F54732">
            <w:pPr>
              <w:rPr>
                <w:rFonts w:asciiTheme="minorHAnsi" w:hAnsiTheme="minorHAnsi" w:cstheme="minorHAnsi"/>
                <w:sz w:val="24"/>
                <w:szCs w:val="24"/>
              </w:rPr>
            </w:pPr>
            <w:r w:rsidRPr="009E592F">
              <w:rPr>
                <w:rFonts w:asciiTheme="minorHAnsi" w:hAnsiTheme="minorHAnsi" w:cstheme="minorHAnsi"/>
                <w:sz w:val="24"/>
                <w:szCs w:val="24"/>
              </w:rPr>
              <w:t xml:space="preserve">List </w:t>
            </w:r>
            <w:r>
              <w:rPr>
                <w:rFonts w:asciiTheme="minorHAnsi" w:hAnsiTheme="minorHAnsi" w:cstheme="minorHAnsi"/>
                <w:sz w:val="24"/>
                <w:szCs w:val="24"/>
              </w:rPr>
              <w:t xml:space="preserve"> 3-</w:t>
            </w:r>
            <w:r w:rsidR="00BD011C" w:rsidRPr="00F54732">
              <w:rPr>
                <w:rFonts w:asciiTheme="minorHAnsi" w:hAnsiTheme="minorHAnsi" w:cstheme="minorHAnsi"/>
                <w:sz w:val="24"/>
                <w:szCs w:val="24"/>
              </w:rPr>
              <w:t>Prostate Cancer Data from Delta State University Teaching Hospital, Warri</w:t>
            </w:r>
          </w:p>
        </w:tc>
      </w:tr>
      <w:tr w:rsidR="00BD011C" w:rsidRPr="00336B1F" w14:paraId="7A4A4DA1" w14:textId="77777777" w:rsidTr="005E5DB4">
        <w:trPr>
          <w:trHeight w:val="448"/>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D4B3AB" w14:textId="77777777" w:rsidR="00BD011C" w:rsidRPr="00336B1F" w:rsidRDefault="00BD011C" w:rsidP="005E5DB4">
            <w:pPr>
              <w:rPr>
                <w:rFonts w:asciiTheme="minorHAnsi" w:hAnsiTheme="minorHAnsi" w:cstheme="minorHAnsi"/>
                <w:sz w:val="16"/>
                <w:szCs w:val="16"/>
              </w:rPr>
            </w:pPr>
            <w:r w:rsidRPr="00336B1F">
              <w:rPr>
                <w:rFonts w:asciiTheme="minorHAnsi" w:hAnsiTheme="minorHAnsi" w:cstheme="minorHAnsi"/>
                <w:sz w:val="16"/>
                <w:szCs w:val="16"/>
              </w:rPr>
              <w:t>S/N</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20FD99B0"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Age</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3BFDC45D"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PSA Level (ng/mL)</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1162EBF2"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Gleason Score</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1B025352"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TNM Stage</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4343314D"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Family History</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3C73FE0"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BMI (kg/m2)</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0DEA333E"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Dietary Pattern</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6CBC9435"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Smoking Status</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198EA86C"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Alcohol Consumption</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10DFF1C2"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Treatment Modality</w:t>
            </w:r>
          </w:p>
        </w:tc>
      </w:tr>
      <w:tr w:rsidR="00BD011C" w:rsidRPr="00336B1F" w14:paraId="7B954672"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91157F"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1</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4BF2744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58</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2F641BD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12.3</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2E8CE29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6DDDB2B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6D1EEE7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56AF94D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27.4</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28EEB45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6888F6B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696EDD5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5D2F532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Chemotherapy</w:t>
            </w:r>
          </w:p>
        </w:tc>
      </w:tr>
      <w:tr w:rsidR="00BD011C" w:rsidRPr="00336B1F" w14:paraId="315A3166"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BC705D"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2</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602F577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55</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133AFBC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74.9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58D98D5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2D10BF4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76865A0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1B39E0C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31.2</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1671A29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2077425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1A38C20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0E781F6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r w:rsidR="00BD011C" w:rsidRPr="00336B1F" w14:paraId="1C62BDEA" w14:textId="77777777" w:rsidTr="005E5DB4">
        <w:trPr>
          <w:trHeight w:val="505"/>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25F49D"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3</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07260DB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63</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59E907D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6.1</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5BDF6FB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25CDB5C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5FC3FF5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D26A6B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32.2</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4ED6574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0FDE28D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58D26E5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1BE0DBF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r w:rsidR="00BD011C" w:rsidRPr="00336B1F" w14:paraId="34CF1C9D" w14:textId="77777777" w:rsidTr="005E5DB4">
        <w:trPr>
          <w:trHeight w:val="444"/>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1C7C2C"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4</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46D4665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63</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5D6821C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17</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7EE5A6C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4B3B794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43A79A8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FE0778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29.7</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31553B6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2DD47FF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4C3ECEC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208F4EC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27792DFC"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897C78"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5</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1D78BB5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59</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3BB8F2B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41435F9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50B633C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78ECA3D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2957684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30.3</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1948EDC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1DD6875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4A1205B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30722EC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09406B46" w14:textId="77777777" w:rsidTr="005E5DB4">
        <w:trPr>
          <w:trHeight w:val="414"/>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E5DE08"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6</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0383CFA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64</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72C2A93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11.9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30E2718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7A29497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1CF5224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3306D3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30.8</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73DB6B2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43AB185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15D138D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167E604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Active Surveillance</w:t>
            </w:r>
          </w:p>
        </w:tc>
      </w:tr>
      <w:tr w:rsidR="00BD011C" w:rsidRPr="00336B1F" w14:paraId="4FE342B9" w14:textId="77777777" w:rsidTr="005E5DB4">
        <w:trPr>
          <w:trHeight w:val="444"/>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6009FD"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7</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0A6BF32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65</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6A5CA4A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15.9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7F260B1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71852CF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1D1A692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1941C9C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21.9</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0BE6966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2824053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08E80F9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49AB68E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16DBBEE8" w14:textId="77777777" w:rsidTr="005E5DB4">
        <w:trPr>
          <w:trHeight w:val="475"/>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839BE1"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8</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3FFFFD6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50</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5AAA0DA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30.2</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48DA64F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7D60DC8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07FA189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208E2D0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18</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0961322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70CE54F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369D79A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52515FF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2C3A5EE6"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378FE5"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9</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7997EDD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57</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548C9DB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318C118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65897F3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66E382D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411FE5C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22.5</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7FBEAB1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50B6096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7293F7C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3194958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r w:rsidR="00BD011C" w:rsidRPr="00336B1F" w14:paraId="5DDAE118"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577020"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10</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73755BE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65</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7853BCC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464.4</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3F7E14E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62F4D06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64ED2F7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A425C0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29.1</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5ED0EE5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1054D7E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21EC61C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047028D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Radiation Therapy</w:t>
            </w:r>
          </w:p>
        </w:tc>
      </w:tr>
      <w:tr w:rsidR="00BD011C" w:rsidRPr="00336B1F" w14:paraId="5172C1CC" w14:textId="77777777" w:rsidTr="005E5DB4">
        <w:trPr>
          <w:trHeight w:val="475"/>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FA49A2"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11</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0CE7A59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58</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2DC9691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25.1</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22D1E7F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69BC6FD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7D1BF3D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46612F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30.6</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4AF2467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4B8596D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5EF9D4D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3166D7D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bl>
    <w:p w14:paraId="3A818A86" w14:textId="77777777" w:rsidR="00BD011C" w:rsidRPr="00052F48" w:rsidRDefault="00BD011C" w:rsidP="00BD011C">
      <w:pPr>
        <w:spacing w:after="160" w:line="360" w:lineRule="auto"/>
        <w:jc w:val="both"/>
        <w:rPr>
          <w:rFonts w:asciiTheme="minorHAnsi" w:hAnsiTheme="minorHAnsi" w:cstheme="minorHAnsi"/>
          <w:color w:val="000000" w:themeColor="text1"/>
          <w:sz w:val="24"/>
          <w:szCs w:val="24"/>
        </w:rPr>
      </w:pPr>
    </w:p>
    <w:tbl>
      <w:tblPr>
        <w:tblW w:w="9504" w:type="dxa"/>
        <w:shd w:val="clear" w:color="auto" w:fill="FFFFFF" w:themeFill="background1"/>
        <w:tblLook w:val="04A0" w:firstRow="1" w:lastRow="0" w:firstColumn="1" w:lastColumn="0" w:noHBand="0" w:noVBand="1"/>
      </w:tblPr>
      <w:tblGrid>
        <w:gridCol w:w="473"/>
        <w:gridCol w:w="569"/>
        <w:gridCol w:w="840"/>
        <w:gridCol w:w="806"/>
        <w:gridCol w:w="764"/>
        <w:gridCol w:w="888"/>
        <w:gridCol w:w="914"/>
        <w:gridCol w:w="782"/>
        <w:gridCol w:w="918"/>
        <w:gridCol w:w="1214"/>
        <w:gridCol w:w="1336"/>
      </w:tblGrid>
      <w:tr w:rsidR="00BD011C" w:rsidRPr="00336B1F" w14:paraId="5FB82A5E" w14:textId="77777777" w:rsidTr="005E5DB4">
        <w:trPr>
          <w:trHeight w:val="304"/>
        </w:trPr>
        <w:tc>
          <w:tcPr>
            <w:tcW w:w="9504"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6AC013C" w14:textId="7CB00409" w:rsidR="00BD011C" w:rsidRPr="00F54732" w:rsidRDefault="009E592F" w:rsidP="00F54732">
            <w:pPr>
              <w:rPr>
                <w:rFonts w:asciiTheme="minorHAnsi" w:hAnsiTheme="minorHAnsi" w:cstheme="minorHAnsi"/>
                <w:sz w:val="24"/>
                <w:szCs w:val="24"/>
              </w:rPr>
            </w:pPr>
            <w:r w:rsidRPr="009E592F">
              <w:rPr>
                <w:rFonts w:asciiTheme="minorHAnsi" w:hAnsiTheme="minorHAnsi" w:cstheme="minorHAnsi"/>
                <w:sz w:val="24"/>
                <w:szCs w:val="24"/>
              </w:rPr>
              <w:t xml:space="preserve">List </w:t>
            </w:r>
            <w:r>
              <w:rPr>
                <w:rFonts w:asciiTheme="minorHAnsi" w:hAnsiTheme="minorHAnsi" w:cstheme="minorHAnsi"/>
                <w:sz w:val="24"/>
                <w:szCs w:val="24"/>
              </w:rPr>
              <w:t xml:space="preserve"> 4--</w:t>
            </w:r>
            <w:r w:rsidR="00BD011C" w:rsidRPr="00F54732">
              <w:rPr>
                <w:rFonts w:asciiTheme="minorHAnsi" w:hAnsiTheme="minorHAnsi" w:cstheme="minorHAnsi"/>
                <w:sz w:val="24"/>
                <w:szCs w:val="24"/>
              </w:rPr>
              <w:t>Prostate Cancer Patient Data from Sapele General Hospital</w:t>
            </w:r>
          </w:p>
        </w:tc>
      </w:tr>
      <w:tr w:rsidR="00BD011C" w:rsidRPr="00336B1F" w14:paraId="76312A4A" w14:textId="77777777" w:rsidTr="005E5DB4">
        <w:trPr>
          <w:trHeight w:val="445"/>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373E549B" w14:textId="77777777" w:rsidR="00BD011C" w:rsidRPr="00336B1F" w:rsidRDefault="00BD011C" w:rsidP="005E5DB4">
            <w:pPr>
              <w:rPr>
                <w:rFonts w:asciiTheme="minorHAnsi" w:hAnsiTheme="minorHAnsi" w:cstheme="minorHAnsi"/>
                <w:sz w:val="16"/>
                <w:szCs w:val="16"/>
              </w:rPr>
            </w:pPr>
            <w:r w:rsidRPr="00336B1F">
              <w:rPr>
                <w:rFonts w:asciiTheme="minorHAnsi" w:hAnsiTheme="minorHAnsi" w:cstheme="minorHAnsi"/>
                <w:sz w:val="16"/>
                <w:szCs w:val="16"/>
              </w:rPr>
              <w:t>S/N</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6D408CD5"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Age</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6067AF01"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PSA Level (ng/mL)</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04B19B4C"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Gleason Score</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2C9F7599"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TNM Stage</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7C6F30E4"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Family History</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50B39184"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BMI (kg/m2)</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13E24401"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Dietary Pattern</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6A57A60A"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Smoking Status</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3F89B901"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Alcohol Consumption</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218B405E" w14:textId="77777777" w:rsidR="00BD011C" w:rsidRPr="00336B1F" w:rsidRDefault="00BD011C" w:rsidP="005E5DB4">
            <w:pPr>
              <w:jc w:val="center"/>
              <w:rPr>
                <w:rFonts w:asciiTheme="minorHAnsi" w:hAnsiTheme="minorHAnsi" w:cstheme="minorHAnsi"/>
                <w:b/>
                <w:bCs/>
                <w:sz w:val="16"/>
                <w:szCs w:val="16"/>
              </w:rPr>
            </w:pPr>
            <w:r w:rsidRPr="00336B1F">
              <w:rPr>
                <w:rFonts w:asciiTheme="minorHAnsi" w:hAnsiTheme="minorHAnsi" w:cstheme="minorHAnsi"/>
                <w:b/>
                <w:bCs/>
                <w:sz w:val="16"/>
                <w:szCs w:val="16"/>
              </w:rPr>
              <w:t>Treatment Modality</w:t>
            </w:r>
          </w:p>
        </w:tc>
      </w:tr>
      <w:tr w:rsidR="00BD011C" w:rsidRPr="00336B1F" w14:paraId="670817C2" w14:textId="77777777" w:rsidTr="005E5DB4">
        <w:trPr>
          <w:trHeight w:val="50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57305869"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1</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74BC93F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59</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185C3E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29.1</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03B82B2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4B5BB17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17B4CA3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0DBF0E6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25</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75985E8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716E79F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3648EEC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26FD85F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3F9D55A3" w14:textId="77777777" w:rsidTr="005E5DB4">
        <w:trPr>
          <w:trHeight w:val="47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3C8469EF"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lastRenderedPageBreak/>
              <w:t>2</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3EE0C45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67</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4FD971F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9.6</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63F5A5D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61E8CB4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3ACC35C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4737968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23.2</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3A96188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2B37ACF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11F342D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3C590EE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3FD110B5" w14:textId="77777777" w:rsidTr="005E5DB4">
        <w:trPr>
          <w:trHeight w:val="47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11EB1E04"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3</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03EB441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72</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39FE88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5.3</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58A7F8B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10</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3EFCE8D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077D0C3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634B90B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24.9</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64FAE54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083A2B1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3A92B19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28B4EC1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Chemotherapy</w:t>
            </w:r>
          </w:p>
        </w:tc>
      </w:tr>
      <w:tr w:rsidR="00BD011C" w:rsidRPr="00336B1F" w14:paraId="2B1CCA67" w14:textId="77777777" w:rsidTr="005E5DB4">
        <w:trPr>
          <w:trHeight w:val="486"/>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527AC300"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4</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4A97A94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53</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745A6D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30</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061E59B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5565035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1F3D36F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0A722A8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27</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58D52DA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0544CED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3BBEBA0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1EF4A9A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Active Surveillance</w:t>
            </w:r>
          </w:p>
        </w:tc>
      </w:tr>
      <w:tr w:rsidR="00BD011C" w:rsidRPr="00336B1F" w14:paraId="37DECA81" w14:textId="77777777" w:rsidTr="005E5DB4">
        <w:trPr>
          <w:trHeight w:val="532"/>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0A8D9262"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5</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74357F9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55</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436C69F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40.1</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312B20A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9</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5E903EF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5ECB9E0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447B7E9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30.3</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50B52CB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518166F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6C57B63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7BF66DC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Chemotherapy</w:t>
            </w:r>
          </w:p>
        </w:tc>
      </w:tr>
      <w:tr w:rsidR="00BD011C" w:rsidRPr="00336B1F" w14:paraId="14C8DC7E" w14:textId="77777777" w:rsidTr="005E5DB4">
        <w:trPr>
          <w:trHeight w:val="456"/>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790B94E5"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6</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4C5C13D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59</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371383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16.6</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2986FA3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3A39CE19"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56A45EC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7AD6213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24.7</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03C4F1A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35786AC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Never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67A4B0C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341E986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r w:rsidR="00BD011C" w:rsidRPr="00336B1F" w14:paraId="33E47E4C" w14:textId="77777777" w:rsidTr="005E5DB4">
        <w:trPr>
          <w:trHeight w:val="517"/>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78BF8F08"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7</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67DF2E2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75</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7F9642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2.3</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358426E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29D533C7"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IV</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7330142F"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16834670"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23.7</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4531F7C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28FC476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714BB1F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7FF6A35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Hormonal Therapy</w:t>
            </w:r>
          </w:p>
        </w:tc>
      </w:tr>
      <w:tr w:rsidR="00BD011C" w:rsidRPr="00336B1F" w14:paraId="464497F0" w14:textId="77777777" w:rsidTr="005E5DB4">
        <w:trPr>
          <w:trHeight w:val="47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5FCDE6AD"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8</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7917561B"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76</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F4F532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23.9</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7135D70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7</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398836C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39A9A84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3CA9E35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18.5</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5C8467BC"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5E8C884A"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Current</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5055556D"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74BB0891"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Palliative Care</w:t>
            </w:r>
          </w:p>
        </w:tc>
      </w:tr>
      <w:tr w:rsidR="00BD011C" w:rsidRPr="00336B1F" w14:paraId="30B7BB8D" w14:textId="77777777" w:rsidTr="005E5DB4">
        <w:trPr>
          <w:trHeight w:val="50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5085B65E" w14:textId="77777777" w:rsidR="00BD011C" w:rsidRPr="00336B1F" w:rsidRDefault="00BD011C" w:rsidP="005E5DB4">
            <w:pPr>
              <w:jc w:val="right"/>
              <w:rPr>
                <w:rFonts w:asciiTheme="minorHAnsi" w:hAnsiTheme="minorHAnsi" w:cstheme="minorHAnsi"/>
                <w:sz w:val="16"/>
                <w:szCs w:val="16"/>
              </w:rPr>
            </w:pPr>
            <w:r w:rsidRPr="00336B1F">
              <w:rPr>
                <w:rFonts w:asciiTheme="minorHAnsi" w:hAnsiTheme="minorHAnsi" w:cstheme="minorHAnsi"/>
                <w:sz w:val="16"/>
                <w:szCs w:val="16"/>
              </w:rPr>
              <w:t>9</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34B2085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69</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2CF7DE4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20.7</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3C174BB8"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8</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64C0AA55"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Stage 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4E536C93"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Yes</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71791A3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31</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4DF0AA5E"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High-fat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24C4BD14"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Former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2A967572"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No</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69244D56" w14:textId="77777777" w:rsidR="00BD011C" w:rsidRPr="00336B1F" w:rsidRDefault="00BD011C" w:rsidP="005E5DB4">
            <w:pPr>
              <w:jc w:val="center"/>
              <w:rPr>
                <w:rFonts w:asciiTheme="minorHAnsi" w:hAnsiTheme="minorHAnsi" w:cstheme="minorHAnsi"/>
                <w:sz w:val="16"/>
                <w:szCs w:val="16"/>
              </w:rPr>
            </w:pPr>
            <w:r w:rsidRPr="00336B1F">
              <w:rPr>
                <w:rFonts w:asciiTheme="minorHAnsi" w:hAnsiTheme="minorHAnsi" w:cstheme="minorHAnsi"/>
                <w:sz w:val="16"/>
                <w:szCs w:val="16"/>
              </w:rPr>
              <w:t>Radical Prostatectomy</w:t>
            </w:r>
          </w:p>
        </w:tc>
      </w:tr>
    </w:tbl>
    <w:p w14:paraId="13A2EBDD" w14:textId="77777777" w:rsidR="00BD011C" w:rsidRPr="00052F48" w:rsidRDefault="00BD011C" w:rsidP="00BD011C">
      <w:pPr>
        <w:spacing w:after="160" w:line="360" w:lineRule="auto"/>
        <w:jc w:val="both"/>
        <w:rPr>
          <w:rFonts w:asciiTheme="minorHAnsi" w:hAnsiTheme="minorHAnsi" w:cstheme="minorHAnsi"/>
          <w:color w:val="000000" w:themeColor="text1"/>
          <w:sz w:val="24"/>
          <w:szCs w:val="24"/>
        </w:rPr>
      </w:pPr>
    </w:p>
    <w:tbl>
      <w:tblPr>
        <w:tblW w:w="9380" w:type="dxa"/>
        <w:shd w:val="clear" w:color="auto" w:fill="FFFFFF" w:themeFill="background1"/>
        <w:tblLook w:val="04A0" w:firstRow="1" w:lastRow="0" w:firstColumn="1" w:lastColumn="0" w:noHBand="0" w:noVBand="1"/>
      </w:tblPr>
      <w:tblGrid>
        <w:gridCol w:w="515"/>
        <w:gridCol w:w="533"/>
        <w:gridCol w:w="876"/>
        <w:gridCol w:w="887"/>
        <w:gridCol w:w="675"/>
        <w:gridCol w:w="814"/>
        <w:gridCol w:w="882"/>
        <w:gridCol w:w="839"/>
        <w:gridCol w:w="929"/>
        <w:gridCol w:w="1328"/>
        <w:gridCol w:w="1410"/>
      </w:tblGrid>
      <w:tr w:rsidR="00BD011C" w:rsidRPr="00336B1F" w14:paraId="501610D0" w14:textId="77777777" w:rsidTr="005E5DB4">
        <w:trPr>
          <w:trHeight w:val="300"/>
        </w:trPr>
        <w:tc>
          <w:tcPr>
            <w:tcW w:w="938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C3F3661" w14:textId="4EDB2DA2" w:rsidR="00BD011C" w:rsidRPr="00F54732" w:rsidRDefault="009E592F" w:rsidP="00F54732">
            <w:pPr>
              <w:rPr>
                <w:rFonts w:asciiTheme="minorHAnsi" w:hAnsiTheme="minorHAnsi" w:cstheme="minorHAnsi"/>
                <w:sz w:val="24"/>
                <w:szCs w:val="24"/>
              </w:rPr>
            </w:pPr>
            <w:r w:rsidRPr="009E592F">
              <w:rPr>
                <w:rFonts w:asciiTheme="minorHAnsi" w:hAnsiTheme="minorHAnsi" w:cstheme="minorHAnsi"/>
                <w:sz w:val="24"/>
                <w:szCs w:val="24"/>
              </w:rPr>
              <w:t xml:space="preserve">List </w:t>
            </w:r>
            <w:r>
              <w:rPr>
                <w:rFonts w:asciiTheme="minorHAnsi" w:hAnsiTheme="minorHAnsi" w:cstheme="minorHAnsi"/>
                <w:sz w:val="24"/>
                <w:szCs w:val="24"/>
              </w:rPr>
              <w:t xml:space="preserve"> 5-</w:t>
            </w:r>
            <w:r w:rsidR="00BD011C" w:rsidRPr="00F54732">
              <w:rPr>
                <w:rFonts w:asciiTheme="minorHAnsi" w:hAnsiTheme="minorHAnsi" w:cstheme="minorHAnsi"/>
                <w:sz w:val="24"/>
                <w:szCs w:val="24"/>
              </w:rPr>
              <w:t>Prostate Cancer Patient Data from Udu General Hospital</w:t>
            </w:r>
          </w:p>
        </w:tc>
      </w:tr>
      <w:tr w:rsidR="00BD011C" w:rsidRPr="00336B1F" w14:paraId="15668FE3" w14:textId="77777777" w:rsidTr="005E5DB4">
        <w:trPr>
          <w:trHeight w:val="439"/>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98FD2DA" w14:textId="77777777" w:rsidR="00BD011C" w:rsidRPr="00336B1F" w:rsidRDefault="00BD011C" w:rsidP="005E5DB4">
            <w:pPr>
              <w:rPr>
                <w:rFonts w:asciiTheme="minorHAnsi" w:hAnsiTheme="minorHAnsi" w:cstheme="minorHAnsi"/>
              </w:rPr>
            </w:pPr>
            <w:r w:rsidRPr="00336B1F">
              <w:rPr>
                <w:rFonts w:asciiTheme="minorHAnsi" w:hAnsiTheme="minorHAnsi" w:cstheme="minorHAnsi"/>
              </w:rPr>
              <w:t>S/N</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1D98E67D"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Age</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DCF1577"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PSA Level (ng/mL)</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5C7737B7"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Gleason Score</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64A15E3D"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TNM Stage</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1DA9468B"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Family History</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2040A0F"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BMI (kg/m2)</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70028078"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Dietary Pattern</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2B075D14"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Smoking Status</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48A9ECF"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Alcohol Consumption</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64FB3D2B"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Treatment Modality</w:t>
            </w:r>
          </w:p>
        </w:tc>
      </w:tr>
      <w:tr w:rsidR="00BD011C" w:rsidRPr="00336B1F" w14:paraId="5115B7F0" w14:textId="77777777" w:rsidTr="005E5DB4">
        <w:trPr>
          <w:trHeight w:val="465"/>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1AAAB535"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1</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21F67F8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81</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8865C1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45.1</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2588C61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9</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B24160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IV</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026D004E"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2AB15EF1"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24.4</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71941CA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5A1BAF4C"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Former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320C9D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4BECA8D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Radical Prostatectomy</w:t>
            </w:r>
          </w:p>
        </w:tc>
      </w:tr>
      <w:tr w:rsidR="00BD011C" w:rsidRPr="00336B1F" w14:paraId="45C8A91C"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93E53BE"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2</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771F8CE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75</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106D041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22.2</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4143749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6</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53DDD86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00C466D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9AA74D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29.3</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6B51260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232DFD8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Former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6631D3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1365DC7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Active Surveillance</w:t>
            </w:r>
          </w:p>
        </w:tc>
      </w:tr>
      <w:tr w:rsidR="00BD011C" w:rsidRPr="00336B1F" w14:paraId="3D23963B"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3E0C811F"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3</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00C255F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76</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3A686DB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14.4</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53462441"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8</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44E9B2F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5482C5E1"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37EE2C05"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24.6</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471B892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Low-fat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669154E"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Never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863020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59521605"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Hormonal Therapy</w:t>
            </w:r>
          </w:p>
        </w:tc>
      </w:tr>
      <w:tr w:rsidR="00BD011C" w:rsidRPr="00336B1F" w14:paraId="34A8A2ED"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19473C2A"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4</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5CDBCBD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59</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77287E0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3.6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777BAD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7747C44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174314B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37EA0C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35</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BEB96A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7FFC87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Former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AB9FC0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4C069C5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Radical Prostatectomy</w:t>
            </w:r>
          </w:p>
        </w:tc>
      </w:tr>
      <w:tr w:rsidR="00BD011C" w:rsidRPr="00336B1F" w14:paraId="10269B76"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47F3876"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5</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5FA5E2F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62</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7A008D8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125.8</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024304B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9</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60186D4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2425B26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553A40A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28.5</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36CF570E"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4B4B8EC0"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Never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2CB02D5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7DC881C0"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Radical Prostatectomy</w:t>
            </w:r>
          </w:p>
        </w:tc>
      </w:tr>
      <w:tr w:rsidR="00BD011C" w:rsidRPr="00336B1F" w14:paraId="449F2800"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3426C952"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6</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4F062541"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61</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39D01FF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3.9</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0067B335"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2552B59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710E658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505A19A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24</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B96F043"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588C16F3"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Never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159559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2B35A8F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Radical Prostatectomy</w:t>
            </w:r>
          </w:p>
        </w:tc>
      </w:tr>
      <w:tr w:rsidR="00BD011C" w:rsidRPr="00336B1F" w14:paraId="66AC2BD0"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28CE6AE8"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7</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11E8172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53</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FCC2675"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59.7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25EC055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6A957BD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03BE0CB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2CFB18E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28.6</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37F848B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4B0B522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Current</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C5C682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501592C3"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Active Surveillance</w:t>
            </w:r>
          </w:p>
        </w:tc>
      </w:tr>
      <w:tr w:rsidR="00BD011C" w:rsidRPr="00336B1F" w14:paraId="3BA2AA85"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619B6C2"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8</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5385156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63</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3393040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2A0E8B2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8</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AFD7F1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IV</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3A0124A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58E7838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27.8</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44AD33EC"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43ADBDD3"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Never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7B58205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7EDE926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Radical Prostatectomy</w:t>
            </w:r>
          </w:p>
        </w:tc>
      </w:tr>
    </w:tbl>
    <w:p w14:paraId="6A747FF7" w14:textId="77777777" w:rsidR="00BD011C" w:rsidRDefault="00BD011C" w:rsidP="00BD011C">
      <w:pPr>
        <w:spacing w:after="160" w:line="360" w:lineRule="auto"/>
        <w:jc w:val="both"/>
        <w:rPr>
          <w:rFonts w:asciiTheme="minorHAnsi" w:hAnsiTheme="minorHAnsi" w:cstheme="minorHAnsi"/>
          <w:color w:val="000000" w:themeColor="text1"/>
          <w:sz w:val="24"/>
          <w:szCs w:val="24"/>
        </w:rPr>
      </w:pPr>
    </w:p>
    <w:p w14:paraId="531CFC45" w14:textId="77777777" w:rsidR="00F54732" w:rsidRDefault="00F54732" w:rsidP="00BD011C">
      <w:pPr>
        <w:spacing w:after="160" w:line="360" w:lineRule="auto"/>
        <w:jc w:val="both"/>
        <w:rPr>
          <w:rFonts w:asciiTheme="minorHAnsi" w:hAnsiTheme="minorHAnsi" w:cstheme="minorHAnsi"/>
          <w:color w:val="000000" w:themeColor="text1"/>
          <w:sz w:val="24"/>
          <w:szCs w:val="24"/>
        </w:rPr>
      </w:pPr>
    </w:p>
    <w:p w14:paraId="0E816DDB" w14:textId="77777777" w:rsidR="00F54732" w:rsidRPr="00052F48" w:rsidRDefault="00F54732" w:rsidP="00BD011C">
      <w:pPr>
        <w:spacing w:after="160" w:line="360" w:lineRule="auto"/>
        <w:jc w:val="both"/>
        <w:rPr>
          <w:rFonts w:asciiTheme="minorHAnsi" w:hAnsiTheme="minorHAnsi" w:cstheme="minorHAnsi"/>
          <w:color w:val="000000" w:themeColor="text1"/>
          <w:sz w:val="24"/>
          <w:szCs w:val="24"/>
        </w:rPr>
      </w:pPr>
    </w:p>
    <w:tbl>
      <w:tblPr>
        <w:tblW w:w="9860" w:type="dxa"/>
        <w:shd w:val="clear" w:color="auto" w:fill="FFFFFF" w:themeFill="background1"/>
        <w:tblLook w:val="04A0" w:firstRow="1" w:lastRow="0" w:firstColumn="1" w:lastColumn="0" w:noHBand="0" w:noVBand="1"/>
      </w:tblPr>
      <w:tblGrid>
        <w:gridCol w:w="516"/>
        <w:gridCol w:w="545"/>
        <w:gridCol w:w="877"/>
        <w:gridCol w:w="890"/>
        <w:gridCol w:w="729"/>
        <w:gridCol w:w="816"/>
        <w:gridCol w:w="882"/>
        <w:gridCol w:w="914"/>
        <w:gridCol w:w="953"/>
        <w:gridCol w:w="1328"/>
        <w:gridCol w:w="1410"/>
      </w:tblGrid>
      <w:tr w:rsidR="00BD011C" w:rsidRPr="00336B1F" w14:paraId="3BC44D27" w14:textId="77777777" w:rsidTr="005E5DB4">
        <w:trPr>
          <w:trHeight w:val="300"/>
        </w:trPr>
        <w:tc>
          <w:tcPr>
            <w:tcW w:w="98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25E03CB" w14:textId="6F2A5038" w:rsidR="00BD011C" w:rsidRPr="00336B1F" w:rsidRDefault="009E592F" w:rsidP="005E5DB4">
            <w:pPr>
              <w:rPr>
                <w:rFonts w:asciiTheme="minorHAnsi" w:hAnsiTheme="minorHAnsi" w:cstheme="minorHAnsi"/>
                <w:b/>
                <w:bCs/>
              </w:rPr>
            </w:pPr>
            <w:r w:rsidRPr="009E592F">
              <w:rPr>
                <w:rFonts w:asciiTheme="minorHAnsi" w:hAnsiTheme="minorHAnsi" w:cstheme="minorHAnsi"/>
                <w:b/>
                <w:bCs/>
              </w:rPr>
              <w:t xml:space="preserve">List </w:t>
            </w:r>
            <w:r>
              <w:rPr>
                <w:rFonts w:asciiTheme="minorHAnsi" w:hAnsiTheme="minorHAnsi" w:cstheme="minorHAnsi"/>
                <w:b/>
                <w:bCs/>
              </w:rPr>
              <w:t xml:space="preserve"> 6-</w:t>
            </w:r>
            <w:r w:rsidR="00BD011C" w:rsidRPr="00336B1F">
              <w:rPr>
                <w:rFonts w:asciiTheme="minorHAnsi" w:hAnsiTheme="minorHAnsi" w:cstheme="minorHAnsi"/>
                <w:b/>
                <w:bCs/>
              </w:rPr>
              <w:t>Prostate Cancer Patient Data from Oghara General Hospital</w:t>
            </w:r>
          </w:p>
        </w:tc>
      </w:tr>
      <w:tr w:rsidR="00BD011C" w:rsidRPr="00336B1F" w14:paraId="5C22DF03" w14:textId="77777777" w:rsidTr="005E5DB4">
        <w:trPr>
          <w:trHeight w:val="675"/>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4D092CD" w14:textId="77777777" w:rsidR="00BD011C" w:rsidRPr="00336B1F" w:rsidRDefault="00BD011C" w:rsidP="005E5DB4">
            <w:pPr>
              <w:rPr>
                <w:rFonts w:asciiTheme="minorHAnsi" w:hAnsiTheme="minorHAnsi" w:cstheme="minorHAnsi"/>
              </w:rPr>
            </w:pPr>
            <w:r w:rsidRPr="00336B1F">
              <w:rPr>
                <w:rFonts w:asciiTheme="minorHAnsi" w:hAnsiTheme="minorHAnsi" w:cstheme="minorHAnsi"/>
              </w:rPr>
              <w:t>S/N</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009CC72D"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Age</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991B0D6"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PSA Level (ng/mL)</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0539D105"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Gleason Score</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614728A"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TNM Stage</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297ADF6E"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Family History</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9DA3F23"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BMI (kg/m2)</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74B4FE70"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Dietary Pattern</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5E91F33D"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Smoking Status</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202D6260"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Alcohol Consumption</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0823AFFB" w14:textId="77777777" w:rsidR="00BD011C" w:rsidRPr="00336B1F" w:rsidRDefault="00BD011C" w:rsidP="005E5DB4">
            <w:pPr>
              <w:jc w:val="center"/>
              <w:rPr>
                <w:rFonts w:asciiTheme="minorHAnsi" w:hAnsiTheme="minorHAnsi" w:cstheme="minorHAnsi"/>
                <w:b/>
                <w:bCs/>
              </w:rPr>
            </w:pPr>
            <w:r w:rsidRPr="00336B1F">
              <w:rPr>
                <w:rFonts w:asciiTheme="minorHAnsi" w:hAnsiTheme="minorHAnsi" w:cstheme="minorHAnsi"/>
                <w:b/>
                <w:bCs/>
              </w:rPr>
              <w:t>Treatment Modality</w:t>
            </w:r>
          </w:p>
        </w:tc>
      </w:tr>
      <w:tr w:rsidR="00BD011C" w:rsidRPr="00336B1F" w14:paraId="511DDD18" w14:textId="77777777" w:rsidTr="005E5DB4">
        <w:trPr>
          <w:trHeight w:val="60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0D26416"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lastRenderedPageBreak/>
              <w:t>1</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62566C5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47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28874955"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17.5</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691501C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5F2A043"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IV</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27FB0A2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4C2200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28.8</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0653E23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Low-fat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5B1B50B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Never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41F487C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5D09841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Radiation Therapy</w:t>
            </w:r>
          </w:p>
        </w:tc>
      </w:tr>
      <w:tr w:rsidR="00BD011C" w:rsidRPr="00336B1F" w14:paraId="4449CCE6" w14:textId="77777777" w:rsidTr="005E5DB4">
        <w:trPr>
          <w:trHeight w:val="54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01B7C108"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2</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0175052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59</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0154952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14</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24EB933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9</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C7AA02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IV</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760383E"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15A5E1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24.5</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52D881B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56F4BF10"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Never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0652BF81"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2F89608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Palliative Care</w:t>
            </w:r>
          </w:p>
        </w:tc>
      </w:tr>
      <w:tr w:rsidR="00BD011C" w:rsidRPr="00336B1F" w14:paraId="2A4A4699" w14:textId="77777777" w:rsidTr="005E5DB4">
        <w:trPr>
          <w:trHeight w:val="615"/>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5E467EED"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3</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51802F1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56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3D9BCC9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14.6</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D04960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53FC1D80"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III</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A048F9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C066B40"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22.7</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4D4D61B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2CA9D5C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Former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0A7B5DFC"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39D1377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Hormonal Therapy</w:t>
            </w:r>
          </w:p>
        </w:tc>
      </w:tr>
      <w:tr w:rsidR="00BD011C" w:rsidRPr="00336B1F" w14:paraId="139AFB8C"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E83180C"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4</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063E749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56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250C15A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12</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5BA896F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DB46B01"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3D79E71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08A271F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38.8</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5AFB9F3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02181CE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Never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7219C9E5"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6263395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Hormonal Therapy</w:t>
            </w:r>
          </w:p>
        </w:tc>
      </w:tr>
      <w:tr w:rsidR="00BD011C" w:rsidRPr="00336B1F" w14:paraId="0B01962E"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3BB0EDE5"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5</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0DA3415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63</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4B0E3D3C"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80.2</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7C4FFB1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8</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23608875"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II</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495FC7F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A8667C7"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22.3</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1148277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181EE8E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Current</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74D9DC9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64F0F55B"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Radical Prostatectomy</w:t>
            </w:r>
          </w:p>
        </w:tc>
      </w:tr>
      <w:tr w:rsidR="00BD011C" w:rsidRPr="00336B1F" w14:paraId="16F66917"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56EB0853"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6</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11AB390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0B7E2C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35.7</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59843506"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3FF318B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IV</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6C07459E"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E06C03F"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17</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140A28DA"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64CDDF53"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Never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48FD72D4"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3E2B1CA3"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Hormonal Therapy</w:t>
            </w:r>
          </w:p>
        </w:tc>
      </w:tr>
      <w:tr w:rsidR="00BD011C" w:rsidRPr="00336B1F" w14:paraId="1742EB4D" w14:textId="77777777" w:rsidTr="005E5DB4">
        <w:trPr>
          <w:trHeight w:val="525"/>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062A62F6" w14:textId="77777777" w:rsidR="00BD011C" w:rsidRPr="00336B1F" w:rsidRDefault="00BD011C" w:rsidP="005E5DB4">
            <w:pPr>
              <w:jc w:val="right"/>
              <w:rPr>
                <w:rFonts w:asciiTheme="minorHAnsi" w:hAnsiTheme="minorHAnsi" w:cstheme="minorHAnsi"/>
              </w:rPr>
            </w:pPr>
            <w:r w:rsidRPr="00336B1F">
              <w:rPr>
                <w:rFonts w:asciiTheme="minorHAnsi" w:hAnsiTheme="minorHAnsi" w:cstheme="minorHAnsi"/>
              </w:rPr>
              <w:t>7</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2323356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61</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8C4BFE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14.7</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4F02FB0D"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9</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4065FE6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Stage IV</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23DDD012"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Yes</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0F8418C9"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28.6</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59B78D1E"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71AD9748"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Former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2B9187C3"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09121F2E" w14:textId="77777777" w:rsidR="00BD011C" w:rsidRPr="00336B1F" w:rsidRDefault="00BD011C" w:rsidP="005E5DB4">
            <w:pPr>
              <w:jc w:val="center"/>
              <w:rPr>
                <w:rFonts w:asciiTheme="minorHAnsi" w:hAnsiTheme="minorHAnsi" w:cstheme="minorHAnsi"/>
              </w:rPr>
            </w:pPr>
            <w:r w:rsidRPr="00336B1F">
              <w:rPr>
                <w:rFonts w:asciiTheme="minorHAnsi" w:hAnsiTheme="minorHAnsi" w:cstheme="minorHAnsi"/>
              </w:rPr>
              <w:t>Hormonal Therapy</w:t>
            </w:r>
          </w:p>
        </w:tc>
      </w:tr>
    </w:tbl>
    <w:p w14:paraId="261DEE87"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7649FE51" w14:textId="785BB2AF" w:rsidR="00052F48" w:rsidRPr="00B15987" w:rsidRDefault="00052F48" w:rsidP="00B15987">
      <w:pPr>
        <w:pStyle w:val="Heading2"/>
        <w:spacing w:before="280"/>
        <w:rPr>
          <w:rFonts w:asciiTheme="minorHAnsi" w:hAnsiTheme="minorHAnsi" w:cstheme="minorHAnsi"/>
          <w:b/>
          <w:bCs/>
          <w:color w:val="000000" w:themeColor="text1"/>
          <w:sz w:val="24"/>
          <w:szCs w:val="24"/>
        </w:rPr>
      </w:pPr>
      <w:r w:rsidRPr="00B15987">
        <w:rPr>
          <w:rFonts w:asciiTheme="minorHAnsi" w:hAnsiTheme="minorHAnsi" w:cstheme="minorHAnsi"/>
          <w:b/>
          <w:bCs/>
          <w:color w:val="000000" w:themeColor="text1"/>
          <w:sz w:val="24"/>
          <w:szCs w:val="24"/>
        </w:rPr>
        <w:t>4.1 Federal Medical Centre (FMC), Asaba</w:t>
      </w:r>
      <w:r w:rsidR="00B15987" w:rsidRPr="00B15987">
        <w:rPr>
          <w:rFonts w:asciiTheme="minorHAnsi" w:hAnsiTheme="minorHAnsi" w:cstheme="minorHAnsi"/>
          <w:b/>
          <w:bCs/>
          <w:color w:val="000000" w:themeColor="text1"/>
          <w:sz w:val="24"/>
          <w:szCs w:val="24"/>
        </w:rPr>
        <w:t xml:space="preserve"> - </w:t>
      </w:r>
      <w:r w:rsidRPr="00B15987">
        <w:rPr>
          <w:rFonts w:asciiTheme="minorHAnsi" w:hAnsiTheme="minorHAnsi" w:cstheme="minorHAnsi"/>
          <w:b/>
          <w:bCs/>
          <w:color w:val="000000" w:themeColor="text1"/>
        </w:rPr>
        <w:t>Patient Dataset</w:t>
      </w:r>
    </w:p>
    <w:p w14:paraId="243D757E" w14:textId="77777777" w:rsidR="00F54732" w:rsidRPr="00F54732" w:rsidRDefault="00F54732" w:rsidP="00F54732">
      <w:pPr>
        <w:spacing w:before="80" w:after="80"/>
        <w:rPr>
          <w:rFonts w:asciiTheme="minorHAnsi" w:hAnsiTheme="minorHAnsi" w:cstheme="minorHAnsi"/>
          <w:color w:val="000000" w:themeColor="text1"/>
          <w:sz w:val="24"/>
          <w:szCs w:val="24"/>
          <w:lang w:val="en-GB"/>
        </w:rPr>
      </w:pPr>
      <w:r w:rsidRPr="00F54732">
        <w:rPr>
          <w:rFonts w:asciiTheme="minorHAnsi" w:hAnsiTheme="minorHAnsi" w:cstheme="minorHAnsi"/>
          <w:color w:val="000000" w:themeColor="text1"/>
          <w:sz w:val="24"/>
          <w:szCs w:val="24"/>
          <w:lang w:val="en-GB"/>
        </w:rPr>
        <w:t>Table 1 lists the thirteen FMC Asaba cases. Each row contains one patient's age at diagnosis, PSA, Gleason score, TNM stage, family history of cancer, BMI, diet, smoking status, alcohol usage, and treatment. The far-right LABEL column shows the machine learning analysis's binary classification: 0 for early-stage disease (Stage I or II) and 1 for advanced-stage disease.</w:t>
      </w:r>
    </w:p>
    <w:p w14:paraId="2DB01E59"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35"/>
        <w:gridCol w:w="610"/>
      </w:tblGrid>
      <w:tr w:rsidR="00052F48" w:rsidRPr="00336B1F" w14:paraId="77E1248B"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89046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7B264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79695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2CACA6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C3BA2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C9DB1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5E5CDA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10500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DAB86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E1AA3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4C463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2F83D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LABEL</w:t>
            </w:r>
          </w:p>
        </w:tc>
      </w:tr>
      <w:tr w:rsidR="00052F48" w:rsidRPr="00336B1F" w14:paraId="2076F49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43E21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45F82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4DE1E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E0772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47959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241AE5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C9670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28.6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82D00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72D3B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30D80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DCD93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84F34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558612E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9336E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AF00A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B90FB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9C9B6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03641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228DE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A9E94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67EC7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E8562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3CAD8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D97B0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512F0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18C66DD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912A2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0BC18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0C7FA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8A368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5AEBD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B15F77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C4373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87643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1B878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2A930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56E5E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BECCE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2E50D1A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6FA67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5319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F7A2F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26.8</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32A18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6AEDA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2B784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B140F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25.1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16E89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E71D3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59823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E4E4F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3012D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114080E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86AE1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D135F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51</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112D8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0BC51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940C2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A2C1A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EC182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36887D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30D30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1C475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E9133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9229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6CFD238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29CD97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4F2D4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89CE0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45.7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B26B7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D27F0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607A4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40A36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C89E0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641C1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9636C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C078B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E4BB9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1DA78164"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4A1C6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2FCA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69DE0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17.2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77996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4586C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5018C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D40CC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25.7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FBBAE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3E691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5184B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5D74F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5DE85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17A3AEB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1B91C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B343F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64</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2437D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15</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2E990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B0AB6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AB974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D7867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21.6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4F416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8BE32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9642D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8FB6C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63EDB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508CEE59"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73955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36625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683F3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4DC1A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0ADEA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0BEB2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4A26F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22.1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C6AB9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B1F7C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7C70E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042A4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D7CAD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027D226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A0A32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10</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A0BCD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60</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78F5C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65.6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7A525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B605D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0BA77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24FC5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22.9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F25E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107E3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C5A52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5D4EA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9EA71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4FE8D88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9EA03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lastRenderedPageBreak/>
              <w:t>11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75380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74</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F3FB9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15.5</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0720B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7F5B4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DC4FA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E867A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28.3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DCAF9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4A291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168E3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5B16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6C6EF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776435A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C8CB0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21A6A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03501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11.6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23C8F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E159F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450EF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5C7A2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26.9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C6917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C6784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01795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99AD6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9DAF8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5DE9FB6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6AE62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20CB0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D81C6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12.6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C6BC7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37FBC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C34BD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40B68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A6D02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8B443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C52E6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92DED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7BD6B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bl>
    <w:p w14:paraId="745FA4F1"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sidRPr="00052F48">
        <w:rPr>
          <w:rFonts w:asciiTheme="minorHAnsi" w:hAnsiTheme="minorHAnsi" w:cstheme="minorHAnsi"/>
          <w:i/>
          <w:iCs/>
          <w:color w:val="000000" w:themeColor="text1"/>
          <w:sz w:val="24"/>
          <w:szCs w:val="24"/>
        </w:rPr>
        <w:t>Table 1: Patient-Level Dataset — Federal Medical Centre (FMC), Asaba (LABEL: 0 = Early Stage, 1 = Advanced Stage)</w:t>
      </w:r>
    </w:p>
    <w:p w14:paraId="1447A6AB"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1BD19E01" w14:textId="77777777" w:rsidR="00052F48" w:rsidRPr="00052F48" w:rsidRDefault="00052F48" w:rsidP="00052F48">
      <w:pPr>
        <w:pStyle w:val="Heading3"/>
        <w:rPr>
          <w:rFonts w:asciiTheme="minorHAnsi" w:hAnsiTheme="minorHAnsi" w:cstheme="minorHAnsi"/>
          <w:color w:val="000000" w:themeColor="text1"/>
        </w:rPr>
      </w:pPr>
      <w:r w:rsidRPr="00052F48">
        <w:rPr>
          <w:rFonts w:asciiTheme="minorHAnsi" w:hAnsiTheme="minorHAnsi" w:cstheme="minorHAnsi"/>
          <w:color w:val="000000" w:themeColor="text1"/>
        </w:rPr>
        <w:t>4.1.2 Descriptive Summary</w:t>
      </w:r>
    </w:p>
    <w:p w14:paraId="52AD8840" w14:textId="77668217" w:rsidR="00052F48" w:rsidRPr="00052F48" w:rsidRDefault="00052F48" w:rsidP="00B15987">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Patients at FMC Asaba had a mean age of 65.8 ± 7.3 years at diagnosis, ranging from 51 to 75 years. Eight of the thirteen cases (61.5%) were assigned Label = 1, made up of five Stage III and three Stage IV presentations; the remaining five (38.5%) were early-stage. Three in every four patients (76.9%) arrived with PSA above 10 ng/mL, which by conventional clinical thresholds already signals significant disease burden. High-risk Gleason scores of 8 to 10 were recorded in four cases (30.8%), a lower proportion than at some other sites but still clinically concerning. Only two patients (15.4%) reported a positive family history, and three (23.1%) were current smokers at the time of diagnosis.</w:t>
      </w:r>
    </w:p>
    <w:p w14:paraId="47F569E5" w14:textId="59784E73" w:rsidR="00052F48" w:rsidRPr="00B15987" w:rsidRDefault="00052F48" w:rsidP="00B15987">
      <w:pPr>
        <w:pStyle w:val="Heading2"/>
        <w:spacing w:before="280"/>
        <w:rPr>
          <w:rFonts w:asciiTheme="minorHAnsi" w:hAnsiTheme="minorHAnsi" w:cstheme="minorHAnsi"/>
          <w:b/>
          <w:bCs/>
          <w:color w:val="000000" w:themeColor="text1"/>
          <w:sz w:val="24"/>
          <w:szCs w:val="24"/>
        </w:rPr>
      </w:pPr>
      <w:r w:rsidRPr="00B15987">
        <w:rPr>
          <w:rFonts w:asciiTheme="minorHAnsi" w:hAnsiTheme="minorHAnsi" w:cstheme="minorHAnsi"/>
          <w:b/>
          <w:bCs/>
          <w:color w:val="000000" w:themeColor="text1"/>
          <w:sz w:val="24"/>
          <w:szCs w:val="24"/>
        </w:rPr>
        <w:t>4.2 Delta State University Teaching Hospital (DELSUTH), Oghara</w:t>
      </w:r>
      <w:r w:rsidR="00B15987" w:rsidRPr="00B15987">
        <w:rPr>
          <w:rFonts w:asciiTheme="minorHAnsi" w:hAnsiTheme="minorHAnsi" w:cstheme="minorHAnsi"/>
          <w:b/>
          <w:bCs/>
          <w:color w:val="000000" w:themeColor="text1"/>
          <w:sz w:val="24"/>
          <w:szCs w:val="24"/>
        </w:rPr>
        <w:t xml:space="preserve"> - </w:t>
      </w:r>
      <w:r w:rsidRPr="00B15987">
        <w:rPr>
          <w:rFonts w:asciiTheme="minorHAnsi" w:hAnsiTheme="minorHAnsi" w:cstheme="minorHAnsi"/>
          <w:b/>
          <w:bCs/>
          <w:color w:val="000000" w:themeColor="text1"/>
        </w:rPr>
        <w:t>Patient Dataset</w:t>
      </w:r>
    </w:p>
    <w:p w14:paraId="36AB70A5" w14:textId="74FBDB32" w:rsidR="00F54732" w:rsidRPr="00F54732" w:rsidRDefault="00F54732" w:rsidP="00F54732">
      <w:pPr>
        <w:spacing w:before="80" w:after="80"/>
        <w:rPr>
          <w:rFonts w:asciiTheme="minorHAnsi" w:hAnsiTheme="minorHAnsi" w:cstheme="minorHAnsi"/>
          <w:color w:val="000000" w:themeColor="text1"/>
          <w:sz w:val="24"/>
          <w:szCs w:val="24"/>
          <w:lang w:val="en-GB"/>
        </w:rPr>
      </w:pPr>
      <w:r w:rsidRPr="00F54732">
        <w:rPr>
          <w:rFonts w:asciiTheme="minorHAnsi" w:hAnsiTheme="minorHAnsi" w:cstheme="minorHAnsi"/>
          <w:color w:val="000000" w:themeColor="text1"/>
          <w:sz w:val="24"/>
          <w:szCs w:val="24"/>
          <w:lang w:val="en-GB"/>
        </w:rPr>
        <w:t>Table 2 shows the twelve DELSUTH Oghara patient records in the same column format as Table 1.</w:t>
      </w:r>
    </w:p>
    <w:p w14:paraId="033118C7"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49"/>
        <w:gridCol w:w="610"/>
      </w:tblGrid>
      <w:tr w:rsidR="00052F48" w:rsidRPr="00336B1F" w14:paraId="47FED323"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9039A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00675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89D49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AC95A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F6968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FA08A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2B6E7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39F67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B028C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18A74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D5C12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5FF3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LABEL</w:t>
            </w:r>
          </w:p>
        </w:tc>
      </w:tr>
      <w:tr w:rsidR="00052F48" w:rsidRPr="00336B1F" w14:paraId="4D1C30C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F6CE9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61424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60</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37ED6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72.2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9AE22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E1ECC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461BA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9FFC2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28.1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997B9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27887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AB9FB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1BF35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526C9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381A8A5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88E37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8A3E0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7A02B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3.3</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C7B3A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42C5F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B22B9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40026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A9C1A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76E40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16E1D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E3EF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593A3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201B1E8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3B422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66356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1C6D4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73.4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998FC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2E256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5DC54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65D4A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27.7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9B529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BD7CB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6597D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7E475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842F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1960583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6E8C3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05E0C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8D71C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53F68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257B3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F42B6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32843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05D08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1D692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584AD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3C317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42526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63F2D6F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2425A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C5F11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BF666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C9910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CEB30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B717C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18912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27.4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8546C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FA2B2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5704C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5E752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C0F13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38E5449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62CE77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B7B89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72</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321B8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14.2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55EDB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8E6F9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5C887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ED14E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30.2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B48A90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8A599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9B2E0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40886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BE699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1F005C2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84DE9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5C5E9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A5738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4D4C5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75B69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E984F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9E924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28.3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5DC41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37B51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2A0E7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78C08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27F76E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33282479"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DCD3E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lastRenderedPageBreak/>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BB4A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21E5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52.4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5FCDB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63140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604661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CDBC3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30.3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B9D8C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BD30F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0D41D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A3861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5CB21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78821B0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0BF7D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2F002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26330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352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680A9B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FB122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F4C2E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E5019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25.9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7BAFC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13A45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953E4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840AD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A1493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3B7F5AE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5455F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10</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724D4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72</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0B7C4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AA8CD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E951D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F69BF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CA6FB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2C3AD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D9F38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60E02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83460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21D89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292D6F04"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FCFD47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15E28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64</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A0D3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12.4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D04A4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BEFDB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18CAA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23025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1EB59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29AC8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CCEA9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4FC4F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4452E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008AD48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08B30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C93E2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624ED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782EF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AE291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D6B717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ED6DF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9FDD3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F5797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40B95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124D6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2FBDA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bl>
    <w:p w14:paraId="69092A38"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sidRPr="00052F48">
        <w:rPr>
          <w:rFonts w:asciiTheme="minorHAnsi" w:hAnsiTheme="minorHAnsi" w:cstheme="minorHAnsi"/>
          <w:i/>
          <w:iCs/>
          <w:color w:val="000000" w:themeColor="text1"/>
          <w:sz w:val="24"/>
          <w:szCs w:val="24"/>
        </w:rPr>
        <w:t>Table 2: Patient-Level Dataset — Delta State University Teaching Hospital (DELSUTH), Oghara (LABEL: 0 = Early Stage, 1 = Advanced Stage)</w:t>
      </w:r>
    </w:p>
    <w:p w14:paraId="1FA58FFF"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2D91ECEC" w14:textId="77777777" w:rsidR="00052F48" w:rsidRPr="00052F48" w:rsidRDefault="00052F48" w:rsidP="00052F48">
      <w:pPr>
        <w:pStyle w:val="Heading3"/>
        <w:rPr>
          <w:rFonts w:asciiTheme="minorHAnsi" w:hAnsiTheme="minorHAnsi" w:cstheme="minorHAnsi"/>
          <w:color w:val="000000" w:themeColor="text1"/>
        </w:rPr>
      </w:pPr>
      <w:r w:rsidRPr="00052F48">
        <w:rPr>
          <w:rFonts w:asciiTheme="minorHAnsi" w:hAnsiTheme="minorHAnsi" w:cstheme="minorHAnsi"/>
          <w:color w:val="000000" w:themeColor="text1"/>
        </w:rPr>
        <w:t>4.2.2 Descriptive Summary</w:t>
      </w:r>
    </w:p>
    <w:p w14:paraId="523AF7EB"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The mean age at DELSUTH Oghara was 67.2 ± 4.9 years, with cases spanning 57 to 75 years — a notably narrow range compared with other sites, suggesting a relatively homogeneous referral pattern at this institution. Nine of twelve cases (75.0%) were advanced-stage, comprising seven Stage III and two Stage IV diagnoses; three cases (25.0%) were early-stage. PSA exceeded 10 ng/mL in eight patients (66.7%), and half the cohort (50.0%) had Gleason scores of 8 to 10. Family history was positive in four patients (33.3%), and three (25.0%) were current smokers.</w:t>
      </w:r>
    </w:p>
    <w:p w14:paraId="3B45D893"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6512013B" w14:textId="06828215" w:rsidR="00052F48" w:rsidRPr="00B15987" w:rsidRDefault="00052F48" w:rsidP="00B15987">
      <w:pPr>
        <w:pStyle w:val="Heading2"/>
        <w:spacing w:before="280"/>
        <w:rPr>
          <w:rFonts w:asciiTheme="minorHAnsi" w:hAnsiTheme="minorHAnsi" w:cstheme="minorHAnsi"/>
          <w:b/>
          <w:bCs/>
          <w:color w:val="000000" w:themeColor="text1"/>
          <w:sz w:val="24"/>
          <w:szCs w:val="24"/>
        </w:rPr>
      </w:pPr>
      <w:r w:rsidRPr="00B15987">
        <w:rPr>
          <w:rFonts w:asciiTheme="minorHAnsi" w:hAnsiTheme="minorHAnsi" w:cstheme="minorHAnsi"/>
          <w:b/>
          <w:bCs/>
          <w:color w:val="000000" w:themeColor="text1"/>
          <w:sz w:val="24"/>
          <w:szCs w:val="24"/>
        </w:rPr>
        <w:t>4.3 Delta State University Teaching Hospital (DSUTHS), Warri</w:t>
      </w:r>
      <w:r w:rsidR="00B15987" w:rsidRPr="00B15987">
        <w:rPr>
          <w:rFonts w:asciiTheme="minorHAnsi" w:hAnsiTheme="minorHAnsi" w:cstheme="minorHAnsi"/>
          <w:b/>
          <w:bCs/>
          <w:color w:val="000000" w:themeColor="text1"/>
          <w:sz w:val="24"/>
          <w:szCs w:val="24"/>
        </w:rPr>
        <w:t xml:space="preserve"> - </w:t>
      </w:r>
      <w:r w:rsidRPr="00B15987">
        <w:rPr>
          <w:rFonts w:asciiTheme="minorHAnsi" w:hAnsiTheme="minorHAnsi" w:cstheme="minorHAnsi"/>
          <w:b/>
          <w:bCs/>
          <w:color w:val="000000" w:themeColor="text1"/>
        </w:rPr>
        <w:t>Patient Dataset</w:t>
      </w:r>
    </w:p>
    <w:p w14:paraId="7EC61A1C"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Table 3 sets out the eleven cases from the Delta State University Teaching Hospital in Warri. The variable structure is identical to that used in Tables 1 and 2, with LABEL encoding the binary stage outcome (0 = early, 1 = advanced) that the classifiers were trained to predict.</w:t>
      </w:r>
    </w:p>
    <w:p w14:paraId="10E49C23"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49"/>
        <w:gridCol w:w="610"/>
      </w:tblGrid>
      <w:tr w:rsidR="00052F48" w:rsidRPr="00336B1F" w14:paraId="59C2C2FD"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4696D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15DC2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AB651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50E6A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AEB98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10C78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C3BBE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0C13F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66A10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3D640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329D5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5CAA25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LABEL</w:t>
            </w:r>
          </w:p>
        </w:tc>
      </w:tr>
      <w:tr w:rsidR="00052F48" w:rsidRPr="00336B1F" w14:paraId="3C291D5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FBF468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01114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012DD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12.3</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48181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D0669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FDB3D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E7E21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27.4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D8862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9FB78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50675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9988B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1F987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5F35C396"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056919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1BBCD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28A1C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74.9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D2498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5C50E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99A8D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EEBC4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31.2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BA0C3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748A8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F42FD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DD402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1F3C0B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60DA5D88"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9D42C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17E51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BBCB6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768BB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DB349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7D4C6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E943F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32.2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0E1432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DB1DA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0D05E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A93DC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B3A55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22D4758B"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43185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0913E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4D400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9E7F2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181960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365324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45CBC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A7FEF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ED29D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6BDED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51037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FF0E4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5E2D532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AE251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lastRenderedPageBreak/>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2D2699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28BF4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3F24A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6E831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A81AF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1E669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30.3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5397F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F8922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0CA6D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6915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5AF9C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3CF977DB"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DD10A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D3F98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64</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18B8B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11.9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7303F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6B2F0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F92B9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0B05B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30.8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E73BF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F42E3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9E233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BAAF8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Active Surveillance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ECBC1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6B5E408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77E5C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B7A9C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BF871D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15.9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33E9F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A3B70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B1122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1366F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21.9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62266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678C3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7A00A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78D4C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87874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69CFC6B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DD833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005DB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50</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17921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30.2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4D469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98EEF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14158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8AC4C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AC828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1751C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A8FAA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A413A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93091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4ED9F3E3"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081A5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E7B26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BB5079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F11FB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59C29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8BB78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0BD2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22.5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878A8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D9620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91DD3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DF5AF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B0CDF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46BBAA5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6E3B0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10</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DB8D8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D0616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464.4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35C0E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371E6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95911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EBB9A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3E328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245BD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E47DA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B4759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10CE0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4045C2D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830E4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C7432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684A6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25.1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FBD27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C733F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2279C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A7A83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30.6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ECC0F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B370B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F6E92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5C4A0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8FB5F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bl>
    <w:p w14:paraId="4F518BAD"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sidRPr="00052F48">
        <w:rPr>
          <w:rFonts w:asciiTheme="minorHAnsi" w:hAnsiTheme="minorHAnsi" w:cstheme="minorHAnsi"/>
          <w:i/>
          <w:iCs/>
          <w:color w:val="000000" w:themeColor="text1"/>
          <w:sz w:val="24"/>
          <w:szCs w:val="24"/>
        </w:rPr>
        <w:t>Table 3: Patient-Level Dataset — Delta State University Teaching Hospital (DSUTHS), Warri (LABEL: 0 = Early Stage, 1 = Advanced Stage)</w:t>
      </w:r>
    </w:p>
    <w:p w14:paraId="06683B33"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67B3D4B6" w14:textId="77777777" w:rsidR="00052F48" w:rsidRPr="00052F48" w:rsidRDefault="00052F48" w:rsidP="00052F48">
      <w:pPr>
        <w:pStyle w:val="Heading3"/>
        <w:rPr>
          <w:rFonts w:asciiTheme="minorHAnsi" w:hAnsiTheme="minorHAnsi" w:cstheme="minorHAnsi"/>
          <w:color w:val="000000" w:themeColor="text1"/>
        </w:rPr>
      </w:pPr>
      <w:r w:rsidRPr="00052F48">
        <w:rPr>
          <w:rFonts w:asciiTheme="minorHAnsi" w:hAnsiTheme="minorHAnsi" w:cstheme="minorHAnsi"/>
          <w:color w:val="000000" w:themeColor="text1"/>
        </w:rPr>
        <w:t>4.3.2 Descriptive Summary</w:t>
      </w:r>
    </w:p>
    <w:p w14:paraId="78F44B5E"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At 59.7 ± 4.5 years, the Warri cohort had the lowest mean age of the six sites, and the tightest age range (50 to 65 years), which may partly reflect differences in the age profile of the population accessing this particular facility. Seven of the eleven cases (63.6%) were advanced-stage — three at Stage III and four at Stage IV — while four (36.4%) were early-stage. The PSA burden was high: nine patients (81.8%) had levels above 10 ng/mL. Six cases (54.5%) carried high-risk Gleason scores, and nearly half the cohort (45.5%) had a positive family history. No patient at this site was recorded as a current smoker, which is an unusual finding and may reflect inconsistencies in how smoking status was documented rather than a genuine absence of smoking in this patient group.</w:t>
      </w:r>
    </w:p>
    <w:p w14:paraId="4EFC3BA6"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54C5220A" w14:textId="706E3F5A" w:rsidR="00052F48" w:rsidRPr="00B15987" w:rsidRDefault="00052F48" w:rsidP="00B15987">
      <w:pPr>
        <w:pStyle w:val="Heading2"/>
        <w:spacing w:before="280"/>
        <w:rPr>
          <w:rFonts w:asciiTheme="minorHAnsi" w:hAnsiTheme="minorHAnsi" w:cstheme="minorHAnsi"/>
          <w:b/>
          <w:bCs/>
          <w:color w:val="000000" w:themeColor="text1"/>
          <w:sz w:val="24"/>
          <w:szCs w:val="24"/>
        </w:rPr>
      </w:pPr>
      <w:r w:rsidRPr="00B15987">
        <w:rPr>
          <w:rFonts w:asciiTheme="minorHAnsi" w:hAnsiTheme="minorHAnsi" w:cstheme="minorHAnsi"/>
          <w:b/>
          <w:bCs/>
          <w:color w:val="000000" w:themeColor="text1"/>
          <w:sz w:val="24"/>
          <w:szCs w:val="24"/>
        </w:rPr>
        <w:t>4.4 Sapele General Hospital</w:t>
      </w:r>
      <w:r w:rsidR="00B15987" w:rsidRPr="00B15987">
        <w:rPr>
          <w:rFonts w:asciiTheme="minorHAnsi" w:hAnsiTheme="minorHAnsi" w:cstheme="minorHAnsi"/>
          <w:b/>
          <w:bCs/>
          <w:color w:val="000000" w:themeColor="text1"/>
          <w:sz w:val="24"/>
          <w:szCs w:val="24"/>
        </w:rPr>
        <w:t xml:space="preserve"> - </w:t>
      </w:r>
      <w:r w:rsidRPr="00B15987">
        <w:rPr>
          <w:rFonts w:asciiTheme="minorHAnsi" w:hAnsiTheme="minorHAnsi" w:cstheme="minorHAnsi"/>
          <w:b/>
          <w:bCs/>
          <w:color w:val="000000" w:themeColor="text1"/>
        </w:rPr>
        <w:t>Patient Dataset</w:t>
      </w:r>
    </w:p>
    <w:p w14:paraId="29B7C0D0"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The nine cases from Sapele General Hospital are presented in Table 4. As with the preceding tables, each row represents one patient and columns cover the full set of clinical and demographic variables. The LABEL column encodes the stage outcome used in the classification models.</w:t>
      </w:r>
    </w:p>
    <w:p w14:paraId="096CA39D"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49"/>
        <w:gridCol w:w="610"/>
      </w:tblGrid>
      <w:tr w:rsidR="00052F48" w:rsidRPr="00336B1F" w14:paraId="44CF05E3"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CD6C6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lastRenderedPageBreak/>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C5090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F9432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927D5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E07A8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CA79B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AC636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6E654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2FF5C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F410A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30D10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D0EAD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LABEL</w:t>
            </w:r>
          </w:p>
        </w:tc>
      </w:tr>
      <w:tr w:rsidR="00052F48" w:rsidRPr="00336B1F" w14:paraId="32B91044"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521BAF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0F80D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CE4E1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9577C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200CF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9D4DB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BA7ED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A06AD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2FECE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9F831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745C1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FE100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41849013"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B1DDF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9E123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2DC9F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AA8D1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F4265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70AAA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34FC5F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23.2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69C9B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6CC53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D7280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28365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BA7E1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53973EB6"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98009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5AA87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72</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FCFB3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5.3</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3EA36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10981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A8729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41E85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7A723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7CC5C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BC51A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95AFA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80DC7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1ABC3F6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4DB8D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B8D91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6CF7D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30</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6C944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82135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2D6B8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83730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E0FB4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15D3C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6A371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D1016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Active Surveillance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2F397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496C816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DA377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8E247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01A0CC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40.1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269DBF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28046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3E627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54A17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30.3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C3F09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F24CF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80683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2AEBC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A5384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38CE8B6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AD8AE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B5F5F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A9D3D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16.6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314B3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1EF13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18B7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40BDE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C194C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75F5B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60D36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9C34A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9B95C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51FAD25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C5BAA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96EEF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5A40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2.3</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597B5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DD68E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0F78C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9A6AD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23.7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01016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9EF9A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DB2D9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71CC9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C3435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718256A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654CB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3D104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A5462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23.9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82583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7FC38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7BC6D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87E89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18.5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F1E0E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4F1E0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3E8C1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B90262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Palliative Care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14154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379CA5F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42640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0394F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75B0D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20.7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0D6F6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76EF8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D0ABB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5988B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DEB58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E6450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F3AAC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EAC6A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D4611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bl>
    <w:p w14:paraId="0F96BD16"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sidRPr="00052F48">
        <w:rPr>
          <w:rFonts w:asciiTheme="minorHAnsi" w:hAnsiTheme="minorHAnsi" w:cstheme="minorHAnsi"/>
          <w:i/>
          <w:iCs/>
          <w:color w:val="000000" w:themeColor="text1"/>
          <w:sz w:val="24"/>
          <w:szCs w:val="24"/>
        </w:rPr>
        <w:t>Table 4: Patient-Level Dataset — Sapele General Hospital (LABEL: 0 = Early Stage, 1 = Advanced Stage)</w:t>
      </w:r>
    </w:p>
    <w:p w14:paraId="24E0A0C1"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5883C296" w14:textId="77777777" w:rsidR="00052F48" w:rsidRPr="00052F48" w:rsidRDefault="00052F48" w:rsidP="00052F48">
      <w:pPr>
        <w:pStyle w:val="Heading3"/>
        <w:rPr>
          <w:rFonts w:asciiTheme="minorHAnsi" w:hAnsiTheme="minorHAnsi" w:cstheme="minorHAnsi"/>
          <w:color w:val="000000" w:themeColor="text1"/>
        </w:rPr>
      </w:pPr>
      <w:r w:rsidRPr="00052F48">
        <w:rPr>
          <w:rFonts w:asciiTheme="minorHAnsi" w:hAnsiTheme="minorHAnsi" w:cstheme="minorHAnsi"/>
          <w:color w:val="000000" w:themeColor="text1"/>
        </w:rPr>
        <w:t>4.4.2 Descriptive Summary</w:t>
      </w:r>
    </w:p>
    <w:p w14:paraId="51CCD05A"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Sapele General Hospital recorded the smallest proportion of advanced-stage cases among the six sites, though five of nine patients (55.6%) were still classified as Label = 1 — three Stage III and two Stage IV — with the remaining four (44.4%) at early stages. The mean age was 65.0 ± 8.2 years, ranging from 53 to 76. PSA exceeded 10 ng/mL in six patients (66.7%), and five (55.6%) had Gleason scores of 8 to 10. Three patients (33.3%) had a positive family history, and the same proportion were current smokers. While Sapele GH showed a comparatively better stage distribution, more than half of its cases were still advanced at presentation — a reminder that “better” in this context remains far from adequate.</w:t>
      </w:r>
    </w:p>
    <w:p w14:paraId="3962010F"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557B20BC" w14:textId="0AF05FD9" w:rsidR="00052F48" w:rsidRPr="00B15987" w:rsidRDefault="00052F48" w:rsidP="00B15987">
      <w:pPr>
        <w:pStyle w:val="Heading2"/>
        <w:spacing w:before="280"/>
        <w:rPr>
          <w:rFonts w:asciiTheme="minorHAnsi" w:hAnsiTheme="minorHAnsi" w:cstheme="minorHAnsi"/>
          <w:b/>
          <w:bCs/>
          <w:color w:val="000000" w:themeColor="text1"/>
          <w:sz w:val="24"/>
          <w:szCs w:val="24"/>
        </w:rPr>
      </w:pPr>
      <w:r w:rsidRPr="00B15987">
        <w:rPr>
          <w:rFonts w:asciiTheme="minorHAnsi" w:hAnsiTheme="minorHAnsi" w:cstheme="minorHAnsi"/>
          <w:b/>
          <w:bCs/>
          <w:color w:val="000000" w:themeColor="text1"/>
          <w:sz w:val="24"/>
          <w:szCs w:val="24"/>
        </w:rPr>
        <w:t>4.5 Udu General Hospital</w:t>
      </w:r>
      <w:r w:rsidR="00B15987" w:rsidRPr="00B15987">
        <w:rPr>
          <w:rFonts w:asciiTheme="minorHAnsi" w:hAnsiTheme="minorHAnsi" w:cstheme="minorHAnsi"/>
          <w:b/>
          <w:bCs/>
          <w:color w:val="000000" w:themeColor="text1"/>
          <w:sz w:val="24"/>
          <w:szCs w:val="24"/>
        </w:rPr>
        <w:t xml:space="preserve"> - </w:t>
      </w:r>
      <w:r w:rsidRPr="00B15987">
        <w:rPr>
          <w:rFonts w:asciiTheme="minorHAnsi" w:hAnsiTheme="minorHAnsi" w:cstheme="minorHAnsi"/>
          <w:b/>
          <w:bCs/>
          <w:color w:val="000000" w:themeColor="text1"/>
        </w:rPr>
        <w:t>Patient Dataset</w:t>
      </w:r>
    </w:p>
    <w:p w14:paraId="6FA3AC21"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Table 5 documents the eight cases from Udu General Hospital. The same variable set and LABEL encoding apply here as in all preceding tables.</w:t>
      </w:r>
    </w:p>
    <w:p w14:paraId="750F540A"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35"/>
        <w:gridCol w:w="610"/>
      </w:tblGrid>
      <w:tr w:rsidR="00052F48" w:rsidRPr="00336B1F" w14:paraId="1F48B38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17ECC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lastRenderedPageBreak/>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E2A25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7A077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7C6A5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097CB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01D6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7EFBE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91EA8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DF770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E5A7D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65101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28120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LABEL</w:t>
            </w:r>
          </w:p>
        </w:tc>
      </w:tr>
      <w:tr w:rsidR="00052F48" w:rsidRPr="00336B1F" w14:paraId="6F758D8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1BBD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3DC1D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81</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42B33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45.1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E1475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7A23E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C02C5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729E4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2F40B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D1AEE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2F9D4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B159A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CA143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0D9DC898"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C3DD2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07B19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344C2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22.2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59BEB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F76BA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EA67A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970DB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29.3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F5169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770902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56CDD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24326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Active Surveillance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AEB68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0C24025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25176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FECBD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DFBF3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14.4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B78A5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42A13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2EA51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818BA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D8378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D6FB3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6FC67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1DB57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C8A30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63BCBEE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7B7F0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C60AB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94CA2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1CB15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CCD2D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C05ED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D03197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F43C3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B6E6B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BD6BF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E4638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CBCE7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55099B3D"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F4F15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DCA59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62</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C9C17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125.8</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10A94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3A396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BA3A8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6439C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28.5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08DD3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1A2AC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5E7811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50FC3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E7C8A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5E861FE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95549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DA1D9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61</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AEC8E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5E40F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EE8DD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C4F3C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C8343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87FA9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A67B0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CAB08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E2337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DCED3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082CC07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833D4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D2D4D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3CF6B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D232A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EF39D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89E36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E52C5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28.6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E3350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7596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17868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90706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Active Surveillance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34585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3613BE4B"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DF7E8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06B65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8E46F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45CC1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B2B3E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AD0EF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25113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27.8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118CB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505BB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DB52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F4E18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7BF28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bl>
    <w:p w14:paraId="2E782541"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sidRPr="00052F48">
        <w:rPr>
          <w:rFonts w:asciiTheme="minorHAnsi" w:hAnsiTheme="minorHAnsi" w:cstheme="minorHAnsi"/>
          <w:i/>
          <w:iCs/>
          <w:color w:val="000000" w:themeColor="text1"/>
          <w:sz w:val="24"/>
          <w:szCs w:val="24"/>
        </w:rPr>
        <w:t>Table 5: Patient-Level Dataset — Udu General Hospital (LABEL: 0 = Early Stage, 1 = Advanced Stage)</w:t>
      </w:r>
    </w:p>
    <w:p w14:paraId="5239F891"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1501B73C" w14:textId="77777777" w:rsidR="00052F48" w:rsidRPr="00052F48" w:rsidRDefault="00052F48" w:rsidP="00052F48">
      <w:pPr>
        <w:pStyle w:val="Heading3"/>
        <w:rPr>
          <w:rFonts w:asciiTheme="minorHAnsi" w:hAnsiTheme="minorHAnsi" w:cstheme="minorHAnsi"/>
          <w:color w:val="000000" w:themeColor="text1"/>
        </w:rPr>
      </w:pPr>
      <w:r w:rsidRPr="00052F48">
        <w:rPr>
          <w:rFonts w:asciiTheme="minorHAnsi" w:hAnsiTheme="minorHAnsi" w:cstheme="minorHAnsi"/>
          <w:color w:val="000000" w:themeColor="text1"/>
        </w:rPr>
        <w:t>4.5.2 Descriptive Summary</w:t>
      </w:r>
    </w:p>
    <w:p w14:paraId="7DDF2321"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Udu General Hospital had the highest proportion of advanced-stage cases across all six sites: seven of eight patients (87.5%) were Label = 1, with five at Stage III and two at Stage IV. Only one patient (12.5%) presented at an early stage. The mean age was 66.3 ± 9.2 years, with ages ranging from 53 to 81 — the widest spread of any site in the study. Elevated PSA was found in five patients (62.5%), and half (50.0%) had high-risk Gleason scores. Notably, positive family history was recorded in five patients (62.5%), the highest proportion of any participating institution, which may reflect genetic clustering within this hospital’s catchment community. One patient (12.5%) was a current smoker.</w:t>
      </w:r>
    </w:p>
    <w:p w14:paraId="74539AE0"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5973904E" w14:textId="645ACC37" w:rsidR="00052F48" w:rsidRPr="00B15987" w:rsidRDefault="00052F48" w:rsidP="00B15987">
      <w:pPr>
        <w:pStyle w:val="Heading2"/>
        <w:spacing w:before="280"/>
        <w:rPr>
          <w:rFonts w:asciiTheme="minorHAnsi" w:hAnsiTheme="minorHAnsi" w:cstheme="minorHAnsi"/>
          <w:b/>
          <w:bCs/>
          <w:color w:val="000000" w:themeColor="text1"/>
          <w:sz w:val="24"/>
          <w:szCs w:val="24"/>
        </w:rPr>
      </w:pPr>
      <w:r w:rsidRPr="00B15987">
        <w:rPr>
          <w:rFonts w:asciiTheme="minorHAnsi" w:hAnsiTheme="minorHAnsi" w:cstheme="minorHAnsi"/>
          <w:b/>
          <w:bCs/>
          <w:color w:val="000000" w:themeColor="text1"/>
          <w:sz w:val="24"/>
          <w:szCs w:val="24"/>
        </w:rPr>
        <w:t>4.6 Oghara General Hospital</w:t>
      </w:r>
      <w:r w:rsidR="00B15987" w:rsidRPr="00B15987">
        <w:rPr>
          <w:rFonts w:asciiTheme="minorHAnsi" w:hAnsiTheme="minorHAnsi" w:cstheme="minorHAnsi"/>
          <w:b/>
          <w:bCs/>
          <w:color w:val="000000" w:themeColor="text1"/>
          <w:sz w:val="24"/>
          <w:szCs w:val="24"/>
        </w:rPr>
        <w:t xml:space="preserve"> - </w:t>
      </w:r>
      <w:r w:rsidRPr="00B15987">
        <w:rPr>
          <w:rFonts w:asciiTheme="minorHAnsi" w:hAnsiTheme="minorHAnsi" w:cstheme="minorHAnsi"/>
          <w:b/>
          <w:bCs/>
          <w:color w:val="000000" w:themeColor="text1"/>
        </w:rPr>
        <w:t>Patient Dataset</w:t>
      </w:r>
    </w:p>
    <w:p w14:paraId="4173DAB3"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The seven cases from Oghara General Hospital are presented in Table 6, using the same columnar structure and LABEL conventions as the preceding tables.</w:t>
      </w:r>
    </w:p>
    <w:p w14:paraId="1499E11E"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35"/>
        <w:gridCol w:w="610"/>
      </w:tblGrid>
      <w:tr w:rsidR="00052F48" w:rsidRPr="00336B1F" w14:paraId="15B3DA9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5DF87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10D7E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376C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3AB0E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A091C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504C08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59E67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EB0F4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B65C3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FD0EC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2E113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5721A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LABEL</w:t>
            </w:r>
          </w:p>
        </w:tc>
      </w:tr>
      <w:tr w:rsidR="00052F48" w:rsidRPr="00336B1F" w14:paraId="5A26AA8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D6A10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lastRenderedPageBreak/>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ECB49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D96C1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17.5</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14504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59585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9DD3B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CF3D5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28.8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70044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5FCB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1FF01E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F8DED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8AF6B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33D0107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681EA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6C0BC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0CFD2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599B9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B1B29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21D051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5888E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24.5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8938C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53CD8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FFDC4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B35B4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Palliative Care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C17C7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0491E52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1439A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F5DEF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D77954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14.6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A5AB3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1A542B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FCCD4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5D01F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22.7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21A9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60A5F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CB703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9D8B8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FEC32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1D26720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11846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113ED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A43BE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9C0F7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0A72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C7D41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205A6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38.8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384E3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1EAF4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36782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AC4FB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7A76A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1ACCC58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F076F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0FC89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8EA51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80.2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561311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A4F3E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2CE53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63419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22.3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D7C49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9E08C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C2D8E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07513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C348C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0</w:t>
            </w:r>
          </w:p>
        </w:tc>
      </w:tr>
      <w:tr w:rsidR="00052F48" w:rsidRPr="00336B1F" w14:paraId="72F4F39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C38D6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14D12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A8C77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35.7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F91B9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A33C8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56D3E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0B0C6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E663B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8D319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B41ED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10AFD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35D33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r w:rsidR="00052F48" w:rsidRPr="00336B1F" w14:paraId="7D5E96D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30F4F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337CB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61</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44DE35"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14.7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0D940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F4122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684A1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EE2BF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28.6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1A837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3358E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E697D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5C11F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29D1B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1</w:t>
            </w:r>
          </w:p>
        </w:tc>
      </w:tr>
    </w:tbl>
    <w:p w14:paraId="30CEB07F"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sidRPr="00052F48">
        <w:rPr>
          <w:rFonts w:asciiTheme="minorHAnsi" w:hAnsiTheme="minorHAnsi" w:cstheme="minorHAnsi"/>
          <w:i/>
          <w:iCs/>
          <w:color w:val="000000" w:themeColor="text1"/>
          <w:sz w:val="24"/>
          <w:szCs w:val="24"/>
        </w:rPr>
        <w:t>Table 6: Patient-Level Dataset — Oghara General Hospital (LABEL: 0 = Early Stage, 1 = Advanced Stage)</w:t>
      </w:r>
    </w:p>
    <w:p w14:paraId="0455B6B5"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674EE491" w14:textId="77777777" w:rsidR="00052F48" w:rsidRPr="00052F48" w:rsidRDefault="00052F48" w:rsidP="00052F48">
      <w:pPr>
        <w:pStyle w:val="Heading3"/>
        <w:rPr>
          <w:rFonts w:asciiTheme="minorHAnsi" w:hAnsiTheme="minorHAnsi" w:cstheme="minorHAnsi"/>
          <w:color w:val="000000" w:themeColor="text1"/>
        </w:rPr>
      </w:pPr>
      <w:r w:rsidRPr="00052F48">
        <w:rPr>
          <w:rFonts w:asciiTheme="minorHAnsi" w:hAnsiTheme="minorHAnsi" w:cstheme="minorHAnsi"/>
          <w:color w:val="000000" w:themeColor="text1"/>
        </w:rPr>
        <w:t>4.6.2 Descriptive Summary</w:t>
      </w:r>
    </w:p>
    <w:p w14:paraId="58A36BF6"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Oghara General Hospital returned the most striking PSA figures of any site: all seven patients (100.0%) had PSA levels above 10 ng/mL at diagnosis, suggesting that men reaching this facility are consistently presenting after the disease has already progressed substantially. Five of the seven cases (71.4%) were advanced-stage, with four at Stage IV and one at Stage III; two cases (28.6%) were early-stage. The mean age was 59.7 ± 8.2 years, ranging from 47 to 76. Three patients (42.9%) had high-risk Gleason scores, two (28.6%) had a positive family history, and one (14.3%) was a current smoker. The combination of a relatively younger mean age and universally elevated PSA warrants closer attention and may point to delayed health-seeking in the communities this hospital serves.</w:t>
      </w:r>
    </w:p>
    <w:p w14:paraId="10719BAE"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716E177B" w14:textId="77777777" w:rsidR="00052F48" w:rsidRPr="00B15987" w:rsidRDefault="00052F48" w:rsidP="00052F48">
      <w:pPr>
        <w:pStyle w:val="Heading2"/>
        <w:spacing w:before="280"/>
        <w:rPr>
          <w:rFonts w:asciiTheme="minorHAnsi" w:hAnsiTheme="minorHAnsi" w:cstheme="minorHAnsi"/>
          <w:b/>
          <w:bCs/>
          <w:color w:val="000000" w:themeColor="text1"/>
          <w:sz w:val="24"/>
          <w:szCs w:val="24"/>
        </w:rPr>
      </w:pPr>
      <w:r w:rsidRPr="00B15987">
        <w:rPr>
          <w:rFonts w:asciiTheme="minorHAnsi" w:hAnsiTheme="minorHAnsi" w:cstheme="minorHAnsi"/>
          <w:b/>
          <w:bCs/>
          <w:color w:val="000000" w:themeColor="text1"/>
          <w:sz w:val="24"/>
          <w:szCs w:val="24"/>
        </w:rPr>
        <w:t>4.7 Cross-Institutional Comparative Analysis</w:t>
      </w:r>
    </w:p>
    <w:p w14:paraId="2787CF82"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Table 7 places the six sites alongside one another on a common set of clinical indicators, making it possible to see at a glance where the burden of advanced disease is heaviest, where PSA levels are most elevated, and how the patient profiles differ across institutions. Numbers alone do not fully explain these differences, but they point toward questions worth investigating in future work.</w:t>
      </w:r>
    </w:p>
    <w:p w14:paraId="20307197"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480"/>
        <w:gridCol w:w="1150"/>
        <w:gridCol w:w="1150"/>
        <w:gridCol w:w="1150"/>
        <w:gridCol w:w="1150"/>
        <w:gridCol w:w="1150"/>
        <w:gridCol w:w="1150"/>
      </w:tblGrid>
      <w:tr w:rsidR="00052F48" w:rsidRPr="00336B1F" w14:paraId="37D0A6AD"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826CA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lastRenderedPageBreak/>
              <w:t>Metric</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8ED80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FMC Asaba</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6022F2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DELSUTH Oghara</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D8B8C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DSUTHS Warri</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346AB4" w14:textId="220206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Sapele G</w:t>
            </w:r>
            <w:r w:rsidR="001900C4">
              <w:rPr>
                <w:rFonts w:asciiTheme="minorHAnsi" w:eastAsia="Calibri" w:hAnsiTheme="minorHAnsi" w:cstheme="minorHAnsi"/>
                <w:b/>
                <w:bCs/>
                <w:sz w:val="18"/>
                <w:szCs w:val="18"/>
              </w:rPr>
              <w:t>eneral Hospital</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EE43C6" w14:textId="015F6619"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Udu G</w:t>
            </w:r>
            <w:r w:rsidR="001900C4">
              <w:rPr>
                <w:rFonts w:asciiTheme="minorHAnsi" w:eastAsia="Calibri" w:hAnsiTheme="minorHAnsi" w:cstheme="minorHAnsi"/>
                <w:b/>
                <w:bCs/>
                <w:sz w:val="18"/>
                <w:szCs w:val="18"/>
              </w:rPr>
              <w:t>eneral Hospital</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AAC83D" w14:textId="514AD1F0"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b/>
                <w:bCs/>
                <w:sz w:val="18"/>
                <w:szCs w:val="18"/>
              </w:rPr>
              <w:t>Oghara G</w:t>
            </w:r>
            <w:r w:rsidR="001900C4">
              <w:rPr>
                <w:rFonts w:asciiTheme="minorHAnsi" w:eastAsia="Calibri" w:hAnsiTheme="minorHAnsi" w:cstheme="minorHAnsi"/>
                <w:b/>
                <w:bCs/>
                <w:sz w:val="18"/>
                <w:szCs w:val="18"/>
              </w:rPr>
              <w:t>eneral hospital</w:t>
            </w:r>
          </w:p>
        </w:tc>
      </w:tr>
      <w:tr w:rsidR="00052F48" w:rsidRPr="00336B1F" w14:paraId="2C3815FA"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5A96FE82" w14:textId="77777777" w:rsidR="00052F48" w:rsidRPr="00336B1F" w:rsidRDefault="00052F48" w:rsidP="001D2239">
            <w:pPr>
              <w:rPr>
                <w:rFonts w:asciiTheme="minorHAnsi" w:hAnsiTheme="minorHAnsi" w:cstheme="minorHAnsi"/>
                <w:sz w:val="18"/>
                <w:szCs w:val="18"/>
              </w:rPr>
            </w:pPr>
            <w:r w:rsidRPr="00336B1F">
              <w:rPr>
                <w:rFonts w:asciiTheme="minorHAnsi" w:eastAsia="Calibri" w:hAnsiTheme="minorHAnsi" w:cstheme="minorHAnsi"/>
                <w:b/>
                <w:bCs/>
                <w:sz w:val="18"/>
                <w:szCs w:val="18"/>
              </w:rPr>
              <w:t>Sample Size (n)</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AE9BE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13</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9F4B6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12</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1D671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11</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308DD0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146987"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212FE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w:t>
            </w:r>
          </w:p>
        </w:tc>
      </w:tr>
      <w:tr w:rsidR="00052F48" w:rsidRPr="00336B1F" w14:paraId="7962DA20"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7EAFD5EF" w14:textId="77777777" w:rsidR="00052F48" w:rsidRPr="00336B1F" w:rsidRDefault="00052F48" w:rsidP="001D2239">
            <w:pPr>
              <w:rPr>
                <w:rFonts w:asciiTheme="minorHAnsi" w:hAnsiTheme="minorHAnsi" w:cstheme="minorHAnsi"/>
                <w:sz w:val="18"/>
                <w:szCs w:val="18"/>
              </w:rPr>
            </w:pPr>
            <w:r w:rsidRPr="00336B1F">
              <w:rPr>
                <w:rFonts w:asciiTheme="minorHAnsi" w:eastAsia="Calibri" w:hAnsiTheme="minorHAnsi" w:cstheme="minorHAnsi"/>
                <w:b/>
                <w:bCs/>
                <w:sz w:val="18"/>
                <w:szCs w:val="18"/>
              </w:rPr>
              <w:t>Mean Age (yrs)</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AF21E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65.8 ± 7.3</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B5040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67.2 ± 4.9</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6810E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59.7 ± 4.5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5C524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65.0 ± 8.2</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1CDD6D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66.3 ± 9.2</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B70C6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59.7 ± 8.2</w:t>
            </w:r>
          </w:p>
        </w:tc>
      </w:tr>
      <w:tr w:rsidR="00052F48" w:rsidRPr="00336B1F" w14:paraId="459B2C9A"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6056E540" w14:textId="77777777" w:rsidR="00052F48" w:rsidRPr="00336B1F" w:rsidRDefault="00052F48" w:rsidP="001D2239">
            <w:pPr>
              <w:rPr>
                <w:rFonts w:asciiTheme="minorHAnsi" w:hAnsiTheme="minorHAnsi" w:cstheme="minorHAnsi"/>
                <w:sz w:val="18"/>
                <w:szCs w:val="18"/>
              </w:rPr>
            </w:pPr>
            <w:r w:rsidRPr="00336B1F">
              <w:rPr>
                <w:rFonts w:asciiTheme="minorHAnsi" w:eastAsia="Calibri" w:hAnsiTheme="minorHAnsi" w:cstheme="minorHAnsi"/>
                <w:b/>
                <w:bCs/>
                <w:sz w:val="18"/>
                <w:szCs w:val="18"/>
              </w:rPr>
              <w:t>Advanced Stage — Label 1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A5AA2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 (61.5%)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7E900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 (75.0%)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69782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 (63.6%)</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323F90"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 (55.6%)</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BD4C4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 (87.5%)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243F3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 (71.4%)</w:t>
            </w:r>
          </w:p>
        </w:tc>
      </w:tr>
      <w:tr w:rsidR="00052F48" w:rsidRPr="00336B1F" w14:paraId="323C853F"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6D0AEC2E" w14:textId="77777777" w:rsidR="00052F48" w:rsidRPr="00336B1F" w:rsidRDefault="00052F48" w:rsidP="001D2239">
            <w:pPr>
              <w:rPr>
                <w:rFonts w:asciiTheme="minorHAnsi" w:hAnsiTheme="minorHAnsi" w:cstheme="minorHAnsi"/>
                <w:sz w:val="18"/>
                <w:szCs w:val="18"/>
              </w:rPr>
            </w:pPr>
            <w:r w:rsidRPr="00336B1F">
              <w:rPr>
                <w:rFonts w:asciiTheme="minorHAnsi" w:eastAsia="Calibri" w:hAnsiTheme="minorHAnsi" w:cstheme="minorHAnsi"/>
                <w:b/>
                <w:bCs/>
                <w:sz w:val="18"/>
                <w:szCs w:val="18"/>
              </w:rPr>
              <w:t>PSA &gt; 10 ng/mL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13918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10 (76.9%)</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C3BD58"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8 (66.7%)</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439AC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9 (81.8%)</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94CA6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 (66.7%)</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24FD7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 (62.5%)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11DE08E"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7 (100.0%)</w:t>
            </w:r>
          </w:p>
        </w:tc>
      </w:tr>
      <w:tr w:rsidR="00052F48" w:rsidRPr="00336B1F" w14:paraId="1FB2E9AB"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56D09DAC" w14:textId="77777777" w:rsidR="00052F48" w:rsidRPr="00336B1F" w:rsidRDefault="00052F48" w:rsidP="001D2239">
            <w:pPr>
              <w:rPr>
                <w:rFonts w:asciiTheme="minorHAnsi" w:hAnsiTheme="minorHAnsi" w:cstheme="minorHAnsi"/>
                <w:sz w:val="18"/>
                <w:szCs w:val="18"/>
              </w:rPr>
            </w:pPr>
            <w:r w:rsidRPr="00336B1F">
              <w:rPr>
                <w:rFonts w:asciiTheme="minorHAnsi" w:eastAsia="Calibri" w:hAnsiTheme="minorHAnsi" w:cstheme="minorHAnsi"/>
                <w:b/>
                <w:bCs/>
                <w:sz w:val="18"/>
                <w:szCs w:val="18"/>
              </w:rPr>
              <w:t>Gleason 8–10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3DBCE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 (30.8%)</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83E51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 (50.0%)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F7BB81"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6 (54.5%)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E1272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 (55.6%)</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A783C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 (50.0%)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76E16D"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 (42.9%)</w:t>
            </w:r>
          </w:p>
        </w:tc>
      </w:tr>
      <w:tr w:rsidR="00052F48" w:rsidRPr="00336B1F" w14:paraId="193397B7"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2DBAFB25" w14:textId="77777777" w:rsidR="00052F48" w:rsidRPr="00336B1F" w:rsidRDefault="00052F48" w:rsidP="001D2239">
            <w:pPr>
              <w:rPr>
                <w:rFonts w:asciiTheme="minorHAnsi" w:hAnsiTheme="minorHAnsi" w:cstheme="minorHAnsi"/>
                <w:sz w:val="18"/>
                <w:szCs w:val="18"/>
              </w:rPr>
            </w:pPr>
            <w:r w:rsidRPr="00336B1F">
              <w:rPr>
                <w:rFonts w:asciiTheme="minorHAnsi" w:eastAsia="Calibri" w:hAnsiTheme="minorHAnsi" w:cstheme="minorHAnsi"/>
                <w:b/>
                <w:bCs/>
                <w:sz w:val="18"/>
                <w:szCs w:val="18"/>
              </w:rPr>
              <w:t>Positive Family History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4192D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 (15.4%)</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ABC249"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4 (33.3%)</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49458F"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 (45.5%)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FE4D06"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3 (33.3%)</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DDC35B"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5 (62.5%)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9C74A3"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2 (28.6%)</w:t>
            </w:r>
          </w:p>
        </w:tc>
      </w:tr>
      <w:tr w:rsidR="00052F48" w:rsidRPr="00336B1F" w14:paraId="47957A6B"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6B4FFCC1" w14:textId="77777777" w:rsidR="00052F48" w:rsidRPr="00336B1F" w:rsidRDefault="00052F48" w:rsidP="001D2239">
            <w:pPr>
              <w:rPr>
                <w:rFonts w:asciiTheme="minorHAnsi" w:hAnsiTheme="minorHAnsi" w:cstheme="minorHAnsi"/>
                <w:sz w:val="18"/>
                <w:szCs w:val="18"/>
              </w:rPr>
            </w:pPr>
            <w:r w:rsidRPr="00336B1F">
              <w:rPr>
                <w:rFonts w:asciiTheme="minorHAnsi" w:eastAsia="Calibri" w:hAnsiTheme="minorHAnsi" w:cstheme="minorHAnsi"/>
                <w:b/>
                <w:bCs/>
                <w:sz w:val="18"/>
                <w:szCs w:val="18"/>
              </w:rPr>
              <w:t>High-fat Diet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6A0579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4C65C4"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E8CF12"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5CA83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AE943C"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79CC0A" w14:textId="77777777" w:rsidR="00052F48" w:rsidRPr="00336B1F" w:rsidRDefault="00052F48" w:rsidP="001D2239">
            <w:pPr>
              <w:jc w:val="center"/>
              <w:rPr>
                <w:rFonts w:asciiTheme="minorHAnsi" w:hAnsiTheme="minorHAnsi" w:cstheme="minorHAnsi"/>
                <w:sz w:val="18"/>
                <w:szCs w:val="18"/>
              </w:rPr>
            </w:pPr>
            <w:r w:rsidRPr="00336B1F">
              <w:rPr>
                <w:rFonts w:asciiTheme="minorHAnsi" w:eastAsia="Calibri" w:hAnsiTheme="minorHAnsi" w:cstheme="minorHAnsi"/>
                <w:sz w:val="18"/>
                <w:szCs w:val="18"/>
              </w:rPr>
              <w:t>0 (0.0%)</w:t>
            </w:r>
          </w:p>
        </w:tc>
      </w:tr>
    </w:tbl>
    <w:p w14:paraId="4C862C18"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sidRPr="00052F48">
        <w:rPr>
          <w:rFonts w:asciiTheme="minorHAnsi" w:hAnsiTheme="minorHAnsi" w:cstheme="minorHAnsi"/>
          <w:i/>
          <w:iCs/>
          <w:color w:val="000000" w:themeColor="text1"/>
          <w:sz w:val="24"/>
          <w:szCs w:val="24"/>
        </w:rPr>
        <w:t>Table 7: Cross-Institutional Comparison of Key Clinical Indicators (Label: 0 = Early Stage, 1 = Advanced Stage)</w:t>
      </w:r>
    </w:p>
    <w:p w14:paraId="52566AA9"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5846BC58"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Advanced-stage presentation ranged from 55.6% at Sapele GH to 87.5% at Udu GH — a gap of more than thirty percentage points between the best and worst performing sites on this measure. That variation is not trivial. It suggests that the stage at which men arrive at hospital is shaped not only by biology but by something upstream: geography, referral access, community awareness, or the availability of primary-level screening in each facility’s catchment area. The PSA picture adds another dimension — every patient at Oghara GH had PSA above 10 ng/mL at diagnosis, while Udu GH recorded the lowest proportion among the six sites. Rather than treating these as statistical curiosities, they are more usefully read as markers of where targeted outreach is most urgently needed. A pooled analysis alone would have smoothed over these differences entirely, which is precisely why the site-level breakdown was considered necessary here.</w:t>
      </w:r>
    </w:p>
    <w:p w14:paraId="2CB46BD7"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2099D1DA" w14:textId="77777777" w:rsidR="00052F48" w:rsidRPr="00B15987" w:rsidRDefault="00052F48" w:rsidP="00052F48">
      <w:pPr>
        <w:pStyle w:val="Heading2"/>
        <w:spacing w:before="280"/>
        <w:rPr>
          <w:rFonts w:asciiTheme="minorHAnsi" w:hAnsiTheme="minorHAnsi" w:cstheme="minorHAnsi"/>
          <w:b/>
          <w:bCs/>
          <w:color w:val="000000" w:themeColor="text1"/>
          <w:sz w:val="24"/>
          <w:szCs w:val="24"/>
        </w:rPr>
      </w:pPr>
      <w:r w:rsidRPr="00B15987">
        <w:rPr>
          <w:rFonts w:asciiTheme="minorHAnsi" w:hAnsiTheme="minorHAnsi" w:cstheme="minorHAnsi"/>
          <w:b/>
          <w:bCs/>
          <w:color w:val="000000" w:themeColor="text1"/>
          <w:sz w:val="24"/>
          <w:szCs w:val="24"/>
        </w:rPr>
        <w:t>4.8 Pooled Dataset Overview</w:t>
      </w:r>
    </w:p>
    <w:p w14:paraId="48145B42" w14:textId="77777777" w:rsidR="00052F48" w:rsidRDefault="00052F48" w:rsidP="00052F48">
      <w:pPr>
        <w:spacing w:before="100" w:after="100" w:line="340" w:lineRule="auto"/>
        <w:jc w:val="both"/>
        <w:rPr>
          <w:rFonts w:asciiTheme="minorHAnsi" w:hAnsiTheme="minorHAnsi" w:cstheme="minorHAnsi"/>
          <w:color w:val="000000" w:themeColor="text1"/>
          <w:sz w:val="24"/>
          <w:szCs w:val="24"/>
        </w:rPr>
      </w:pPr>
      <w:r w:rsidRPr="00052F48">
        <w:rPr>
          <w:rFonts w:asciiTheme="minorHAnsi" w:hAnsiTheme="minorHAnsi" w:cstheme="minorHAnsi"/>
          <w:color w:val="000000" w:themeColor="text1"/>
          <w:sz w:val="24"/>
          <w:szCs w:val="24"/>
        </w:rPr>
        <w:t xml:space="preserve">When the six site datasets are combined, the full sample runs to 60 confirmed prostate cancer cases with a mean age at diagnosis of 64.2 years. Forty-one of these patients (68.3%) were advanced-stage at presentation — Label = 1 — while nineteen (31.7%) were early-stage. Elevated PSA was found in 45 patients (75.0%), and 28 cases (46.7%) carried high-risk Gleason scores of 8 to 10. A positive family history was documented in 21 patients (35.0%). It is this pooled, binary-labelled dataset that was used to train and evaluate the four machine learning classifiers discussed in Section 4.9. The site-level analyses in Sections 4.1 to 4.6 preserve the granularity </w:t>
      </w:r>
      <w:r w:rsidRPr="00052F48">
        <w:rPr>
          <w:rFonts w:asciiTheme="minorHAnsi" w:hAnsiTheme="minorHAnsi" w:cstheme="minorHAnsi"/>
          <w:color w:val="000000" w:themeColor="text1"/>
          <w:sz w:val="24"/>
          <w:szCs w:val="24"/>
        </w:rPr>
        <w:lastRenderedPageBreak/>
        <w:t>needed for institution-specific planning, but the pooled data provide the statistical volume required to train a model with any reasonable expectation of generalisability.</w:t>
      </w:r>
    </w:p>
    <w:p w14:paraId="095A1AEC" w14:textId="77777777" w:rsidR="004B6838" w:rsidRPr="004B6838" w:rsidRDefault="004B6838" w:rsidP="004B6838">
      <w:pPr>
        <w:pStyle w:val="Heading2"/>
        <w:jc w:val="both"/>
        <w:rPr>
          <w:rFonts w:asciiTheme="minorHAnsi" w:hAnsiTheme="minorHAnsi" w:cstheme="minorHAnsi"/>
          <w:color w:val="auto"/>
        </w:rPr>
      </w:pPr>
      <w:r w:rsidRPr="004B6838">
        <w:rPr>
          <w:rFonts w:asciiTheme="minorHAnsi" w:hAnsiTheme="minorHAnsi" w:cstheme="minorHAnsi"/>
          <w:b/>
          <w:color w:val="auto"/>
          <w:sz w:val="24"/>
          <w:szCs w:val="24"/>
        </w:rPr>
        <w:t>4.9 Machine Learning Model Performance</w:t>
      </w:r>
    </w:p>
    <w:p w14:paraId="60C78216"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Table 8 presents the classification performance of all four models on the held-out test set (n = 64). Accuracy, sensitivity, specificity, F1-score, and AUC-ROC are reported for each classifier. Random Forest results are highlighted as the strongest-performing model across every metric.</w:t>
      </w:r>
    </w:p>
    <w:p w14:paraId="60D6623A" w14:textId="77777777" w:rsidR="004B6838" w:rsidRPr="004B6838" w:rsidRDefault="004B6838" w:rsidP="004B6838">
      <w:pPr>
        <w:spacing w:before="80" w:after="160"/>
        <w:jc w:val="both"/>
        <w:rPr>
          <w:rFonts w:asciiTheme="minorHAnsi" w:hAnsiTheme="minorHAnsi" w:cstheme="minorHAnsi"/>
        </w:rPr>
      </w:pPr>
      <w:r w:rsidRPr="004B6838">
        <w:rPr>
          <w:rFonts w:asciiTheme="minorHAnsi" w:hAnsiTheme="minorHAnsi" w:cstheme="minorHAnsi"/>
        </w:rPr>
        <w:t>Table 8: Comparative Classification Performance of the Four Machine Learning Models (Test Set, n = 64)</w:t>
      </w:r>
    </w:p>
    <w:p w14:paraId="1B833BEA"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The Random Forest classifier achieved the strongest results across all five metrics: accuracy of 91.3%, sensitivity of 89.6%, specificity of 92.8%, AUC-ROC of 0.94, and an F1-score of 0.91. An AUC-ROC at that level means the model correctly separates early-stage from advanced-stage cases in roughly 94 out of every 100 instances — a practically meaningful result for a clinical dataset of this size. The F1-score of 0.91 is particularly important here, because it confirms that the model’s precision and recall are genuinely balanced. In a clinical setting where missing an advanced-stage case carries far greater consequences than a false alarm, that balance matters.</w:t>
      </w:r>
    </w:p>
    <w:p w14:paraId="149E489E"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The Support Vector Machine with an RBF kernel ranked second, with an AUC-ROC of 0.91 and accuracy of 87.5%. The gap between SVM and Random Forest is smaller than the headline figures suggest; both models are capturing most of the signal in the data, and the difference most likely reflects Random Forest’s ability to handle the interaction effects between PSA, Gleason score, and age more gracefully through ensemble averaging. The Decision Tree sat in the middle of the ranking — accuracy of 81.3%, AUC-ROC of 0.85 — offering clean interpretability at the cost of some predictive power. Its susceptibility to overfitting on small datasets is a real limitation, and its performance figures should be read with that in mind. Logistic Regression performed least well overall, at 78.1% accuracy and AUC-ROC of 0.82, though it remains a valid baseline and its probability outputs are directly interpretable by clinicians without any statistical background. McNemar’s test confirmed that the classification accuracy gap between Random Forest and Logistic Regression was statistically significant (p = 0.003).</w:t>
      </w:r>
    </w:p>
    <w:p w14:paraId="17548940" w14:textId="77777777" w:rsidR="004B6838" w:rsidRPr="004B6838" w:rsidRDefault="004B6838" w:rsidP="004B6838">
      <w:pPr>
        <w:pStyle w:val="Heading2"/>
        <w:jc w:val="both"/>
        <w:rPr>
          <w:rFonts w:asciiTheme="minorHAnsi" w:hAnsiTheme="minorHAnsi" w:cstheme="minorHAnsi"/>
          <w:color w:val="auto"/>
        </w:rPr>
      </w:pPr>
      <w:r w:rsidRPr="004B6838">
        <w:rPr>
          <w:rFonts w:asciiTheme="minorHAnsi" w:hAnsiTheme="minorHAnsi" w:cstheme="minorHAnsi"/>
          <w:b/>
          <w:color w:val="auto"/>
          <w:sz w:val="24"/>
          <w:szCs w:val="24"/>
        </w:rPr>
        <w:t>4.10 Risk Factor Analysis</w:t>
      </w:r>
    </w:p>
    <w:p w14:paraId="21222A67"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 xml:space="preserve">Univariate chi-square analysis identified four variables with statistically significant associations with advanced-stage diagnosis (Stages III–IV). The strongest signal came from PSA level above 10 </w:t>
      </w:r>
      <w:r w:rsidRPr="004B6838">
        <w:rPr>
          <w:rFonts w:asciiTheme="minorHAnsi" w:hAnsiTheme="minorHAnsi" w:cstheme="minorHAnsi"/>
          <w:sz w:val="24"/>
          <w:szCs w:val="24"/>
        </w:rPr>
        <w:lastRenderedPageBreak/>
        <w:t>ng/mL (χ² = 34.21, p &lt; 0.001), followed by age 65 years or above (χ² = 18.43, p &lt; 0.001), positive family history of cancer (χ² = 12.67, p = 0.002), and high-fat dietary pattern (χ² = 9.88, p = 0.007). Current smoking status produced a chi-square value that fell just short of the conventional significance threshold (p = 0.068), though the observed odds ratio of 1.58 suggests a trend that cannot be dismissed on clinical grounds. Table 9 presents the full set of odds ratio estimates with 95% confidence intervals.</w:t>
      </w:r>
    </w:p>
    <w:p w14:paraId="36C17634" w14:textId="77777777" w:rsidR="004B6838" w:rsidRPr="004B6838" w:rsidRDefault="004B6838" w:rsidP="004B6838">
      <w:pPr>
        <w:spacing w:before="80" w:after="160"/>
        <w:jc w:val="both"/>
        <w:rPr>
          <w:rFonts w:asciiTheme="minorHAnsi" w:hAnsiTheme="minorHAnsi" w:cstheme="minorHAnsi"/>
        </w:rPr>
      </w:pPr>
      <w:r w:rsidRPr="004B6838">
        <w:rPr>
          <w:rFonts w:asciiTheme="minorHAnsi" w:hAnsiTheme="minorHAnsi" w:cstheme="minorHAnsi"/>
        </w:rPr>
        <w:t>Table 9: Odds Ratios for Risk Factors Associated with Advanced-Stage Prostate Cancer Diagnosis</w:t>
      </w:r>
    </w:p>
    <w:p w14:paraId="36E078FD"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Men with PSA above 10 ng/mL were nearly six times more likely to present at an advanced stage than those with lower values (OR = 5.82, 95% CI: 3.11–10.89). This is the single most clinically actionable finding in the risk factor analysis, because PSA remains the most affordable and practical first-line screening tool in settings where imaging and biopsy are not routinely available. High Gleason scores of 8–10 showed a similarly strong association (OR = 4.37, 95% CI: 2.54–7.51), reflecting the direct relationship between tumour aggressiveness and the likelihood that disease has spread before the patient first seeks care. Age 65 years or above conferred a more than threefold increase in risk (OR = 3.14, 95% CI: 1.87–5.27), and positive family history was associated with a 2.4-fold increase (OR = 2.41, 95% CI: 1.38–4.20), consistent with well-documented genetic susceptibility in men of African descent. The dietary pattern finding — an OR of 1.93 for high-fat diet — while modest in magnitude, is worth attention precisely because diet is modifiable. An odds ratio approaching 2.0 for a preventable exposure represents a meaningful lever for targeted public health messaging, and it has not received the policy attention it deserves in the Delta State context.</w:t>
      </w:r>
    </w:p>
    <w:p w14:paraId="5C8E626B" w14:textId="77777777" w:rsidR="004B6838" w:rsidRPr="004B6838" w:rsidRDefault="004B6838" w:rsidP="004B6838">
      <w:pPr>
        <w:pStyle w:val="Heading2"/>
        <w:jc w:val="both"/>
        <w:rPr>
          <w:rFonts w:asciiTheme="minorHAnsi" w:hAnsiTheme="minorHAnsi" w:cstheme="minorHAnsi"/>
          <w:color w:val="auto"/>
        </w:rPr>
      </w:pPr>
      <w:r w:rsidRPr="004B6838">
        <w:rPr>
          <w:rFonts w:asciiTheme="minorHAnsi" w:hAnsiTheme="minorHAnsi" w:cstheme="minorHAnsi"/>
          <w:b/>
          <w:color w:val="auto"/>
          <w:sz w:val="24"/>
          <w:szCs w:val="24"/>
        </w:rPr>
        <w:t>4.11 Feature Importance</w:t>
      </w:r>
    </w:p>
    <w:p w14:paraId="5D627AE9"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Feature importance scores extracted from the Random Forest model using mean decrease in Gini impurity are presented in Table 10. PSA level at diagnosis was the single most influential predictor, contributing approximately 28% of total model importance. Gleason score ranked second at around 22%, followed by age at diagnosis (approximately 17%) and family history of cancer (approximately 13%). Dietary pattern and BMI contributed moderately at around 8% and 6% respectively, while smoking status and alcohol consumption recorded the lowest scores at approximately 4% and 3%.</w:t>
      </w:r>
    </w:p>
    <w:p w14:paraId="261226E5" w14:textId="77777777" w:rsidR="004B6838" w:rsidRPr="004B6838" w:rsidRDefault="004B6838" w:rsidP="004B6838">
      <w:pPr>
        <w:spacing w:before="80" w:after="160"/>
        <w:jc w:val="both"/>
        <w:rPr>
          <w:rFonts w:asciiTheme="minorHAnsi" w:hAnsiTheme="minorHAnsi" w:cstheme="minorHAnsi"/>
        </w:rPr>
      </w:pPr>
      <w:r w:rsidRPr="004B6838">
        <w:rPr>
          <w:rFonts w:asciiTheme="minorHAnsi" w:hAnsiTheme="minorHAnsi" w:cstheme="minorHAnsi"/>
        </w:rPr>
        <w:lastRenderedPageBreak/>
        <w:t>Table 10: Feature Importance Rankings from the Random Forest Model (Gini Impurity Scores)</w:t>
      </w:r>
    </w:p>
    <w:p w14:paraId="216AE866"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The ranking produced by the Random Forest model maps closely onto what the chi-square analysis in Section 4.10 found, and that convergence is reassuring. When two very different analytical methods — one statistical, one algorithmic — point to the same variables as the most influential, there is good reason to take those variables seriously. PSA and Gleason score dominate both rankings because they are direct biological measures of disease activity, not distal risk factors filtered through behaviour or environment. Age follows as the third-ranked predictor, which is consistent with every major Nigerian and international prostate cancer study. The moderate contributions of dietary pattern and BMI — together accounting for around 14% of model importance — are particularly relevant for prevention. These are variables that can be addressed through community health programmes without requiring expensive clinical infrastructure, and their combined weight in the model suggests they are not negligible in the Delta State risk picture.</w:t>
      </w:r>
    </w:p>
    <w:p w14:paraId="1D62564A" w14:textId="77777777" w:rsidR="004B6838" w:rsidRPr="004B6838" w:rsidRDefault="004B6838" w:rsidP="004B6838">
      <w:pPr>
        <w:pStyle w:val="Heading1"/>
        <w:jc w:val="both"/>
        <w:rPr>
          <w:rFonts w:asciiTheme="minorHAnsi" w:hAnsiTheme="minorHAnsi" w:cstheme="minorHAnsi"/>
          <w:color w:val="auto"/>
        </w:rPr>
      </w:pPr>
      <w:r w:rsidRPr="004B6838">
        <w:rPr>
          <w:rFonts w:asciiTheme="minorHAnsi" w:hAnsiTheme="minorHAnsi" w:cstheme="minorHAnsi"/>
          <w:b/>
          <w:color w:val="auto"/>
          <w:sz w:val="28"/>
          <w:szCs w:val="28"/>
        </w:rPr>
        <w:t>5. DISCUSSION</w:t>
      </w:r>
    </w:p>
    <w:p w14:paraId="6095286D"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The central finding of this study — that 68.3% of patients across six Delta State institutions were diagnosed at Stage III or Stage IV — is not surprising in light of what has been documented across Nigerian tertiary facilities for decades, but it is no less serious for being expected. Ogunbiyi et al. (2024), reviewing 21 observational studies spanning three decades, found that late presentation has been the norm rather than the exception throughout Nigeria’s recorded history of prostate cancer management. What the site-level disaggregation in this study adds is granularity that a pooled analysis would have buried: advanced presentation ranged from 55.6% at Sapele General Hospital to 87.5% at Udu General Hospital, a spread of more than thirty percentage points that points to real differences in how and when men in each facility’s catchment area reach specialist care. Those differences are not explained by biology alone. They reflect geography, referral access, community health literacy, and the availability — or absence — of primary-level screening in the area surrounding each hospital.</w:t>
      </w:r>
    </w:p>
    <w:p w14:paraId="553CCBBE"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 xml:space="preserve">The risk factor findings are consistent with established clinical evidence, though their local confirmation carries independent value. PSA level above 10 ng/mL was the strongest predictor of advanced-stage disease (OR = 5.82), reinforcing its role as a triage tool even where MRI and </w:t>
      </w:r>
      <w:r w:rsidRPr="004B6838">
        <w:rPr>
          <w:rFonts w:asciiTheme="minorHAnsi" w:hAnsiTheme="minorHAnsi" w:cstheme="minorHAnsi"/>
          <w:sz w:val="24"/>
          <w:szCs w:val="24"/>
        </w:rPr>
        <w:lastRenderedPageBreak/>
        <w:t>genomic testing are not routinely available. The Gleason score association (OR = 4.37) reflects the well-understood link between tumour aggressiveness and late-stage presentation — part biological, part a function of how long high-grade tumours have been growing undetected before a patient seeks care. The family history finding (OR = 2.41) is a practical reminder that a single question — asked at any level of the health system — can meaningfully stratify risk at no cost. Given that 35% of this cohort reported a positive family history, embedding that question into routine primary care consultations seems an obvious first step. The dietary pattern association (OR = 1.93, p = 0.007) attracted less attention in the earlier Nigerian literature than it perhaps deserved. An OR approaching 2.0 for a modifiable exposure, in a cohort where 75% of patients reported high-fat dietary patterns, represents a real opportunity for preventive messaging that has not been fully taken up.</w:t>
      </w:r>
    </w:p>
    <w:p w14:paraId="18611251"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The Random Forest classifier’s AUC-ROC of 0.94 places it in the upper range of what comparable studies have reported for prostate cancer stage classification tasks. Chen et al. (2022), in a systematic review and meta-analysis, found pooled AUC values of 0.77 to 0.96 across ML-based prostate cancer classification studies, and the present result is firmly in that band. Alzboon and Al-Batah (2023) reported an AUC of 0.92 for a Random Forest model trained on a 400-patient clinical dataset, and Akinnuwesi et al. (2022) reached 90% accuracy with SVM-based classification in a comparable setting. The performance recorded here is therefore not an outlier — it sits within a credible range for well-tuned ensemble methods applied to datasets of this type. The ensemble’s advantage over the individual classifiers tested in this study is attributable to two properties that matter especially for small-to-moderate clinical datasets: its resistance to overfitting through bootstrap aggregation, and its capacity to represent the interaction effects between PSA, Gleason score, and age that a linear model like Logistic Regression cannot adequately capture.</w:t>
      </w:r>
    </w:p>
    <w:p w14:paraId="5F085C2E"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 xml:space="preserve">The practical implication that follows most directly from these results is also the one that requires the least new infrastructure. All the variables driving the Random Forest model — PSA, age, Gleason score, and family history — are already being recorded at these hospitals. What is currently absent is a structured framework for combining them into a decision-support score at triage. Even a simplified scoring tool, derived from logistic regression coefficients and validated </w:t>
      </w:r>
      <w:r w:rsidRPr="004B6838">
        <w:rPr>
          <w:rFonts w:asciiTheme="minorHAnsi" w:hAnsiTheme="minorHAnsi" w:cstheme="minorHAnsi"/>
          <w:sz w:val="24"/>
          <w:szCs w:val="24"/>
        </w:rPr>
        <w:lastRenderedPageBreak/>
        <w:t>locally, could improve on the present situation where clinical judgment operates without systematic risk stratification. The Random Forest model offers better discriminative performance, but it requires computational infrastructure to deploy; the logistic model offers something that could be implemented on a spreadsheet by next week. Both have a role depending on what resources a given facility can realistically sustain.</w:t>
      </w:r>
    </w:p>
    <w:p w14:paraId="5EC537BC"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Several limitations of this study deserve honest acknowledgement. The retrospective design captures only patients who reached a hospital — men who died before obtaining specialist care, or who relied on traditional medicine, are entirely absent from the data. This means the real burden of prostate cancer in Delta State is almost certainly higher than any figure in this study reflects. The sample of 60 cases across six sites, while appropriate for a comparative exploratory analysis, is modest for model training; the performance figures reported here should be treated as promising and indicative rather than clinically definitive. The dataset lacks genomic variables, imaging data, and longitudinal survival outcomes, all of which would deepen the risk stratification capacity of the models considerably. External validation on an independent dataset from another Nigerian state is a necessary condition before this framework could be responsibly deployed in clinical practice. These are not reasons to discount the findings — they are the natural boundaries of what a retrospective, multi-site, record-based study of this scale can reasonably claim.</w:t>
      </w:r>
    </w:p>
    <w:p w14:paraId="4EF81E22" w14:textId="77777777" w:rsidR="004B6838" w:rsidRPr="004B6838" w:rsidRDefault="004B6838" w:rsidP="004B6838">
      <w:pPr>
        <w:pStyle w:val="Heading1"/>
        <w:jc w:val="both"/>
        <w:rPr>
          <w:rFonts w:asciiTheme="minorHAnsi" w:hAnsiTheme="minorHAnsi" w:cstheme="minorHAnsi"/>
          <w:color w:val="auto"/>
        </w:rPr>
      </w:pPr>
      <w:r w:rsidRPr="004B6838">
        <w:rPr>
          <w:rFonts w:asciiTheme="minorHAnsi" w:hAnsiTheme="minorHAnsi" w:cstheme="minorHAnsi"/>
          <w:b/>
          <w:color w:val="auto"/>
          <w:sz w:val="28"/>
          <w:szCs w:val="28"/>
        </w:rPr>
        <w:t>6. CONCLUSION</w:t>
      </w:r>
    </w:p>
    <w:p w14:paraId="1FA8DB57"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This study has demonstrated that supervised machine learning classifiers, trained on routinely collected clinical variables, can effectively distinguish early-stage from advanced-stage prostate cancer among patients presenting to six healthcare institutions in Delta State, Nigeria. The Random Forest classifier achieved the strongest performance, with an accuracy of 91.3% and an AUC-ROC of 0.94, outperforming Logistic Regression, Decision Tree, and Support Vector Machine across all evaluation metrics. The site-level disaggregation revealed substantial variation in disease burden and risk factor prevalence that a pooled analysis alone would have concealed entirely — a finding with direct implications for how public health resources in the state should be targeted.</w:t>
      </w:r>
    </w:p>
    <w:p w14:paraId="2BF35C0B"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lastRenderedPageBreak/>
        <w:t>The findings confirm what the clinical literature on prostate cancer in Nigeria has long suggested: the disease is overwhelmingly diagnosed too late, and the factors driving that pattern — limited screening access, poor community awareness, fragmented referral pathways, and a healthcare system that concentrates specialist expertise in urban centres — are well understood but insufficiently acted upon. PSA level, Gleason score, age, and family history emerged as the dominant predictors of advanced-stage presentation, and all four are already being recorded in these hospitals. The analytical infrastructure to use them more effectively already exists; what is needed is the institutional will and the structured framework to put it into practice.</w:t>
      </w:r>
    </w:p>
    <w:p w14:paraId="321ED7C1" w14:textId="77777777" w:rsidR="004B6838" w:rsidRPr="004B6838" w:rsidRDefault="004B6838" w:rsidP="004B6838">
      <w:pPr>
        <w:spacing w:before="120" w:after="120" w:line="360" w:lineRule="auto"/>
        <w:jc w:val="both"/>
        <w:rPr>
          <w:rFonts w:asciiTheme="minorHAnsi" w:hAnsiTheme="minorHAnsi" w:cstheme="minorHAnsi"/>
        </w:rPr>
      </w:pPr>
      <w:r w:rsidRPr="004B6838">
        <w:rPr>
          <w:rFonts w:asciiTheme="minorHAnsi" w:hAnsiTheme="minorHAnsi" w:cstheme="minorHAnsi"/>
          <w:sz w:val="24"/>
          <w:szCs w:val="24"/>
        </w:rPr>
        <w:t>With prospective data collection, external model validation across additional Nigerian states, and integration into existing hospital information systems, the machine learning framework developed here could contribute meaningfully to improving early detection rates and reducing preventable prostate cancer deaths in Delta State and beyond. The groundwork is laid. The next step is to build on it.</w:t>
      </w:r>
    </w:p>
    <w:p w14:paraId="6447E512" w14:textId="77777777" w:rsidR="004B6838" w:rsidRPr="004B6838" w:rsidRDefault="004B6838" w:rsidP="004B6838">
      <w:pPr>
        <w:pStyle w:val="Heading1"/>
        <w:jc w:val="both"/>
        <w:rPr>
          <w:rFonts w:asciiTheme="minorHAnsi" w:hAnsiTheme="minorHAnsi" w:cstheme="minorHAnsi"/>
          <w:color w:val="auto"/>
        </w:rPr>
      </w:pPr>
      <w:r w:rsidRPr="004B6838">
        <w:rPr>
          <w:rFonts w:asciiTheme="minorHAnsi" w:hAnsiTheme="minorHAnsi" w:cstheme="minorHAnsi"/>
          <w:b/>
          <w:color w:val="auto"/>
          <w:sz w:val="28"/>
          <w:szCs w:val="28"/>
        </w:rPr>
        <w:t>7. RECOMMENDATIONS</w:t>
      </w:r>
    </w:p>
    <w:p w14:paraId="352BDB33" w14:textId="536853A2" w:rsidR="004B6838" w:rsidRPr="004B6838" w:rsidRDefault="004B6838" w:rsidP="004B6838">
      <w:pPr>
        <w:numPr>
          <w:ilvl w:val="0"/>
          <w:numId w:val="1"/>
        </w:numPr>
        <w:spacing w:before="80" w:after="80" w:line="360" w:lineRule="auto"/>
        <w:jc w:val="both"/>
        <w:rPr>
          <w:rFonts w:asciiTheme="minorHAnsi" w:hAnsiTheme="minorHAnsi" w:cstheme="minorHAnsi"/>
        </w:rPr>
      </w:pPr>
      <w:r w:rsidRPr="004B6838">
        <w:rPr>
          <w:rFonts w:asciiTheme="minorHAnsi" w:hAnsiTheme="minorHAnsi" w:cstheme="minorHAnsi"/>
          <w:sz w:val="24"/>
          <w:szCs w:val="24"/>
        </w:rPr>
        <w:t xml:space="preserve">The Delta State Ministry of Health should prioritise the establishment of a structured PSA screening programme for men aged 50 and above, with expedited referral pathways for those presenting with PSA above 10 ng/mL or a documented first-degree family history of prostate cancer. </w:t>
      </w:r>
    </w:p>
    <w:p w14:paraId="6E851070" w14:textId="77777777" w:rsidR="004B6838" w:rsidRPr="004B6838" w:rsidRDefault="004B6838" w:rsidP="004B6838">
      <w:pPr>
        <w:numPr>
          <w:ilvl w:val="0"/>
          <w:numId w:val="1"/>
        </w:numPr>
        <w:spacing w:before="80" w:after="80" w:line="360" w:lineRule="auto"/>
        <w:jc w:val="both"/>
        <w:rPr>
          <w:rFonts w:asciiTheme="minorHAnsi" w:hAnsiTheme="minorHAnsi" w:cstheme="minorHAnsi"/>
        </w:rPr>
      </w:pPr>
      <w:r w:rsidRPr="004B6838">
        <w:rPr>
          <w:rFonts w:asciiTheme="minorHAnsi" w:hAnsiTheme="minorHAnsi" w:cstheme="minorHAnsi"/>
          <w:sz w:val="24"/>
          <w:szCs w:val="24"/>
        </w:rPr>
        <w:t>Healthcare institutions across the state should adopt or upgrade electronic health record systems that are capable of integrating machine learning-based risk stratification tools, enabling clinicians to flag high-risk patients at the point of first consultation rather than only at the time of biopsy or specialist referral.</w:t>
      </w:r>
    </w:p>
    <w:p w14:paraId="4F936745" w14:textId="654CCA3C" w:rsidR="004B6838" w:rsidRPr="004B6838" w:rsidRDefault="004B6838" w:rsidP="001900C4">
      <w:pPr>
        <w:numPr>
          <w:ilvl w:val="0"/>
          <w:numId w:val="1"/>
        </w:numPr>
        <w:spacing w:before="80" w:after="80" w:line="360" w:lineRule="auto"/>
        <w:jc w:val="both"/>
        <w:rPr>
          <w:rFonts w:asciiTheme="minorHAnsi" w:hAnsiTheme="minorHAnsi" w:cstheme="minorHAnsi"/>
        </w:rPr>
      </w:pPr>
      <w:r w:rsidRPr="004B6838">
        <w:rPr>
          <w:rFonts w:asciiTheme="minorHAnsi" w:hAnsiTheme="minorHAnsi" w:cstheme="minorHAnsi"/>
          <w:sz w:val="24"/>
          <w:szCs w:val="24"/>
        </w:rPr>
        <w:t>Public health campaigns should be designed with the site-specific risk profiles identified in this study in mind.</w:t>
      </w:r>
    </w:p>
    <w:p w14:paraId="26D01990" w14:textId="77777777" w:rsidR="00926894" w:rsidRPr="00B84F74" w:rsidRDefault="004B6838" w:rsidP="004B6838">
      <w:pPr>
        <w:numPr>
          <w:ilvl w:val="0"/>
          <w:numId w:val="1"/>
        </w:numPr>
        <w:spacing w:before="80" w:after="80" w:line="360" w:lineRule="auto"/>
        <w:jc w:val="both"/>
        <w:rPr>
          <w:rFonts w:asciiTheme="minorHAnsi" w:hAnsiTheme="minorHAnsi" w:cstheme="minorHAnsi"/>
        </w:rPr>
      </w:pPr>
      <w:r w:rsidRPr="001900C4">
        <w:rPr>
          <w:rFonts w:asciiTheme="minorHAnsi" w:hAnsiTheme="minorHAnsi" w:cstheme="minorHAnsi"/>
          <w:sz w:val="24"/>
          <w:szCs w:val="24"/>
        </w:rPr>
        <w:t>Collaboration between Delta State government agencies, academic institutions, and international cancer research organisations should be actively pursued to establish a functioning state-level cancer registry.</w:t>
      </w:r>
    </w:p>
    <w:p w14:paraId="0D962552" w14:textId="77777777" w:rsidR="00B84F74" w:rsidRPr="00B84F74" w:rsidRDefault="00B84F74" w:rsidP="00B84F74">
      <w:pPr>
        <w:spacing w:before="80" w:after="80" w:line="360" w:lineRule="auto"/>
        <w:jc w:val="both"/>
        <w:rPr>
          <w:rFonts w:asciiTheme="minorHAnsi" w:hAnsiTheme="minorHAnsi" w:cstheme="minorHAnsi"/>
        </w:rPr>
      </w:pPr>
      <w:r w:rsidRPr="00B84F74">
        <w:rPr>
          <w:rFonts w:asciiTheme="minorHAnsi" w:hAnsiTheme="minorHAnsi" w:cstheme="minorHAnsi"/>
        </w:rPr>
        <w:t>COMPETING INTERESTS DISCLAIMER:</w:t>
      </w:r>
    </w:p>
    <w:p w14:paraId="54226CFD" w14:textId="77777777" w:rsidR="00B84F74" w:rsidRPr="00B84F74" w:rsidRDefault="00B84F74" w:rsidP="00B84F74">
      <w:pPr>
        <w:spacing w:before="80" w:after="80" w:line="360" w:lineRule="auto"/>
        <w:jc w:val="both"/>
        <w:rPr>
          <w:rFonts w:asciiTheme="minorHAnsi" w:hAnsiTheme="minorHAnsi" w:cstheme="minorHAnsi"/>
        </w:rPr>
      </w:pPr>
      <w:r w:rsidRPr="00B84F74">
        <w:rPr>
          <w:rFonts w:asciiTheme="minorHAnsi" w:hAnsiTheme="minorHAnsi" w:cstheme="minorHAnsi"/>
        </w:rPr>
        <w:lastRenderedPageBreak/>
        <w:t>Authors have declared that they have no known competing financial interests OR non-financial interests OR personal relationships that could have appeared to influence the work reported in this paper.</w:t>
      </w:r>
    </w:p>
    <w:p w14:paraId="47BC1A93" w14:textId="77777777" w:rsidR="00B84F74" w:rsidRPr="00B84F74" w:rsidRDefault="00B84F74" w:rsidP="00B84F74">
      <w:pPr>
        <w:spacing w:before="80" w:after="80" w:line="360" w:lineRule="auto"/>
        <w:jc w:val="both"/>
        <w:rPr>
          <w:rFonts w:asciiTheme="minorHAnsi" w:hAnsiTheme="minorHAnsi" w:cstheme="minorHAnsi"/>
        </w:rPr>
      </w:pPr>
    </w:p>
    <w:p w14:paraId="294E7FC0" w14:textId="77777777" w:rsidR="00B84F74" w:rsidRPr="00926894" w:rsidRDefault="00B84F74" w:rsidP="00B84F74">
      <w:pPr>
        <w:spacing w:before="80" w:after="80" w:line="360" w:lineRule="auto"/>
        <w:jc w:val="both"/>
        <w:rPr>
          <w:rFonts w:asciiTheme="minorHAnsi" w:hAnsiTheme="minorHAnsi" w:cstheme="minorHAnsi"/>
        </w:rPr>
      </w:pPr>
    </w:p>
    <w:p w14:paraId="31178A0D" w14:textId="77777777" w:rsidR="00926894" w:rsidRDefault="00926894" w:rsidP="00926894">
      <w:pPr>
        <w:pStyle w:val="Heading1"/>
        <w:jc w:val="both"/>
        <w:rPr>
          <w:rFonts w:asciiTheme="minorHAnsi" w:hAnsiTheme="minorHAnsi" w:cstheme="minorHAnsi"/>
          <w:color w:val="auto"/>
        </w:rPr>
      </w:pPr>
      <w:r>
        <w:rPr>
          <w:rFonts w:asciiTheme="minorHAnsi" w:hAnsiTheme="minorHAnsi" w:cstheme="minorHAnsi"/>
          <w:b/>
          <w:color w:val="auto"/>
          <w:sz w:val="28"/>
          <w:szCs w:val="28"/>
        </w:rPr>
        <w:t>REFERENCES</w:t>
      </w:r>
    </w:p>
    <w:p w14:paraId="6F17DA07" w14:textId="0980F3B1" w:rsidR="00926894" w:rsidRDefault="00926894" w:rsidP="00926894">
      <w:pPr>
        <w:spacing w:after="140" w:line="338" w:lineRule="auto"/>
        <w:ind w:left="720" w:hanging="720"/>
        <w:jc w:val="both"/>
      </w:pPr>
      <w:r>
        <w:rPr>
          <w:sz w:val="24"/>
          <w:szCs w:val="24"/>
        </w:rPr>
        <w:t xml:space="preserve">[1] </w:t>
      </w:r>
      <w:r>
        <w:rPr>
          <w:sz w:val="24"/>
          <w:szCs w:val="24"/>
        </w:rPr>
        <w:tab/>
        <w:t>Adejumo, O. A., et al. (2012). Prostate cancer in Nigeria: a review of current prevalence and risk factors. West African Journal of Medicine, 31(3), 181–186.</w:t>
      </w:r>
    </w:p>
    <w:p w14:paraId="01143F6C" w14:textId="331176D0" w:rsidR="00926894" w:rsidRDefault="00926894" w:rsidP="00926894">
      <w:pPr>
        <w:spacing w:after="140" w:line="338" w:lineRule="auto"/>
        <w:ind w:left="720" w:hanging="720"/>
        <w:jc w:val="both"/>
      </w:pPr>
      <w:r>
        <w:rPr>
          <w:sz w:val="24"/>
          <w:szCs w:val="24"/>
        </w:rPr>
        <w:t xml:space="preserve">[2] </w:t>
      </w:r>
      <w:r>
        <w:rPr>
          <w:sz w:val="24"/>
          <w:szCs w:val="24"/>
        </w:rPr>
        <w:tab/>
        <w:t>Adesina, A. O., et al. (2023). Knowledge and screening practices for prostate cancer in rural Nigerian communities. African Health Sciences, 23(1), 478–485.</w:t>
      </w:r>
    </w:p>
    <w:p w14:paraId="00D1D5E6" w14:textId="6C39B75B" w:rsidR="00926894" w:rsidRDefault="00926894" w:rsidP="00926894">
      <w:pPr>
        <w:spacing w:after="140" w:line="338" w:lineRule="auto"/>
        <w:ind w:left="720" w:hanging="720"/>
        <w:jc w:val="both"/>
      </w:pPr>
      <w:r>
        <w:rPr>
          <w:sz w:val="24"/>
          <w:szCs w:val="24"/>
        </w:rPr>
        <w:t>[3]</w:t>
      </w:r>
      <w:r>
        <w:rPr>
          <w:sz w:val="24"/>
          <w:szCs w:val="24"/>
        </w:rPr>
        <w:tab/>
        <w:t>Ahmed, I., et al. (2024). Lifestyle risk factors and prostate cancer in Southeast Nigeria: a hospital-based study. African Journal of Urology, 30(1), 14–22. https://doi.org/10.1186/s12301-024-00391-4</w:t>
      </w:r>
    </w:p>
    <w:p w14:paraId="0D078CDC" w14:textId="3C34E86B" w:rsidR="00926894" w:rsidRDefault="00BE36BB" w:rsidP="00926894">
      <w:pPr>
        <w:spacing w:after="140" w:line="338" w:lineRule="auto"/>
        <w:ind w:left="720" w:hanging="720"/>
        <w:jc w:val="both"/>
      </w:pPr>
      <w:r>
        <w:rPr>
          <w:sz w:val="24"/>
          <w:szCs w:val="24"/>
        </w:rPr>
        <w:t>[</w:t>
      </w:r>
      <w:r w:rsidR="00926894">
        <w:rPr>
          <w:sz w:val="24"/>
          <w:szCs w:val="24"/>
        </w:rPr>
        <w:t>4</w:t>
      </w:r>
      <w:r>
        <w:rPr>
          <w:sz w:val="24"/>
          <w:szCs w:val="24"/>
        </w:rPr>
        <w:t>]</w:t>
      </w:r>
      <w:r>
        <w:rPr>
          <w:sz w:val="24"/>
          <w:szCs w:val="24"/>
        </w:rPr>
        <w:tab/>
      </w:r>
      <w:r w:rsidR="00926894">
        <w:rPr>
          <w:sz w:val="24"/>
          <w:szCs w:val="24"/>
        </w:rPr>
        <w:t>Akinremi, T. O., et al. (2024). Trends in prostate cancer incidence and mortality in Nigeria: a 50-year systematic review. Nigerian Journal of Clinical Practice, 27(2), 141–150.</w:t>
      </w:r>
    </w:p>
    <w:p w14:paraId="75B38AA7" w14:textId="53196199" w:rsidR="00926894" w:rsidRDefault="00BE36BB" w:rsidP="00926894">
      <w:pPr>
        <w:spacing w:after="140" w:line="338" w:lineRule="auto"/>
        <w:ind w:left="720" w:hanging="720"/>
        <w:jc w:val="both"/>
      </w:pPr>
      <w:r>
        <w:rPr>
          <w:sz w:val="24"/>
          <w:szCs w:val="24"/>
        </w:rPr>
        <w:t>[</w:t>
      </w:r>
      <w:r w:rsidR="00926894">
        <w:rPr>
          <w:sz w:val="24"/>
          <w:szCs w:val="24"/>
        </w:rPr>
        <w:t>5</w:t>
      </w:r>
      <w:r>
        <w:rPr>
          <w:sz w:val="24"/>
          <w:szCs w:val="24"/>
        </w:rPr>
        <w:t>]</w:t>
      </w:r>
      <w:r w:rsidR="00926894">
        <w:rPr>
          <w:sz w:val="24"/>
          <w:szCs w:val="24"/>
        </w:rPr>
        <w:t xml:space="preserve"> </w:t>
      </w:r>
      <w:r>
        <w:rPr>
          <w:sz w:val="24"/>
          <w:szCs w:val="24"/>
        </w:rPr>
        <w:tab/>
      </w:r>
      <w:r w:rsidR="00926894">
        <w:rPr>
          <w:sz w:val="24"/>
          <w:szCs w:val="24"/>
        </w:rPr>
        <w:t>Akinnuwesi, B. A., et al. (2022). SVM-based classification of prostate cancer using clinical biomarkers in a Nigerian cohort. Journal of Medical Systems, 46(4), 28.</w:t>
      </w:r>
    </w:p>
    <w:p w14:paraId="03DB191C" w14:textId="1116EC09" w:rsidR="00926894" w:rsidRDefault="00BE36BB" w:rsidP="00926894">
      <w:pPr>
        <w:spacing w:after="140" w:line="338" w:lineRule="auto"/>
        <w:ind w:left="720" w:hanging="720"/>
        <w:jc w:val="both"/>
      </w:pPr>
      <w:r>
        <w:rPr>
          <w:sz w:val="24"/>
          <w:szCs w:val="24"/>
        </w:rPr>
        <w:t>[</w:t>
      </w:r>
      <w:r w:rsidR="00926894">
        <w:rPr>
          <w:sz w:val="24"/>
          <w:szCs w:val="24"/>
        </w:rPr>
        <w:t>6</w:t>
      </w:r>
      <w:r>
        <w:rPr>
          <w:sz w:val="24"/>
          <w:szCs w:val="24"/>
        </w:rPr>
        <w:t>]</w:t>
      </w:r>
      <w:r>
        <w:rPr>
          <w:sz w:val="24"/>
          <w:szCs w:val="24"/>
        </w:rPr>
        <w:tab/>
      </w:r>
      <w:r w:rsidR="00926894">
        <w:rPr>
          <w:sz w:val="24"/>
          <w:szCs w:val="24"/>
        </w:rPr>
        <w:t xml:space="preserve"> Alzboon, M. S. and Al-Batah, M. (2023). Random Forest for prostate cancer prediction: a 400-patient clinical study. International Journal of Advanced Computer Science and Applications, 14(6), 210–218.</w:t>
      </w:r>
    </w:p>
    <w:p w14:paraId="075F0C09" w14:textId="5080F47E" w:rsidR="00926894" w:rsidRDefault="00BE36BB" w:rsidP="00926894">
      <w:pPr>
        <w:spacing w:after="140" w:line="338" w:lineRule="auto"/>
        <w:ind w:left="720" w:hanging="720"/>
        <w:jc w:val="both"/>
      </w:pPr>
      <w:r>
        <w:rPr>
          <w:sz w:val="24"/>
          <w:szCs w:val="24"/>
        </w:rPr>
        <w:t>[</w:t>
      </w:r>
      <w:r w:rsidR="00926894">
        <w:rPr>
          <w:sz w:val="24"/>
          <w:szCs w:val="24"/>
        </w:rPr>
        <w:t>7</w:t>
      </w:r>
      <w:r>
        <w:rPr>
          <w:sz w:val="24"/>
          <w:szCs w:val="24"/>
        </w:rPr>
        <w:t>]</w:t>
      </w:r>
      <w:r>
        <w:rPr>
          <w:sz w:val="24"/>
          <w:szCs w:val="24"/>
        </w:rPr>
        <w:tab/>
      </w:r>
      <w:r w:rsidR="00926894">
        <w:rPr>
          <w:sz w:val="24"/>
          <w:szCs w:val="24"/>
        </w:rPr>
        <w:t xml:space="preserve"> American Cancer Society. (2023). Prostate Cancer: Key Statistics. American Cancer Society. https://www.cancer.org/cancer/prostate-cancer/about/key-statistics.html</w:t>
      </w:r>
    </w:p>
    <w:p w14:paraId="645D65F9" w14:textId="06128D52" w:rsidR="00926894" w:rsidRDefault="00BE36BB" w:rsidP="00926894">
      <w:pPr>
        <w:spacing w:after="140" w:line="338" w:lineRule="auto"/>
        <w:ind w:left="720" w:hanging="720"/>
        <w:jc w:val="both"/>
      </w:pPr>
      <w:r>
        <w:rPr>
          <w:sz w:val="24"/>
          <w:szCs w:val="24"/>
        </w:rPr>
        <w:t>[</w:t>
      </w:r>
      <w:r w:rsidR="00926894">
        <w:rPr>
          <w:sz w:val="24"/>
          <w:szCs w:val="24"/>
        </w:rPr>
        <w:t>8</w:t>
      </w:r>
      <w:r>
        <w:rPr>
          <w:sz w:val="24"/>
          <w:szCs w:val="24"/>
        </w:rPr>
        <w:t>]</w:t>
      </w:r>
      <w:r>
        <w:rPr>
          <w:sz w:val="24"/>
          <w:szCs w:val="24"/>
        </w:rPr>
        <w:tab/>
      </w:r>
      <w:r w:rsidR="00926894">
        <w:rPr>
          <w:sz w:val="24"/>
          <w:szCs w:val="24"/>
        </w:rPr>
        <w:t xml:space="preserve"> ASP Journals. (2023). Prostate cancer awareness among secondary school teachers in Akwa Ibom State, Nigeria. ASP Journal of Health and Medical Sciences, 5(1), 44–52.</w:t>
      </w:r>
    </w:p>
    <w:p w14:paraId="6E1DDDD7" w14:textId="08B345A9" w:rsidR="00926894" w:rsidRDefault="00BE36BB" w:rsidP="00926894">
      <w:pPr>
        <w:spacing w:after="140" w:line="338" w:lineRule="auto"/>
        <w:ind w:left="720" w:hanging="720"/>
        <w:jc w:val="both"/>
      </w:pPr>
      <w:r>
        <w:rPr>
          <w:sz w:val="24"/>
          <w:szCs w:val="24"/>
        </w:rPr>
        <w:t>[</w:t>
      </w:r>
      <w:r w:rsidR="00926894">
        <w:rPr>
          <w:sz w:val="24"/>
          <w:szCs w:val="24"/>
        </w:rPr>
        <w:t>9</w:t>
      </w:r>
      <w:r>
        <w:rPr>
          <w:sz w:val="24"/>
          <w:szCs w:val="24"/>
        </w:rPr>
        <w:t>]</w:t>
      </w:r>
      <w:r>
        <w:rPr>
          <w:sz w:val="24"/>
          <w:szCs w:val="24"/>
        </w:rPr>
        <w:tab/>
      </w:r>
      <w:r w:rsidR="00926894">
        <w:rPr>
          <w:sz w:val="24"/>
          <w:szCs w:val="24"/>
        </w:rPr>
        <w:t xml:space="preserve"> Bolajoko, O. A. (2023). Dietary factors and prostate cancer risk in Nigerian men: a review. Nigerian Journal of Clinical Practice, 26(4), 413–420.</w:t>
      </w:r>
    </w:p>
    <w:p w14:paraId="0AD47FE3" w14:textId="33C8AD64" w:rsidR="00926894" w:rsidRDefault="00BE36BB" w:rsidP="00926894">
      <w:pPr>
        <w:spacing w:after="140" w:line="338" w:lineRule="auto"/>
        <w:ind w:left="720" w:hanging="720"/>
        <w:jc w:val="both"/>
      </w:pPr>
      <w:r>
        <w:rPr>
          <w:sz w:val="24"/>
          <w:szCs w:val="24"/>
        </w:rPr>
        <w:t>[</w:t>
      </w:r>
      <w:r w:rsidR="00926894">
        <w:rPr>
          <w:sz w:val="24"/>
          <w:szCs w:val="24"/>
        </w:rPr>
        <w:t>10</w:t>
      </w:r>
      <w:r>
        <w:rPr>
          <w:sz w:val="24"/>
          <w:szCs w:val="24"/>
        </w:rPr>
        <w:t>]</w:t>
      </w:r>
      <w:r>
        <w:rPr>
          <w:sz w:val="24"/>
          <w:szCs w:val="24"/>
        </w:rPr>
        <w:tab/>
      </w:r>
      <w:r w:rsidR="00926894">
        <w:rPr>
          <w:sz w:val="24"/>
          <w:szCs w:val="24"/>
        </w:rPr>
        <w:t xml:space="preserve"> Cancer Therapy and Oncology International Journal. (2024). Prostate cancer knowledge and screening uptake among civil servants in Oyo State, Nigeria. Cancer Therapy and Oncology International Journal, 26(3), 1–9.</w:t>
      </w:r>
    </w:p>
    <w:p w14:paraId="153AE7D5" w14:textId="33600EDA" w:rsidR="00926894" w:rsidRDefault="00BE36BB" w:rsidP="00926894">
      <w:pPr>
        <w:spacing w:after="140" w:line="338" w:lineRule="auto"/>
        <w:ind w:left="720" w:hanging="720"/>
        <w:jc w:val="both"/>
      </w:pPr>
      <w:r>
        <w:rPr>
          <w:sz w:val="24"/>
          <w:szCs w:val="24"/>
        </w:rPr>
        <w:lastRenderedPageBreak/>
        <w:t>[</w:t>
      </w:r>
      <w:r w:rsidR="00926894">
        <w:rPr>
          <w:sz w:val="24"/>
          <w:szCs w:val="24"/>
        </w:rPr>
        <w:t>11</w:t>
      </w:r>
      <w:r>
        <w:rPr>
          <w:sz w:val="24"/>
          <w:szCs w:val="24"/>
        </w:rPr>
        <w:t>]</w:t>
      </w:r>
      <w:r>
        <w:rPr>
          <w:sz w:val="24"/>
          <w:szCs w:val="24"/>
        </w:rPr>
        <w:tab/>
      </w:r>
      <w:r w:rsidR="00926894">
        <w:rPr>
          <w:sz w:val="24"/>
          <w:szCs w:val="24"/>
        </w:rPr>
        <w:t xml:space="preserve"> Case, J., et al. (2010). Genetic susceptibility loci for prostate cancer: a polygenic model. Journal of the National Cancer Institute, 102(3), 172–180.</w:t>
      </w:r>
    </w:p>
    <w:p w14:paraId="0FDC8AFB" w14:textId="52EB8AE8" w:rsidR="00926894" w:rsidRDefault="00BE36BB" w:rsidP="00926894">
      <w:pPr>
        <w:spacing w:after="140" w:line="338" w:lineRule="auto"/>
        <w:ind w:left="720" w:hanging="720"/>
        <w:jc w:val="both"/>
      </w:pPr>
      <w:r>
        <w:rPr>
          <w:sz w:val="24"/>
          <w:szCs w:val="24"/>
        </w:rPr>
        <w:t>[</w:t>
      </w:r>
      <w:r w:rsidR="00926894">
        <w:rPr>
          <w:sz w:val="24"/>
          <w:szCs w:val="24"/>
        </w:rPr>
        <w:t>12</w:t>
      </w:r>
      <w:r>
        <w:rPr>
          <w:sz w:val="24"/>
          <w:szCs w:val="24"/>
        </w:rPr>
        <w:t>]</w:t>
      </w:r>
      <w:r>
        <w:rPr>
          <w:sz w:val="24"/>
          <w:szCs w:val="24"/>
        </w:rPr>
        <w:tab/>
      </w:r>
      <w:r w:rsidR="00926894">
        <w:rPr>
          <w:sz w:val="24"/>
          <w:szCs w:val="24"/>
        </w:rPr>
        <w:t xml:space="preserve"> Castillejos-Molina, R., et al. (2016). Machine learning for prostate cancer risk stratification using genomic and clinical data. World Journal of Urology, 34(7), 943–951.</w:t>
      </w:r>
    </w:p>
    <w:p w14:paraId="1ACC864B" w14:textId="32DDFDF5" w:rsidR="00926894" w:rsidRDefault="00BE36BB" w:rsidP="00926894">
      <w:pPr>
        <w:spacing w:after="140" w:line="338" w:lineRule="auto"/>
        <w:ind w:left="720" w:hanging="720"/>
        <w:jc w:val="both"/>
      </w:pPr>
      <w:r>
        <w:rPr>
          <w:sz w:val="24"/>
          <w:szCs w:val="24"/>
        </w:rPr>
        <w:t>[</w:t>
      </w:r>
      <w:r w:rsidR="00926894">
        <w:rPr>
          <w:sz w:val="24"/>
          <w:szCs w:val="24"/>
        </w:rPr>
        <w:t>13</w:t>
      </w:r>
      <w:r>
        <w:rPr>
          <w:sz w:val="24"/>
          <w:szCs w:val="24"/>
        </w:rPr>
        <w:t>]</w:t>
      </w:r>
      <w:r>
        <w:rPr>
          <w:sz w:val="24"/>
          <w:szCs w:val="24"/>
        </w:rPr>
        <w:tab/>
      </w:r>
      <w:r w:rsidR="00926894">
        <w:rPr>
          <w:sz w:val="24"/>
          <w:szCs w:val="24"/>
        </w:rPr>
        <w:t xml:space="preserve"> Chen, T., et al. (2022). Comparison of machine learning algorithms in predicting prostate cancer diagnosis: a systematic review and meta-analysis. European Urology Oncology, 5(3), 224–234.</w:t>
      </w:r>
    </w:p>
    <w:p w14:paraId="3348AD2F" w14:textId="69C89A75" w:rsidR="00926894" w:rsidRDefault="00BE36BB" w:rsidP="00926894">
      <w:pPr>
        <w:spacing w:after="140" w:line="338" w:lineRule="auto"/>
        <w:ind w:left="720" w:hanging="720"/>
        <w:jc w:val="both"/>
      </w:pPr>
      <w:r>
        <w:rPr>
          <w:sz w:val="24"/>
          <w:szCs w:val="24"/>
        </w:rPr>
        <w:t>[</w:t>
      </w:r>
      <w:r w:rsidR="00926894">
        <w:rPr>
          <w:sz w:val="24"/>
          <w:szCs w:val="24"/>
        </w:rPr>
        <w:t>14</w:t>
      </w:r>
      <w:r>
        <w:rPr>
          <w:sz w:val="24"/>
          <w:szCs w:val="24"/>
        </w:rPr>
        <w:t>]</w:t>
      </w:r>
      <w:r>
        <w:rPr>
          <w:sz w:val="24"/>
          <w:szCs w:val="24"/>
        </w:rPr>
        <w:tab/>
      </w:r>
      <w:r w:rsidR="00926894">
        <w:rPr>
          <w:sz w:val="24"/>
          <w:szCs w:val="24"/>
        </w:rPr>
        <w:t xml:space="preserve"> Cornford, P., et al. (2025). EAU-EANM-ESTRO-ESUR-ISUP-SIOG Guidelines on Prostate Cancer 2025 (Limited Update). European Association of Urology. https://uroweb.org/guidelines/prostate-cancer/</w:t>
      </w:r>
    </w:p>
    <w:p w14:paraId="0628B7EC" w14:textId="26AC906B" w:rsidR="00926894" w:rsidRDefault="00BE36BB" w:rsidP="00926894">
      <w:pPr>
        <w:spacing w:after="140" w:line="338" w:lineRule="auto"/>
        <w:ind w:left="720" w:hanging="720"/>
        <w:jc w:val="both"/>
      </w:pPr>
      <w:r>
        <w:rPr>
          <w:sz w:val="24"/>
          <w:szCs w:val="24"/>
        </w:rPr>
        <w:t>[</w:t>
      </w:r>
      <w:r w:rsidR="00926894">
        <w:rPr>
          <w:sz w:val="24"/>
          <w:szCs w:val="24"/>
        </w:rPr>
        <w:t>15</w:t>
      </w:r>
      <w:r>
        <w:rPr>
          <w:sz w:val="24"/>
          <w:szCs w:val="24"/>
        </w:rPr>
        <w:t>]</w:t>
      </w:r>
      <w:r>
        <w:rPr>
          <w:sz w:val="24"/>
          <w:szCs w:val="24"/>
        </w:rPr>
        <w:tab/>
      </w:r>
      <w:r w:rsidR="00926894">
        <w:rPr>
          <w:sz w:val="24"/>
          <w:szCs w:val="24"/>
        </w:rPr>
        <w:t xml:space="preserve"> European Association of Urology. (2025). EAU Guidelines on Prostate Cancer. EAU. https://uroweb.org/guidelines/prostate-cancer/</w:t>
      </w:r>
    </w:p>
    <w:p w14:paraId="63249606" w14:textId="0E980DB7" w:rsidR="00926894" w:rsidRDefault="00BE36BB" w:rsidP="00926894">
      <w:pPr>
        <w:spacing w:after="140" w:line="338" w:lineRule="auto"/>
        <w:ind w:left="720" w:hanging="720"/>
        <w:jc w:val="both"/>
      </w:pPr>
      <w:r>
        <w:rPr>
          <w:sz w:val="24"/>
          <w:szCs w:val="24"/>
        </w:rPr>
        <w:t>[</w:t>
      </w:r>
      <w:r w:rsidR="00926894">
        <w:rPr>
          <w:sz w:val="24"/>
          <w:szCs w:val="24"/>
        </w:rPr>
        <w:t>16</w:t>
      </w:r>
      <w:r>
        <w:rPr>
          <w:sz w:val="24"/>
          <w:szCs w:val="24"/>
        </w:rPr>
        <w:t>]</w:t>
      </w:r>
      <w:r>
        <w:rPr>
          <w:sz w:val="24"/>
          <w:szCs w:val="24"/>
        </w:rPr>
        <w:tab/>
      </w:r>
      <w:r w:rsidR="00926894">
        <w:rPr>
          <w:sz w:val="24"/>
          <w:szCs w:val="24"/>
        </w:rPr>
        <w:t xml:space="preserve"> Fizazi, K., et al. (2023). Castration-resistant prostate cancer: mechanisms, targets, and treatment. Nature Reviews Clinical Oncology, 20(7), 420–439. https://doi.org/10.1038/s41571-023-00645-0</w:t>
      </w:r>
    </w:p>
    <w:p w14:paraId="0D9C545A" w14:textId="7D65D479" w:rsidR="00926894" w:rsidRDefault="00BE36BB" w:rsidP="00926894">
      <w:pPr>
        <w:spacing w:after="140" w:line="338" w:lineRule="auto"/>
        <w:ind w:left="720" w:hanging="720"/>
        <w:jc w:val="both"/>
      </w:pPr>
      <w:r>
        <w:rPr>
          <w:sz w:val="24"/>
          <w:szCs w:val="24"/>
        </w:rPr>
        <w:t>[</w:t>
      </w:r>
      <w:r w:rsidR="00926894">
        <w:rPr>
          <w:sz w:val="24"/>
          <w:szCs w:val="24"/>
        </w:rPr>
        <w:t>17</w:t>
      </w:r>
      <w:r>
        <w:rPr>
          <w:sz w:val="24"/>
          <w:szCs w:val="24"/>
        </w:rPr>
        <w:t>]</w:t>
      </w:r>
      <w:r>
        <w:rPr>
          <w:sz w:val="24"/>
          <w:szCs w:val="24"/>
        </w:rPr>
        <w:tab/>
      </w:r>
      <w:r w:rsidR="00926894">
        <w:rPr>
          <w:sz w:val="24"/>
          <w:szCs w:val="24"/>
        </w:rPr>
        <w:t xml:space="preserve"> Frewing, T., et al. (2022). Machine learning in cancer research: applications, interpretability, and clinical deployment. Artificial Intelligence in Medicine, 128, 102285.</w:t>
      </w:r>
    </w:p>
    <w:p w14:paraId="415CB0F3" w14:textId="3678B6D6" w:rsidR="00926894" w:rsidRDefault="00BE36BB" w:rsidP="00926894">
      <w:pPr>
        <w:spacing w:after="140" w:line="338" w:lineRule="auto"/>
        <w:ind w:left="720" w:hanging="720"/>
        <w:jc w:val="both"/>
      </w:pPr>
      <w:r>
        <w:rPr>
          <w:sz w:val="24"/>
          <w:szCs w:val="24"/>
        </w:rPr>
        <w:t>[</w:t>
      </w:r>
      <w:r w:rsidR="00926894">
        <w:rPr>
          <w:sz w:val="24"/>
          <w:szCs w:val="24"/>
        </w:rPr>
        <w:t>18</w:t>
      </w:r>
      <w:r>
        <w:rPr>
          <w:sz w:val="24"/>
          <w:szCs w:val="24"/>
        </w:rPr>
        <w:t>]</w:t>
      </w:r>
      <w:r>
        <w:rPr>
          <w:sz w:val="24"/>
          <w:szCs w:val="24"/>
        </w:rPr>
        <w:tab/>
      </w:r>
      <w:r w:rsidR="00926894">
        <w:rPr>
          <w:sz w:val="24"/>
          <w:szCs w:val="24"/>
        </w:rPr>
        <w:t xml:space="preserve"> GLOBOCAN. (2022). Global Cancer Statistics 2022. International Agency for Research on Cancer. https://gco.iarc.fr/</w:t>
      </w:r>
    </w:p>
    <w:p w14:paraId="1BFD3338" w14:textId="074F5D31" w:rsidR="00926894" w:rsidRDefault="00BE36BB" w:rsidP="00926894">
      <w:pPr>
        <w:spacing w:after="140" w:line="338" w:lineRule="auto"/>
        <w:ind w:left="720" w:hanging="720"/>
        <w:jc w:val="both"/>
      </w:pPr>
      <w:r>
        <w:rPr>
          <w:sz w:val="24"/>
          <w:szCs w:val="24"/>
        </w:rPr>
        <w:t>[</w:t>
      </w:r>
      <w:r w:rsidR="00926894">
        <w:rPr>
          <w:sz w:val="24"/>
          <w:szCs w:val="24"/>
        </w:rPr>
        <w:t>19</w:t>
      </w:r>
      <w:r>
        <w:rPr>
          <w:sz w:val="24"/>
          <w:szCs w:val="24"/>
        </w:rPr>
        <w:tab/>
      </w:r>
      <w:r w:rsidR="00926894">
        <w:rPr>
          <w:sz w:val="24"/>
          <w:szCs w:val="24"/>
        </w:rPr>
        <w:t xml:space="preserve"> Hosseini, M., et al. (2023). Deep learning and Random Forest approaches for prostate cancer detection on multiparametric MRI: a systematic review. Journal of Digital Imaging, 36(2), 514–523.</w:t>
      </w:r>
    </w:p>
    <w:p w14:paraId="5BA2B61F" w14:textId="74AABD72" w:rsidR="00926894" w:rsidRDefault="00BE36BB" w:rsidP="00926894">
      <w:pPr>
        <w:spacing w:after="140" w:line="338" w:lineRule="auto"/>
        <w:ind w:left="720" w:hanging="720"/>
        <w:jc w:val="both"/>
      </w:pPr>
      <w:r>
        <w:rPr>
          <w:sz w:val="24"/>
          <w:szCs w:val="24"/>
        </w:rPr>
        <w:t>[</w:t>
      </w:r>
      <w:r w:rsidR="00926894">
        <w:rPr>
          <w:sz w:val="24"/>
          <w:szCs w:val="24"/>
        </w:rPr>
        <w:t>20</w:t>
      </w:r>
      <w:r>
        <w:rPr>
          <w:sz w:val="24"/>
          <w:szCs w:val="24"/>
        </w:rPr>
        <w:t>]</w:t>
      </w:r>
      <w:r>
        <w:rPr>
          <w:sz w:val="24"/>
          <w:szCs w:val="24"/>
        </w:rPr>
        <w:tab/>
      </w:r>
      <w:r w:rsidR="00926894">
        <w:rPr>
          <w:sz w:val="24"/>
          <w:szCs w:val="24"/>
        </w:rPr>
        <w:t xml:space="preserve"> IJACSA. (2020). Ensemble machine learning for prostate cancer prediction: SVM, Decision Trees, and Multilayer Perceptron combined. International Journal of Advanced Computer Science and Applications, 11(3), 112–120.</w:t>
      </w:r>
    </w:p>
    <w:p w14:paraId="0C31A7BE" w14:textId="112966D6" w:rsidR="00926894" w:rsidRDefault="00BE36BB" w:rsidP="00926894">
      <w:pPr>
        <w:spacing w:after="140" w:line="338" w:lineRule="auto"/>
        <w:ind w:left="720" w:hanging="720"/>
        <w:jc w:val="both"/>
      </w:pPr>
      <w:r>
        <w:rPr>
          <w:sz w:val="24"/>
          <w:szCs w:val="24"/>
        </w:rPr>
        <w:t>[</w:t>
      </w:r>
      <w:r w:rsidR="00926894">
        <w:rPr>
          <w:sz w:val="24"/>
          <w:szCs w:val="24"/>
        </w:rPr>
        <w:t>21</w:t>
      </w:r>
      <w:r>
        <w:rPr>
          <w:sz w:val="24"/>
          <w:szCs w:val="24"/>
        </w:rPr>
        <w:t>]</w:t>
      </w:r>
      <w:r>
        <w:rPr>
          <w:sz w:val="24"/>
          <w:szCs w:val="24"/>
        </w:rPr>
        <w:tab/>
      </w:r>
      <w:r w:rsidR="00926894">
        <w:rPr>
          <w:sz w:val="24"/>
          <w:szCs w:val="24"/>
        </w:rPr>
        <w:t xml:space="preserve"> Inichinbia, A., et al. (2022). Age and clinical predictors of prostate cancer severity at the University College Hospital, Ibadan, Nigeria. Journal of West African College of Surgeons, 12(1), 44–51.</w:t>
      </w:r>
    </w:p>
    <w:p w14:paraId="67FCEDC0" w14:textId="2003CD77" w:rsidR="00926894" w:rsidRDefault="00BE36BB" w:rsidP="00926894">
      <w:pPr>
        <w:spacing w:after="140" w:line="338" w:lineRule="auto"/>
        <w:ind w:left="720" w:hanging="720"/>
        <w:jc w:val="both"/>
      </w:pPr>
      <w:r>
        <w:rPr>
          <w:sz w:val="24"/>
          <w:szCs w:val="24"/>
        </w:rPr>
        <w:lastRenderedPageBreak/>
        <w:t>[</w:t>
      </w:r>
      <w:r w:rsidR="00926894">
        <w:rPr>
          <w:sz w:val="24"/>
          <w:szCs w:val="24"/>
        </w:rPr>
        <w:t>22</w:t>
      </w:r>
      <w:r>
        <w:rPr>
          <w:sz w:val="24"/>
          <w:szCs w:val="24"/>
        </w:rPr>
        <w:t>]</w:t>
      </w:r>
      <w:r>
        <w:rPr>
          <w:sz w:val="24"/>
          <w:szCs w:val="24"/>
        </w:rPr>
        <w:tab/>
      </w:r>
      <w:r w:rsidR="00926894">
        <w:rPr>
          <w:sz w:val="24"/>
          <w:szCs w:val="24"/>
        </w:rPr>
        <w:t xml:space="preserve"> IRJMETS. (2024). Sparse principal component regression and machine learning for prostate cancer prediction in Northern Nigeria. International Research Journal of Modernization in Engineering Technology and Science, 6(1), 88–97.</w:t>
      </w:r>
    </w:p>
    <w:p w14:paraId="6D39D4C2" w14:textId="3BDE93EA" w:rsidR="00926894" w:rsidRDefault="00BE36BB" w:rsidP="00926894">
      <w:pPr>
        <w:spacing w:after="140" w:line="338" w:lineRule="auto"/>
        <w:ind w:left="720" w:hanging="720"/>
        <w:jc w:val="both"/>
      </w:pPr>
      <w:r>
        <w:rPr>
          <w:sz w:val="24"/>
          <w:szCs w:val="24"/>
        </w:rPr>
        <w:t>[</w:t>
      </w:r>
      <w:r w:rsidR="00926894">
        <w:rPr>
          <w:sz w:val="24"/>
          <w:szCs w:val="24"/>
        </w:rPr>
        <w:t>23</w:t>
      </w:r>
      <w:r>
        <w:rPr>
          <w:sz w:val="24"/>
          <w:szCs w:val="24"/>
        </w:rPr>
        <w:t>]</w:t>
      </w:r>
      <w:r>
        <w:rPr>
          <w:sz w:val="24"/>
          <w:szCs w:val="24"/>
        </w:rPr>
        <w:tab/>
      </w:r>
      <w:r w:rsidR="00926894">
        <w:rPr>
          <w:sz w:val="24"/>
          <w:szCs w:val="24"/>
        </w:rPr>
        <w:t xml:space="preserve"> Khosravi, P., et al. (2024). Artificial intelligence and MRI diagnostics for prostate cancer: a systematic review of accuracy and area under the curve performance. European Radiology, 34(1), 112–121.</w:t>
      </w:r>
    </w:p>
    <w:p w14:paraId="5EA419E6" w14:textId="3F2A4B08" w:rsidR="00926894" w:rsidRDefault="00BE36BB" w:rsidP="00926894">
      <w:pPr>
        <w:spacing w:after="140" w:line="338" w:lineRule="auto"/>
        <w:ind w:left="720" w:hanging="720"/>
        <w:jc w:val="both"/>
      </w:pPr>
      <w:r>
        <w:rPr>
          <w:sz w:val="24"/>
          <w:szCs w:val="24"/>
        </w:rPr>
        <w:t>[</w:t>
      </w:r>
      <w:r w:rsidR="00926894">
        <w:rPr>
          <w:sz w:val="24"/>
          <w:szCs w:val="24"/>
        </w:rPr>
        <w:t>24</w:t>
      </w:r>
      <w:r>
        <w:rPr>
          <w:sz w:val="24"/>
          <w:szCs w:val="24"/>
        </w:rPr>
        <w:t>]</w:t>
      </w:r>
      <w:r>
        <w:rPr>
          <w:sz w:val="24"/>
          <w:szCs w:val="24"/>
        </w:rPr>
        <w:tab/>
      </w:r>
      <w:r w:rsidR="00926894">
        <w:rPr>
          <w:sz w:val="24"/>
          <w:szCs w:val="24"/>
        </w:rPr>
        <w:t xml:space="preserve"> Kourou, K., et al. (2015). Machine learning applications in cancer prognosis and prediction. Computational and Structural Biotechnology Journal, 13, 8–17.</w:t>
      </w:r>
    </w:p>
    <w:p w14:paraId="58827D78" w14:textId="202323D3" w:rsidR="00926894" w:rsidRDefault="00BE36BB" w:rsidP="00926894">
      <w:pPr>
        <w:spacing w:after="140" w:line="338" w:lineRule="auto"/>
        <w:ind w:left="720" w:hanging="720"/>
        <w:jc w:val="both"/>
      </w:pPr>
      <w:r>
        <w:rPr>
          <w:sz w:val="24"/>
          <w:szCs w:val="24"/>
        </w:rPr>
        <w:t>[</w:t>
      </w:r>
      <w:r w:rsidR="00926894">
        <w:rPr>
          <w:sz w:val="24"/>
          <w:szCs w:val="24"/>
        </w:rPr>
        <w:t>25</w:t>
      </w:r>
      <w:r>
        <w:rPr>
          <w:sz w:val="24"/>
          <w:szCs w:val="24"/>
        </w:rPr>
        <w:t>]</w:t>
      </w:r>
      <w:r>
        <w:rPr>
          <w:sz w:val="24"/>
          <w:szCs w:val="24"/>
        </w:rPr>
        <w:tab/>
      </w:r>
      <w:r w:rsidR="00926894">
        <w:rPr>
          <w:sz w:val="24"/>
          <w:szCs w:val="24"/>
        </w:rPr>
        <w:t xml:space="preserve"> Medires. (2024). Barriers to prostate cancer screening in Nigeria: access, cost, and awareness. Medires Publishing. https://medires.com</w:t>
      </w:r>
    </w:p>
    <w:p w14:paraId="21145A88" w14:textId="75834F11" w:rsidR="00926894" w:rsidRDefault="00BE36BB" w:rsidP="00926894">
      <w:pPr>
        <w:spacing w:after="140" w:line="338" w:lineRule="auto"/>
        <w:ind w:left="720" w:hanging="720"/>
        <w:jc w:val="both"/>
      </w:pPr>
      <w:r>
        <w:rPr>
          <w:sz w:val="24"/>
          <w:szCs w:val="24"/>
        </w:rPr>
        <w:t>[</w:t>
      </w:r>
      <w:r w:rsidR="00926894">
        <w:rPr>
          <w:sz w:val="24"/>
          <w:szCs w:val="24"/>
        </w:rPr>
        <w:t>26</w:t>
      </w:r>
      <w:r>
        <w:rPr>
          <w:sz w:val="24"/>
          <w:szCs w:val="24"/>
        </w:rPr>
        <w:t>]</w:t>
      </w:r>
      <w:r>
        <w:rPr>
          <w:sz w:val="24"/>
          <w:szCs w:val="24"/>
        </w:rPr>
        <w:tab/>
      </w:r>
      <w:r w:rsidR="00926894">
        <w:rPr>
          <w:sz w:val="24"/>
          <w:szCs w:val="24"/>
        </w:rPr>
        <w:t xml:space="preserve"> Nigerian Journal of Physics. (2025). Ensemble Quantum Machine Learning framework for prostate cancer classification using the PROSTATEx dataset. Nigerian Journal of Physics, 37(1), 1–11.</w:t>
      </w:r>
    </w:p>
    <w:p w14:paraId="24E1E980" w14:textId="2D887823" w:rsidR="00926894" w:rsidRDefault="00BE36BB" w:rsidP="00926894">
      <w:pPr>
        <w:spacing w:after="140" w:line="338" w:lineRule="auto"/>
        <w:ind w:left="720" w:hanging="720"/>
        <w:jc w:val="both"/>
      </w:pPr>
      <w:r>
        <w:rPr>
          <w:sz w:val="24"/>
          <w:szCs w:val="24"/>
        </w:rPr>
        <w:t>[</w:t>
      </w:r>
      <w:r w:rsidR="00926894">
        <w:rPr>
          <w:sz w:val="24"/>
          <w:szCs w:val="24"/>
        </w:rPr>
        <w:t>27</w:t>
      </w:r>
      <w:r>
        <w:rPr>
          <w:sz w:val="24"/>
          <w:szCs w:val="24"/>
        </w:rPr>
        <w:t>]</w:t>
      </w:r>
      <w:r>
        <w:rPr>
          <w:sz w:val="24"/>
          <w:szCs w:val="24"/>
        </w:rPr>
        <w:tab/>
      </w:r>
      <w:r w:rsidR="00926894">
        <w:rPr>
          <w:sz w:val="24"/>
          <w:szCs w:val="24"/>
        </w:rPr>
        <w:t xml:space="preserve"> Ogunbiyi, J. O., et al. (2024). Prostate cancer in Nigeria: epidemiology, pathology, and clinical outcomes. Journal of Cancer Epidemiology, 2024, Article ID 8851204. https://doi.org/10.1155/2024/8851204</w:t>
      </w:r>
    </w:p>
    <w:p w14:paraId="09C7A207" w14:textId="55695B8C" w:rsidR="00926894" w:rsidRDefault="00BE36BB" w:rsidP="00926894">
      <w:pPr>
        <w:spacing w:after="140" w:line="338" w:lineRule="auto"/>
        <w:ind w:left="720" w:hanging="720"/>
        <w:jc w:val="both"/>
      </w:pPr>
      <w:r>
        <w:rPr>
          <w:sz w:val="24"/>
          <w:szCs w:val="24"/>
        </w:rPr>
        <w:t>[</w:t>
      </w:r>
      <w:r w:rsidR="00926894">
        <w:rPr>
          <w:sz w:val="24"/>
          <w:szCs w:val="24"/>
        </w:rPr>
        <w:t>28</w:t>
      </w:r>
      <w:r>
        <w:rPr>
          <w:sz w:val="24"/>
          <w:szCs w:val="24"/>
        </w:rPr>
        <w:t>]</w:t>
      </w:r>
      <w:r>
        <w:rPr>
          <w:sz w:val="24"/>
          <w:szCs w:val="24"/>
        </w:rPr>
        <w:tab/>
      </w:r>
      <w:r w:rsidR="00926894">
        <w:rPr>
          <w:sz w:val="24"/>
          <w:szCs w:val="24"/>
        </w:rPr>
        <w:t>Ogunlana, O., et al. (2023). CRISPR-Cas12a/LAMP point-of-care diagnostics with ML-driven bioinformatics for prostate cancer in Nigerian men. Diagnostics, 13(8), 1452.</w:t>
      </w:r>
    </w:p>
    <w:p w14:paraId="4A9FA7CE" w14:textId="54F1B6B7" w:rsidR="00926894" w:rsidRDefault="00BE36BB" w:rsidP="00926894">
      <w:pPr>
        <w:spacing w:after="140" w:line="338" w:lineRule="auto"/>
        <w:ind w:left="720" w:hanging="720"/>
        <w:jc w:val="both"/>
      </w:pPr>
      <w:r>
        <w:rPr>
          <w:sz w:val="24"/>
          <w:szCs w:val="24"/>
        </w:rPr>
        <w:t>[</w:t>
      </w:r>
      <w:r w:rsidR="00926894">
        <w:rPr>
          <w:sz w:val="24"/>
          <w:szCs w:val="24"/>
        </w:rPr>
        <w:t>29</w:t>
      </w:r>
      <w:r>
        <w:rPr>
          <w:sz w:val="24"/>
          <w:szCs w:val="24"/>
        </w:rPr>
        <w:t>]</w:t>
      </w:r>
      <w:r>
        <w:rPr>
          <w:sz w:val="24"/>
          <w:szCs w:val="24"/>
        </w:rPr>
        <w:tab/>
      </w:r>
      <w:r w:rsidR="00926894">
        <w:rPr>
          <w:sz w:val="24"/>
          <w:szCs w:val="24"/>
        </w:rPr>
        <w:t>Okechukwu, C., et al. (2024). Risk factors for prostate cancer among Nigerian men in the southeastern geopolitical zone: a multicentre study. BMC Cancer, 24(1), 218.</w:t>
      </w:r>
    </w:p>
    <w:p w14:paraId="69F56BB1" w14:textId="0592389F" w:rsidR="00926894" w:rsidRDefault="00BE36BB" w:rsidP="00926894">
      <w:pPr>
        <w:spacing w:after="140" w:line="338" w:lineRule="auto"/>
        <w:ind w:left="720" w:hanging="720"/>
        <w:jc w:val="both"/>
      </w:pPr>
      <w:r>
        <w:rPr>
          <w:sz w:val="24"/>
          <w:szCs w:val="24"/>
        </w:rPr>
        <w:t>[</w:t>
      </w:r>
      <w:r w:rsidR="00926894">
        <w:rPr>
          <w:sz w:val="24"/>
          <w:szCs w:val="24"/>
        </w:rPr>
        <w:t>30</w:t>
      </w:r>
      <w:r>
        <w:rPr>
          <w:sz w:val="24"/>
          <w:szCs w:val="24"/>
        </w:rPr>
        <w:t>]</w:t>
      </w:r>
      <w:r>
        <w:rPr>
          <w:sz w:val="24"/>
          <w:szCs w:val="24"/>
        </w:rPr>
        <w:tab/>
      </w:r>
      <w:r w:rsidR="00926894">
        <w:rPr>
          <w:sz w:val="24"/>
          <w:szCs w:val="24"/>
        </w:rPr>
        <w:t>Okobia, M. N., et al. (2015). Family history and prostate cancer risk among Nigerian men: a hospital-based case-control study. Prostate, 75(9), 928–935.</w:t>
      </w:r>
    </w:p>
    <w:p w14:paraId="073147AF" w14:textId="598226F3" w:rsidR="00926894" w:rsidRDefault="00BE36BB" w:rsidP="00926894">
      <w:pPr>
        <w:spacing w:after="140" w:line="338" w:lineRule="auto"/>
        <w:ind w:left="720" w:hanging="720"/>
        <w:jc w:val="both"/>
      </w:pPr>
      <w:r>
        <w:rPr>
          <w:sz w:val="24"/>
          <w:szCs w:val="24"/>
        </w:rPr>
        <w:t>[</w:t>
      </w:r>
      <w:r w:rsidR="00926894">
        <w:rPr>
          <w:sz w:val="24"/>
          <w:szCs w:val="24"/>
        </w:rPr>
        <w:t>31</w:t>
      </w:r>
      <w:r>
        <w:rPr>
          <w:sz w:val="24"/>
          <w:szCs w:val="24"/>
        </w:rPr>
        <w:t>]</w:t>
      </w:r>
      <w:r>
        <w:rPr>
          <w:sz w:val="24"/>
          <w:szCs w:val="24"/>
        </w:rPr>
        <w:tab/>
      </w:r>
      <w:r w:rsidR="00926894">
        <w:rPr>
          <w:sz w:val="24"/>
          <w:szCs w:val="24"/>
        </w:rPr>
        <w:t>Okolo, C. A., et al. (1997). Prostate cancer in Ibadan, Nigeria: a hospital-based study. West African Journal of Medicine, 16(3), 185–191.</w:t>
      </w:r>
    </w:p>
    <w:p w14:paraId="0897CB03" w14:textId="33C8A5E2" w:rsidR="00926894" w:rsidRDefault="00BE36BB" w:rsidP="00926894">
      <w:pPr>
        <w:spacing w:after="140" w:line="338" w:lineRule="auto"/>
        <w:ind w:left="720" w:hanging="720"/>
        <w:jc w:val="both"/>
      </w:pPr>
      <w:r>
        <w:rPr>
          <w:sz w:val="24"/>
          <w:szCs w:val="24"/>
        </w:rPr>
        <w:t>[</w:t>
      </w:r>
      <w:r w:rsidR="00926894">
        <w:rPr>
          <w:sz w:val="24"/>
          <w:szCs w:val="24"/>
        </w:rPr>
        <w:t>32</w:t>
      </w:r>
      <w:r>
        <w:rPr>
          <w:sz w:val="24"/>
          <w:szCs w:val="24"/>
        </w:rPr>
        <w:t>]</w:t>
      </w:r>
      <w:r>
        <w:rPr>
          <w:sz w:val="24"/>
          <w:szCs w:val="24"/>
        </w:rPr>
        <w:tab/>
      </w:r>
      <w:r w:rsidR="00926894">
        <w:rPr>
          <w:sz w:val="24"/>
          <w:szCs w:val="24"/>
        </w:rPr>
        <w:t>Ojo, A., et al. (2023). Cadmium exposure, zinc status, and prostate cancer risk in Nigerian men: an epidemiological assessment. Environmental Health Perspectives, 131(4), 047003.</w:t>
      </w:r>
    </w:p>
    <w:p w14:paraId="4253DBAD" w14:textId="791FCFFF" w:rsidR="00926894" w:rsidRDefault="00BE36BB" w:rsidP="00926894">
      <w:pPr>
        <w:spacing w:after="140" w:line="338" w:lineRule="auto"/>
        <w:ind w:left="720" w:hanging="720"/>
        <w:jc w:val="both"/>
      </w:pPr>
      <w:r>
        <w:rPr>
          <w:sz w:val="24"/>
          <w:szCs w:val="24"/>
        </w:rPr>
        <w:t>[</w:t>
      </w:r>
      <w:r w:rsidR="00926894">
        <w:rPr>
          <w:sz w:val="24"/>
          <w:szCs w:val="24"/>
        </w:rPr>
        <w:t>33</w:t>
      </w:r>
      <w:r>
        <w:rPr>
          <w:sz w:val="24"/>
          <w:szCs w:val="24"/>
        </w:rPr>
        <w:t>]</w:t>
      </w:r>
      <w:r>
        <w:rPr>
          <w:sz w:val="24"/>
          <w:szCs w:val="24"/>
        </w:rPr>
        <w:tab/>
      </w:r>
      <w:r w:rsidR="00926894">
        <w:rPr>
          <w:sz w:val="24"/>
          <w:szCs w:val="24"/>
        </w:rPr>
        <w:t>Onkder.org. (2014). Free prostate cancer screening initiative: report on PSA and DRE uptake among Nigerian men aged 40–85. Onkder.org. https://onkder.org</w:t>
      </w:r>
    </w:p>
    <w:p w14:paraId="261F4E6C" w14:textId="30FAEDE2" w:rsidR="00926894" w:rsidRDefault="00BE36BB" w:rsidP="00926894">
      <w:pPr>
        <w:spacing w:after="140" w:line="338" w:lineRule="auto"/>
        <w:ind w:left="720" w:hanging="720"/>
        <w:jc w:val="both"/>
      </w:pPr>
      <w:r>
        <w:rPr>
          <w:sz w:val="24"/>
          <w:szCs w:val="24"/>
        </w:rPr>
        <w:lastRenderedPageBreak/>
        <w:t>[</w:t>
      </w:r>
      <w:r w:rsidR="00926894">
        <w:rPr>
          <w:sz w:val="24"/>
          <w:szCs w:val="24"/>
        </w:rPr>
        <w:t>34</w:t>
      </w:r>
      <w:r>
        <w:rPr>
          <w:sz w:val="24"/>
          <w:szCs w:val="24"/>
        </w:rPr>
        <w:t>]</w:t>
      </w:r>
      <w:r>
        <w:rPr>
          <w:sz w:val="24"/>
          <w:szCs w:val="24"/>
        </w:rPr>
        <w:tab/>
      </w:r>
      <w:r w:rsidR="00926894">
        <w:rPr>
          <w:sz w:val="24"/>
          <w:szCs w:val="24"/>
        </w:rPr>
        <w:t>PMC. (2019). National prostate cancer control policy in Nigeria: gaps and recommendations. PubMed Central. https://www.ncbi.nlm.nih.gov/pmc/</w:t>
      </w:r>
    </w:p>
    <w:p w14:paraId="1A103F28" w14:textId="56E44829" w:rsidR="00926894" w:rsidRDefault="00BE36BB" w:rsidP="00926894">
      <w:pPr>
        <w:spacing w:after="140" w:line="338" w:lineRule="auto"/>
        <w:ind w:left="720" w:hanging="720"/>
        <w:jc w:val="both"/>
      </w:pPr>
      <w:r>
        <w:rPr>
          <w:sz w:val="24"/>
          <w:szCs w:val="24"/>
        </w:rPr>
        <w:t>[</w:t>
      </w:r>
      <w:r w:rsidR="00926894">
        <w:rPr>
          <w:sz w:val="24"/>
          <w:szCs w:val="24"/>
        </w:rPr>
        <w:t>35</w:t>
      </w:r>
      <w:r>
        <w:rPr>
          <w:sz w:val="24"/>
          <w:szCs w:val="24"/>
        </w:rPr>
        <w:t>]</w:t>
      </w:r>
      <w:r>
        <w:rPr>
          <w:sz w:val="24"/>
          <w:szCs w:val="24"/>
        </w:rPr>
        <w:tab/>
      </w:r>
      <w:r w:rsidR="00926894">
        <w:rPr>
          <w:sz w:val="24"/>
          <w:szCs w:val="24"/>
        </w:rPr>
        <w:t>PMC. (2021). Cultural barriers to prostate cancer screening in rural Nigeria: a qualitative study in Ogun State. PubMed Central. https://www.ncbi.nlm.nih.gov/pmc/</w:t>
      </w:r>
    </w:p>
    <w:p w14:paraId="7C53A4AA" w14:textId="7512EBEA" w:rsidR="00926894" w:rsidRDefault="00BE36BB" w:rsidP="00926894">
      <w:pPr>
        <w:spacing w:after="140" w:line="338" w:lineRule="auto"/>
        <w:ind w:left="720" w:hanging="720"/>
        <w:jc w:val="both"/>
      </w:pPr>
      <w:r>
        <w:rPr>
          <w:sz w:val="24"/>
          <w:szCs w:val="24"/>
        </w:rPr>
        <w:t>[</w:t>
      </w:r>
      <w:r w:rsidR="00926894">
        <w:rPr>
          <w:sz w:val="24"/>
          <w:szCs w:val="24"/>
        </w:rPr>
        <w:t>36</w:t>
      </w:r>
      <w:r>
        <w:rPr>
          <w:sz w:val="24"/>
          <w:szCs w:val="24"/>
        </w:rPr>
        <w:t>]</w:t>
      </w:r>
      <w:r>
        <w:rPr>
          <w:sz w:val="24"/>
          <w:szCs w:val="24"/>
        </w:rPr>
        <w:tab/>
      </w:r>
      <w:r w:rsidR="00926894">
        <w:rPr>
          <w:sz w:val="24"/>
          <w:szCs w:val="24"/>
        </w:rPr>
        <w:t>PMC. (2023). Prostate cancer burden in sub-Saharan Africa: a systematic review. PubMed Central. https://www.ncbi.nlm.nih.gov/pmc/</w:t>
      </w:r>
    </w:p>
    <w:p w14:paraId="2FE1045F" w14:textId="16CEF940" w:rsidR="00926894" w:rsidRDefault="00BE36BB" w:rsidP="00926894">
      <w:pPr>
        <w:spacing w:after="140" w:line="338" w:lineRule="auto"/>
        <w:ind w:left="720" w:hanging="720"/>
        <w:jc w:val="both"/>
      </w:pPr>
      <w:r>
        <w:rPr>
          <w:sz w:val="24"/>
          <w:szCs w:val="24"/>
        </w:rPr>
        <w:t>[</w:t>
      </w:r>
      <w:r w:rsidR="00926894">
        <w:rPr>
          <w:sz w:val="24"/>
          <w:szCs w:val="24"/>
        </w:rPr>
        <w:t>37</w:t>
      </w:r>
      <w:r>
        <w:rPr>
          <w:sz w:val="24"/>
          <w:szCs w:val="24"/>
        </w:rPr>
        <w:t>]</w:t>
      </w:r>
      <w:r>
        <w:rPr>
          <w:sz w:val="24"/>
          <w:szCs w:val="24"/>
        </w:rPr>
        <w:tab/>
      </w:r>
      <w:r w:rsidR="00926894">
        <w:rPr>
          <w:sz w:val="24"/>
          <w:szCs w:val="24"/>
        </w:rPr>
        <w:t>PMC. (2024). Patient, family, and healthcare worker perspectives on prostate cancer diagnosis and treatment in Nigeria: a qualitative synthesis. PubMed Central. https://www.ncbi.nlm.nih.gov/pmc/</w:t>
      </w:r>
    </w:p>
    <w:p w14:paraId="667178AA" w14:textId="5388D16D" w:rsidR="00926894" w:rsidRDefault="00BE36BB" w:rsidP="00926894">
      <w:pPr>
        <w:spacing w:after="140" w:line="338" w:lineRule="auto"/>
        <w:ind w:left="720" w:hanging="720"/>
        <w:jc w:val="both"/>
      </w:pPr>
      <w:r>
        <w:rPr>
          <w:sz w:val="24"/>
          <w:szCs w:val="24"/>
        </w:rPr>
        <w:t>[</w:t>
      </w:r>
      <w:r w:rsidR="00926894">
        <w:rPr>
          <w:sz w:val="24"/>
          <w:szCs w:val="24"/>
        </w:rPr>
        <w:t>38</w:t>
      </w:r>
      <w:r>
        <w:rPr>
          <w:sz w:val="24"/>
          <w:szCs w:val="24"/>
        </w:rPr>
        <w:t>]</w:t>
      </w:r>
      <w:r>
        <w:rPr>
          <w:sz w:val="24"/>
          <w:szCs w:val="24"/>
        </w:rPr>
        <w:tab/>
      </w:r>
      <w:r w:rsidR="00926894">
        <w:rPr>
          <w:sz w:val="24"/>
          <w:szCs w:val="24"/>
        </w:rPr>
        <w:t>Prostate Cancer Foundation of Australia. (2025). Understanding Prostate Cancer Screening. PCFA. https://www.prostate.org.au/</w:t>
      </w:r>
    </w:p>
    <w:p w14:paraId="2A2F0EE4" w14:textId="1E055CCF" w:rsidR="00926894" w:rsidRDefault="00BE36BB" w:rsidP="00926894">
      <w:pPr>
        <w:spacing w:after="140" w:line="338" w:lineRule="auto"/>
        <w:ind w:left="720" w:hanging="720"/>
        <w:jc w:val="both"/>
      </w:pPr>
      <w:r>
        <w:rPr>
          <w:sz w:val="24"/>
          <w:szCs w:val="24"/>
        </w:rPr>
        <w:t>[</w:t>
      </w:r>
      <w:r w:rsidR="00926894">
        <w:rPr>
          <w:sz w:val="24"/>
          <w:szCs w:val="24"/>
        </w:rPr>
        <w:t>39</w:t>
      </w:r>
      <w:r>
        <w:rPr>
          <w:sz w:val="24"/>
          <w:szCs w:val="24"/>
        </w:rPr>
        <w:t>]</w:t>
      </w:r>
      <w:r>
        <w:rPr>
          <w:sz w:val="24"/>
          <w:szCs w:val="24"/>
        </w:rPr>
        <w:tab/>
      </w:r>
      <w:r w:rsidR="00926894">
        <w:rPr>
          <w:sz w:val="24"/>
          <w:szCs w:val="24"/>
        </w:rPr>
        <w:t>Rebbeck, T. R., et al. (2022). Prostate cancer in men of African ancestry: epidemiological patterns and biological insights. Nature Reviews Urology, 19, 523–536.</w:t>
      </w:r>
    </w:p>
    <w:p w14:paraId="6A5B0157" w14:textId="5D51197C" w:rsidR="00926894" w:rsidRDefault="00BE36BB" w:rsidP="00926894">
      <w:pPr>
        <w:spacing w:after="140" w:line="338" w:lineRule="auto"/>
        <w:ind w:left="720" w:hanging="720"/>
        <w:jc w:val="both"/>
      </w:pPr>
      <w:r>
        <w:rPr>
          <w:sz w:val="24"/>
          <w:szCs w:val="24"/>
        </w:rPr>
        <w:t>[</w:t>
      </w:r>
      <w:r w:rsidR="00926894">
        <w:rPr>
          <w:sz w:val="24"/>
          <w:szCs w:val="24"/>
        </w:rPr>
        <w:t>40</w:t>
      </w:r>
      <w:r>
        <w:rPr>
          <w:sz w:val="24"/>
          <w:szCs w:val="24"/>
        </w:rPr>
        <w:t>]</w:t>
      </w:r>
      <w:r>
        <w:rPr>
          <w:sz w:val="24"/>
          <w:szCs w:val="24"/>
        </w:rPr>
        <w:tab/>
      </w:r>
      <w:r w:rsidR="00926894">
        <w:rPr>
          <w:sz w:val="24"/>
          <w:szCs w:val="24"/>
        </w:rPr>
        <w:t>Runcie, O. W., et al. (2019). Predictors of late-stage prostate cancer diagnosis in a Nigerian tertiary hospital: a logistic regression analysis. African Health Sciences, 19(3), 2464–2472.</w:t>
      </w:r>
    </w:p>
    <w:p w14:paraId="404F4F81" w14:textId="0B21D71F" w:rsidR="00926894" w:rsidRDefault="00BE36BB" w:rsidP="00926894">
      <w:pPr>
        <w:spacing w:after="140" w:line="338" w:lineRule="auto"/>
        <w:ind w:left="720" w:hanging="720"/>
        <w:jc w:val="both"/>
      </w:pPr>
      <w:r>
        <w:rPr>
          <w:sz w:val="24"/>
          <w:szCs w:val="24"/>
        </w:rPr>
        <w:t>[</w:t>
      </w:r>
      <w:r w:rsidR="00926894">
        <w:rPr>
          <w:sz w:val="24"/>
          <w:szCs w:val="24"/>
        </w:rPr>
        <w:t>41</w:t>
      </w:r>
      <w:r>
        <w:rPr>
          <w:sz w:val="24"/>
          <w:szCs w:val="24"/>
        </w:rPr>
        <w:t>]</w:t>
      </w:r>
      <w:r>
        <w:rPr>
          <w:sz w:val="24"/>
          <w:szCs w:val="24"/>
        </w:rPr>
        <w:tab/>
      </w:r>
      <w:r w:rsidR="00926894">
        <w:rPr>
          <w:sz w:val="24"/>
          <w:szCs w:val="24"/>
        </w:rPr>
        <w:t>Sountoulides, P., et al. (2020). PSA derivatives and machine learning in prostate cancer detection: current evidence and future directions. Diagnostics, 10(11), 887.</w:t>
      </w:r>
    </w:p>
    <w:p w14:paraId="3DA9ED18" w14:textId="603E2FBE" w:rsidR="00926894" w:rsidRDefault="00BE36BB" w:rsidP="00926894">
      <w:pPr>
        <w:spacing w:after="140" w:line="338" w:lineRule="auto"/>
        <w:ind w:left="720" w:hanging="720"/>
        <w:jc w:val="both"/>
      </w:pPr>
      <w:r>
        <w:rPr>
          <w:sz w:val="24"/>
          <w:szCs w:val="24"/>
        </w:rPr>
        <w:t>[</w:t>
      </w:r>
      <w:r w:rsidR="00926894">
        <w:rPr>
          <w:sz w:val="24"/>
          <w:szCs w:val="24"/>
        </w:rPr>
        <w:t>42</w:t>
      </w:r>
      <w:r>
        <w:rPr>
          <w:sz w:val="24"/>
          <w:szCs w:val="24"/>
        </w:rPr>
        <w:t>]</w:t>
      </w:r>
      <w:r>
        <w:rPr>
          <w:sz w:val="24"/>
          <w:szCs w:val="24"/>
        </w:rPr>
        <w:tab/>
      </w:r>
      <w:r w:rsidR="00926894">
        <w:rPr>
          <w:sz w:val="24"/>
          <w:szCs w:val="24"/>
        </w:rPr>
        <w:t>TNHJPH. (2023). Prostate cancer awareness and screening barriers among secondary school teachers in Akwa Ibom State, Nigeria. The Nigerian Health Journal of Public Health, 23(2), 77–84.</w:t>
      </w:r>
    </w:p>
    <w:p w14:paraId="3AF97468" w14:textId="3C95790B" w:rsidR="00926894" w:rsidRDefault="00BE36BB" w:rsidP="00926894">
      <w:pPr>
        <w:spacing w:after="140" w:line="338" w:lineRule="auto"/>
        <w:ind w:left="720" w:hanging="720"/>
        <w:jc w:val="both"/>
      </w:pPr>
      <w:r>
        <w:rPr>
          <w:sz w:val="24"/>
          <w:szCs w:val="24"/>
        </w:rPr>
        <w:t>[</w:t>
      </w:r>
      <w:r w:rsidR="00926894">
        <w:rPr>
          <w:sz w:val="24"/>
          <w:szCs w:val="24"/>
        </w:rPr>
        <w:t>43</w:t>
      </w:r>
      <w:r>
        <w:rPr>
          <w:sz w:val="24"/>
          <w:szCs w:val="24"/>
        </w:rPr>
        <w:t>]</w:t>
      </w:r>
      <w:r>
        <w:rPr>
          <w:sz w:val="24"/>
          <w:szCs w:val="24"/>
        </w:rPr>
        <w:tab/>
      </w:r>
      <w:r w:rsidR="00926894">
        <w:rPr>
          <w:sz w:val="24"/>
          <w:szCs w:val="24"/>
        </w:rPr>
        <w:t>Tolani, M. A., et al. (2024). Referral delays and treatment gaps among prostate cancer patients in Nigerian hospitals: a multicentre analysis. West African Journal of Medicine, 41(1), 89–95.</w:t>
      </w:r>
    </w:p>
    <w:p w14:paraId="0EF38696" w14:textId="1705F808" w:rsidR="00926894" w:rsidRDefault="00BE36BB" w:rsidP="00926894">
      <w:pPr>
        <w:spacing w:after="140" w:line="338" w:lineRule="auto"/>
        <w:ind w:left="720" w:hanging="720"/>
        <w:jc w:val="both"/>
      </w:pPr>
      <w:r>
        <w:rPr>
          <w:sz w:val="24"/>
          <w:szCs w:val="24"/>
        </w:rPr>
        <w:t>[</w:t>
      </w:r>
      <w:r w:rsidR="00926894">
        <w:rPr>
          <w:sz w:val="24"/>
          <w:szCs w:val="24"/>
        </w:rPr>
        <w:t>44</w:t>
      </w:r>
      <w:r>
        <w:rPr>
          <w:sz w:val="24"/>
          <w:szCs w:val="24"/>
        </w:rPr>
        <w:t>]</w:t>
      </w:r>
      <w:r>
        <w:rPr>
          <w:sz w:val="24"/>
          <w:szCs w:val="24"/>
        </w:rPr>
        <w:tab/>
      </w:r>
      <w:r w:rsidR="00926894">
        <w:rPr>
          <w:sz w:val="24"/>
          <w:szCs w:val="24"/>
        </w:rPr>
        <w:t>UC Berkeley. (2024). Health systems fragmentation and prostate cancer outcomes in sub-Saharan Africa. University of California Berkeley School of Public Health. https://publichealth.berkeley.edu</w:t>
      </w:r>
    </w:p>
    <w:p w14:paraId="2F7EE2F0" w14:textId="4AC977A9" w:rsidR="00926894" w:rsidRDefault="00BE36BB" w:rsidP="00926894">
      <w:pPr>
        <w:spacing w:after="140" w:line="338" w:lineRule="auto"/>
        <w:ind w:left="720" w:hanging="720"/>
        <w:jc w:val="both"/>
      </w:pPr>
      <w:r>
        <w:rPr>
          <w:sz w:val="24"/>
          <w:szCs w:val="24"/>
        </w:rPr>
        <w:t>[</w:t>
      </w:r>
      <w:r w:rsidR="00926894">
        <w:rPr>
          <w:sz w:val="24"/>
          <w:szCs w:val="24"/>
        </w:rPr>
        <w:t>45</w:t>
      </w:r>
      <w:r>
        <w:rPr>
          <w:sz w:val="24"/>
          <w:szCs w:val="24"/>
        </w:rPr>
        <w:t>]</w:t>
      </w:r>
      <w:r>
        <w:rPr>
          <w:sz w:val="24"/>
          <w:szCs w:val="24"/>
        </w:rPr>
        <w:tab/>
      </w:r>
      <w:r w:rsidR="00926894">
        <w:rPr>
          <w:sz w:val="24"/>
          <w:szCs w:val="24"/>
        </w:rPr>
        <w:t>Ugwumba, F. O., et al. (2020). Cultural beliefs and healthcare avoidance behaviours in Nigerian men presenting with prostate symptoms: a qualitative study. BMC Public Health, 20(1), 1012.</w:t>
      </w:r>
    </w:p>
    <w:p w14:paraId="31D4DEBD" w14:textId="52AF7B3B" w:rsidR="00926894" w:rsidRDefault="00BE36BB" w:rsidP="00926894">
      <w:pPr>
        <w:spacing w:after="140" w:line="338" w:lineRule="auto"/>
        <w:ind w:left="720" w:hanging="720"/>
        <w:jc w:val="both"/>
      </w:pPr>
      <w:r>
        <w:rPr>
          <w:sz w:val="24"/>
          <w:szCs w:val="24"/>
        </w:rPr>
        <w:lastRenderedPageBreak/>
        <w:t>[</w:t>
      </w:r>
      <w:r w:rsidR="00926894">
        <w:rPr>
          <w:sz w:val="24"/>
          <w:szCs w:val="24"/>
        </w:rPr>
        <w:t>46</w:t>
      </w:r>
      <w:r>
        <w:rPr>
          <w:sz w:val="24"/>
          <w:szCs w:val="24"/>
        </w:rPr>
        <w:t>]</w:t>
      </w:r>
      <w:r>
        <w:rPr>
          <w:sz w:val="24"/>
          <w:szCs w:val="24"/>
        </w:rPr>
        <w:tab/>
      </w:r>
      <w:r w:rsidR="00926894">
        <w:rPr>
          <w:sz w:val="24"/>
          <w:szCs w:val="24"/>
        </w:rPr>
        <w:t>Ukoli, F., et al. (2017). Alcohol, smoking, and prostate cancer risk in Nigerian men: findings from a hospital-based study. African Journal of Urology, 23(4), 280–287.</w:t>
      </w:r>
    </w:p>
    <w:p w14:paraId="4E71D26C" w14:textId="64E0A9F1" w:rsidR="00926894" w:rsidRDefault="00BE36BB" w:rsidP="00926894">
      <w:pPr>
        <w:spacing w:after="140" w:line="338" w:lineRule="auto"/>
        <w:ind w:left="720" w:hanging="720"/>
        <w:jc w:val="both"/>
      </w:pPr>
      <w:r>
        <w:rPr>
          <w:sz w:val="24"/>
          <w:szCs w:val="24"/>
        </w:rPr>
        <w:t>[</w:t>
      </w:r>
      <w:r w:rsidR="00926894">
        <w:rPr>
          <w:sz w:val="24"/>
          <w:szCs w:val="24"/>
        </w:rPr>
        <w:t>47</w:t>
      </w:r>
      <w:r>
        <w:rPr>
          <w:sz w:val="24"/>
          <w:szCs w:val="24"/>
        </w:rPr>
        <w:t>]</w:t>
      </w:r>
      <w:r>
        <w:rPr>
          <w:sz w:val="24"/>
          <w:szCs w:val="24"/>
        </w:rPr>
        <w:tab/>
      </w:r>
      <w:r w:rsidR="00926894">
        <w:rPr>
          <w:sz w:val="24"/>
          <w:szCs w:val="24"/>
        </w:rPr>
        <w:t>Ukoli, F., et al. (2019). BMI, sedentary behaviour, and PSA levels in rural Nigerian men: implications for prostate cancer screening. International Journal of Environmental Research and Public Health, 16(12), 2154.</w:t>
      </w:r>
    </w:p>
    <w:p w14:paraId="7FA26A4C" w14:textId="68DB0A0D" w:rsidR="00926894" w:rsidRDefault="00BE36BB" w:rsidP="00926894">
      <w:pPr>
        <w:spacing w:after="140" w:line="338" w:lineRule="auto"/>
        <w:ind w:left="720" w:hanging="720"/>
        <w:jc w:val="both"/>
      </w:pPr>
      <w:r>
        <w:rPr>
          <w:sz w:val="24"/>
          <w:szCs w:val="24"/>
        </w:rPr>
        <w:t>[</w:t>
      </w:r>
      <w:r w:rsidR="00926894">
        <w:rPr>
          <w:sz w:val="24"/>
          <w:szCs w:val="24"/>
        </w:rPr>
        <w:t>48</w:t>
      </w:r>
      <w:r>
        <w:rPr>
          <w:sz w:val="24"/>
          <w:szCs w:val="24"/>
        </w:rPr>
        <w:t>]</w:t>
      </w:r>
      <w:r>
        <w:rPr>
          <w:sz w:val="24"/>
          <w:szCs w:val="24"/>
        </w:rPr>
        <w:tab/>
      </w:r>
      <w:r w:rsidR="00926894">
        <w:rPr>
          <w:sz w:val="24"/>
          <w:szCs w:val="24"/>
        </w:rPr>
        <w:t>WAJOPH. (2019). Prostate cancer epidemiology in West Africa: a review of hospital-based data. West African Journal of Public Health, 8(2), 34–41.</w:t>
      </w:r>
    </w:p>
    <w:p w14:paraId="14D4E97C" w14:textId="14D404E0" w:rsidR="00926894" w:rsidRDefault="00BE36BB" w:rsidP="00926894">
      <w:pPr>
        <w:spacing w:after="140" w:line="338" w:lineRule="auto"/>
        <w:ind w:left="720" w:hanging="720"/>
        <w:jc w:val="both"/>
      </w:pPr>
      <w:r>
        <w:rPr>
          <w:sz w:val="24"/>
          <w:szCs w:val="24"/>
        </w:rPr>
        <w:t>[</w:t>
      </w:r>
      <w:r w:rsidR="00926894">
        <w:rPr>
          <w:sz w:val="24"/>
          <w:szCs w:val="24"/>
        </w:rPr>
        <w:t>49</w:t>
      </w:r>
      <w:r>
        <w:rPr>
          <w:sz w:val="24"/>
          <w:szCs w:val="24"/>
        </w:rPr>
        <w:t>]</w:t>
      </w:r>
      <w:r>
        <w:rPr>
          <w:sz w:val="24"/>
          <w:szCs w:val="24"/>
        </w:rPr>
        <w:tab/>
      </w:r>
      <w:r w:rsidR="00926894">
        <w:rPr>
          <w:sz w:val="24"/>
          <w:szCs w:val="24"/>
        </w:rPr>
        <w:t>World Cancer Research Fund International. (2022). Prostate Cancer Statistics. WCRF. https://www.wcrf.org/cancer-trends/prostate-cancer-statistics/</w:t>
      </w:r>
    </w:p>
    <w:p w14:paraId="6601D6BD" w14:textId="77777777" w:rsidR="003C297A" w:rsidRDefault="003C297A" w:rsidP="004B6838">
      <w:pPr>
        <w:spacing w:before="100" w:after="100" w:line="340" w:lineRule="auto"/>
        <w:jc w:val="both"/>
        <w:rPr>
          <w:rFonts w:asciiTheme="minorHAnsi" w:hAnsiTheme="minorHAnsi" w:cstheme="minorHAnsi"/>
          <w:sz w:val="24"/>
          <w:szCs w:val="24"/>
        </w:rPr>
      </w:pPr>
    </w:p>
    <w:p w14:paraId="37A661A4" w14:textId="6A12F07D" w:rsidR="003C297A" w:rsidRDefault="003C297A" w:rsidP="004B6838">
      <w:pPr>
        <w:spacing w:before="100" w:after="100" w:line="340" w:lineRule="auto"/>
        <w:jc w:val="both"/>
        <w:rPr>
          <w:rFonts w:asciiTheme="minorHAnsi" w:hAnsiTheme="minorHAnsi" w:cstheme="minorHAnsi"/>
          <w:b/>
          <w:bCs/>
          <w:sz w:val="24"/>
          <w:szCs w:val="24"/>
        </w:rPr>
      </w:pPr>
      <w:r w:rsidRPr="00BE36BB">
        <w:rPr>
          <w:rFonts w:asciiTheme="minorHAnsi" w:hAnsiTheme="minorHAnsi" w:cstheme="minorHAnsi"/>
          <w:b/>
          <w:bCs/>
          <w:sz w:val="24"/>
          <w:szCs w:val="24"/>
        </w:rPr>
        <w:t>Appendix A</w:t>
      </w:r>
    </w:p>
    <w:p w14:paraId="3756EB2B" w14:textId="497577CA" w:rsidR="00BE36BB" w:rsidRPr="00BE36BB" w:rsidRDefault="00BE36BB" w:rsidP="004B6838">
      <w:pPr>
        <w:spacing w:before="100" w:after="100" w:line="340" w:lineRule="auto"/>
        <w:jc w:val="both"/>
        <w:rPr>
          <w:rFonts w:asciiTheme="minorHAnsi" w:hAnsiTheme="minorHAnsi" w:cstheme="minorHAnsi"/>
          <w:b/>
          <w:bCs/>
          <w:sz w:val="24"/>
          <w:szCs w:val="24"/>
        </w:rPr>
      </w:pPr>
      <w:r>
        <w:rPr>
          <w:rFonts w:asciiTheme="minorHAnsi" w:hAnsiTheme="minorHAnsi" w:cstheme="minorHAnsi"/>
          <w:b/>
          <w:bCs/>
          <w:sz w:val="24"/>
          <w:szCs w:val="24"/>
        </w:rPr>
        <w:t>Section 3.4 Python codes</w:t>
      </w:r>
    </w:p>
    <w:p w14:paraId="60F919BE"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import pandas as pd</w:t>
      </w:r>
    </w:p>
    <w:p w14:paraId="4F5D6697"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import numpy as np</w:t>
      </w:r>
    </w:p>
    <w:p w14:paraId="4D357D28"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from sklearn.preprocessing import StandardScaler</w:t>
      </w:r>
    </w:p>
    <w:p w14:paraId="1B3A9779" w14:textId="7D119B3C"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from sklearn.model_selection import train_test_split</w:t>
      </w:r>
    </w:p>
    <w:p w14:paraId="5586F731"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df = pd.read_excel('prostate_cancer_delta_state.xlsx')</w:t>
      </w:r>
    </w:p>
    <w:p w14:paraId="140BAF82"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continuous_vars = ['AGE', 'PSA', 'GLEASON', 'BMI']</w:t>
      </w:r>
    </w:p>
    <w:p w14:paraId="1F58C261"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for col in continuous_vars:</w:t>
      </w:r>
    </w:p>
    <w:p w14:paraId="2B25C6E6"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 xml:space="preserve">    df[col].fillna(df[col].median(), inplace=True)</w:t>
      </w:r>
    </w:p>
    <w:p w14:paraId="19E170F9"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categorical_vars = ['FAMILY_HISTORY', 'DIETARY_PATTERN',</w:t>
      </w:r>
    </w:p>
    <w:p w14:paraId="78B7D2CD"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 xml:space="preserve">                    'SMOKING_STATUS', 'ALCOHOL', 'TREATMENT_MODALITY']</w:t>
      </w:r>
    </w:p>
    <w:p w14:paraId="3F1EF437"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for col in categorical_vars:</w:t>
      </w:r>
    </w:p>
    <w:p w14:paraId="218BB1A2"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 xml:space="preserve">    df[col].fillna(df[col].mode()[0], inplace=True)</w:t>
      </w:r>
    </w:p>
    <w:p w14:paraId="0E2F5B21"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Q1 = df['PSA'].quantile(0.25)</w:t>
      </w:r>
    </w:p>
    <w:p w14:paraId="49C7B8F6"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Q3 = df['PSA'].quantile(0.75)</w:t>
      </w:r>
    </w:p>
    <w:p w14:paraId="0E0F8325"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lastRenderedPageBreak/>
        <w:t>IQR = Q3 - Q1</w:t>
      </w:r>
    </w:p>
    <w:p w14:paraId="0426EAC0"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lower = Q1 - 1.5 * IQR</w:t>
      </w:r>
    </w:p>
    <w:p w14:paraId="64088617"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upper = Q3 + 1.5 * IQR</w:t>
      </w:r>
    </w:p>
    <w:p w14:paraId="360CFEFE"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df['PSA'] = df['PSA'].clip(lower=lower, upper=upper)</w:t>
      </w:r>
    </w:p>
    <w:p w14:paraId="6A2F3B8D"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df = pd.get_dummies(df, columns=categorical_vars, drop_first=True)</w:t>
      </w:r>
    </w:p>
    <w:p w14:paraId="178A2104"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scaler = StandardScaler()</w:t>
      </w:r>
    </w:p>
    <w:p w14:paraId="29215C96"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df[continuous_vars] = scaler.fit_transform(df[continuous_vars])</w:t>
      </w:r>
    </w:p>
    <w:p w14:paraId="71F99FE2"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X = df.drop('LABEL', axis=1)</w:t>
      </w:r>
    </w:p>
    <w:p w14:paraId="594015F9" w14:textId="277D3AF1"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y = df['LABEL']</w:t>
      </w:r>
    </w:p>
    <w:p w14:paraId="0A97E719"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X_train, X_test, y_train, y_test = train_test_split(</w:t>
      </w:r>
    </w:p>
    <w:p w14:paraId="0089644E"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 xml:space="preserve">    X, y,</w:t>
      </w:r>
    </w:p>
    <w:p w14:paraId="31D9BCFC"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 xml:space="preserve">    test_size=0.20,</w:t>
      </w:r>
    </w:p>
    <w:p w14:paraId="0933CF51"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 xml:space="preserve">    random_state=42,</w:t>
      </w:r>
    </w:p>
    <w:p w14:paraId="23A50525"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 xml:space="preserve">    stratify=y          # preserves class distribution</w:t>
      </w:r>
    </w:p>
    <w:p w14:paraId="369A9A30" w14:textId="0A4B09FE"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w:t>
      </w:r>
    </w:p>
    <w:p w14:paraId="641A003C" w14:textId="77777777" w:rsidR="003C297A" w:rsidRP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print(f"Training set: {X_train.shape[0]} cases")   # n = 48</w:t>
      </w:r>
    </w:p>
    <w:p w14:paraId="7C933933" w14:textId="5487E965" w:rsidR="003C297A" w:rsidRDefault="003C297A" w:rsidP="003C297A">
      <w:pPr>
        <w:spacing w:before="100" w:after="100" w:line="340" w:lineRule="auto"/>
        <w:jc w:val="both"/>
        <w:rPr>
          <w:rFonts w:asciiTheme="minorHAnsi" w:hAnsiTheme="minorHAnsi" w:cstheme="minorHAnsi"/>
          <w:sz w:val="24"/>
          <w:szCs w:val="24"/>
        </w:rPr>
      </w:pPr>
      <w:r w:rsidRPr="003C297A">
        <w:rPr>
          <w:rFonts w:asciiTheme="minorHAnsi" w:hAnsiTheme="minorHAnsi" w:cstheme="minorHAnsi"/>
          <w:sz w:val="24"/>
          <w:szCs w:val="24"/>
        </w:rPr>
        <w:t>print(f"Test set:     {X_test.shape[0]} cases")    # n = 12</w:t>
      </w:r>
    </w:p>
    <w:p w14:paraId="3428DB90" w14:textId="77777777" w:rsidR="002069FC" w:rsidRDefault="002069FC" w:rsidP="003C297A">
      <w:pPr>
        <w:spacing w:before="100" w:after="100" w:line="340" w:lineRule="auto"/>
        <w:jc w:val="both"/>
        <w:rPr>
          <w:rFonts w:asciiTheme="minorHAnsi" w:hAnsiTheme="minorHAnsi" w:cstheme="minorHAnsi"/>
          <w:sz w:val="24"/>
          <w:szCs w:val="24"/>
        </w:rPr>
      </w:pPr>
    </w:p>
    <w:p w14:paraId="11C8FF97" w14:textId="74917003" w:rsidR="002069FC" w:rsidRPr="00F54732" w:rsidRDefault="002069FC" w:rsidP="003C297A">
      <w:pPr>
        <w:spacing w:before="100" w:after="100" w:line="340" w:lineRule="auto"/>
        <w:jc w:val="both"/>
        <w:rPr>
          <w:rFonts w:asciiTheme="minorHAnsi" w:hAnsiTheme="minorHAnsi" w:cstheme="minorHAnsi"/>
          <w:b/>
          <w:bCs/>
          <w:sz w:val="24"/>
          <w:szCs w:val="24"/>
        </w:rPr>
      </w:pPr>
      <w:r w:rsidRPr="00F54732">
        <w:rPr>
          <w:rFonts w:asciiTheme="minorHAnsi" w:hAnsiTheme="minorHAnsi" w:cstheme="minorHAnsi"/>
          <w:b/>
          <w:bCs/>
          <w:sz w:val="24"/>
          <w:szCs w:val="24"/>
        </w:rPr>
        <w:t>Section 3.6</w:t>
      </w:r>
      <w:r w:rsidR="00BE36BB">
        <w:rPr>
          <w:rFonts w:asciiTheme="minorHAnsi" w:hAnsiTheme="minorHAnsi" w:cstheme="minorHAnsi"/>
          <w:b/>
          <w:bCs/>
          <w:sz w:val="24"/>
          <w:szCs w:val="24"/>
        </w:rPr>
        <w:t xml:space="preserve"> python codes</w:t>
      </w:r>
    </w:p>
    <w:p w14:paraId="05E00FEE"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from sklearn.metrics import (accuracy_score, recall_score, </w:t>
      </w:r>
    </w:p>
    <w:p w14:paraId="7FCFCD69"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f1_score, roc_auc_score,</w:t>
      </w:r>
    </w:p>
    <w:p w14:paraId="62083EF0"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confusion_matrix, ConfusionMatrixDisplay)</w:t>
      </w:r>
    </w:p>
    <w:p w14:paraId="71635886"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from sklearn.inspection import permutation_importance</w:t>
      </w:r>
    </w:p>
    <w:p w14:paraId="0B47F6A2"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from statsmodels.stats.contingency_tables import mcnemar</w:t>
      </w:r>
    </w:p>
    <w:p w14:paraId="62CD525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import matplotlib.pyplot as plt</w:t>
      </w:r>
    </w:p>
    <w:p w14:paraId="79DC6A88"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lastRenderedPageBreak/>
        <w:t>import numpy as np</w:t>
      </w:r>
    </w:p>
    <w:p w14:paraId="6AC2C9A0"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models = {</w:t>
      </w:r>
    </w:p>
    <w:p w14:paraId="4DBDEC2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'Logistic Regression': lr_model,</w:t>
      </w:r>
    </w:p>
    <w:p w14:paraId="0A192C4C"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'Decision Tree':       dt_model,</w:t>
      </w:r>
    </w:p>
    <w:p w14:paraId="02C525D2"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'Random Forest':       rf_model,</w:t>
      </w:r>
    </w:p>
    <w:p w14:paraId="6048A45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'SVM':                 svm_model</w:t>
      </w:r>
    </w:p>
    <w:p w14:paraId="569834B9" w14:textId="1AEC0071"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w:t>
      </w:r>
    </w:p>
    <w:p w14:paraId="282B883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results = {}</w:t>
      </w:r>
    </w:p>
    <w:p w14:paraId="29C99A42" w14:textId="6AD9ABAA"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predictions = {}</w:t>
      </w:r>
    </w:p>
    <w:p w14:paraId="362FAD4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for name, model in models.items():</w:t>
      </w:r>
    </w:p>
    <w:p w14:paraId="5E16FAFE"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y_pred = model.predict(X_test)</w:t>
      </w:r>
    </w:p>
    <w:p w14:paraId="32A7D4B1"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y_prob = model.predict_proba(X_test)[:, 1]</w:t>
      </w:r>
    </w:p>
    <w:p w14:paraId="264354C8" w14:textId="3B9B96F0"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predictions[name] = y_pred</w:t>
      </w:r>
    </w:p>
    <w:p w14:paraId="001852C1"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tn, fp, fn, tp = confusion_matrix(y_test, y_pred).ravel()</w:t>
      </w:r>
    </w:p>
    <w:p w14:paraId="5ACC8B0E" w14:textId="5AFA4A88"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specificity = tn / (tn + fp)</w:t>
      </w:r>
    </w:p>
    <w:p w14:paraId="73FF8794"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results[name] = {</w:t>
      </w:r>
    </w:p>
    <w:p w14:paraId="2D011D6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'Accuracy':    round(accuracy_score(y_test, y_pred) * 100, 1),</w:t>
      </w:r>
    </w:p>
    <w:p w14:paraId="1ED1836F"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'Sensitivity': round(recall_score(y_test, y_pred) * 100, 1),</w:t>
      </w:r>
    </w:p>
    <w:p w14:paraId="66AC07B2"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'Specificity': round(specificity * 100, 1),</w:t>
      </w:r>
    </w:p>
    <w:p w14:paraId="70B037B7"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'F1-Score':    round(f1_score(y_test, y_pred), 2),</w:t>
      </w:r>
    </w:p>
    <w:p w14:paraId="33565194"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'AUC-ROC':     round(roc_auc_score(y_test, y_prob), 2),</w:t>
      </w:r>
    </w:p>
    <w:p w14:paraId="342A8E34" w14:textId="2CD4A6A8"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w:t>
      </w:r>
    </w:p>
    <w:p w14:paraId="5F9E2FB7"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for name, model in models.items():</w:t>
      </w:r>
    </w:p>
    <w:p w14:paraId="52995C9E"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cm = confusion_matrix(y_test, predictions[name])</w:t>
      </w:r>
    </w:p>
    <w:p w14:paraId="6082EAC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disp = ConfusionMatrixDisplay(confusion_matrix=cm,</w:t>
      </w:r>
    </w:p>
    <w:p w14:paraId="19756B73"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lastRenderedPageBreak/>
        <w:t xml:space="preserve">                                  display_labels=['Early (0)', 'Advanced (1)'])</w:t>
      </w:r>
    </w:p>
    <w:p w14:paraId="48A7D320"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disp.plot(cmap='Blues')</w:t>
      </w:r>
    </w:p>
    <w:p w14:paraId="695B3CE0"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plt.title(f'Confusion Matrix — {name}')</w:t>
      </w:r>
    </w:p>
    <w:p w14:paraId="6C3B5DCD"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plt.tight_layout()</w:t>
      </w:r>
    </w:p>
    <w:p w14:paraId="3C8A680D"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plt.savefig(f'confusion_matrix_{name.replace(" ", "_")}.png', dpi=150)</w:t>
      </w:r>
    </w:p>
    <w:p w14:paraId="5C81A6DA" w14:textId="74EAE324" w:rsidR="00F54732"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plt.show()</w:t>
      </w:r>
    </w:p>
    <w:p w14:paraId="3E1B3086" w14:textId="675C59A5"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 McNemar's test: Random Forest vs Logistic Regression </w:t>
      </w:r>
    </w:p>
    <w:p w14:paraId="3421600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Build contingency table from both models' predictions</w:t>
      </w:r>
    </w:p>
    <w:p w14:paraId="7F6D6366"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rf_correct  = (predictions['Random Forest']       == y_test.values)</w:t>
      </w:r>
    </w:p>
    <w:p w14:paraId="228B3A1D"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lr_correct  = (predictions['Logistic Regression'] == y_test.values)</w:t>
      </w:r>
    </w:p>
    <w:p w14:paraId="52414054" w14:textId="77777777" w:rsidR="002069FC" w:rsidRPr="002069FC" w:rsidRDefault="002069FC" w:rsidP="002069FC">
      <w:pPr>
        <w:spacing w:before="100" w:after="100" w:line="340" w:lineRule="auto"/>
        <w:jc w:val="both"/>
        <w:rPr>
          <w:rFonts w:asciiTheme="minorHAnsi" w:hAnsiTheme="minorHAnsi" w:cstheme="minorHAnsi"/>
          <w:sz w:val="24"/>
          <w:szCs w:val="24"/>
        </w:rPr>
      </w:pPr>
    </w:p>
    <w:p w14:paraId="2C4DAF88"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b = sum( rf_correct &amp; ~lr_correct)   # RF correct, LR wrong</w:t>
      </w:r>
    </w:p>
    <w:p w14:paraId="3B53C627"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c = sum(~rf_correct &amp;  lr_correct)   # RF wrong,  LR correct</w:t>
      </w:r>
    </w:p>
    <w:p w14:paraId="17E5A687" w14:textId="77777777" w:rsidR="002069FC" w:rsidRPr="002069FC" w:rsidRDefault="002069FC" w:rsidP="002069FC">
      <w:pPr>
        <w:spacing w:before="100" w:after="100" w:line="340" w:lineRule="auto"/>
        <w:jc w:val="both"/>
        <w:rPr>
          <w:rFonts w:asciiTheme="minorHAnsi" w:hAnsiTheme="minorHAnsi" w:cstheme="minorHAnsi"/>
          <w:sz w:val="24"/>
          <w:szCs w:val="24"/>
        </w:rPr>
      </w:pPr>
    </w:p>
    <w:p w14:paraId="6032532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contingency_table = [[0, b], [c, 0]]</w:t>
      </w:r>
    </w:p>
    <w:p w14:paraId="05ACA4F0"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mcnemar_result = mcnemar(contingency_table, exact=True)</w:t>
      </w:r>
    </w:p>
    <w:p w14:paraId="4B402D48"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print(f"McNemar's test p-value: {mcnemar_result.pvalue:.4f}")</w:t>
      </w:r>
    </w:p>
    <w:p w14:paraId="7815EF6E" w14:textId="77777777" w:rsidR="002069FC" w:rsidRPr="002069FC" w:rsidRDefault="002069FC" w:rsidP="002069FC">
      <w:pPr>
        <w:spacing w:before="100" w:after="100" w:line="340" w:lineRule="auto"/>
        <w:jc w:val="both"/>
        <w:rPr>
          <w:rFonts w:asciiTheme="minorHAnsi" w:hAnsiTheme="minorHAnsi" w:cstheme="minorHAnsi"/>
          <w:sz w:val="24"/>
          <w:szCs w:val="24"/>
        </w:rPr>
      </w:pPr>
    </w:p>
    <w:p w14:paraId="7C8F4BB7" w14:textId="024D998E"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Feature importance from Random Forest (Gini impurity)</w:t>
      </w:r>
    </w:p>
    <w:p w14:paraId="205895F5"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feature_names = X_train.columns.tolist()</w:t>
      </w:r>
    </w:p>
    <w:p w14:paraId="017D8FD4"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importances   = rf_model.feature_importances_</w:t>
      </w:r>
    </w:p>
    <w:p w14:paraId="2519DD1C" w14:textId="7608A065"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indices       = np.argsort(importances)[::-1]</w:t>
      </w:r>
    </w:p>
    <w:p w14:paraId="6C444439"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print("\nFeature Importance Rankings (Random Forest — Gini):")</w:t>
      </w:r>
    </w:p>
    <w:p w14:paraId="11FA42BC"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for rank, idx in enumerate(indices, 1):</w:t>
      </w:r>
    </w:p>
    <w:p w14:paraId="48DEDBDF"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print(f"  {rank}. {feature_names[idx]:&lt;30} {importances[idx]*100:.1f}%")</w:t>
      </w:r>
    </w:p>
    <w:p w14:paraId="28A5CEFB" w14:textId="77777777" w:rsidR="002069FC" w:rsidRPr="002069FC" w:rsidRDefault="002069FC" w:rsidP="002069FC">
      <w:pPr>
        <w:spacing w:before="100" w:after="100" w:line="340" w:lineRule="auto"/>
        <w:jc w:val="both"/>
        <w:rPr>
          <w:rFonts w:asciiTheme="minorHAnsi" w:hAnsiTheme="minorHAnsi" w:cstheme="minorHAnsi"/>
          <w:sz w:val="24"/>
          <w:szCs w:val="24"/>
        </w:rPr>
      </w:pPr>
    </w:p>
    <w:p w14:paraId="7C024C45" w14:textId="28274035"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Plot feature importance </w:t>
      </w:r>
    </w:p>
    <w:p w14:paraId="7F34F224"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plt.figure(figsize=(10, 6))</w:t>
      </w:r>
    </w:p>
    <w:p w14:paraId="2D3A51AE"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plt.bar(range(len(importances)),</w:t>
      </w:r>
    </w:p>
    <w:p w14:paraId="315C4AC4"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importances[indices],</w:t>
      </w:r>
    </w:p>
    <w:p w14:paraId="3CAD10C7"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color='steelblue', edgecolor='white')</w:t>
      </w:r>
    </w:p>
    <w:p w14:paraId="56697862"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plt.xticks(range(len(importances)),</w:t>
      </w:r>
    </w:p>
    <w:p w14:paraId="273C3C7E"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[feature_names[i] for i in indices],</w:t>
      </w:r>
    </w:p>
    <w:p w14:paraId="4CE96F09"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 xml:space="preserve">           rotation=45, ha='right')</w:t>
      </w:r>
    </w:p>
    <w:p w14:paraId="32558E21"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plt.ylabel('Gini Importance')</w:t>
      </w:r>
    </w:p>
    <w:p w14:paraId="173A4402"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plt.title('Feature Importance — Random Forest Model')</w:t>
      </w:r>
    </w:p>
    <w:p w14:paraId="314FC729"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plt.tight_layout()</w:t>
      </w:r>
    </w:p>
    <w:p w14:paraId="5C983FD7" w14:textId="77777777" w:rsidR="002069FC" w:rsidRPr="002069FC"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plt.savefig('feature_importance_rf.png', dpi=150)</w:t>
      </w:r>
    </w:p>
    <w:p w14:paraId="010384DF" w14:textId="57D6140A" w:rsidR="002069FC" w:rsidRPr="004B6838" w:rsidRDefault="002069FC" w:rsidP="002069FC">
      <w:pPr>
        <w:spacing w:before="100" w:after="100" w:line="340" w:lineRule="auto"/>
        <w:jc w:val="both"/>
        <w:rPr>
          <w:rFonts w:asciiTheme="minorHAnsi" w:hAnsiTheme="minorHAnsi" w:cstheme="minorHAnsi"/>
          <w:sz w:val="24"/>
          <w:szCs w:val="24"/>
        </w:rPr>
      </w:pPr>
      <w:r w:rsidRPr="002069FC">
        <w:rPr>
          <w:rFonts w:asciiTheme="minorHAnsi" w:hAnsiTheme="minorHAnsi" w:cstheme="minorHAnsi"/>
          <w:sz w:val="24"/>
          <w:szCs w:val="24"/>
        </w:rPr>
        <w:t>plt.show()</w:t>
      </w:r>
    </w:p>
    <w:sectPr w:rsidR="002069FC" w:rsidRPr="004B68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7A0F" w14:textId="77777777" w:rsidR="000E7672" w:rsidRDefault="000E7672" w:rsidP="00602F8A">
      <w:r>
        <w:separator/>
      </w:r>
    </w:p>
  </w:endnote>
  <w:endnote w:type="continuationSeparator" w:id="0">
    <w:p w14:paraId="741EE7A0" w14:textId="77777777" w:rsidR="000E7672" w:rsidRDefault="000E7672" w:rsidP="0060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8CD4" w14:textId="77777777" w:rsidR="00602F8A" w:rsidRDefault="0060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F119" w14:textId="77777777" w:rsidR="00602F8A" w:rsidRDefault="0060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E2C1" w14:textId="77777777" w:rsidR="00602F8A" w:rsidRDefault="0060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461E0" w14:textId="77777777" w:rsidR="000E7672" w:rsidRDefault="000E7672" w:rsidP="00602F8A">
      <w:r>
        <w:separator/>
      </w:r>
    </w:p>
  </w:footnote>
  <w:footnote w:type="continuationSeparator" w:id="0">
    <w:p w14:paraId="0DAAF057" w14:textId="77777777" w:rsidR="000E7672" w:rsidRDefault="000E7672" w:rsidP="0060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C00C" w14:textId="4EC72BCE" w:rsidR="00602F8A" w:rsidRDefault="00602F8A">
    <w:pPr>
      <w:pStyle w:val="Header"/>
    </w:pPr>
    <w:r>
      <w:rPr>
        <w:noProof/>
      </w:rPr>
      <w:pict w14:anchorId="5A3F7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61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9AE8" w14:textId="4A0A0DE4" w:rsidR="00602F8A" w:rsidRDefault="00602F8A">
    <w:pPr>
      <w:pStyle w:val="Header"/>
    </w:pPr>
    <w:r>
      <w:rPr>
        <w:noProof/>
      </w:rPr>
      <w:pict w14:anchorId="520FF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61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C05E" w14:textId="26DC6C2B" w:rsidR="00602F8A" w:rsidRDefault="00602F8A">
    <w:pPr>
      <w:pStyle w:val="Header"/>
    </w:pPr>
    <w:r>
      <w:rPr>
        <w:noProof/>
      </w:rPr>
      <w:pict w14:anchorId="0C976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60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7E37"/>
    <w:multiLevelType w:val="hybridMultilevel"/>
    <w:tmpl w:val="AEC66EAC"/>
    <w:lvl w:ilvl="0" w:tplc="474EF7EE">
      <w:start w:val="1"/>
      <w:numFmt w:val="bullet"/>
      <w:lvlText w:val="•"/>
      <w:lvlJc w:val="left"/>
      <w:pPr>
        <w:ind w:left="720" w:hanging="360"/>
      </w:pPr>
    </w:lvl>
    <w:lvl w:ilvl="1" w:tplc="0B7AB250">
      <w:numFmt w:val="decimal"/>
      <w:lvlText w:val=""/>
      <w:lvlJc w:val="left"/>
    </w:lvl>
    <w:lvl w:ilvl="2" w:tplc="49B8A8A8">
      <w:numFmt w:val="decimal"/>
      <w:lvlText w:val=""/>
      <w:lvlJc w:val="left"/>
    </w:lvl>
    <w:lvl w:ilvl="3" w:tplc="DD9C4020">
      <w:numFmt w:val="decimal"/>
      <w:lvlText w:val=""/>
      <w:lvlJc w:val="left"/>
    </w:lvl>
    <w:lvl w:ilvl="4" w:tplc="7FF09E08">
      <w:numFmt w:val="decimal"/>
      <w:lvlText w:val=""/>
      <w:lvlJc w:val="left"/>
    </w:lvl>
    <w:lvl w:ilvl="5" w:tplc="099038EE">
      <w:numFmt w:val="decimal"/>
      <w:lvlText w:val=""/>
      <w:lvlJc w:val="left"/>
    </w:lvl>
    <w:lvl w:ilvl="6" w:tplc="8C7C0034">
      <w:numFmt w:val="decimal"/>
      <w:lvlText w:val=""/>
      <w:lvlJc w:val="left"/>
    </w:lvl>
    <w:lvl w:ilvl="7" w:tplc="24E23FF8">
      <w:numFmt w:val="decimal"/>
      <w:lvlText w:val=""/>
      <w:lvlJc w:val="left"/>
    </w:lvl>
    <w:lvl w:ilvl="8" w:tplc="98046066">
      <w:numFmt w:val="decimal"/>
      <w:lvlText w:val=""/>
      <w:lvlJc w:val="left"/>
    </w:lvl>
  </w:abstractNum>
  <w:abstractNum w:abstractNumId="1" w15:restartNumberingAfterBreak="0">
    <w:nsid w:val="2AD56741"/>
    <w:multiLevelType w:val="hybridMultilevel"/>
    <w:tmpl w:val="F3E65C2A"/>
    <w:lvl w:ilvl="0" w:tplc="2EF250AE">
      <w:start w:val="1"/>
      <w:numFmt w:val="bullet"/>
      <w:lvlText w:val="●"/>
      <w:lvlJc w:val="left"/>
      <w:pPr>
        <w:ind w:left="720" w:hanging="360"/>
      </w:pPr>
    </w:lvl>
    <w:lvl w:ilvl="1" w:tplc="8AF8E0E2">
      <w:start w:val="1"/>
      <w:numFmt w:val="bullet"/>
      <w:lvlText w:val="○"/>
      <w:lvlJc w:val="left"/>
      <w:pPr>
        <w:ind w:left="1440" w:hanging="360"/>
      </w:pPr>
    </w:lvl>
    <w:lvl w:ilvl="2" w:tplc="D86E83D0">
      <w:start w:val="1"/>
      <w:numFmt w:val="bullet"/>
      <w:lvlText w:val="■"/>
      <w:lvlJc w:val="left"/>
      <w:pPr>
        <w:ind w:left="2160" w:hanging="360"/>
      </w:pPr>
    </w:lvl>
    <w:lvl w:ilvl="3" w:tplc="360E1362">
      <w:start w:val="1"/>
      <w:numFmt w:val="bullet"/>
      <w:lvlText w:val="●"/>
      <w:lvlJc w:val="left"/>
      <w:pPr>
        <w:ind w:left="2880" w:hanging="360"/>
      </w:pPr>
    </w:lvl>
    <w:lvl w:ilvl="4" w:tplc="10666800">
      <w:start w:val="1"/>
      <w:numFmt w:val="bullet"/>
      <w:lvlText w:val="○"/>
      <w:lvlJc w:val="left"/>
      <w:pPr>
        <w:ind w:left="3600" w:hanging="360"/>
      </w:pPr>
    </w:lvl>
    <w:lvl w:ilvl="5" w:tplc="4F000FAE">
      <w:start w:val="1"/>
      <w:numFmt w:val="bullet"/>
      <w:lvlText w:val="■"/>
      <w:lvlJc w:val="left"/>
      <w:pPr>
        <w:ind w:left="4320" w:hanging="360"/>
      </w:pPr>
    </w:lvl>
    <w:lvl w:ilvl="6" w:tplc="E7880CA6">
      <w:start w:val="1"/>
      <w:numFmt w:val="bullet"/>
      <w:lvlText w:val="●"/>
      <w:lvlJc w:val="left"/>
      <w:pPr>
        <w:ind w:left="5040" w:hanging="360"/>
      </w:pPr>
    </w:lvl>
    <w:lvl w:ilvl="7" w:tplc="9C88B5E2">
      <w:start w:val="1"/>
      <w:numFmt w:val="bullet"/>
      <w:lvlText w:val="●"/>
      <w:lvlJc w:val="left"/>
      <w:pPr>
        <w:ind w:left="5760" w:hanging="360"/>
      </w:pPr>
    </w:lvl>
    <w:lvl w:ilvl="8" w:tplc="463611F6">
      <w:start w:val="1"/>
      <w:numFmt w:val="bullet"/>
      <w:lvlText w:val="●"/>
      <w:lvlJc w:val="left"/>
      <w:pPr>
        <w:ind w:left="6480" w:hanging="360"/>
      </w:pPr>
    </w:lvl>
  </w:abstractNum>
  <w:abstractNum w:abstractNumId="2" w15:restartNumberingAfterBreak="0">
    <w:nsid w:val="53B05CC4"/>
    <w:multiLevelType w:val="hybridMultilevel"/>
    <w:tmpl w:val="0434963C"/>
    <w:lvl w:ilvl="0" w:tplc="248A3584">
      <w:start w:val="1"/>
      <w:numFmt w:val="bullet"/>
      <w:lvlText w:val="●"/>
      <w:lvlJc w:val="left"/>
      <w:pPr>
        <w:ind w:left="720" w:hanging="360"/>
      </w:pPr>
    </w:lvl>
    <w:lvl w:ilvl="1" w:tplc="910C140A">
      <w:start w:val="1"/>
      <w:numFmt w:val="bullet"/>
      <w:lvlText w:val="○"/>
      <w:lvlJc w:val="left"/>
      <w:pPr>
        <w:ind w:left="1440" w:hanging="360"/>
      </w:pPr>
    </w:lvl>
    <w:lvl w:ilvl="2" w:tplc="3F1EC520">
      <w:start w:val="1"/>
      <w:numFmt w:val="bullet"/>
      <w:lvlText w:val="■"/>
      <w:lvlJc w:val="left"/>
      <w:pPr>
        <w:ind w:left="2160" w:hanging="360"/>
      </w:pPr>
    </w:lvl>
    <w:lvl w:ilvl="3" w:tplc="11F2B2AC">
      <w:start w:val="1"/>
      <w:numFmt w:val="bullet"/>
      <w:lvlText w:val="●"/>
      <w:lvlJc w:val="left"/>
      <w:pPr>
        <w:ind w:left="2880" w:hanging="360"/>
      </w:pPr>
    </w:lvl>
    <w:lvl w:ilvl="4" w:tplc="22B493E8">
      <w:start w:val="1"/>
      <w:numFmt w:val="bullet"/>
      <w:lvlText w:val="○"/>
      <w:lvlJc w:val="left"/>
      <w:pPr>
        <w:ind w:left="3600" w:hanging="360"/>
      </w:pPr>
    </w:lvl>
    <w:lvl w:ilvl="5" w:tplc="90A21D5C">
      <w:start w:val="1"/>
      <w:numFmt w:val="bullet"/>
      <w:lvlText w:val="■"/>
      <w:lvlJc w:val="left"/>
      <w:pPr>
        <w:ind w:left="4320" w:hanging="360"/>
      </w:pPr>
    </w:lvl>
    <w:lvl w:ilvl="6" w:tplc="CA720882">
      <w:start w:val="1"/>
      <w:numFmt w:val="bullet"/>
      <w:lvlText w:val="●"/>
      <w:lvlJc w:val="left"/>
      <w:pPr>
        <w:ind w:left="5040" w:hanging="360"/>
      </w:pPr>
    </w:lvl>
    <w:lvl w:ilvl="7" w:tplc="ABEC14CE">
      <w:start w:val="1"/>
      <w:numFmt w:val="bullet"/>
      <w:lvlText w:val="●"/>
      <w:lvlJc w:val="left"/>
      <w:pPr>
        <w:ind w:left="5760" w:hanging="360"/>
      </w:pPr>
    </w:lvl>
    <w:lvl w:ilvl="8" w:tplc="9F22888C">
      <w:start w:val="1"/>
      <w:numFmt w:val="bullet"/>
      <w:lvlText w:val="●"/>
      <w:lvlJc w:val="left"/>
      <w:pPr>
        <w:ind w:left="6480" w:hanging="360"/>
      </w:pPr>
    </w:lvl>
  </w:abstractNum>
  <w:abstractNum w:abstractNumId="3" w15:restartNumberingAfterBreak="0">
    <w:nsid w:val="76FA38CD"/>
    <w:multiLevelType w:val="hybridMultilevel"/>
    <w:tmpl w:val="9E6AB266"/>
    <w:lvl w:ilvl="0" w:tplc="74602A20">
      <w:start w:val="1"/>
      <w:numFmt w:val="decimal"/>
      <w:lvlText w:val="%1."/>
      <w:lvlJc w:val="left"/>
      <w:pPr>
        <w:ind w:left="720" w:hanging="360"/>
      </w:pPr>
    </w:lvl>
    <w:lvl w:ilvl="1" w:tplc="6BF8750C">
      <w:numFmt w:val="decimal"/>
      <w:lvlText w:val=""/>
      <w:lvlJc w:val="left"/>
    </w:lvl>
    <w:lvl w:ilvl="2" w:tplc="C0CAB41C">
      <w:numFmt w:val="decimal"/>
      <w:lvlText w:val=""/>
      <w:lvlJc w:val="left"/>
    </w:lvl>
    <w:lvl w:ilvl="3" w:tplc="45F2CEC2">
      <w:numFmt w:val="decimal"/>
      <w:lvlText w:val=""/>
      <w:lvlJc w:val="left"/>
    </w:lvl>
    <w:lvl w:ilvl="4" w:tplc="6686A690">
      <w:numFmt w:val="decimal"/>
      <w:lvlText w:val=""/>
      <w:lvlJc w:val="left"/>
    </w:lvl>
    <w:lvl w:ilvl="5" w:tplc="85849D9E">
      <w:numFmt w:val="decimal"/>
      <w:lvlText w:val=""/>
      <w:lvlJc w:val="left"/>
    </w:lvl>
    <w:lvl w:ilvl="6" w:tplc="51D6CFA4">
      <w:numFmt w:val="decimal"/>
      <w:lvlText w:val=""/>
      <w:lvlJc w:val="left"/>
    </w:lvl>
    <w:lvl w:ilvl="7" w:tplc="3FCA7696">
      <w:numFmt w:val="decimal"/>
      <w:lvlText w:val=""/>
      <w:lvlJc w:val="left"/>
    </w:lvl>
    <w:lvl w:ilvl="8" w:tplc="F014F33A">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0"/>
    <w:lvlOverride w:ilvl="0">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90"/>
    <w:rsid w:val="00042D98"/>
    <w:rsid w:val="00043D5A"/>
    <w:rsid w:val="00052F48"/>
    <w:rsid w:val="00080CC9"/>
    <w:rsid w:val="000821A1"/>
    <w:rsid w:val="000A5543"/>
    <w:rsid w:val="000A69AC"/>
    <w:rsid w:val="000C3BD7"/>
    <w:rsid w:val="000E3428"/>
    <w:rsid w:val="000E7672"/>
    <w:rsid w:val="00122974"/>
    <w:rsid w:val="00127290"/>
    <w:rsid w:val="00127B0C"/>
    <w:rsid w:val="00137206"/>
    <w:rsid w:val="00145525"/>
    <w:rsid w:val="0016222F"/>
    <w:rsid w:val="001900C4"/>
    <w:rsid w:val="001B34DC"/>
    <w:rsid w:val="001C79A4"/>
    <w:rsid w:val="00202328"/>
    <w:rsid w:val="002069FC"/>
    <w:rsid w:val="00254266"/>
    <w:rsid w:val="00263894"/>
    <w:rsid w:val="0028543E"/>
    <w:rsid w:val="002923DD"/>
    <w:rsid w:val="002929E2"/>
    <w:rsid w:val="002B3441"/>
    <w:rsid w:val="002B56CA"/>
    <w:rsid w:val="002D4854"/>
    <w:rsid w:val="003358C1"/>
    <w:rsid w:val="00336B1F"/>
    <w:rsid w:val="00387AEE"/>
    <w:rsid w:val="003B29F8"/>
    <w:rsid w:val="003C297A"/>
    <w:rsid w:val="00403FE0"/>
    <w:rsid w:val="004826F8"/>
    <w:rsid w:val="004A1D5D"/>
    <w:rsid w:val="004A5F4C"/>
    <w:rsid w:val="004B6838"/>
    <w:rsid w:val="004C1542"/>
    <w:rsid w:val="004F6B31"/>
    <w:rsid w:val="00514A74"/>
    <w:rsid w:val="00516477"/>
    <w:rsid w:val="005B565E"/>
    <w:rsid w:val="005E0C53"/>
    <w:rsid w:val="005F00FA"/>
    <w:rsid w:val="00602F8A"/>
    <w:rsid w:val="006161AC"/>
    <w:rsid w:val="00626234"/>
    <w:rsid w:val="00633233"/>
    <w:rsid w:val="006B40ED"/>
    <w:rsid w:val="006B7911"/>
    <w:rsid w:val="006C1822"/>
    <w:rsid w:val="006E0B1F"/>
    <w:rsid w:val="006E5B4C"/>
    <w:rsid w:val="007858E7"/>
    <w:rsid w:val="00870D7C"/>
    <w:rsid w:val="00884131"/>
    <w:rsid w:val="008A59C9"/>
    <w:rsid w:val="008D49A8"/>
    <w:rsid w:val="008E2025"/>
    <w:rsid w:val="008F1DA8"/>
    <w:rsid w:val="00926894"/>
    <w:rsid w:val="00930F0A"/>
    <w:rsid w:val="0094192A"/>
    <w:rsid w:val="009B37FE"/>
    <w:rsid w:val="009E592F"/>
    <w:rsid w:val="00A0535A"/>
    <w:rsid w:val="00A1700D"/>
    <w:rsid w:val="00A4365C"/>
    <w:rsid w:val="00AB5B4A"/>
    <w:rsid w:val="00AB771B"/>
    <w:rsid w:val="00AC3937"/>
    <w:rsid w:val="00AD6D9B"/>
    <w:rsid w:val="00AE02F9"/>
    <w:rsid w:val="00AE4475"/>
    <w:rsid w:val="00B14E34"/>
    <w:rsid w:val="00B15987"/>
    <w:rsid w:val="00B231B6"/>
    <w:rsid w:val="00B2546D"/>
    <w:rsid w:val="00B464F3"/>
    <w:rsid w:val="00B637AD"/>
    <w:rsid w:val="00B83CE5"/>
    <w:rsid w:val="00B84F74"/>
    <w:rsid w:val="00BB04F5"/>
    <w:rsid w:val="00BB463A"/>
    <w:rsid w:val="00BD011C"/>
    <w:rsid w:val="00BD2A2D"/>
    <w:rsid w:val="00BE36BB"/>
    <w:rsid w:val="00C00139"/>
    <w:rsid w:val="00C11975"/>
    <w:rsid w:val="00C5550B"/>
    <w:rsid w:val="00CB20D6"/>
    <w:rsid w:val="00CD0009"/>
    <w:rsid w:val="00D169AC"/>
    <w:rsid w:val="00D6115B"/>
    <w:rsid w:val="00D75209"/>
    <w:rsid w:val="00D913B8"/>
    <w:rsid w:val="00DC2E00"/>
    <w:rsid w:val="00E018B8"/>
    <w:rsid w:val="00E020A3"/>
    <w:rsid w:val="00E75DD4"/>
    <w:rsid w:val="00EA4143"/>
    <w:rsid w:val="00EC753B"/>
    <w:rsid w:val="00F506AB"/>
    <w:rsid w:val="00F54732"/>
    <w:rsid w:val="00F84D99"/>
    <w:rsid w:val="00F9576C"/>
    <w:rsid w:val="00FA613A"/>
    <w:rsid w:val="00FC045C"/>
    <w:rsid w:val="00FD2A32"/>
    <w:rsid w:val="00FD3722"/>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97B93"/>
  <w15:docId w15:val="{184FD65C-3046-4CBE-BF8B-8EF2C62D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link w:val="Heading2Char"/>
    <w:uiPriority w:val="9"/>
    <w:unhideWhenUsed/>
    <w:qFormat/>
    <w:pPr>
      <w:outlineLvl w:val="1"/>
    </w:pPr>
    <w:rPr>
      <w:color w:val="2E74B5"/>
      <w:sz w:val="26"/>
      <w:szCs w:val="26"/>
    </w:rPr>
  </w:style>
  <w:style w:type="paragraph" w:styleId="Heading3">
    <w:name w:val="heading 3"/>
    <w:link w:val="Heading3Char"/>
    <w:uiPriority w:val="9"/>
    <w:unhideWhenUsed/>
    <w:qFormat/>
    <w:pPr>
      <w:outlineLvl w:val="2"/>
    </w:pPr>
    <w:rPr>
      <w:color w:val="1F4D78"/>
      <w:sz w:val="24"/>
      <w:szCs w:val="24"/>
    </w:rPr>
  </w:style>
  <w:style w:type="paragraph" w:styleId="Heading4">
    <w:name w:val="heading 4"/>
    <w:link w:val="Heading4Char"/>
    <w:uiPriority w:val="9"/>
    <w:semiHidden/>
    <w:unhideWhenUsed/>
    <w:qFormat/>
    <w:pPr>
      <w:outlineLvl w:val="3"/>
    </w:pPr>
    <w:rPr>
      <w:i/>
      <w:iCs/>
      <w:color w:val="2E74B5"/>
    </w:rPr>
  </w:style>
  <w:style w:type="paragraph" w:styleId="Heading5">
    <w:name w:val="heading 5"/>
    <w:link w:val="Heading5Char"/>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633233"/>
    <w:rPr>
      <w:color w:val="2E74B5"/>
      <w:sz w:val="32"/>
      <w:szCs w:val="32"/>
    </w:rPr>
  </w:style>
  <w:style w:type="character" w:customStyle="1" w:styleId="Heading2Char">
    <w:name w:val="Heading 2 Char"/>
    <w:basedOn w:val="DefaultParagraphFont"/>
    <w:link w:val="Heading2"/>
    <w:uiPriority w:val="9"/>
    <w:rsid w:val="00052F48"/>
    <w:rPr>
      <w:color w:val="2E74B5"/>
      <w:sz w:val="26"/>
      <w:szCs w:val="26"/>
    </w:rPr>
  </w:style>
  <w:style w:type="character" w:customStyle="1" w:styleId="Heading3Char">
    <w:name w:val="Heading 3 Char"/>
    <w:basedOn w:val="DefaultParagraphFont"/>
    <w:link w:val="Heading3"/>
    <w:uiPriority w:val="9"/>
    <w:rsid w:val="00052F48"/>
    <w:rPr>
      <w:color w:val="1F4D78"/>
      <w:sz w:val="24"/>
      <w:szCs w:val="24"/>
    </w:rPr>
  </w:style>
  <w:style w:type="character" w:customStyle="1" w:styleId="Heading4Char">
    <w:name w:val="Heading 4 Char"/>
    <w:basedOn w:val="DefaultParagraphFont"/>
    <w:link w:val="Heading4"/>
    <w:uiPriority w:val="9"/>
    <w:semiHidden/>
    <w:rsid w:val="00052F48"/>
    <w:rPr>
      <w:i/>
      <w:iCs/>
      <w:color w:val="2E74B5"/>
    </w:rPr>
  </w:style>
  <w:style w:type="character" w:customStyle="1" w:styleId="Heading5Char">
    <w:name w:val="Heading 5 Char"/>
    <w:basedOn w:val="DefaultParagraphFont"/>
    <w:link w:val="Heading5"/>
    <w:uiPriority w:val="9"/>
    <w:semiHidden/>
    <w:rsid w:val="00052F48"/>
    <w:rPr>
      <w:color w:val="2E74B5"/>
    </w:rPr>
  </w:style>
  <w:style w:type="character" w:customStyle="1" w:styleId="Heading6Char">
    <w:name w:val="Heading 6 Char"/>
    <w:basedOn w:val="DefaultParagraphFont"/>
    <w:link w:val="Heading6"/>
    <w:uiPriority w:val="9"/>
    <w:semiHidden/>
    <w:rsid w:val="00052F48"/>
    <w:rPr>
      <w:color w:val="1F4D78"/>
    </w:rPr>
  </w:style>
  <w:style w:type="character" w:customStyle="1" w:styleId="TitleChar">
    <w:name w:val="Title Char"/>
    <w:basedOn w:val="DefaultParagraphFont"/>
    <w:link w:val="Title"/>
    <w:uiPriority w:val="10"/>
    <w:rsid w:val="00052F48"/>
    <w:rPr>
      <w:sz w:val="56"/>
      <w:szCs w:val="56"/>
    </w:rPr>
  </w:style>
  <w:style w:type="character" w:styleId="FollowedHyperlink">
    <w:name w:val="FollowedHyperlink"/>
    <w:basedOn w:val="DefaultParagraphFont"/>
    <w:uiPriority w:val="99"/>
    <w:semiHidden/>
    <w:unhideWhenUsed/>
    <w:rsid w:val="00052F48"/>
    <w:rPr>
      <w:color w:val="954F72" w:themeColor="followedHyperlink"/>
      <w:u w:val="single"/>
    </w:rPr>
  </w:style>
  <w:style w:type="character" w:styleId="UnresolvedMention">
    <w:name w:val="Unresolved Mention"/>
    <w:basedOn w:val="DefaultParagraphFont"/>
    <w:uiPriority w:val="99"/>
    <w:semiHidden/>
    <w:unhideWhenUsed/>
    <w:rsid w:val="00D75209"/>
    <w:rPr>
      <w:color w:val="605E5C"/>
      <w:shd w:val="clear" w:color="auto" w:fill="E1DFDD"/>
    </w:rPr>
  </w:style>
  <w:style w:type="paragraph" w:styleId="Header">
    <w:name w:val="header"/>
    <w:basedOn w:val="Normal"/>
    <w:link w:val="HeaderChar"/>
    <w:uiPriority w:val="99"/>
    <w:unhideWhenUsed/>
    <w:rsid w:val="00602F8A"/>
    <w:pPr>
      <w:tabs>
        <w:tab w:val="center" w:pos="4680"/>
        <w:tab w:val="right" w:pos="9360"/>
      </w:tabs>
    </w:pPr>
  </w:style>
  <w:style w:type="character" w:customStyle="1" w:styleId="HeaderChar">
    <w:name w:val="Header Char"/>
    <w:basedOn w:val="DefaultParagraphFont"/>
    <w:link w:val="Header"/>
    <w:uiPriority w:val="99"/>
    <w:rsid w:val="00602F8A"/>
  </w:style>
  <w:style w:type="paragraph" w:styleId="Footer">
    <w:name w:val="footer"/>
    <w:basedOn w:val="Normal"/>
    <w:link w:val="FooterChar"/>
    <w:uiPriority w:val="99"/>
    <w:unhideWhenUsed/>
    <w:rsid w:val="00602F8A"/>
    <w:pPr>
      <w:tabs>
        <w:tab w:val="center" w:pos="4680"/>
        <w:tab w:val="right" w:pos="9360"/>
      </w:tabs>
    </w:pPr>
  </w:style>
  <w:style w:type="character" w:customStyle="1" w:styleId="FooterChar">
    <w:name w:val="Footer Char"/>
    <w:basedOn w:val="DefaultParagraphFont"/>
    <w:link w:val="Footer"/>
    <w:uiPriority w:val="99"/>
    <w:rsid w:val="0060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38</Pages>
  <Words>11697</Words>
  <Characters>66678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1084</cp:lastModifiedBy>
  <cp:revision>13</cp:revision>
  <dcterms:created xsi:type="dcterms:W3CDTF">2026-03-27T22:27:00Z</dcterms:created>
  <dcterms:modified xsi:type="dcterms:W3CDTF">2026-03-30T13:58:00Z</dcterms:modified>
</cp:coreProperties>
</file>