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C502" w14:textId="02457493" w:rsidR="000650BC" w:rsidRDefault="00B05A71" w:rsidP="00055D83">
      <w:pPr>
        <w:spacing w:before="0" w:line="240" w:lineRule="auto"/>
        <w:jc w:val="center"/>
        <w:rPr>
          <w:rFonts w:cs="Times New Roman"/>
          <w:b/>
          <w:bCs/>
          <w:color w:val="000000" w:themeColor="text1"/>
          <w:sz w:val="36"/>
          <w:szCs w:val="36"/>
        </w:rPr>
      </w:pPr>
      <w:r w:rsidRPr="00B05A71">
        <w:rPr>
          <w:rFonts w:cs="Times New Roman"/>
          <w:b/>
          <w:bCs/>
          <w:color w:val="000000" w:themeColor="text1"/>
          <w:sz w:val="36"/>
          <w:szCs w:val="36"/>
        </w:rPr>
        <w:t>DIVIDEND POLICY METRICS AND PROFITABILITY OF THE NON-FINANCIAL FIRMS LISTED ON THE NAIROBI SECURITIES EXCHANGE, KENYA</w:t>
      </w:r>
    </w:p>
    <w:p w14:paraId="38B9B93E" w14:textId="77777777" w:rsidR="00B05A71" w:rsidRPr="007A56B8" w:rsidRDefault="00B05A7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20C5B92" w14:textId="77777777" w:rsidR="00DD21C0" w:rsidRPr="007A56B8" w:rsidRDefault="00DD21C0" w:rsidP="00055D83">
      <w:pPr>
        <w:spacing w:before="0" w:line="240" w:lineRule="auto"/>
        <w:jc w:val="center"/>
        <w:rPr>
          <w:rFonts w:cs="Times New Roman"/>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07E3F2DD" w14:textId="33E5EE20" w:rsidR="00863107" w:rsidRPr="00863107" w:rsidRDefault="00863107" w:rsidP="00863107">
      <w:pPr>
        <w:spacing w:line="240" w:lineRule="auto"/>
        <w:rPr>
          <w:rFonts w:cs="Times New Roman"/>
          <w:color w:val="000000" w:themeColor="text1"/>
          <w:szCs w:val="24"/>
        </w:rPr>
      </w:pPr>
      <w:r w:rsidRPr="00863107">
        <w:rPr>
          <w:rFonts w:cs="Times New Roman"/>
          <w:color w:val="000000" w:themeColor="text1"/>
          <w:szCs w:val="24"/>
        </w:rPr>
        <w:t>Dividend policy is a critical determinant of a firm’s financial performance because it influences investor attraction, resource allocation, and reinvestment decisions. Non-financial companies listed on the Nairobi Securities Exchange play a significant role in Kenya’s economy; however, their dividend payments have often been inconsistent due to volatile market conditions and economic constraints affecting profitability. This study examined the relationship between dividend policy indicators</w:t>
      </w:r>
      <w:r w:rsidR="00B26084">
        <w:rPr>
          <w:rFonts w:cs="Times New Roman"/>
          <w:color w:val="000000" w:themeColor="text1"/>
          <w:szCs w:val="24"/>
        </w:rPr>
        <w:t xml:space="preserve"> </w:t>
      </w:r>
      <w:r w:rsidRPr="00863107">
        <w:rPr>
          <w:rFonts w:cs="Times New Roman"/>
          <w:color w:val="000000" w:themeColor="text1"/>
          <w:szCs w:val="24"/>
        </w:rPr>
        <w:t>Dividend Payout Ratio (DPR), Dividend Yield (DY), Dividend Coverage Ratio (DCR), and Dividend Changes (DC)</w:t>
      </w:r>
      <w:r w:rsidR="00B26084">
        <w:rPr>
          <w:rFonts w:cs="Times New Roman"/>
          <w:color w:val="000000" w:themeColor="text1"/>
          <w:szCs w:val="24"/>
        </w:rPr>
        <w:t xml:space="preserve"> </w:t>
      </w:r>
      <w:r w:rsidRPr="00863107">
        <w:rPr>
          <w:rFonts w:cs="Times New Roman"/>
          <w:color w:val="000000" w:themeColor="text1"/>
          <w:szCs w:val="24"/>
        </w:rPr>
        <w:t xml:space="preserve">and the earnings capacity of non-financial firms listed on the exchange. The analysis was grounded in the Dividend Irrelevance Theory, </w:t>
      </w:r>
      <w:proofErr w:type="spellStart"/>
      <w:r w:rsidRPr="00863107">
        <w:rPr>
          <w:rFonts w:cs="Times New Roman"/>
          <w:color w:val="000000" w:themeColor="text1"/>
          <w:szCs w:val="24"/>
        </w:rPr>
        <w:t>Signalling</w:t>
      </w:r>
      <w:proofErr w:type="spellEnd"/>
      <w:r w:rsidRPr="00863107">
        <w:rPr>
          <w:rFonts w:cs="Times New Roman"/>
          <w:color w:val="000000" w:themeColor="text1"/>
          <w:szCs w:val="24"/>
        </w:rPr>
        <w:t xml:space="preserve"> Theory, and Agency Theory to explain how dividend practices influence firm profitability.</w:t>
      </w:r>
      <w:r>
        <w:rPr>
          <w:rFonts w:cs="Times New Roman"/>
          <w:color w:val="000000" w:themeColor="text1"/>
          <w:szCs w:val="24"/>
        </w:rPr>
        <w:t xml:space="preserve"> </w:t>
      </w:r>
      <w:r w:rsidRPr="00863107">
        <w:rPr>
          <w:rFonts w:cs="Times New Roman"/>
          <w:color w:val="000000" w:themeColor="text1"/>
          <w:szCs w:val="24"/>
        </w:rPr>
        <w:t>A descriptive research design was adopted, covering a five-year period and utilizing financial and market data from selected non-financial firms. Data were obtained from audited annual reports and the exchange database, and were verified through multiple checks to ensure reliability and accuracy. Analytical results were presented using tables, graphs, and summary statistics. The findings revealed that all four dividend policy variables positively and significantly influenced firm profitability. Firms with balanced dividend payout ratios recorded higher returns on assets, suggesting that consistent dividend yields strengthen market confidence and enhance firm performance. Similarly, higher dividend coverage ratios signaled financial stability, while positive dividend changes improved investor perception and overall corporate performance.</w:t>
      </w:r>
      <w:r>
        <w:rPr>
          <w:rFonts w:cs="Times New Roman"/>
          <w:color w:val="000000" w:themeColor="text1"/>
          <w:szCs w:val="24"/>
        </w:rPr>
        <w:t xml:space="preserve"> </w:t>
      </w:r>
      <w:r w:rsidRPr="00863107">
        <w:rPr>
          <w:rFonts w:cs="Times New Roman"/>
          <w:color w:val="000000" w:themeColor="text1"/>
          <w:szCs w:val="24"/>
        </w:rPr>
        <w:t>The study recommends that corporate managers adopt sustainable dividend strategies that balance shareholder returns with reinvestment needs. Regulators should strengthen guidelines to ensure transparent dividend practices, while investors should consider dividend indicators when making investment decisions. Overall, the study contributes to understanding dividend policy dynamics in emerging markets and provides practical insights for improving profitability and competitiveness among non-financial firms in Kenya.</w:t>
      </w:r>
    </w:p>
    <w:p w14:paraId="4EE8B371" w14:textId="77777777" w:rsidR="00863107" w:rsidRPr="00863107" w:rsidRDefault="00863107" w:rsidP="00863107">
      <w:pPr>
        <w:spacing w:line="240" w:lineRule="auto"/>
        <w:rPr>
          <w:rFonts w:cs="Times New Roman"/>
          <w:color w:val="000000" w:themeColor="text1"/>
          <w:szCs w:val="24"/>
        </w:rPr>
      </w:pPr>
    </w:p>
    <w:p w14:paraId="61626576" w14:textId="36B2F0FC" w:rsidR="000650BC" w:rsidRPr="000650BC" w:rsidRDefault="00863107" w:rsidP="00863107">
      <w:pPr>
        <w:spacing w:line="240" w:lineRule="auto"/>
        <w:rPr>
          <w:rFonts w:cs="Times New Roman"/>
          <w:color w:val="000000" w:themeColor="text1"/>
          <w:szCs w:val="24"/>
        </w:rPr>
      </w:pPr>
      <w:r w:rsidRPr="00863107">
        <w:rPr>
          <w:rFonts w:cs="Times New Roman"/>
          <w:b/>
          <w:bCs/>
          <w:color w:val="000000" w:themeColor="text1"/>
          <w:szCs w:val="24"/>
        </w:rPr>
        <w:t>Keywords:</w:t>
      </w:r>
      <w:r w:rsidRPr="00863107">
        <w:rPr>
          <w:rFonts w:cs="Times New Roman"/>
          <w:color w:val="000000" w:themeColor="text1"/>
          <w:szCs w:val="24"/>
        </w:rPr>
        <w:t xml:space="preserve"> </w:t>
      </w:r>
      <w:r w:rsidRPr="00863107">
        <w:rPr>
          <w:rFonts w:cs="Times New Roman"/>
          <w:i/>
          <w:iCs/>
          <w:color w:val="000000" w:themeColor="text1"/>
          <w:szCs w:val="24"/>
        </w:rPr>
        <w:t>Dividend Policy; Dividend Payout Ratio; Dividend Yield; Firm Profitability; Non-Financial Firms; Nairobi Securities Exchange</w:t>
      </w:r>
      <w:r w:rsidR="000650BC" w:rsidRPr="000650BC">
        <w:rPr>
          <w:rFonts w:cs="Times New Roman"/>
          <w:color w:val="000000" w:themeColor="text1"/>
          <w:szCs w:val="24"/>
        </w:rPr>
        <w:t>.</w:t>
      </w:r>
    </w:p>
    <w:p w14:paraId="3C2E1B6D" w14:textId="77777777" w:rsidR="00500683" w:rsidRDefault="00500683" w:rsidP="00500683">
      <w:pPr>
        <w:spacing w:line="240" w:lineRule="auto"/>
        <w:rPr>
          <w:rFonts w:cs="Times New Roman"/>
          <w:color w:val="000000" w:themeColor="text1"/>
          <w:szCs w:val="24"/>
        </w:rPr>
      </w:pPr>
    </w:p>
    <w:p w14:paraId="714AC398" w14:textId="77777777" w:rsidR="00A453B4" w:rsidRPr="007A56B8" w:rsidRDefault="00A453B4" w:rsidP="00500683">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1DD64184"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 xml:space="preserve">Profitability is widely regarded as one of the most critical indicators of business success because it reflects the financial health and long-term sustainability of a firm. Consistent profitability enables firms to maximize shareholder wealth, reinvest earnings for growth, and maintain resilience during economic uncertainties. In an increasingly competitive and volatile global business environment, companies must adopt sound financial management practices to maintain profitability and operational stability. One important financial management practice is dividend policy, which determines how firms distribute profits to shareholders while retaining sufficient </w:t>
      </w:r>
      <w:r w:rsidRPr="00863107">
        <w:rPr>
          <w:rFonts w:cs="Times New Roman"/>
          <w:color w:val="000000" w:themeColor="text1"/>
          <w:szCs w:val="24"/>
        </w:rPr>
        <w:lastRenderedPageBreak/>
        <w:t>earnings for reinvestment. Dividend policy is particularly significant in non-financial firms, which operate across diverse sectors such as manufacturing, energy, agriculture, telecommunications, and services.</w:t>
      </w:r>
    </w:p>
    <w:p w14:paraId="66DFD1E6"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Traditionally, dividend policy has been viewed primarily as a mechanism for distributing profits to shareholders. However, contemporary financial perspectives recognize dividend policy as a strategic decision that can influence a firm’s ability to retain earnings for investment, attract and maintain investors, and shape market valuation. These outcomes ultimately influence a firm’s profitability and long-term growth prospects. Firms that distribute excessive dividends may limit internal financing opportunities for expansion, while firms that retain too much earnings may reduce investor confidence and market attractiveness. Consequently, the balance between dividend payments and earnings retention has become a critical managerial decision affecting corporate profitability.</w:t>
      </w:r>
    </w:p>
    <w:p w14:paraId="7936F6DA"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 xml:space="preserve">Globally, the profitability of non-financial firms has exhibited significant fluctuations due to macroeconomic conditions, regulatory environments, and market dynamics. According to the </w:t>
      </w:r>
      <w:proofErr w:type="spellStart"/>
      <w:r w:rsidRPr="00863107">
        <w:rPr>
          <w:rFonts w:cs="Times New Roman"/>
          <w:color w:val="000000" w:themeColor="text1"/>
          <w:szCs w:val="24"/>
        </w:rPr>
        <w:t>Organisation</w:t>
      </w:r>
      <w:proofErr w:type="spellEnd"/>
      <w:r w:rsidRPr="00863107">
        <w:rPr>
          <w:rFonts w:cs="Times New Roman"/>
          <w:color w:val="000000" w:themeColor="text1"/>
          <w:szCs w:val="24"/>
        </w:rPr>
        <w:t xml:space="preserve"> for Economic Co-operation and Development (OECD, 2023), non-financial corporations in advanced economies have experienced varying profitability trends influenced by inflationary pressures, economic cycles, and regulatory changes. In the United States, for instance, the non-financial corporate sector recorded a strong recovery following the COVID-19 pandemic, with an average net profit margin of approximately 12% in 2022, driven by improved operational efficiencies and revenue growth (S&amp;P Global, 2023).</w:t>
      </w:r>
    </w:p>
    <w:p w14:paraId="0B5BE57F"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contrast, non-financial firms in emerging markets have faced numerous challenges affecting profitability. These include inflation, currency depreciation, supply chain disruptions, and volatile commodity prices. The World Bank (2023) reports that firms in regions such as Latin America and parts of Asia experienced profitability pressures due to macroeconomic instability and disruptions in global trade systems. Such conditions make financial policy decisions, including dividend policies, increasingly important for maintaining financial performance and investor confidence.</w:t>
      </w:r>
    </w:p>
    <w:p w14:paraId="490CBB90"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Across Africa, the profitability of non-financial firms has also shown mixed performance patterns, largely shaped by economic volatility, regulatory changes, and exchange rate fluctuations. According to the African Development Bank (2022), certain sectors such as consumer goods and manufacturing have demonstrated relatively stable profitability levels, while industries like energy and industrials have faced higher operational costs and fluctuating returns. For example, non-financial firms listed on the Johannesburg Stock Exchange in South Africa recorded an average return on equity (ROE) of approximately 14.3% in 2022, although profitability varied considerably across sectors (PwC, 2023). Similarly, the Central Bank of Nigeria (2022) reported that the average profitability margin among non-financial firms in Nigeria was about 8.5%, with sectors such as telecommunications and consumer goods outperforming other industries.</w:t>
      </w:r>
    </w:p>
    <w:p w14:paraId="6B17744F" w14:textId="53D97CB9"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Kenya, the profitability of non-financial firms has also fluctuated due to changing economic conditions, taxation policies, and regulatory frameworks. According to the Capital Markets Authority (CMA, 2023), the average net profit margin of non-financial companies listed on the Nairobi Securities Exchange declined from 10.5% in the previous year to 9.1% in 2022. This decline was largely attributed to inflationary pressures, increased taxation, and higher operational costs. While sectors such as telecommunications and fast-moving consumer goods remained relatively profitable, industries including manufacturing and agribusiness experienced significant profitability constraints due to rising input costs and currency depreciation (CMA, 2023).</w:t>
      </w:r>
      <w:r>
        <w:rPr>
          <w:rFonts w:cs="Times New Roman"/>
          <w:color w:val="000000" w:themeColor="text1"/>
          <w:szCs w:val="24"/>
        </w:rPr>
        <w:t xml:space="preserve"> </w:t>
      </w:r>
      <w:r w:rsidRPr="00863107">
        <w:rPr>
          <w:rFonts w:cs="Times New Roman"/>
          <w:color w:val="000000" w:themeColor="text1"/>
          <w:szCs w:val="24"/>
        </w:rPr>
        <w:t>At the same time, firms face complex decisions regarding dividend policies. Some firms prefer to retain earnings to cushion against financial volatility and support reinvestment, while others prioritize shareholder payouts even when profitability declines. These decisions raise important questions regarding the extent to which dividend policy metrics influence financial performance within the non-financial sector (CMA, 2023).</w:t>
      </w:r>
    </w:p>
    <w:p w14:paraId="12B43C5D"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 xml:space="preserve">Existing financial literature has extensively examined the relationship between dividend policy and corporate profitability, although findings remain inconclusive. Studies such as Al-Malkawi et al. (2022) and Chen et al. (2021) </w:t>
      </w:r>
      <w:r w:rsidRPr="00863107">
        <w:rPr>
          <w:rFonts w:cs="Times New Roman"/>
          <w:color w:val="000000" w:themeColor="text1"/>
          <w:szCs w:val="24"/>
        </w:rPr>
        <w:lastRenderedPageBreak/>
        <w:t>suggest that dividend payments serve as signals of corporate stability and can influence investor perceptions and market valuation. However, other scholars argue that excessive dividend payments may restrict internal financing for investment, thereby reducing future profitability (Aivazian et al., 2020). Research by Badu and Appiah (2022) further highlights the dilemma faced by firms in emerging markets, where managers must balance investor expectations for dividends with the need to retain capital for reinvestment amid dynamic market conditions and regulatory requirements.</w:t>
      </w:r>
    </w:p>
    <w:p w14:paraId="6D12A002"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While some scholars advocate for higher dividend payments to enhance shareholder confidence (Abdulkadir &amp; Abubakar, 2023), others emphasize that earnings retention may promote long-term profitability and firm growth (Nguyen et al., 2022). These contrasting perspectives demonstrate the complexity of dividend policy decisions and indicate the need for further empirical research, particularly within developing economies where institutional and market conditions differ from those in developed countries.</w:t>
      </w:r>
    </w:p>
    <w:p w14:paraId="29551782"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Kenya, several studies have investigated determinants of profitability among listed firms, focusing on factors such as capital structure, firm size, and corporate governance. For instance, Mureithi and Waweru (2020) found that high borrowing levels among firms listed on the Nairobi Securities Exchange were associated with reduced profitability. Similarly, Kamau and Kariuki (2021) emphasized the role of effective board governance in improving corporate financial performance. Despite these contributions, relatively few studies have specifically examined the relationship between dividend policy metrics and profitability among non-financial firms in Kenya. Most existing studies focus primarily on financial institutions or analyze the broader financial market rather than concentrating on dividend policy within non-financial corporations.</w:t>
      </w:r>
    </w:p>
    <w:p w14:paraId="2C6DC4F1"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Consequently, non-financial firms listed on the Nairobi Securities Exchange continue to operate under persistent economic and regulatory pressures that affect profitability. Rising corporate taxes, inflation, exchange rate volatility, and changing market conditions have reduced profit margins for many companies. At the same time, firms must decide whether to distribute earnings to shareholders or retain them for reinvestment, creating a complex financial management challenge. Understanding how dividend policy metrics influence profitability within this sector is therefore essential for improving corporate financial strategies and investor decision-making (CMA, 2023).</w:t>
      </w:r>
    </w:p>
    <w:p w14:paraId="67027D8D"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Given these gaps in the literature, this study aims to provide empirical evidence on the relationship between dividend policy metrics and profitability among non-financial firms listed on the Nairobi Securities Exchange. While dividend policy has been widely studied in different contexts globally and regionally, limited research has explored the specific interaction between payout policies and profitability within Kenya’s non-financial corporate sector. Addressing this gap is important for policymakers, corporate managers, and investors seeking to design dividend strategies that support profitability, financial sustainability, and long-term corporate growth.</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54D9ADF8" w14:textId="77777777" w:rsidR="00CD4379" w:rsidRPr="00CD4379" w:rsidRDefault="00CD4379" w:rsidP="00CD4379">
      <w:pPr>
        <w:spacing w:after="240" w:line="240" w:lineRule="auto"/>
        <w:rPr>
          <w:rFonts w:cs="Times New Roman"/>
          <w:color w:val="000000" w:themeColor="text1"/>
          <w:szCs w:val="24"/>
        </w:rPr>
      </w:pPr>
      <w:r w:rsidRPr="00CD4379">
        <w:rPr>
          <w:rFonts w:cs="Times New Roman"/>
          <w:color w:val="000000" w:themeColor="text1"/>
          <w:szCs w:val="24"/>
        </w:rPr>
        <w:t>The relationship between dividend policy and firm profitability remains a subject of ongoing debate, particularly among non-financial firms listed on the Nairobi Securities Exchange (NSE). Dividend payments are theoretically expected to signal financial stability and managerial confidence, thereby improving firm performance. However, recent evidence from the NSE suggests a contrary trend. According to the 2022 annual report of the Nairobi Securities Exchange, the average Return on Assets (ROA) of non-financial firms that increased dividend payouts declined from 6.5% in 2018 to 5.2% in 2022. In contrast, firms that maintained or reduced dividend payouts recorded a higher average ROA of 8.7%, as reported by the Capital Markets Authority (2023). These findings raise concerns about whether higher dividend payments necessarily enhance profitability and asset efficiency.</w:t>
      </w:r>
    </w:p>
    <w:p w14:paraId="27FDC211" w14:textId="64FDB304" w:rsidR="00BD15A0" w:rsidRPr="007A56B8" w:rsidRDefault="00CD4379" w:rsidP="00CD4379">
      <w:pPr>
        <w:spacing w:after="240" w:line="240" w:lineRule="auto"/>
        <w:rPr>
          <w:rFonts w:cs="Times New Roman"/>
          <w:b/>
          <w:szCs w:val="24"/>
        </w:rPr>
      </w:pPr>
      <w:r w:rsidRPr="00CD4379">
        <w:rPr>
          <w:rFonts w:cs="Times New Roman"/>
          <w:color w:val="000000" w:themeColor="text1"/>
          <w:szCs w:val="24"/>
        </w:rPr>
        <w:t xml:space="preserve">The trend also highlights potential strategic trade-offs between distributing profits to shareholders and reinvesting earnings for long-term growth. Excessive dividend payments may limit firms’ capacity to finance productive investments, potentially weakening future profitability. This situation poses challenges for investors seeking stable </w:t>
      </w:r>
      <w:r w:rsidRPr="00CD4379">
        <w:rPr>
          <w:rFonts w:cs="Times New Roman"/>
          <w:color w:val="000000" w:themeColor="text1"/>
          <w:szCs w:val="24"/>
        </w:rPr>
        <w:lastRenderedPageBreak/>
        <w:t>returns, managers balancing shareholder expectations with sustainable growth, and policymakers promoting dividend policies as indicators of corporate strength.</w:t>
      </w:r>
      <w:r>
        <w:rPr>
          <w:rFonts w:cs="Times New Roman"/>
          <w:color w:val="000000" w:themeColor="text1"/>
          <w:szCs w:val="24"/>
        </w:rPr>
        <w:t xml:space="preserve"> </w:t>
      </w:r>
      <w:r w:rsidRPr="00CD4379">
        <w:rPr>
          <w:rFonts w:cs="Times New Roman"/>
          <w:color w:val="000000" w:themeColor="text1"/>
          <w:szCs w:val="24"/>
        </w:rPr>
        <w:t>Although previous studies have examined dividend policy and firm performance, notable gaps remain. Some studies focused mainly on stock market performance or market valuation rather than internal profitability indicators such as ROA, while others used cross-sectional designs and did not isolate non-financial firms. This study therefore seeks to examine how dividend policy measures influence profitability among non-financial firms listed on the Nairobi Securities Exchange.</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0E5DA2D8"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3E7E33" w:rsidRPr="003E7E33">
        <w:rPr>
          <w:rFonts w:cs="Times New Roman"/>
          <w:color w:val="000000" w:themeColor="text1"/>
          <w:szCs w:val="24"/>
        </w:rPr>
        <w:t>analyze the effect of dividend policy metrics on the profitability of non-financial firms listed on the NSE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651E2C46"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Examine the effect of dividend payout ratio (DPR) on the profitability of the non-financial firms listed on the NSE, Kenya.</w:t>
      </w:r>
    </w:p>
    <w:p w14:paraId="51956879"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Determine the effect of dividend yields (DY) on the profitability of the non-financial firms listed on the NSE, Kenya.</w:t>
      </w:r>
    </w:p>
    <w:p w14:paraId="6BD5CB23"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Investigate the effect of dividend coverage ratio (DCR) on the profitability of the non-financial firms listed on the NSE, Kenya.</w:t>
      </w:r>
    </w:p>
    <w:p w14:paraId="03DEEE1C"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Analyze the effect of dividend changes (DC) on the profitability of the non-financial firms listed on the NSE, Kenya.</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6EB0F31D"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 xml:space="preserve">The theoretical review examines major perspectives explaining the relationship between dividend policy and profitability, including dividend </w:t>
      </w:r>
      <w:proofErr w:type="spellStart"/>
      <w:r w:rsidRPr="002A562C">
        <w:rPr>
          <w:rFonts w:cs="Times New Roman"/>
          <w:bCs/>
          <w:color w:val="000000" w:themeColor="text1"/>
          <w:kern w:val="2"/>
          <w:szCs w:val="24"/>
          <w:lang w:val="en-GB"/>
        </w:rPr>
        <w:t>signaling</w:t>
      </w:r>
      <w:proofErr w:type="spellEnd"/>
      <w:r w:rsidRPr="002A562C">
        <w:rPr>
          <w:rFonts w:cs="Times New Roman"/>
          <w:bCs/>
          <w:color w:val="000000" w:themeColor="text1"/>
          <w:kern w:val="2"/>
          <w:szCs w:val="24"/>
          <w:lang w:val="en-GB"/>
        </w:rPr>
        <w:t xml:space="preserve"> theory, Gordon’s Growth Model, residual dividend theory, agency theory, and the dynamic theory of profit. These frameworks explain how firms determine dividend payouts, how investors interpret dividend decisions, and how such decisions relate to firm performance and long-term profitability. Together they provide a conceptual basis for understanding why companies distribute earnings to shareholders and how dividend policy may influence firm value, investor expectations, and managerial behaviour.</w:t>
      </w:r>
    </w:p>
    <w:p w14:paraId="5A2166C2"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 xml:space="preserve">Dividend </w:t>
      </w:r>
      <w:proofErr w:type="spellStart"/>
      <w:r w:rsidRPr="002A562C">
        <w:rPr>
          <w:rFonts w:cs="Times New Roman"/>
          <w:bCs/>
          <w:color w:val="000000" w:themeColor="text1"/>
          <w:kern w:val="2"/>
          <w:szCs w:val="24"/>
          <w:lang w:val="en-GB"/>
        </w:rPr>
        <w:t>signaling</w:t>
      </w:r>
      <w:proofErr w:type="spellEnd"/>
      <w:r w:rsidRPr="002A562C">
        <w:rPr>
          <w:rFonts w:cs="Times New Roman"/>
          <w:bCs/>
          <w:color w:val="000000" w:themeColor="text1"/>
          <w:kern w:val="2"/>
          <w:szCs w:val="24"/>
          <w:lang w:val="en-GB"/>
        </w:rPr>
        <w:t xml:space="preserve"> theory proposes that dividend announcements communicate private information about a firm’s future prospects. Developed by Ross (1977) and later expanded by Bhattacharya (1979) and John and Williams (1985), the theory argues that managers deliberately adjust dividends to signal expectations about future earnings. Because managers possess superior information about company performance, investors interpret dividend increases as evidence of strong future profitability, while dividend reductions may indicate financial difficulty or declining earnings.</w:t>
      </w:r>
    </w:p>
    <w:p w14:paraId="3969E105"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The theory is grounded in information asymmetry, where corporate insiders know more about the firm than external investors. In such circumstances, dividend policy becomes a credible communication mechanism. Investors respond to dividend changes by revising expectations about future cash flows and firm value. Empirical studies often support this argument. For instance, Asquith and Mullins (1983) observed that stock prices tend to rise following dividend increases, suggesting that markets interpret such actions as positive signals. However, other scholars argue that dividends may not always convey new information when firms already release detailed financial reports.</w:t>
      </w:r>
    </w:p>
    <w:p w14:paraId="11B220B7"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 xml:space="preserve">Dividend </w:t>
      </w:r>
      <w:proofErr w:type="spellStart"/>
      <w:r w:rsidRPr="002A562C">
        <w:rPr>
          <w:rFonts w:cs="Times New Roman"/>
          <w:bCs/>
          <w:color w:val="000000" w:themeColor="text1"/>
          <w:kern w:val="2"/>
          <w:szCs w:val="24"/>
          <w:lang w:val="en-GB"/>
        </w:rPr>
        <w:t>signaling</w:t>
      </w:r>
      <w:proofErr w:type="spellEnd"/>
      <w:r w:rsidRPr="002A562C">
        <w:rPr>
          <w:rFonts w:cs="Times New Roman"/>
          <w:bCs/>
          <w:color w:val="000000" w:themeColor="text1"/>
          <w:kern w:val="2"/>
          <w:szCs w:val="24"/>
          <w:lang w:val="en-GB"/>
        </w:rPr>
        <w:t xml:space="preserve"> theory also implies that higher dividend payout ratios reflect management confidence in sustainable earnings. Firms distributing a larger share of profits demonstrate expectations of continued profitability and stable cash flows. Conversely, low payouts may lead investors to question the firm’s future prospects. Despite its influence, scholars note that dividend decisions are also shaped by taxation, agency costs, and broader market conditions. Therefore, </w:t>
      </w:r>
      <w:proofErr w:type="spellStart"/>
      <w:r w:rsidRPr="002A562C">
        <w:rPr>
          <w:rFonts w:cs="Times New Roman"/>
          <w:bCs/>
          <w:color w:val="000000" w:themeColor="text1"/>
          <w:kern w:val="2"/>
          <w:szCs w:val="24"/>
          <w:lang w:val="en-GB"/>
        </w:rPr>
        <w:t>signaling</w:t>
      </w:r>
      <w:proofErr w:type="spellEnd"/>
      <w:r w:rsidRPr="002A562C">
        <w:rPr>
          <w:rFonts w:cs="Times New Roman"/>
          <w:bCs/>
          <w:color w:val="000000" w:themeColor="text1"/>
          <w:kern w:val="2"/>
          <w:szCs w:val="24"/>
          <w:lang w:val="en-GB"/>
        </w:rPr>
        <w:t xml:space="preserve"> represents only one explanation of corporate dividend behaviour.</w:t>
      </w:r>
    </w:p>
    <w:p w14:paraId="35AE7699"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The Gordon Growth Model, introduced by Gordon and Shapiro in 1956, provides a framework for valuing dividend-paying firms. The model states that the current market price of a stock equals the present value of all expected future dividends growing at a constant rate. Investors discount these dividends using the required rate of return. According to the model, stock value increases when expected dividends or growth rates rise and decreases when investors demand higher returns.</w:t>
      </w:r>
    </w:p>
    <w:p w14:paraId="40C2544F"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Because of its simplicity, the model is widely applied to firms with stable dividend policies. It highlights the importance of dividend yield, defined as annual dividend divided by market price, in assessing shareholder returns. Higher expected dividend income relative to share price generally leads to higher estimated firm value. Nevertheless, the model assumes constant growth and a required return greater than the growth rate, assumptions that may not hold for rapidly changing firms. Consequently, later valuation approaches such as multi-stage dividend discount models were developed to accommodate variable growth patterns.</w:t>
      </w:r>
    </w:p>
    <w:p w14:paraId="174D8C3E"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Residual dividend theory, associated with Modigliani and Miller (1958), argues that dividend policy is secondary to investment decisions. Firms should first finance all profitable projects with positive net present value and distribute dividends only from remaining earnings. Under this view, shareholder wealth is maximized when firms prioritize value-creating investments rather than maintaining fixed dividend payments.</w:t>
      </w:r>
    </w:p>
    <w:p w14:paraId="1509D402" w14:textId="77777777" w:rsidR="002A562C" w:rsidRPr="002A562C" w:rsidRDefault="002A562C" w:rsidP="002A562C">
      <w:pPr>
        <w:spacing w:before="0" w:after="160" w:line="259" w:lineRule="auto"/>
        <w:rPr>
          <w:rFonts w:cs="Times New Roman"/>
          <w:bCs/>
          <w:color w:val="000000" w:themeColor="text1"/>
          <w:kern w:val="2"/>
          <w:szCs w:val="24"/>
          <w:lang w:val="en-GB"/>
        </w:rPr>
      </w:pPr>
    </w:p>
    <w:p w14:paraId="35170E05"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lastRenderedPageBreak/>
        <w:t>The theory assumes perfect capital markets characterized by no taxes, no transaction costs, and equal information between managers and investors. Within such conditions, dividend payments do not affect firm value. However, empirical evidence suggests that managers often prefer stable dividend patterns. Lintner’s classic study showed that companies adjust dividends gradually because managers fear negative investor reactions to dividend reductions. Agency theory further challenges the residual perspective by suggesting that managers may retain earnings for personal objectives instead of shareholder interests.</w:t>
      </w:r>
    </w:p>
    <w:p w14:paraId="17D56D62"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Agency theory, developed by Jensen and Meckling (1976), examines conflicts of interest between shareholders and managers. Because managers control corporate resources but do not fully own the firm, they may pursue personal goals such as job security, prestige, or expansion rather than maximizing shareholder wealth. These conflicts create agency costs associated with monitoring management, designing incentive contracts, and implementing governance mechanisms.</w:t>
      </w:r>
    </w:p>
    <w:p w14:paraId="6C213BBC" w14:textId="14D19317" w:rsidR="00B449E1" w:rsidRPr="007A56B8" w:rsidRDefault="002A562C" w:rsidP="002A562C">
      <w:pPr>
        <w:spacing w:before="0" w:after="160" w:line="259" w:lineRule="auto"/>
        <w:rPr>
          <w:rFonts w:cs="Times New Roman"/>
          <w:bCs/>
          <w:color w:val="000000" w:themeColor="text1"/>
          <w:szCs w:val="24"/>
        </w:rPr>
      </w:pPr>
      <w:r w:rsidRPr="002A562C">
        <w:rPr>
          <w:rFonts w:cs="Times New Roman"/>
          <w:bCs/>
          <w:color w:val="000000" w:themeColor="text1"/>
          <w:kern w:val="2"/>
          <w:szCs w:val="24"/>
          <w:lang w:val="en-GB"/>
        </w:rPr>
        <w:t>Dividend policy can reduce agency problems by limiting the amount of free cash flow available to managers. Higher dividends return excess funds to shareholders and restrict managerial discretion over internal resources. Conversely, dividend reductions may raise concerns that managers intend to retain earnings for inefficient investments. Therefore, dividend changes provide signals that help investors monitor managerial behaviour and evaluate whether corporate decisions align with shareholder interests.</w:t>
      </w:r>
      <w:r>
        <w:rPr>
          <w:rFonts w:cs="Times New Roman"/>
          <w:bCs/>
          <w:color w:val="000000" w:themeColor="text1"/>
          <w:kern w:val="2"/>
          <w:szCs w:val="24"/>
          <w:lang w:val="en-GB"/>
        </w:rPr>
        <w:t xml:space="preserve"> </w:t>
      </w:r>
      <w:r w:rsidRPr="002A562C">
        <w:rPr>
          <w:rFonts w:cs="Times New Roman"/>
          <w:bCs/>
          <w:color w:val="000000" w:themeColor="text1"/>
          <w:kern w:val="2"/>
          <w:szCs w:val="24"/>
          <w:lang w:val="en-GB"/>
        </w:rPr>
        <w:t>The dynamic theory of profit, proposed by Clark in 1908, explains profitability as a result of economic change. Unlike static theories that assume equilibrium, this perspective recognizes that innovation, technological progress, and shifting consumer demand constantly reshape markets. Firms that anticipate change, adopt new technologies, and invest in productive opportunities can earn above-normal profits. Conversely, organizations that fail to adapt risk declining returns and reduced competitiveness as their assets and capabilities become outdated.</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1B8D5C67"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The empirical literature on dividend policy and profitability highlights several indicators including dividend payout ratio, dividend yield, dividend coverage ratio and dividend changes. Prior studies across different countries provide mixed but largely positive evidence on the relationship between dividend decisions and firm performance.</w:t>
      </w:r>
    </w:p>
    <w:p w14:paraId="4736D804"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Empirical evidence on dividend payout ratio (DPR) suggests that dividend distribution policies can influence firm profitability. </w:t>
      </w:r>
      <w:proofErr w:type="spellStart"/>
      <w:r w:rsidRPr="00B3762C">
        <w:rPr>
          <w:rFonts w:cs="Times New Roman"/>
          <w:color w:val="000000" w:themeColor="text1"/>
          <w:szCs w:val="24"/>
        </w:rPr>
        <w:t>Gholamzadeh</w:t>
      </w:r>
      <w:proofErr w:type="spellEnd"/>
      <w:r w:rsidRPr="00B3762C">
        <w:rPr>
          <w:rFonts w:cs="Times New Roman"/>
          <w:color w:val="000000" w:themeColor="text1"/>
          <w:szCs w:val="24"/>
        </w:rPr>
        <w:t xml:space="preserve"> and </w:t>
      </w:r>
      <w:proofErr w:type="spellStart"/>
      <w:r w:rsidRPr="00B3762C">
        <w:rPr>
          <w:rFonts w:cs="Times New Roman"/>
          <w:color w:val="000000" w:themeColor="text1"/>
          <w:szCs w:val="24"/>
        </w:rPr>
        <w:t>Poursaeedi</w:t>
      </w:r>
      <w:proofErr w:type="spellEnd"/>
      <w:r w:rsidRPr="00B3762C">
        <w:rPr>
          <w:rFonts w:cs="Times New Roman"/>
          <w:color w:val="000000" w:themeColor="text1"/>
          <w:szCs w:val="24"/>
        </w:rPr>
        <w:t xml:space="preserve"> (2022) examined 105 companies listed on the Iranian stock exchange between 2010–2019. Using panel data regression and fixed-effects models, the study established a significant positive relationship between DPR and financial performance. The authors further indicated that growth opportunities, firm size, leverage and liquidity also affect performance. However, the study did not consider broader macroeconomic conditions.</w:t>
      </w:r>
    </w:p>
    <w:p w14:paraId="7BDF819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Similarly, research on retail firms listed on the Nigerian Stock Exchange reported mixed findings regarding dividend payouts. Using explanatory statistics, correlation and multivariate regression, the authors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seven firms that conducted initial public offerings between 2010–2019. Results indicated a positive association between dividend payout ratios and several financial indicators. Nevertheless, firms distributing larger dividends tended to record lower net profit margins because higher payouts reduce retained earnings. The limited sample size restricts </w:t>
      </w:r>
      <w:proofErr w:type="spellStart"/>
      <w:r w:rsidRPr="00B3762C">
        <w:rPr>
          <w:rFonts w:cs="Times New Roman"/>
          <w:color w:val="000000" w:themeColor="text1"/>
          <w:szCs w:val="24"/>
        </w:rPr>
        <w:t>generalisation</w:t>
      </w:r>
      <w:proofErr w:type="spellEnd"/>
      <w:r w:rsidRPr="00B3762C">
        <w:rPr>
          <w:rFonts w:cs="Times New Roman"/>
          <w:color w:val="000000" w:themeColor="text1"/>
          <w:szCs w:val="24"/>
        </w:rPr>
        <w:t xml:space="preserve"> of the findings.</w:t>
      </w:r>
    </w:p>
    <w:p w14:paraId="29B2CD5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Within Kenya, Kibet and </w:t>
      </w:r>
      <w:proofErr w:type="spellStart"/>
      <w:r w:rsidRPr="00B3762C">
        <w:rPr>
          <w:rFonts w:cs="Times New Roman"/>
          <w:color w:val="000000" w:themeColor="text1"/>
          <w:szCs w:val="24"/>
        </w:rPr>
        <w:t>Kiptum</w:t>
      </w:r>
      <w:proofErr w:type="spellEnd"/>
      <w:r w:rsidRPr="00B3762C">
        <w:rPr>
          <w:rFonts w:cs="Times New Roman"/>
          <w:color w:val="000000" w:themeColor="text1"/>
          <w:szCs w:val="24"/>
        </w:rPr>
        <w:t xml:space="preserve"> (2021)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firms listed on the Nairobi Securities Exchange using secondary panel data. Their exploratory study employed descriptive statistics and panel regression techniques. Findings revealed a strong positive relationship between dividend payout and financial performance. Firms with higher dividend payouts generally reported improved profitability and attracted more investors, while larger firm size strengthened this relationship. These findings suggest that consistent dividend policies may enhance firm value.</w:t>
      </w:r>
    </w:p>
    <w:p w14:paraId="7E2ECA9D" w14:textId="2786F065"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lastRenderedPageBreak/>
        <w:t xml:space="preserve">Related evidence by </w:t>
      </w:r>
      <w:proofErr w:type="spellStart"/>
      <w:r w:rsidRPr="00B3762C">
        <w:rPr>
          <w:rFonts w:cs="Times New Roman"/>
          <w:color w:val="000000" w:themeColor="text1"/>
          <w:szCs w:val="24"/>
        </w:rPr>
        <w:t>Zattoni</w:t>
      </w:r>
      <w:proofErr w:type="spellEnd"/>
      <w:r w:rsidRPr="00B3762C">
        <w:rPr>
          <w:rFonts w:cs="Times New Roman"/>
          <w:color w:val="000000" w:themeColor="text1"/>
          <w:szCs w:val="24"/>
        </w:rPr>
        <w:t xml:space="preserve"> et al. (2019) examined 1,048 Japanese firms using the Tokyo Stock Exchange Corporate Governance Index together with ROA and Tobin’s Q. Panel analysis showed that stronger governance structures are associated with improved profitability and market valuation. However, the study focused mainly on large firms, limiting insights on smaller </w:t>
      </w:r>
      <w:proofErr w:type="spellStart"/>
      <w:r w:rsidRPr="00B3762C">
        <w:rPr>
          <w:rFonts w:cs="Times New Roman"/>
          <w:color w:val="000000" w:themeColor="text1"/>
          <w:szCs w:val="24"/>
        </w:rPr>
        <w:t>organisations</w:t>
      </w:r>
      <w:proofErr w:type="spellEnd"/>
      <w:r w:rsidRPr="00B3762C">
        <w:rPr>
          <w:rFonts w:cs="Times New Roman"/>
          <w:color w:val="000000" w:themeColor="text1"/>
          <w:szCs w:val="24"/>
        </w:rPr>
        <w:t>.</w:t>
      </w:r>
      <w:r>
        <w:rPr>
          <w:rFonts w:cs="Times New Roman"/>
          <w:color w:val="000000" w:themeColor="text1"/>
          <w:szCs w:val="24"/>
        </w:rPr>
        <w:t xml:space="preserve"> </w:t>
      </w:r>
      <w:r w:rsidRPr="00B3762C">
        <w:rPr>
          <w:rFonts w:cs="Times New Roman"/>
          <w:color w:val="000000" w:themeColor="text1"/>
          <w:szCs w:val="24"/>
        </w:rPr>
        <w:t>Dividend yield has also been widely examined as a determinant of profitability. Abu-</w:t>
      </w:r>
      <w:proofErr w:type="spellStart"/>
      <w:r w:rsidRPr="00B3762C">
        <w:rPr>
          <w:rFonts w:cs="Times New Roman"/>
          <w:color w:val="000000" w:themeColor="text1"/>
          <w:szCs w:val="24"/>
        </w:rPr>
        <w:t>Aljuyily</w:t>
      </w:r>
      <w:proofErr w:type="spellEnd"/>
      <w:r w:rsidRPr="00B3762C">
        <w:rPr>
          <w:rFonts w:cs="Times New Roman"/>
          <w:color w:val="000000" w:themeColor="text1"/>
          <w:szCs w:val="24"/>
        </w:rPr>
        <w:t xml:space="preserve"> and Ahmad (2022)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32 firms listed on the Amman Stock Exchange between 2014–2019. Multiple regression results indicated a strong positive relationship between dividend yield and profitability measured using ROA and ROE. The study concluded that companies with higher dividend yields are more likely to exhibit stronger financial performance, although the relatively small sample restricts </w:t>
      </w:r>
      <w:proofErr w:type="spellStart"/>
      <w:r w:rsidRPr="00B3762C">
        <w:rPr>
          <w:rFonts w:cs="Times New Roman"/>
          <w:color w:val="000000" w:themeColor="text1"/>
          <w:szCs w:val="24"/>
        </w:rPr>
        <w:t>generalisation</w:t>
      </w:r>
      <w:proofErr w:type="spellEnd"/>
      <w:r w:rsidRPr="00B3762C">
        <w:rPr>
          <w:rFonts w:cs="Times New Roman"/>
          <w:color w:val="000000" w:themeColor="text1"/>
          <w:szCs w:val="24"/>
        </w:rPr>
        <w:t>.</w:t>
      </w:r>
    </w:p>
    <w:p w14:paraId="65A053C3" w14:textId="33F54EB5"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Sultana and </w:t>
      </w:r>
      <w:proofErr w:type="spellStart"/>
      <w:r w:rsidRPr="00B3762C">
        <w:rPr>
          <w:rFonts w:cs="Times New Roman"/>
          <w:color w:val="000000" w:themeColor="text1"/>
          <w:szCs w:val="24"/>
        </w:rPr>
        <w:t>Rimi</w:t>
      </w:r>
      <w:proofErr w:type="spellEnd"/>
      <w:r w:rsidRPr="00B3762C">
        <w:rPr>
          <w:rFonts w:cs="Times New Roman"/>
          <w:color w:val="000000" w:themeColor="text1"/>
          <w:szCs w:val="24"/>
        </w:rPr>
        <w:t xml:space="preserve"> (2021)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110 firms listed on the Dhaka Stock Exchange between 2014–2019. Their findings revealed a positive relationship between dividend yield and key indicators including ROA, ROE and earnings per share. The authors argued that consistent dividend payments signal financial strength and improve investor confidence. However, comparative studies across other developing economies are necessary to strengthen these conclusions.</w:t>
      </w:r>
      <w:r>
        <w:rPr>
          <w:rFonts w:cs="Times New Roman"/>
          <w:color w:val="000000" w:themeColor="text1"/>
          <w:szCs w:val="24"/>
        </w:rPr>
        <w:t xml:space="preserve"> </w:t>
      </w:r>
      <w:r w:rsidRPr="00B3762C">
        <w:rPr>
          <w:rFonts w:cs="Times New Roman"/>
          <w:color w:val="000000" w:themeColor="text1"/>
          <w:szCs w:val="24"/>
        </w:rPr>
        <w:t>In Kenya, Gitau et al. (2020) examined 50 firms listed on the Nairobi Securities Exchange between 2012–2018. Using panel regression analysis, the study established that higher dividend yield significantly increases ROA and ROE. The findings suggest that profitable firms are more capable of distributing dividends. Nevertheless, the study did not control for firm size or financial leverage, which may influence profitability.</w:t>
      </w:r>
    </w:p>
    <w:p w14:paraId="416E1D11" w14:textId="70C71CE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Similarly, Mungai and Wambua (2020) reported that dividend yield positively predicts firm performance among NSE-listed companies. Their panel analysis showed that higher dividend yield improves both ROA and ROE, suggesting that dividend policy can indicate financial stability. However, the authors cautioned that correlation does not necessarily imply causation.</w:t>
      </w:r>
      <w:r>
        <w:rPr>
          <w:rFonts w:cs="Times New Roman"/>
          <w:color w:val="000000" w:themeColor="text1"/>
          <w:szCs w:val="24"/>
        </w:rPr>
        <w:t xml:space="preserve"> </w:t>
      </w:r>
      <w:r w:rsidRPr="00B3762C">
        <w:rPr>
          <w:rFonts w:cs="Times New Roman"/>
          <w:color w:val="000000" w:themeColor="text1"/>
          <w:szCs w:val="24"/>
        </w:rPr>
        <w:t>Using financial data from 1,331 Chinese listed firms between 2010–2017, Fawzi and Zhang (2020) applied panel regression models incorporating firm size, leverage, industry and growth. The results indicated that dividend yield positively affects ROA, ROE and earnings per share, although no significant effect was observed on the price-earnings ratio. Abdallah (2018) similarly found that dividend yield improves profitability among firms listed on the Tunisian Stock Exchange. Nevertheless, sectoral and macroeconomic differences were not fully considered.</w:t>
      </w:r>
    </w:p>
    <w:p w14:paraId="0914223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Another dimension of dividend policy is the dividend coverage ratio (DCR), which measures the ability of earnings to cover dividend payments. Chen, Chen and Wang (2021)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1,003 Chinese publicly listed firms between 2015–2019. Regression analysis demonstrated that higher DCR significantly improves ROA and ROE, particularly among state-owned enterprises. Devi and Venu (2021) produced similar evidence from 50 Indian firms listed on the National Stock Exchange between 2015–2019, showing that firms with stronger dividend coverage ratios exhibit greater financial stability.</w:t>
      </w:r>
    </w:p>
    <w:p w14:paraId="1211445F" w14:textId="35DD1957" w:rsidR="00CB6E82" w:rsidRPr="007A56B8"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 xml:space="preserve">In Kenya, </w:t>
      </w:r>
      <w:proofErr w:type="spellStart"/>
      <w:r w:rsidRPr="00B3762C">
        <w:rPr>
          <w:rFonts w:cs="Times New Roman"/>
          <w:color w:val="000000" w:themeColor="text1"/>
          <w:szCs w:val="24"/>
        </w:rPr>
        <w:t>Gakahu</w:t>
      </w:r>
      <w:proofErr w:type="spellEnd"/>
      <w:r w:rsidRPr="00B3762C">
        <w:rPr>
          <w:rFonts w:cs="Times New Roman"/>
          <w:color w:val="000000" w:themeColor="text1"/>
          <w:szCs w:val="24"/>
        </w:rPr>
        <w:t xml:space="preserve"> and Karanja (2021) examined 20 firms listed on the securities exchange using descriptive analysis and regression techniques. Their results confirmed that dividend coverage significantly influences revenue growth and financial stability. Likewise, Shahzad, Ashfaq and Bashir (2019) </w:t>
      </w:r>
      <w:proofErr w:type="spellStart"/>
      <w:r w:rsidRPr="00B3762C">
        <w:rPr>
          <w:rFonts w:cs="Times New Roman"/>
          <w:color w:val="000000" w:themeColor="text1"/>
          <w:szCs w:val="24"/>
        </w:rPr>
        <w:t>analysed</w:t>
      </w:r>
      <w:proofErr w:type="spellEnd"/>
      <w:r w:rsidRPr="00B3762C">
        <w:rPr>
          <w:rFonts w:cs="Times New Roman"/>
          <w:color w:val="000000" w:themeColor="text1"/>
          <w:szCs w:val="24"/>
        </w:rPr>
        <w:t xml:space="preserve"> non-financial firms on the Pakistan Stock Exchange between 2012–2016. The study found a positive association between DCR and both ROA and ROE, indicating that stronger coverage supports profitability.</w:t>
      </w:r>
      <w:r>
        <w:rPr>
          <w:rFonts w:cs="Times New Roman"/>
          <w:color w:val="000000" w:themeColor="text1"/>
          <w:szCs w:val="24"/>
        </w:rPr>
        <w:t xml:space="preserve"> </w:t>
      </w:r>
      <w:r w:rsidRPr="00B3762C">
        <w:rPr>
          <w:rFonts w:cs="Times New Roman"/>
          <w:color w:val="000000" w:themeColor="text1"/>
          <w:szCs w:val="24"/>
        </w:rPr>
        <w:t>Dividend changes also signal corporate performance. Jiang, Li and Wang (2020) found that Chinese firms adjusting dividends experienced improved profitability and reduced agency costs. Studies in Denmark and Kenya likewise show dividend increases correspond with stronger ROA and ROE.</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77ECA3FD"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 xml:space="preserve">The study adopted a descriptive research design to examine the relationship between dividend policy and firm profitability among non-financial firms listed on the Nairobi Securities Exchange (NSE). A research design provides </w:t>
      </w:r>
      <w:r w:rsidRPr="00B14085">
        <w:rPr>
          <w:rFonts w:cs="Times New Roman"/>
          <w:color w:val="000000" w:themeColor="text1"/>
          <w:szCs w:val="24"/>
        </w:rPr>
        <w:lastRenderedPageBreak/>
        <w:t>a logical structure that links research questions with the methods used to address them (Maxwell, 2012). The descriptive design was considered appropriate because it enables systematic description and analysis of trends, patterns, and relationships without manipulating study variables. Using this approach, the study analyzed historical financial data to assess how dividend policy indicators influence firm performance. The design also facilitated the collection and analysis of secondary data from financial statements and market reports covering the period 2019–2023.</w:t>
      </w:r>
    </w:p>
    <w:p w14:paraId="06E4D679"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target population comprised 46 non-financial firms that remained listed on the NSE as of December 2023. According to Cooper and Schindler (2011), a population represents the complete set of elements from which research conclusions are drawn. The study considered firm data covering January 1, 2019 to December 31, 2023. Due to the relatively small population size, a census approach was employed in which all firms were included in the analysis. A census involves the systematic examination of every element in the population and enhances accuracy by eliminating sampling error (Kothari, 2004). Consequently, the study utilized data from all 46 firms to provide a comprehensive representation of dividend policy practices and profitability trends.</w:t>
      </w:r>
    </w:p>
    <w:p w14:paraId="0FC6AD6C"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study employed a panel data regression model to evaluate the effect of dividend policy on profitability. Return on Assets (ROA) served as the dependent variable and was calculated by dividing net income by total assets. The independent variables included dividend payout ratio, dividend yield, dividend coverage ratio, and dividend change. The dividend payout ratio was measured as dividends divided by net earnings after tax, while dividend coverage ratio represented net income relative to dividends paid. Dividend change was determined by comparing dividend per share in the current period with that of the previous year. The regression model incorporated coefficients β0–β4 and an error term to capture unexplained variation.</w:t>
      </w:r>
    </w:p>
    <w:p w14:paraId="68ECED9B" w14:textId="12026602" w:rsidR="009B3203" w:rsidRPr="007A56B8"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study relied exclusively on secondary data obtained from NSE publications, audited annual reports, and company disclosures. Financial statements provided information on profitability indicators such as ROA, while dividend-related data were extracted from income statements and official corporate announcements. Additional verification was conducted using firms’ official websites and credible financial databases. The five-year observation period enabled the analysis of changes in dividend policy and profitability under varying economic conditions. Data analysis employed panel regression techniques because panel datasets combine cross-sectional and time-series dimensions, improving estimation efficiency and reliability of results. Model fitness was assessed using the coefficient of determination (R²) and the F-test, while correlation analysis examined relationships among variables at a 95 percent confidence level. Findings were presented using tables, graphs, and charts.</w:t>
      </w:r>
      <w:r>
        <w:rPr>
          <w:rFonts w:cs="Times New Roman"/>
          <w:color w:val="000000" w:themeColor="text1"/>
          <w:szCs w:val="24"/>
        </w:rPr>
        <w:t xml:space="preserve"> </w:t>
      </w:r>
      <w:r w:rsidRPr="00B14085">
        <w:rPr>
          <w:rFonts w:cs="Times New Roman"/>
          <w:color w:val="000000" w:themeColor="text1"/>
          <w:szCs w:val="24"/>
        </w:rPr>
        <w:t>Several diagnostic tests were conducted to ensure robustness of the regression results. Stationarity was examined using the Fisher-type panel unit root test, confirming that all variables were stationary at the 5 percent significance level. The Hausman specification test supported the use of the random-effects estimator. Additional tests confirmed normality of residuals and absence of heteroscedasticity, autocorrelation, and multicollinearity. Ethical standards guided the use of secondary financial.</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bookmarkStart w:id="2" w:name="_GoBack"/>
      <w:bookmarkEnd w:id="2"/>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40BAF151" w14:textId="259B5081" w:rsidR="00A15B6B" w:rsidRPr="00A15B6B" w:rsidRDefault="00124253" w:rsidP="00A15B6B">
      <w:pPr>
        <w:spacing w:before="100" w:beforeAutospacing="1" w:after="100" w:afterAutospacing="1" w:line="240" w:lineRule="auto"/>
        <w:jc w:val="left"/>
        <w:rPr>
          <w:rFonts w:eastAsia="Times New Roman" w:cs="Times New Roman"/>
          <w:b/>
          <w:bCs/>
          <w:color w:val="auto"/>
          <w:sz w:val="28"/>
          <w:szCs w:val="24"/>
          <w14:ligatures w14:val="none"/>
        </w:rPr>
      </w:pPr>
      <w:r w:rsidRPr="00124253">
        <w:rPr>
          <w:rFonts w:eastAsia="Times New Roman" w:cs="Times New Roman"/>
          <w:b/>
          <w:bCs/>
          <w:color w:val="auto"/>
          <w:sz w:val="28"/>
          <w:szCs w:val="24"/>
          <w14:ligatures w14:val="none"/>
        </w:rPr>
        <w:t>Descriptive Analysis</w:t>
      </w:r>
    </w:p>
    <w:p w14:paraId="4B7C0642" w14:textId="2426BCAC" w:rsidR="00A15B6B" w:rsidRDefault="00A15B6B" w:rsidP="00A15B6B">
      <w:pPr>
        <w:spacing w:before="0" w:line="240" w:lineRule="auto"/>
        <w:rPr>
          <w:rFonts w:eastAsia="Times New Roman" w:cs="Times New Roman"/>
          <w:color w:val="0D0D0D"/>
          <w:szCs w:val="24"/>
          <w14:ligatures w14:val="none"/>
        </w:rPr>
      </w:pPr>
      <w:r w:rsidRPr="00A15B6B">
        <w:rPr>
          <w:rFonts w:eastAsia="Times New Roman" w:cs="Times New Roman"/>
          <w:color w:val="0D0D0D"/>
          <w:szCs w:val="24"/>
          <w14:ligatures w14:val="none"/>
        </w:rPr>
        <w:t>The descriptive statistics of the study variables are presented in Table 1. The sample comprised 230 observations for each variable. The mean, median, and mode provide measures of central tendency, while standard deviation, variance, and range indicate the dispersion of the data.</w:t>
      </w:r>
    </w:p>
    <w:p w14:paraId="1AB3EC7E" w14:textId="77777777" w:rsidR="00B26084" w:rsidRPr="00A15B6B" w:rsidRDefault="00B26084" w:rsidP="00B26084">
      <w:pPr>
        <w:spacing w:before="100" w:beforeAutospacing="1" w:after="100" w:afterAutospacing="1" w:line="240" w:lineRule="auto"/>
        <w:jc w:val="left"/>
        <w:rPr>
          <w:rFonts w:eastAsia="Times New Roman" w:cs="Times New Roman"/>
          <w:b/>
          <w:bCs/>
          <w:color w:val="auto"/>
          <w:sz w:val="22"/>
          <w14:ligatures w14:val="none"/>
        </w:rPr>
      </w:pPr>
      <w:r w:rsidRPr="00B26084">
        <w:rPr>
          <w:rFonts w:eastAsia="Times New Roman" w:cs="Times New Roman"/>
          <w:b/>
          <w:bCs/>
          <w:color w:val="0D0D0D"/>
          <w:sz w:val="22"/>
          <w14:ligatures w14:val="none"/>
        </w:rPr>
        <w:t xml:space="preserve">Table 1: </w:t>
      </w:r>
      <w:r w:rsidRPr="00B26084">
        <w:rPr>
          <w:rFonts w:eastAsia="Times New Roman" w:cs="Times New Roman"/>
          <w:b/>
          <w:bCs/>
          <w:color w:val="auto"/>
          <w:sz w:val="22"/>
          <w14:ligatures w14:val="none"/>
        </w:rPr>
        <w:t>Descriptive Analysis</w:t>
      </w:r>
    </w:p>
    <w:tbl>
      <w:tblPr>
        <w:tblStyle w:val="TableGrid1"/>
        <w:tblW w:w="0" w:type="auto"/>
        <w:tblLook w:val="04A0" w:firstRow="1" w:lastRow="0" w:firstColumn="1" w:lastColumn="0" w:noHBand="0" w:noVBand="1"/>
      </w:tblPr>
      <w:tblGrid>
        <w:gridCol w:w="3250"/>
        <w:gridCol w:w="630"/>
        <w:gridCol w:w="803"/>
        <w:gridCol w:w="1003"/>
        <w:gridCol w:w="803"/>
        <w:gridCol w:w="1116"/>
        <w:gridCol w:w="1150"/>
        <w:gridCol w:w="870"/>
        <w:gridCol w:w="712"/>
        <w:gridCol w:w="683"/>
      </w:tblGrid>
      <w:tr w:rsidR="00A15B6B" w:rsidRPr="00A15B6B" w14:paraId="4D98D692" w14:textId="77777777" w:rsidTr="00A15B6B">
        <w:tc>
          <w:tcPr>
            <w:tcW w:w="0" w:type="auto"/>
            <w:hideMark/>
          </w:tcPr>
          <w:p w14:paraId="7008F0E8"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Variable</w:t>
            </w:r>
          </w:p>
        </w:tc>
        <w:tc>
          <w:tcPr>
            <w:tcW w:w="0" w:type="auto"/>
            <w:hideMark/>
          </w:tcPr>
          <w:p w14:paraId="220EF9CE" w14:textId="77777777" w:rsidR="00A15B6B" w:rsidRPr="00A15B6B" w:rsidRDefault="00A15B6B" w:rsidP="00A15B6B">
            <w:pPr>
              <w:spacing w:before="0" w:line="240" w:lineRule="auto"/>
              <w:rPr>
                <w:rFonts w:eastAsia="Times New Roman" w:cs="Times New Roman"/>
                <w:b/>
                <w:bCs/>
                <w:color w:val="0D0D0D"/>
                <w:szCs w:val="24"/>
              </w:rPr>
            </w:pPr>
            <w:proofErr w:type="spellStart"/>
            <w:r w:rsidRPr="00A15B6B">
              <w:rPr>
                <w:rFonts w:eastAsia="Times New Roman" w:cs="Times New Roman"/>
                <w:b/>
                <w:bCs/>
                <w:color w:val="0D0D0D"/>
                <w:szCs w:val="24"/>
              </w:rPr>
              <w:t>Obs</w:t>
            </w:r>
            <w:proofErr w:type="spellEnd"/>
          </w:p>
        </w:tc>
        <w:tc>
          <w:tcPr>
            <w:tcW w:w="0" w:type="auto"/>
            <w:hideMark/>
          </w:tcPr>
          <w:p w14:paraId="339221B0"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Mean</w:t>
            </w:r>
          </w:p>
        </w:tc>
        <w:tc>
          <w:tcPr>
            <w:tcW w:w="0" w:type="auto"/>
            <w:hideMark/>
          </w:tcPr>
          <w:p w14:paraId="08232C37"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Median</w:t>
            </w:r>
          </w:p>
        </w:tc>
        <w:tc>
          <w:tcPr>
            <w:tcW w:w="0" w:type="auto"/>
            <w:hideMark/>
          </w:tcPr>
          <w:p w14:paraId="4863F433"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Mode</w:t>
            </w:r>
          </w:p>
        </w:tc>
        <w:tc>
          <w:tcPr>
            <w:tcW w:w="0" w:type="auto"/>
            <w:hideMark/>
          </w:tcPr>
          <w:p w14:paraId="3D9C2789"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Std. Dev.</w:t>
            </w:r>
          </w:p>
        </w:tc>
        <w:tc>
          <w:tcPr>
            <w:tcW w:w="0" w:type="auto"/>
            <w:hideMark/>
          </w:tcPr>
          <w:p w14:paraId="2AA598E6"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Variance</w:t>
            </w:r>
          </w:p>
        </w:tc>
        <w:tc>
          <w:tcPr>
            <w:tcW w:w="0" w:type="auto"/>
            <w:hideMark/>
          </w:tcPr>
          <w:p w14:paraId="2DE77923"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Range</w:t>
            </w:r>
          </w:p>
        </w:tc>
        <w:tc>
          <w:tcPr>
            <w:tcW w:w="0" w:type="auto"/>
            <w:hideMark/>
          </w:tcPr>
          <w:p w14:paraId="241EF56E"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Min</w:t>
            </w:r>
          </w:p>
        </w:tc>
        <w:tc>
          <w:tcPr>
            <w:tcW w:w="0" w:type="auto"/>
            <w:hideMark/>
          </w:tcPr>
          <w:p w14:paraId="52BA3BE6"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Max</w:t>
            </w:r>
          </w:p>
        </w:tc>
      </w:tr>
      <w:tr w:rsidR="00A15B6B" w:rsidRPr="00A15B6B" w14:paraId="0AD86B66" w14:textId="77777777" w:rsidTr="00A15B6B">
        <w:tc>
          <w:tcPr>
            <w:tcW w:w="0" w:type="auto"/>
            <w:hideMark/>
          </w:tcPr>
          <w:p w14:paraId="7B6C8E1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ROA</w:t>
            </w:r>
          </w:p>
        </w:tc>
        <w:tc>
          <w:tcPr>
            <w:tcW w:w="0" w:type="auto"/>
            <w:hideMark/>
          </w:tcPr>
          <w:p w14:paraId="0E939CD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4FF3A1A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0.09</w:t>
            </w:r>
          </w:p>
        </w:tc>
        <w:tc>
          <w:tcPr>
            <w:tcW w:w="0" w:type="auto"/>
            <w:hideMark/>
          </w:tcPr>
          <w:p w14:paraId="508DE93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0.08</w:t>
            </w:r>
          </w:p>
        </w:tc>
        <w:tc>
          <w:tcPr>
            <w:tcW w:w="0" w:type="auto"/>
            <w:hideMark/>
          </w:tcPr>
          <w:p w14:paraId="6F3A04B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0.07</w:t>
            </w:r>
          </w:p>
        </w:tc>
        <w:tc>
          <w:tcPr>
            <w:tcW w:w="0" w:type="auto"/>
            <w:hideMark/>
          </w:tcPr>
          <w:p w14:paraId="1FD3600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0.06</w:t>
            </w:r>
          </w:p>
        </w:tc>
        <w:tc>
          <w:tcPr>
            <w:tcW w:w="0" w:type="auto"/>
            <w:hideMark/>
          </w:tcPr>
          <w:p w14:paraId="0B17E97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0.0036</w:t>
            </w:r>
          </w:p>
        </w:tc>
        <w:tc>
          <w:tcPr>
            <w:tcW w:w="0" w:type="auto"/>
            <w:hideMark/>
          </w:tcPr>
          <w:p w14:paraId="2F63B2C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0.26</w:t>
            </w:r>
          </w:p>
        </w:tc>
        <w:tc>
          <w:tcPr>
            <w:tcW w:w="0" w:type="auto"/>
            <w:hideMark/>
          </w:tcPr>
          <w:p w14:paraId="1ECD3EA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-0.05</w:t>
            </w:r>
          </w:p>
        </w:tc>
        <w:tc>
          <w:tcPr>
            <w:tcW w:w="0" w:type="auto"/>
            <w:hideMark/>
          </w:tcPr>
          <w:p w14:paraId="42E94A6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0.21</w:t>
            </w:r>
          </w:p>
        </w:tc>
      </w:tr>
      <w:tr w:rsidR="00A15B6B" w:rsidRPr="00A15B6B" w14:paraId="7DFCC178" w14:textId="77777777" w:rsidTr="00A15B6B">
        <w:tc>
          <w:tcPr>
            <w:tcW w:w="0" w:type="auto"/>
            <w:hideMark/>
          </w:tcPr>
          <w:p w14:paraId="2B9CE5F2"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Payout Ratio (DPR)</w:t>
            </w:r>
          </w:p>
        </w:tc>
        <w:tc>
          <w:tcPr>
            <w:tcW w:w="0" w:type="auto"/>
            <w:hideMark/>
          </w:tcPr>
          <w:p w14:paraId="3D2E501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34C3D17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0.42</w:t>
            </w:r>
          </w:p>
        </w:tc>
        <w:tc>
          <w:tcPr>
            <w:tcW w:w="0" w:type="auto"/>
            <w:hideMark/>
          </w:tcPr>
          <w:p w14:paraId="57475171"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0.40</w:t>
            </w:r>
          </w:p>
        </w:tc>
        <w:tc>
          <w:tcPr>
            <w:tcW w:w="0" w:type="auto"/>
            <w:hideMark/>
          </w:tcPr>
          <w:p w14:paraId="660C310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0.35</w:t>
            </w:r>
          </w:p>
        </w:tc>
        <w:tc>
          <w:tcPr>
            <w:tcW w:w="0" w:type="auto"/>
            <w:hideMark/>
          </w:tcPr>
          <w:p w14:paraId="7CC165E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0.21</w:t>
            </w:r>
          </w:p>
        </w:tc>
        <w:tc>
          <w:tcPr>
            <w:tcW w:w="0" w:type="auto"/>
            <w:hideMark/>
          </w:tcPr>
          <w:p w14:paraId="226F4E0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0.0441</w:t>
            </w:r>
          </w:p>
        </w:tc>
        <w:tc>
          <w:tcPr>
            <w:tcW w:w="0" w:type="auto"/>
            <w:hideMark/>
          </w:tcPr>
          <w:p w14:paraId="23100BE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0.85</w:t>
            </w:r>
          </w:p>
        </w:tc>
        <w:tc>
          <w:tcPr>
            <w:tcW w:w="0" w:type="auto"/>
            <w:hideMark/>
          </w:tcPr>
          <w:p w14:paraId="39A45ADB"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w:t>
            </w:r>
          </w:p>
        </w:tc>
        <w:tc>
          <w:tcPr>
            <w:tcW w:w="0" w:type="auto"/>
            <w:hideMark/>
          </w:tcPr>
          <w:p w14:paraId="713E4C2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0.85</w:t>
            </w:r>
          </w:p>
        </w:tc>
      </w:tr>
      <w:tr w:rsidR="00A15B6B" w:rsidRPr="00A15B6B" w14:paraId="1748A69D" w14:textId="77777777" w:rsidTr="00A15B6B">
        <w:tc>
          <w:tcPr>
            <w:tcW w:w="0" w:type="auto"/>
            <w:hideMark/>
          </w:tcPr>
          <w:p w14:paraId="64970D1B"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Yield (DY)</w:t>
            </w:r>
          </w:p>
        </w:tc>
        <w:tc>
          <w:tcPr>
            <w:tcW w:w="0" w:type="auto"/>
            <w:hideMark/>
          </w:tcPr>
          <w:p w14:paraId="11DEB00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2713F9F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0.08</w:t>
            </w:r>
          </w:p>
        </w:tc>
        <w:tc>
          <w:tcPr>
            <w:tcW w:w="0" w:type="auto"/>
            <w:hideMark/>
          </w:tcPr>
          <w:p w14:paraId="4469A1D8"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0.07</w:t>
            </w:r>
          </w:p>
        </w:tc>
        <w:tc>
          <w:tcPr>
            <w:tcW w:w="0" w:type="auto"/>
            <w:hideMark/>
          </w:tcPr>
          <w:p w14:paraId="2372B3E3"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0.06</w:t>
            </w:r>
          </w:p>
        </w:tc>
        <w:tc>
          <w:tcPr>
            <w:tcW w:w="0" w:type="auto"/>
            <w:hideMark/>
          </w:tcPr>
          <w:p w14:paraId="026BCBD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0.05</w:t>
            </w:r>
          </w:p>
        </w:tc>
        <w:tc>
          <w:tcPr>
            <w:tcW w:w="0" w:type="auto"/>
            <w:hideMark/>
          </w:tcPr>
          <w:p w14:paraId="7C775EF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0.0025</w:t>
            </w:r>
          </w:p>
        </w:tc>
        <w:tc>
          <w:tcPr>
            <w:tcW w:w="0" w:type="auto"/>
            <w:hideMark/>
          </w:tcPr>
          <w:p w14:paraId="0A838A4C"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0.18</w:t>
            </w:r>
          </w:p>
        </w:tc>
        <w:tc>
          <w:tcPr>
            <w:tcW w:w="0" w:type="auto"/>
            <w:hideMark/>
          </w:tcPr>
          <w:p w14:paraId="735D382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0.01</w:t>
            </w:r>
          </w:p>
        </w:tc>
        <w:tc>
          <w:tcPr>
            <w:tcW w:w="0" w:type="auto"/>
            <w:hideMark/>
          </w:tcPr>
          <w:p w14:paraId="5A41543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0.19</w:t>
            </w:r>
          </w:p>
        </w:tc>
      </w:tr>
      <w:tr w:rsidR="00A15B6B" w:rsidRPr="00A15B6B" w14:paraId="65B8F647" w14:textId="77777777" w:rsidTr="00A15B6B">
        <w:tc>
          <w:tcPr>
            <w:tcW w:w="0" w:type="auto"/>
            <w:hideMark/>
          </w:tcPr>
          <w:p w14:paraId="592C8656"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Coverage Ratio (DCR)</w:t>
            </w:r>
          </w:p>
        </w:tc>
        <w:tc>
          <w:tcPr>
            <w:tcW w:w="0" w:type="auto"/>
            <w:hideMark/>
          </w:tcPr>
          <w:p w14:paraId="1C2A7F0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255773E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3.04</w:t>
            </w:r>
          </w:p>
        </w:tc>
        <w:tc>
          <w:tcPr>
            <w:tcW w:w="0" w:type="auto"/>
            <w:hideMark/>
          </w:tcPr>
          <w:p w14:paraId="27062848"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3.10</w:t>
            </w:r>
          </w:p>
        </w:tc>
        <w:tc>
          <w:tcPr>
            <w:tcW w:w="0" w:type="auto"/>
            <w:hideMark/>
          </w:tcPr>
          <w:p w14:paraId="324410F3"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3.00</w:t>
            </w:r>
          </w:p>
        </w:tc>
        <w:tc>
          <w:tcPr>
            <w:tcW w:w="0" w:type="auto"/>
            <w:hideMark/>
          </w:tcPr>
          <w:p w14:paraId="784AF5FE"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0.92</w:t>
            </w:r>
          </w:p>
        </w:tc>
        <w:tc>
          <w:tcPr>
            <w:tcW w:w="0" w:type="auto"/>
            <w:hideMark/>
          </w:tcPr>
          <w:p w14:paraId="6ECC088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0.8464</w:t>
            </w:r>
          </w:p>
        </w:tc>
        <w:tc>
          <w:tcPr>
            <w:tcW w:w="0" w:type="auto"/>
            <w:hideMark/>
          </w:tcPr>
          <w:p w14:paraId="24713662"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4.60</w:t>
            </w:r>
          </w:p>
        </w:tc>
        <w:tc>
          <w:tcPr>
            <w:tcW w:w="0" w:type="auto"/>
            <w:hideMark/>
          </w:tcPr>
          <w:p w14:paraId="26401EC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1.20</w:t>
            </w:r>
          </w:p>
        </w:tc>
        <w:tc>
          <w:tcPr>
            <w:tcW w:w="0" w:type="auto"/>
            <w:hideMark/>
          </w:tcPr>
          <w:p w14:paraId="04E87AB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5.80</w:t>
            </w:r>
          </w:p>
        </w:tc>
      </w:tr>
      <w:tr w:rsidR="00A15B6B" w:rsidRPr="00A15B6B" w14:paraId="5DE44176" w14:textId="77777777" w:rsidTr="00A15B6B">
        <w:tc>
          <w:tcPr>
            <w:tcW w:w="0" w:type="auto"/>
            <w:hideMark/>
          </w:tcPr>
          <w:p w14:paraId="03CCF14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Changes (DC)</w:t>
            </w:r>
          </w:p>
        </w:tc>
        <w:tc>
          <w:tcPr>
            <w:tcW w:w="0" w:type="auto"/>
            <w:hideMark/>
          </w:tcPr>
          <w:p w14:paraId="6851622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152F237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0.12</w:t>
            </w:r>
          </w:p>
        </w:tc>
        <w:tc>
          <w:tcPr>
            <w:tcW w:w="0" w:type="auto"/>
            <w:hideMark/>
          </w:tcPr>
          <w:p w14:paraId="4C70A05D"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0.11</w:t>
            </w:r>
          </w:p>
        </w:tc>
        <w:tc>
          <w:tcPr>
            <w:tcW w:w="0" w:type="auto"/>
            <w:hideMark/>
          </w:tcPr>
          <w:p w14:paraId="17C4ED9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0.10</w:t>
            </w:r>
          </w:p>
        </w:tc>
        <w:tc>
          <w:tcPr>
            <w:tcW w:w="0" w:type="auto"/>
            <w:hideMark/>
          </w:tcPr>
          <w:p w14:paraId="78DBC9F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0.14</w:t>
            </w:r>
          </w:p>
        </w:tc>
        <w:tc>
          <w:tcPr>
            <w:tcW w:w="0" w:type="auto"/>
            <w:hideMark/>
          </w:tcPr>
          <w:p w14:paraId="22DF07B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0.0196</w:t>
            </w:r>
          </w:p>
        </w:tc>
        <w:tc>
          <w:tcPr>
            <w:tcW w:w="0" w:type="auto"/>
            <w:hideMark/>
          </w:tcPr>
          <w:p w14:paraId="6137669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0.80</w:t>
            </w:r>
          </w:p>
        </w:tc>
        <w:tc>
          <w:tcPr>
            <w:tcW w:w="0" w:type="auto"/>
            <w:hideMark/>
          </w:tcPr>
          <w:p w14:paraId="2568C09F" w14:textId="1DB71EC6" w:rsidR="00A15B6B" w:rsidRPr="00A15B6B" w:rsidRDefault="00B26084" w:rsidP="00A15B6B">
            <w:pPr>
              <w:spacing w:before="0" w:line="240" w:lineRule="auto"/>
              <w:rPr>
                <w:rFonts w:eastAsia="Times New Roman" w:cs="Times New Roman"/>
                <w:color w:val="0D0D0D"/>
                <w:szCs w:val="24"/>
              </w:rPr>
            </w:pPr>
            <w:r>
              <w:rPr>
                <w:rFonts w:eastAsia="Times New Roman" w:cs="Times New Roman"/>
                <w:color w:val="0D0D0D"/>
                <w:szCs w:val="24"/>
              </w:rPr>
              <w:t xml:space="preserve"> </w:t>
            </w:r>
          </w:p>
        </w:tc>
        <w:tc>
          <w:tcPr>
            <w:tcW w:w="0" w:type="auto"/>
            <w:hideMark/>
          </w:tcPr>
          <w:p w14:paraId="3EB26BF4" w14:textId="2B25BCDA" w:rsidR="00A15B6B" w:rsidRPr="00A15B6B" w:rsidRDefault="00B26084" w:rsidP="00A15B6B">
            <w:pPr>
              <w:spacing w:before="0" w:line="240" w:lineRule="auto"/>
              <w:rPr>
                <w:rFonts w:eastAsia="Times New Roman" w:cs="Times New Roman"/>
                <w:color w:val="0D0D0D"/>
                <w:szCs w:val="24"/>
              </w:rPr>
            </w:pPr>
            <w:r>
              <w:rPr>
                <w:rFonts w:eastAsia="Times New Roman" w:cs="Times New Roman"/>
                <w:color w:val="0D0D0D"/>
                <w:szCs w:val="24"/>
              </w:rPr>
              <w:t xml:space="preserve"> </w:t>
            </w:r>
          </w:p>
        </w:tc>
      </w:tr>
    </w:tbl>
    <w:p w14:paraId="0F5DA5F6" w14:textId="77777777" w:rsidR="00A15B6B" w:rsidRDefault="00A15B6B" w:rsidP="00A15B6B">
      <w:pPr>
        <w:spacing w:before="0" w:line="240" w:lineRule="auto"/>
        <w:rPr>
          <w:rFonts w:eastAsia="Times New Roman" w:cs="Times New Roman"/>
          <w:color w:val="0D0D0D"/>
          <w:szCs w:val="24"/>
          <w14:ligatures w14:val="none"/>
        </w:rPr>
      </w:pPr>
    </w:p>
    <w:p w14:paraId="18B03332" w14:textId="18805C32" w:rsidR="00A15B6B" w:rsidRPr="00A15B6B" w:rsidRDefault="00A15B6B" w:rsidP="00A15B6B">
      <w:pPr>
        <w:spacing w:before="0" w:line="240" w:lineRule="auto"/>
        <w:rPr>
          <w:rFonts w:eastAsia="Times New Roman" w:cs="Times New Roman"/>
          <w:color w:val="0D0D0D"/>
          <w:szCs w:val="24"/>
          <w14:ligatures w14:val="none"/>
        </w:rPr>
      </w:pPr>
      <w:r w:rsidRPr="00A15B6B">
        <w:rPr>
          <w:rFonts w:eastAsia="Times New Roman" w:cs="Times New Roman"/>
          <w:color w:val="0D0D0D"/>
          <w:szCs w:val="24"/>
          <w14:ligatures w14:val="none"/>
        </w:rPr>
        <w:t>ROA had an average profitability of 9% with moderate variation (Std. Dev. 0.06). DPR averaged 42%, reflecting medium variability in dividend distribution. DY averaged 8%, showing relatively stable shareholder returns. DCR averaged 3.04, indicating firms could typically cover dividends threefold, though coverage ranged widely. DC demonstrated dynamic dividend adjustments, with mean 12%, reflecting firms’ responsiveness to performance and strategic considerations. Overall, results highlight diverse financial strategies and performance levels among sampled firms.</w:t>
      </w:r>
    </w:p>
    <w:p w14:paraId="0E878FEE" w14:textId="30EA6C2F" w:rsidR="00BF3C23" w:rsidRPr="00BF3C23" w:rsidRDefault="00BF3C23" w:rsidP="00BF3C23">
      <w:pPr>
        <w:spacing w:before="100" w:beforeAutospacing="1" w:after="100" w:afterAutospacing="1" w:line="240" w:lineRule="auto"/>
        <w:jc w:val="left"/>
        <w:rPr>
          <w:rFonts w:eastAsia="Times New Roman" w:cs="Times New Roman"/>
          <w:color w:val="auto"/>
          <w:sz w:val="28"/>
          <w:szCs w:val="24"/>
          <w14:ligatures w14:val="none"/>
        </w:rPr>
      </w:pPr>
      <w:r w:rsidRPr="00BF3C23">
        <w:rPr>
          <w:rFonts w:eastAsia="Times New Roman" w:cs="Times New Roman"/>
          <w:b/>
          <w:bCs/>
          <w:color w:val="auto"/>
          <w:sz w:val="28"/>
          <w:szCs w:val="24"/>
          <w14:ligatures w14:val="none"/>
        </w:rPr>
        <w:t>Diagnostic Tests</w:t>
      </w:r>
    </w:p>
    <w:p w14:paraId="68428FEA"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Prior to conducting regression estimation, several diagnostic tests were undertaken to ensure the panel data satisfied essential econometric assumptions, enhancing the reliability, validity, and efficiency of the model estimates. The diagnostic procedures included Panel Unit Root Test, Hausman Specification Test, Normality Test, Heteroscedasticity Test, Autocorrelation Test, and Multicollinearity Test. These tests ensure that regression results are not spurious and that model assumptions are met.</w:t>
      </w:r>
    </w:p>
    <w:p w14:paraId="5C97FED0" w14:textId="5B161ACD"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Panel Unit Root Analysis</w:t>
      </w:r>
    </w:p>
    <w:p w14:paraId="4E17669A" w14:textId="5B912B21"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Stationarity of variables was examined to prevent spurious regression, as non-stationary data can yield biased estimates and invalid conclusions (</w:t>
      </w:r>
      <w:proofErr w:type="spellStart"/>
      <w:r w:rsidRPr="00A15B6B">
        <w:rPr>
          <w:rFonts w:eastAsia="Times New Roman" w:cs="Times New Roman"/>
          <w:color w:val="auto"/>
          <w:szCs w:val="24"/>
          <w14:ligatures w14:val="none"/>
        </w:rPr>
        <w:t>Baltagi</w:t>
      </w:r>
      <w:proofErr w:type="spellEnd"/>
      <w:r w:rsidRPr="00A15B6B">
        <w:rPr>
          <w:rFonts w:eastAsia="Times New Roman" w:cs="Times New Roman"/>
          <w:color w:val="auto"/>
          <w:szCs w:val="24"/>
          <w14:ligatures w14:val="none"/>
        </w:rPr>
        <w:t>, 2021). Stationarity implies that the statistical properties of a series</w:t>
      </w:r>
      <w:r w:rsidR="00B26084">
        <w:rPr>
          <w:rFonts w:eastAsia="Times New Roman" w:cs="Times New Roman"/>
          <w:color w:val="auto"/>
          <w:szCs w:val="24"/>
          <w14:ligatures w14:val="none"/>
        </w:rPr>
        <w:t xml:space="preserve"> </w:t>
      </w:r>
      <w:r w:rsidRPr="00A15B6B">
        <w:rPr>
          <w:rFonts w:eastAsia="Times New Roman" w:cs="Times New Roman"/>
          <w:color w:val="auto"/>
          <w:szCs w:val="24"/>
          <w14:ligatures w14:val="none"/>
        </w:rPr>
        <w:t>mean, variance, and autocorrelation</w:t>
      </w:r>
      <w:r w:rsidR="00B26084">
        <w:rPr>
          <w:rFonts w:eastAsia="Times New Roman" w:cs="Times New Roman"/>
          <w:color w:val="auto"/>
          <w:szCs w:val="24"/>
          <w14:ligatures w14:val="none"/>
        </w:rPr>
        <w:t xml:space="preserve"> </w:t>
      </w:r>
      <w:r w:rsidRPr="00A15B6B">
        <w:rPr>
          <w:rFonts w:eastAsia="Times New Roman" w:cs="Times New Roman"/>
          <w:color w:val="auto"/>
          <w:szCs w:val="24"/>
          <w14:ligatures w14:val="none"/>
        </w:rPr>
        <w:t>remain constant over time. The study employed the Fisher-type Augmented Dickey-Fuller (ADF) test, suitable for both balanced and unbalanced panels, which aggregates p-values from individual unit root tests across cross-sectional units. This method accommodates heterogeneity across entities (Maddala &amp; Wu, 1999).</w:t>
      </w:r>
    </w:p>
    <w:p w14:paraId="72C7F124" w14:textId="4BE369CE"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Pr>
          <w:rFonts w:eastAsia="Times New Roman" w:cs="Times New Roman"/>
          <w:b/>
          <w:bCs/>
          <w:color w:val="auto"/>
          <w:szCs w:val="24"/>
          <w14:ligatures w14:val="none"/>
        </w:rPr>
        <w:t>2</w:t>
      </w:r>
      <w:r w:rsidRPr="00A15B6B">
        <w:rPr>
          <w:rFonts w:eastAsia="Times New Roman" w:cs="Times New Roman"/>
          <w:b/>
          <w:bCs/>
          <w:color w:val="auto"/>
          <w:szCs w:val="24"/>
          <w14:ligatures w14:val="none"/>
        </w:rPr>
        <w:t>: Fisher-Type Panel Unit Root Test Results</w:t>
      </w:r>
    </w:p>
    <w:tbl>
      <w:tblPr>
        <w:tblStyle w:val="TableGrid1"/>
        <w:tblW w:w="0" w:type="auto"/>
        <w:tblLook w:val="04A0" w:firstRow="1" w:lastRow="0" w:firstColumn="1" w:lastColumn="0" w:noHBand="0" w:noVBand="1"/>
      </w:tblPr>
      <w:tblGrid>
        <w:gridCol w:w="3383"/>
        <w:gridCol w:w="2309"/>
        <w:gridCol w:w="977"/>
        <w:gridCol w:w="2370"/>
      </w:tblGrid>
      <w:tr w:rsidR="00A15B6B" w:rsidRPr="00A15B6B" w14:paraId="6E92F769" w14:textId="77777777" w:rsidTr="00A15B6B">
        <w:tc>
          <w:tcPr>
            <w:tcW w:w="0" w:type="auto"/>
            <w:hideMark/>
          </w:tcPr>
          <w:p w14:paraId="7B7AF20D"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Variable</w:t>
            </w:r>
          </w:p>
        </w:tc>
        <w:tc>
          <w:tcPr>
            <w:tcW w:w="0" w:type="auto"/>
            <w:hideMark/>
          </w:tcPr>
          <w:p w14:paraId="36A4E638"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Fisher ADF Statistic</w:t>
            </w:r>
          </w:p>
        </w:tc>
        <w:tc>
          <w:tcPr>
            <w:tcW w:w="0" w:type="auto"/>
            <w:hideMark/>
          </w:tcPr>
          <w:p w14:paraId="6F20B1C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452264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Stationarity Decision</w:t>
            </w:r>
          </w:p>
        </w:tc>
      </w:tr>
      <w:tr w:rsidR="00A15B6B" w:rsidRPr="00A15B6B" w14:paraId="16FACF8D" w14:textId="77777777" w:rsidTr="00A15B6B">
        <w:tc>
          <w:tcPr>
            <w:tcW w:w="0" w:type="auto"/>
            <w:hideMark/>
          </w:tcPr>
          <w:p w14:paraId="172A68E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lastRenderedPageBreak/>
              <w:t>Return on Assets (ROA)</w:t>
            </w:r>
          </w:p>
        </w:tc>
        <w:tc>
          <w:tcPr>
            <w:tcW w:w="0" w:type="auto"/>
            <w:hideMark/>
          </w:tcPr>
          <w:p w14:paraId="51069C1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78.623</w:t>
            </w:r>
          </w:p>
        </w:tc>
        <w:tc>
          <w:tcPr>
            <w:tcW w:w="0" w:type="auto"/>
            <w:hideMark/>
          </w:tcPr>
          <w:p w14:paraId="059FE19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0.000</w:t>
            </w:r>
          </w:p>
        </w:tc>
        <w:tc>
          <w:tcPr>
            <w:tcW w:w="0" w:type="auto"/>
            <w:hideMark/>
          </w:tcPr>
          <w:p w14:paraId="619E74F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514F16F9" w14:textId="77777777" w:rsidTr="00A15B6B">
        <w:tc>
          <w:tcPr>
            <w:tcW w:w="0" w:type="auto"/>
            <w:hideMark/>
          </w:tcPr>
          <w:p w14:paraId="2EF90C3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Payout Ratio (DPR)</w:t>
            </w:r>
          </w:p>
        </w:tc>
        <w:tc>
          <w:tcPr>
            <w:tcW w:w="0" w:type="auto"/>
            <w:hideMark/>
          </w:tcPr>
          <w:p w14:paraId="2355A7F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64.218</w:t>
            </w:r>
          </w:p>
        </w:tc>
        <w:tc>
          <w:tcPr>
            <w:tcW w:w="0" w:type="auto"/>
            <w:hideMark/>
          </w:tcPr>
          <w:p w14:paraId="281890D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0.001</w:t>
            </w:r>
          </w:p>
        </w:tc>
        <w:tc>
          <w:tcPr>
            <w:tcW w:w="0" w:type="auto"/>
            <w:hideMark/>
          </w:tcPr>
          <w:p w14:paraId="517A064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57BE4B9A" w14:textId="77777777" w:rsidTr="00A15B6B">
        <w:tc>
          <w:tcPr>
            <w:tcW w:w="0" w:type="auto"/>
            <w:hideMark/>
          </w:tcPr>
          <w:p w14:paraId="6231381B"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Yield (DY)</w:t>
            </w:r>
          </w:p>
        </w:tc>
        <w:tc>
          <w:tcPr>
            <w:tcW w:w="0" w:type="auto"/>
            <w:hideMark/>
          </w:tcPr>
          <w:p w14:paraId="154241F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69.437</w:t>
            </w:r>
          </w:p>
        </w:tc>
        <w:tc>
          <w:tcPr>
            <w:tcW w:w="0" w:type="auto"/>
            <w:hideMark/>
          </w:tcPr>
          <w:p w14:paraId="29EA937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0.003</w:t>
            </w:r>
          </w:p>
        </w:tc>
        <w:tc>
          <w:tcPr>
            <w:tcW w:w="0" w:type="auto"/>
            <w:hideMark/>
          </w:tcPr>
          <w:p w14:paraId="27287FD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3E79AA19" w14:textId="77777777" w:rsidTr="00A15B6B">
        <w:tc>
          <w:tcPr>
            <w:tcW w:w="0" w:type="auto"/>
            <w:hideMark/>
          </w:tcPr>
          <w:p w14:paraId="3A6738A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Coverage Ratio (DCR)</w:t>
            </w:r>
          </w:p>
        </w:tc>
        <w:tc>
          <w:tcPr>
            <w:tcW w:w="0" w:type="auto"/>
            <w:hideMark/>
          </w:tcPr>
          <w:p w14:paraId="24F4184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73.015</w:t>
            </w:r>
          </w:p>
        </w:tc>
        <w:tc>
          <w:tcPr>
            <w:tcW w:w="0" w:type="auto"/>
            <w:hideMark/>
          </w:tcPr>
          <w:p w14:paraId="4353766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0.002</w:t>
            </w:r>
          </w:p>
        </w:tc>
        <w:tc>
          <w:tcPr>
            <w:tcW w:w="0" w:type="auto"/>
            <w:hideMark/>
          </w:tcPr>
          <w:p w14:paraId="73F2A38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61C2954D" w14:textId="77777777" w:rsidTr="00A15B6B">
        <w:tc>
          <w:tcPr>
            <w:tcW w:w="0" w:type="auto"/>
            <w:hideMark/>
          </w:tcPr>
          <w:p w14:paraId="5C7F526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Changes (DC)</w:t>
            </w:r>
          </w:p>
        </w:tc>
        <w:tc>
          <w:tcPr>
            <w:tcW w:w="0" w:type="auto"/>
            <w:hideMark/>
          </w:tcPr>
          <w:p w14:paraId="1B88302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82.791</w:t>
            </w:r>
          </w:p>
        </w:tc>
        <w:tc>
          <w:tcPr>
            <w:tcW w:w="0" w:type="auto"/>
            <w:hideMark/>
          </w:tcPr>
          <w:p w14:paraId="52AC04A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0.000</w:t>
            </w:r>
          </w:p>
        </w:tc>
        <w:tc>
          <w:tcPr>
            <w:tcW w:w="0" w:type="auto"/>
            <w:hideMark/>
          </w:tcPr>
          <w:p w14:paraId="2C3AAB1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bl>
    <w:p w14:paraId="00E6A62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2B8117B0"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All variables were found to be stationary, satisfying the panel regression requirement.</w:t>
      </w:r>
    </w:p>
    <w:p w14:paraId="12767589" w14:textId="2D1F08E4"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Hausman Specification Test</w:t>
      </w:r>
    </w:p>
    <w:p w14:paraId="6587C965"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Hausman test determined the preferred estimator between Fixed Effects (FE) and Random Effects (RE). FE assumes correlation between unobserved firm-specific characteristics and explanatory variables, while RE assumes independence. Rejection of the null hypothesis supports FE, whereas failure to reject supports RE (Gujarati &amp; Porter, 2020).</w:t>
      </w:r>
    </w:p>
    <w:p w14:paraId="254607DD" w14:textId="34E25F5A"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3</w:t>
      </w:r>
      <w:r w:rsidRPr="00A15B6B">
        <w:rPr>
          <w:rFonts w:eastAsia="Times New Roman" w:cs="Times New Roman"/>
          <w:b/>
          <w:bCs/>
          <w:color w:val="auto"/>
          <w:szCs w:val="24"/>
          <w14:ligatures w14:val="none"/>
        </w:rPr>
        <w:t>: Hausman Specification Test Results</w:t>
      </w:r>
    </w:p>
    <w:tbl>
      <w:tblPr>
        <w:tblStyle w:val="TableGrid1"/>
        <w:tblW w:w="0" w:type="auto"/>
        <w:tblLook w:val="04A0" w:firstRow="1" w:lastRow="0" w:firstColumn="1" w:lastColumn="0" w:noHBand="0" w:noVBand="1"/>
      </w:tblPr>
      <w:tblGrid>
        <w:gridCol w:w="870"/>
        <w:gridCol w:w="2290"/>
        <w:gridCol w:w="977"/>
        <w:gridCol w:w="1815"/>
        <w:gridCol w:w="1929"/>
      </w:tblGrid>
      <w:tr w:rsidR="00A15B6B" w:rsidRPr="00A15B6B" w14:paraId="3542CDE8" w14:textId="77777777" w:rsidTr="00426201">
        <w:tc>
          <w:tcPr>
            <w:tcW w:w="0" w:type="auto"/>
            <w:hideMark/>
          </w:tcPr>
          <w:p w14:paraId="0AA8751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Model</w:t>
            </w:r>
          </w:p>
        </w:tc>
        <w:tc>
          <w:tcPr>
            <w:tcW w:w="0" w:type="auto"/>
            <w:hideMark/>
          </w:tcPr>
          <w:p w14:paraId="7BA1AC7A"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Chi-Square Statistic</w:t>
            </w:r>
          </w:p>
        </w:tc>
        <w:tc>
          <w:tcPr>
            <w:tcW w:w="0" w:type="auto"/>
            <w:hideMark/>
          </w:tcPr>
          <w:p w14:paraId="0462C773"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C8A357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c>
          <w:tcPr>
            <w:tcW w:w="0" w:type="auto"/>
            <w:hideMark/>
          </w:tcPr>
          <w:p w14:paraId="3D31A990"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Preferred Model</w:t>
            </w:r>
          </w:p>
        </w:tc>
      </w:tr>
      <w:tr w:rsidR="00A15B6B" w:rsidRPr="00A15B6B" w14:paraId="4A7FCC3E" w14:textId="77777777" w:rsidTr="00426201">
        <w:tc>
          <w:tcPr>
            <w:tcW w:w="0" w:type="auto"/>
            <w:hideMark/>
          </w:tcPr>
          <w:p w14:paraId="5EE219E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DPR</w:t>
            </w:r>
          </w:p>
        </w:tc>
        <w:tc>
          <w:tcPr>
            <w:tcW w:w="0" w:type="auto"/>
            <w:hideMark/>
          </w:tcPr>
          <w:p w14:paraId="23082D2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3.216</w:t>
            </w:r>
          </w:p>
        </w:tc>
        <w:tc>
          <w:tcPr>
            <w:tcW w:w="0" w:type="auto"/>
            <w:hideMark/>
          </w:tcPr>
          <w:p w14:paraId="0BB8E52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0.416</w:t>
            </w:r>
          </w:p>
        </w:tc>
        <w:tc>
          <w:tcPr>
            <w:tcW w:w="0" w:type="auto"/>
            <w:hideMark/>
          </w:tcPr>
          <w:p w14:paraId="4F3C7EB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5ED5C8A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36018892" w14:textId="77777777" w:rsidTr="00426201">
        <w:tc>
          <w:tcPr>
            <w:tcW w:w="0" w:type="auto"/>
            <w:hideMark/>
          </w:tcPr>
          <w:p w14:paraId="23CB3FF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DY</w:t>
            </w:r>
          </w:p>
        </w:tc>
        <w:tc>
          <w:tcPr>
            <w:tcW w:w="0" w:type="auto"/>
            <w:hideMark/>
          </w:tcPr>
          <w:p w14:paraId="4762A21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2.981</w:t>
            </w:r>
          </w:p>
        </w:tc>
        <w:tc>
          <w:tcPr>
            <w:tcW w:w="0" w:type="auto"/>
            <w:hideMark/>
          </w:tcPr>
          <w:p w14:paraId="2DF1AD7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0.387</w:t>
            </w:r>
          </w:p>
        </w:tc>
        <w:tc>
          <w:tcPr>
            <w:tcW w:w="0" w:type="auto"/>
            <w:hideMark/>
          </w:tcPr>
          <w:p w14:paraId="2B97946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712510C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5458A41C" w14:textId="77777777" w:rsidTr="00426201">
        <w:tc>
          <w:tcPr>
            <w:tcW w:w="0" w:type="auto"/>
            <w:hideMark/>
          </w:tcPr>
          <w:p w14:paraId="73E120A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DCR</w:t>
            </w:r>
          </w:p>
        </w:tc>
        <w:tc>
          <w:tcPr>
            <w:tcW w:w="0" w:type="auto"/>
            <w:hideMark/>
          </w:tcPr>
          <w:p w14:paraId="1EADA74B"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3.451</w:t>
            </w:r>
          </w:p>
        </w:tc>
        <w:tc>
          <w:tcPr>
            <w:tcW w:w="0" w:type="auto"/>
            <w:hideMark/>
          </w:tcPr>
          <w:p w14:paraId="06F7A3D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0.432</w:t>
            </w:r>
          </w:p>
        </w:tc>
        <w:tc>
          <w:tcPr>
            <w:tcW w:w="0" w:type="auto"/>
            <w:hideMark/>
          </w:tcPr>
          <w:p w14:paraId="65544BE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6DF1125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6A5AF1CC" w14:textId="77777777" w:rsidTr="00426201">
        <w:tc>
          <w:tcPr>
            <w:tcW w:w="0" w:type="auto"/>
            <w:hideMark/>
          </w:tcPr>
          <w:p w14:paraId="679CBB9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w:t>
            </w:r>
          </w:p>
        </w:tc>
        <w:tc>
          <w:tcPr>
            <w:tcW w:w="0" w:type="auto"/>
            <w:hideMark/>
          </w:tcPr>
          <w:p w14:paraId="02D5352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3.138</w:t>
            </w:r>
          </w:p>
        </w:tc>
        <w:tc>
          <w:tcPr>
            <w:tcW w:w="0" w:type="auto"/>
            <w:hideMark/>
          </w:tcPr>
          <w:p w14:paraId="48659DFE"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0.405</w:t>
            </w:r>
          </w:p>
        </w:tc>
        <w:tc>
          <w:tcPr>
            <w:tcW w:w="0" w:type="auto"/>
            <w:hideMark/>
          </w:tcPr>
          <w:p w14:paraId="7D6AFE4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0CA9D4F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bl>
    <w:p w14:paraId="3DFB0D8E"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6343D062"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All p-values exceeded 0.05, indicating the RE model is appropriate. It accounts for time-invariant heterogeneity across firms and shocks specific to periods, providing consistent and efficient estimates.</w:t>
      </w:r>
    </w:p>
    <w:p w14:paraId="3B9E2A9A" w14:textId="7A0C5F04"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Normality Check</w:t>
      </w:r>
    </w:p>
    <w:p w14:paraId="3DD5181C"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Shapiro–Wilk test assessed whether residuals were normally distributed, a prerequisite for valid t- and F-tests. Graphical assessments, including Q-Q plots and histograms, supported the statistical results.</w:t>
      </w:r>
    </w:p>
    <w:p w14:paraId="330AAC8F" w14:textId="70C797CE"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Table 4: Shapiro–Wilk Normality Test Results</w:t>
      </w:r>
    </w:p>
    <w:tbl>
      <w:tblPr>
        <w:tblStyle w:val="TableGrid1"/>
        <w:tblW w:w="0" w:type="auto"/>
        <w:tblLook w:val="04A0" w:firstRow="1" w:lastRow="0" w:firstColumn="1" w:lastColumn="0" w:noHBand="0" w:noVBand="1"/>
      </w:tblPr>
      <w:tblGrid>
        <w:gridCol w:w="1543"/>
        <w:gridCol w:w="977"/>
        <w:gridCol w:w="3516"/>
      </w:tblGrid>
      <w:tr w:rsidR="00A15B6B" w:rsidRPr="00A15B6B" w14:paraId="503437A7" w14:textId="77777777" w:rsidTr="00426201">
        <w:tc>
          <w:tcPr>
            <w:tcW w:w="0" w:type="auto"/>
            <w:hideMark/>
          </w:tcPr>
          <w:p w14:paraId="3B8AC13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Test Statistic</w:t>
            </w:r>
          </w:p>
        </w:tc>
        <w:tc>
          <w:tcPr>
            <w:tcW w:w="0" w:type="auto"/>
            <w:hideMark/>
          </w:tcPr>
          <w:p w14:paraId="55243273"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68B05831"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55A89B97" w14:textId="77777777" w:rsidTr="00426201">
        <w:tc>
          <w:tcPr>
            <w:tcW w:w="0" w:type="auto"/>
            <w:hideMark/>
          </w:tcPr>
          <w:p w14:paraId="7E47D21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0.972</w:t>
            </w:r>
          </w:p>
        </w:tc>
        <w:tc>
          <w:tcPr>
            <w:tcW w:w="0" w:type="auto"/>
            <w:hideMark/>
          </w:tcPr>
          <w:p w14:paraId="2452AC3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0.186</w:t>
            </w:r>
          </w:p>
        </w:tc>
        <w:tc>
          <w:tcPr>
            <w:tcW w:w="0" w:type="auto"/>
            <w:hideMark/>
          </w:tcPr>
          <w:p w14:paraId="12A4C1B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Residuals are normally distributed</w:t>
            </w:r>
          </w:p>
        </w:tc>
      </w:tr>
    </w:tbl>
    <w:p w14:paraId="4065D156"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1D1CB626"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lastRenderedPageBreak/>
        <w:t>The p-value of 0.186 exceeds 0.05, confirming normality of residuals.</w:t>
      </w:r>
    </w:p>
    <w:p w14:paraId="7184847A" w14:textId="3EB7E6F6"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Heteroscedasticity Evaluation</w:t>
      </w:r>
    </w:p>
    <w:p w14:paraId="03DB30C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Breusch–Pagan test evaluated constant error variance.</w:t>
      </w:r>
    </w:p>
    <w:p w14:paraId="0AEA66CF" w14:textId="4422E74A"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5</w:t>
      </w:r>
      <w:r w:rsidRPr="00A15B6B">
        <w:rPr>
          <w:rFonts w:eastAsia="Times New Roman" w:cs="Times New Roman"/>
          <w:b/>
          <w:bCs/>
          <w:color w:val="auto"/>
          <w:szCs w:val="24"/>
          <w14:ligatures w14:val="none"/>
        </w:rPr>
        <w:t>: Breusch–Pagan Test for Heteroscedasticity</w:t>
      </w:r>
    </w:p>
    <w:tbl>
      <w:tblPr>
        <w:tblStyle w:val="TableGrid1"/>
        <w:tblW w:w="0" w:type="auto"/>
        <w:tblLook w:val="04A0" w:firstRow="1" w:lastRow="0" w:firstColumn="1" w:lastColumn="0" w:noHBand="0" w:noVBand="1"/>
      </w:tblPr>
      <w:tblGrid>
        <w:gridCol w:w="2290"/>
        <w:gridCol w:w="977"/>
        <w:gridCol w:w="2823"/>
      </w:tblGrid>
      <w:tr w:rsidR="00A15B6B" w:rsidRPr="00A15B6B" w14:paraId="3F640B7D" w14:textId="77777777" w:rsidTr="00426201">
        <w:tc>
          <w:tcPr>
            <w:tcW w:w="0" w:type="auto"/>
            <w:hideMark/>
          </w:tcPr>
          <w:p w14:paraId="5D76CEF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Chi-Square Statistic</w:t>
            </w:r>
          </w:p>
        </w:tc>
        <w:tc>
          <w:tcPr>
            <w:tcW w:w="0" w:type="auto"/>
            <w:hideMark/>
          </w:tcPr>
          <w:p w14:paraId="31EFBE2A"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55F2D92"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434CB702" w14:textId="77777777" w:rsidTr="00426201">
        <w:tc>
          <w:tcPr>
            <w:tcW w:w="0" w:type="auto"/>
            <w:hideMark/>
          </w:tcPr>
          <w:p w14:paraId="7C197EE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7.842</w:t>
            </w:r>
          </w:p>
        </w:tc>
        <w:tc>
          <w:tcPr>
            <w:tcW w:w="0" w:type="auto"/>
            <w:hideMark/>
          </w:tcPr>
          <w:p w14:paraId="7925F1C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0.254</w:t>
            </w:r>
          </w:p>
        </w:tc>
        <w:tc>
          <w:tcPr>
            <w:tcW w:w="0" w:type="auto"/>
            <w:hideMark/>
          </w:tcPr>
          <w:p w14:paraId="3FB9505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Homoscedasticity assumed</w:t>
            </w:r>
          </w:p>
        </w:tc>
      </w:tr>
    </w:tbl>
    <w:p w14:paraId="71159C8B"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6523720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p-value &gt; 0.05 confirmed homoscedasticity, ensuring valid standard errors.</w:t>
      </w:r>
    </w:p>
    <w:p w14:paraId="1BD9BE20" w14:textId="48F6CA33"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Autocorrelation Detection</w:t>
      </w:r>
    </w:p>
    <w:p w14:paraId="0B5F8DB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Durbin–Watson (DW) test detected serial correlation among residuals.</w:t>
      </w:r>
    </w:p>
    <w:p w14:paraId="6BCC993E" w14:textId="0F6902D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6</w:t>
      </w:r>
      <w:r w:rsidRPr="00A15B6B">
        <w:rPr>
          <w:rFonts w:eastAsia="Times New Roman" w:cs="Times New Roman"/>
          <w:b/>
          <w:bCs/>
          <w:color w:val="auto"/>
          <w:szCs w:val="24"/>
          <w14:ligatures w14:val="none"/>
        </w:rPr>
        <w:t>: Durbin–Watson Test Results</w:t>
      </w:r>
    </w:p>
    <w:tbl>
      <w:tblPr>
        <w:tblStyle w:val="TableGrid1"/>
        <w:tblW w:w="0" w:type="auto"/>
        <w:tblLook w:val="04A0" w:firstRow="1" w:lastRow="0" w:firstColumn="1" w:lastColumn="0" w:noHBand="0" w:noVBand="1"/>
      </w:tblPr>
      <w:tblGrid>
        <w:gridCol w:w="2456"/>
        <w:gridCol w:w="1516"/>
        <w:gridCol w:w="2882"/>
      </w:tblGrid>
      <w:tr w:rsidR="00A15B6B" w:rsidRPr="00A15B6B" w14:paraId="22255451" w14:textId="77777777" w:rsidTr="00426201">
        <w:tc>
          <w:tcPr>
            <w:tcW w:w="0" w:type="auto"/>
            <w:hideMark/>
          </w:tcPr>
          <w:p w14:paraId="231FD1B7"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Model</w:t>
            </w:r>
          </w:p>
        </w:tc>
        <w:tc>
          <w:tcPr>
            <w:tcW w:w="0" w:type="auto"/>
            <w:hideMark/>
          </w:tcPr>
          <w:p w14:paraId="16BD2C6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DW Statistic</w:t>
            </w:r>
          </w:p>
        </w:tc>
        <w:tc>
          <w:tcPr>
            <w:tcW w:w="0" w:type="auto"/>
            <w:hideMark/>
          </w:tcPr>
          <w:p w14:paraId="725E2E5B"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6770ED3E" w14:textId="77777777" w:rsidTr="00426201">
        <w:tc>
          <w:tcPr>
            <w:tcW w:w="0" w:type="auto"/>
            <w:hideMark/>
          </w:tcPr>
          <w:p w14:paraId="0D2079A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 Model</w:t>
            </w:r>
          </w:p>
        </w:tc>
        <w:tc>
          <w:tcPr>
            <w:tcW w:w="0" w:type="auto"/>
            <w:hideMark/>
          </w:tcPr>
          <w:p w14:paraId="31E6AC9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1.984</w:t>
            </w:r>
          </w:p>
        </w:tc>
        <w:tc>
          <w:tcPr>
            <w:tcW w:w="0" w:type="auto"/>
            <w:hideMark/>
          </w:tcPr>
          <w:p w14:paraId="79770E6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No autocorrelation detected</w:t>
            </w:r>
          </w:p>
        </w:tc>
      </w:tr>
    </w:tbl>
    <w:p w14:paraId="724A63B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2AE0A83E"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DW statistic near 2 indicates residual independence.</w:t>
      </w:r>
    </w:p>
    <w:p w14:paraId="07A32C11" w14:textId="2BFB399B"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Multicollinearity Test</w:t>
      </w:r>
    </w:p>
    <w:p w14:paraId="19DE3DFA"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Variance Inflation Factor (VIF) assessed multicollinearity among predictors.</w:t>
      </w:r>
    </w:p>
    <w:p w14:paraId="7DFC6354" w14:textId="28985E4F"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7</w:t>
      </w:r>
      <w:r w:rsidRPr="00A15B6B">
        <w:rPr>
          <w:rFonts w:eastAsia="Times New Roman" w:cs="Times New Roman"/>
          <w:b/>
          <w:bCs/>
          <w:color w:val="auto"/>
          <w:szCs w:val="24"/>
          <w14:ligatures w14:val="none"/>
        </w:rPr>
        <w:t>: Multicollinearity Test Results (VIF)</w:t>
      </w:r>
    </w:p>
    <w:tbl>
      <w:tblPr>
        <w:tblStyle w:val="TableGrid1"/>
        <w:tblW w:w="0" w:type="auto"/>
        <w:tblLook w:val="04A0" w:firstRow="1" w:lastRow="0" w:firstColumn="1" w:lastColumn="0" w:noHBand="0" w:noVBand="1"/>
      </w:tblPr>
      <w:tblGrid>
        <w:gridCol w:w="2335"/>
        <w:gridCol w:w="1620"/>
        <w:gridCol w:w="2250"/>
      </w:tblGrid>
      <w:tr w:rsidR="00A15B6B" w:rsidRPr="00A15B6B" w14:paraId="3ACBECB6" w14:textId="77777777" w:rsidTr="00426201">
        <w:tc>
          <w:tcPr>
            <w:tcW w:w="2335" w:type="dxa"/>
            <w:hideMark/>
          </w:tcPr>
          <w:p w14:paraId="567B809B"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Variable</w:t>
            </w:r>
          </w:p>
        </w:tc>
        <w:tc>
          <w:tcPr>
            <w:tcW w:w="1620" w:type="dxa"/>
            <w:hideMark/>
          </w:tcPr>
          <w:p w14:paraId="5B01942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VIF</w:t>
            </w:r>
          </w:p>
        </w:tc>
        <w:tc>
          <w:tcPr>
            <w:tcW w:w="2250" w:type="dxa"/>
            <w:hideMark/>
          </w:tcPr>
          <w:p w14:paraId="669D4779"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1/VIF</w:t>
            </w:r>
          </w:p>
        </w:tc>
      </w:tr>
      <w:tr w:rsidR="00A15B6B" w:rsidRPr="00A15B6B" w14:paraId="17175FF6" w14:textId="77777777" w:rsidTr="00426201">
        <w:tc>
          <w:tcPr>
            <w:tcW w:w="2335" w:type="dxa"/>
            <w:hideMark/>
          </w:tcPr>
          <w:p w14:paraId="3C44D05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DPR</w:t>
            </w:r>
          </w:p>
        </w:tc>
        <w:tc>
          <w:tcPr>
            <w:tcW w:w="1620" w:type="dxa"/>
            <w:hideMark/>
          </w:tcPr>
          <w:p w14:paraId="36F98BB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1.84</w:t>
            </w:r>
          </w:p>
        </w:tc>
        <w:tc>
          <w:tcPr>
            <w:tcW w:w="2250" w:type="dxa"/>
            <w:hideMark/>
          </w:tcPr>
          <w:p w14:paraId="1E72043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0.544</w:t>
            </w:r>
          </w:p>
        </w:tc>
      </w:tr>
      <w:tr w:rsidR="00A15B6B" w:rsidRPr="00A15B6B" w14:paraId="507C004B" w14:textId="77777777" w:rsidTr="00426201">
        <w:tc>
          <w:tcPr>
            <w:tcW w:w="2335" w:type="dxa"/>
            <w:hideMark/>
          </w:tcPr>
          <w:p w14:paraId="76C90E8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DY</w:t>
            </w:r>
          </w:p>
        </w:tc>
        <w:tc>
          <w:tcPr>
            <w:tcW w:w="1620" w:type="dxa"/>
            <w:hideMark/>
          </w:tcPr>
          <w:p w14:paraId="1A3F005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1.72</w:t>
            </w:r>
          </w:p>
        </w:tc>
        <w:tc>
          <w:tcPr>
            <w:tcW w:w="2250" w:type="dxa"/>
            <w:hideMark/>
          </w:tcPr>
          <w:p w14:paraId="7DFC3B4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0.581</w:t>
            </w:r>
          </w:p>
        </w:tc>
      </w:tr>
      <w:tr w:rsidR="00A15B6B" w:rsidRPr="00A15B6B" w14:paraId="273463E6" w14:textId="77777777" w:rsidTr="00426201">
        <w:tc>
          <w:tcPr>
            <w:tcW w:w="2335" w:type="dxa"/>
            <w:hideMark/>
          </w:tcPr>
          <w:p w14:paraId="402418E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DCR</w:t>
            </w:r>
          </w:p>
        </w:tc>
        <w:tc>
          <w:tcPr>
            <w:tcW w:w="1620" w:type="dxa"/>
            <w:hideMark/>
          </w:tcPr>
          <w:p w14:paraId="43DB758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1.69</w:t>
            </w:r>
          </w:p>
        </w:tc>
        <w:tc>
          <w:tcPr>
            <w:tcW w:w="2250" w:type="dxa"/>
            <w:hideMark/>
          </w:tcPr>
          <w:p w14:paraId="5539D886"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0.592</w:t>
            </w:r>
          </w:p>
        </w:tc>
      </w:tr>
      <w:tr w:rsidR="00A15B6B" w:rsidRPr="00A15B6B" w14:paraId="5A7E125D" w14:textId="77777777" w:rsidTr="00426201">
        <w:tc>
          <w:tcPr>
            <w:tcW w:w="2335" w:type="dxa"/>
            <w:hideMark/>
          </w:tcPr>
          <w:p w14:paraId="1FE9328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w:t>
            </w:r>
          </w:p>
        </w:tc>
        <w:tc>
          <w:tcPr>
            <w:tcW w:w="1620" w:type="dxa"/>
            <w:hideMark/>
          </w:tcPr>
          <w:p w14:paraId="5043C22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1.21</w:t>
            </w:r>
          </w:p>
        </w:tc>
        <w:tc>
          <w:tcPr>
            <w:tcW w:w="2250" w:type="dxa"/>
            <w:hideMark/>
          </w:tcPr>
          <w:p w14:paraId="527B2D1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0.826</w:t>
            </w:r>
          </w:p>
        </w:tc>
      </w:tr>
    </w:tbl>
    <w:p w14:paraId="3193646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7E7FD5D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VIF values below 10 and tolerance values above 0.1 indicate low multicollinearity, confirming that explanatory variables independently contribute to explaining firm profitability.</w:t>
      </w:r>
    </w:p>
    <w:p w14:paraId="3F6FDB0A" w14:textId="7866D5A3" w:rsidR="000804D7" w:rsidRDefault="000804D7" w:rsidP="00511FA2">
      <w:pPr>
        <w:spacing w:line="240" w:lineRule="auto"/>
        <w:rPr>
          <w:rFonts w:eastAsia="Times New Roman" w:cs="Times New Roman"/>
          <w:color w:val="auto"/>
          <w:szCs w:val="24"/>
          <w14:ligatures w14:val="none"/>
        </w:rPr>
      </w:pPr>
    </w:p>
    <w:p w14:paraId="09E9F11A" w14:textId="038A420E" w:rsidR="005713C2" w:rsidRPr="005713C2" w:rsidRDefault="005713C2" w:rsidP="005713C2">
      <w:pPr>
        <w:spacing w:line="240" w:lineRule="auto"/>
        <w:rPr>
          <w:b/>
          <w:sz w:val="28"/>
        </w:rPr>
      </w:pPr>
      <w:r w:rsidRPr="005713C2">
        <w:rPr>
          <w:b/>
          <w:sz w:val="28"/>
        </w:rPr>
        <w:lastRenderedPageBreak/>
        <w:t>Correlation Analysis</w:t>
      </w:r>
    </w:p>
    <w:p w14:paraId="7EAE75D8" w14:textId="77777777" w:rsidR="00426201" w:rsidRPr="00426201" w:rsidRDefault="00426201" w:rsidP="00426201">
      <w:pPr>
        <w:shd w:val="clear" w:color="auto" w:fill="FFFFFF"/>
        <w:spacing w:line="240" w:lineRule="auto"/>
      </w:pPr>
      <w:r w:rsidRPr="00426201">
        <w:t>To assess the direction and strength of the linear relationship between dividend policy indicators and profitability (ROA) of non-financial companies listed on the NSE, a Pearson correlation analysis was conducted, as it reliably evaluates linear relationships between continuous variables (Kothari, 2014). Correlation values range from -1 to +1, with values near +1 indicating strong positive relationships, values near -1 indicating strong negative relationships, and values near 0 showing weak or no linear association.</w:t>
      </w:r>
    </w:p>
    <w:p w14:paraId="05EBE91E" w14:textId="2AFECC65" w:rsidR="00426201" w:rsidRPr="00426201" w:rsidRDefault="00426201" w:rsidP="00426201">
      <w:pPr>
        <w:shd w:val="clear" w:color="auto" w:fill="FFFFFF"/>
        <w:spacing w:line="240" w:lineRule="auto"/>
      </w:pPr>
      <w:r w:rsidRPr="00426201">
        <w:t>Table 7 indicates that all independent variables are positively correlated with ROA, suggesting that better dividend policy practices are associated with higher profitability. Specifically, Dividend Payout Ratio (DPR, r = 0.516) and Dividend Yield (DY, r = 0.437) show moderate positive correlations, implying that companies paying larger dividends or yielding higher returns per share tend to be more profitable. Dividend Coverage Ratio (DCR, r = 0.321) and Dividend Changes (DC, r = 0.418) also correlate positively but less strongly, indicating that steady dividend growth and strong coverage enhance financial stability.</w:t>
      </w:r>
    </w:p>
    <w:p w14:paraId="465ACAF0" w14:textId="77777777" w:rsidR="00426201" w:rsidRPr="00426201" w:rsidRDefault="00426201" w:rsidP="00426201">
      <w:pPr>
        <w:shd w:val="clear" w:color="auto" w:fill="FFFFFF"/>
        <w:spacing w:line="240" w:lineRule="auto"/>
      </w:pPr>
      <w:r w:rsidRPr="00426201">
        <w:t>Inter-variable correlations among DPR, DY, DCR, and DC remain below 0.70, confirming the absence of serious multicollinearity and supporting their simultaneous inclusion in the regression model. These results demonstrate that each dividend metric contributes unique information to explaining profitability.</w:t>
      </w:r>
    </w:p>
    <w:p w14:paraId="24282504" w14:textId="2817E3B8" w:rsidR="00426201" w:rsidRPr="00426201" w:rsidRDefault="00426201" w:rsidP="00426201">
      <w:pPr>
        <w:shd w:val="clear" w:color="auto" w:fill="FFFFFF"/>
        <w:spacing w:line="240" w:lineRule="auto"/>
      </w:pPr>
      <w:r w:rsidRPr="00426201">
        <w:rPr>
          <w:b/>
          <w:bCs/>
        </w:rPr>
        <w:t xml:space="preserve">Table </w:t>
      </w:r>
      <w:r>
        <w:rPr>
          <w:b/>
          <w:bCs/>
        </w:rPr>
        <w:t>8</w:t>
      </w:r>
      <w:r w:rsidRPr="00426201">
        <w:rPr>
          <w:b/>
          <w:bCs/>
        </w:rPr>
        <w:t>: Correlation Matrix</w:t>
      </w:r>
    </w:p>
    <w:tbl>
      <w:tblPr>
        <w:tblStyle w:val="TableGrid1"/>
        <w:tblW w:w="0" w:type="auto"/>
        <w:tblLook w:val="04A0" w:firstRow="1" w:lastRow="0" w:firstColumn="1" w:lastColumn="0" w:noHBand="0" w:noVBand="1"/>
      </w:tblPr>
      <w:tblGrid>
        <w:gridCol w:w="3156"/>
        <w:gridCol w:w="756"/>
        <w:gridCol w:w="756"/>
        <w:gridCol w:w="756"/>
        <w:gridCol w:w="756"/>
        <w:gridCol w:w="756"/>
      </w:tblGrid>
      <w:tr w:rsidR="00426201" w:rsidRPr="00426201" w14:paraId="07083583" w14:textId="77777777" w:rsidTr="00426201">
        <w:tc>
          <w:tcPr>
            <w:tcW w:w="0" w:type="auto"/>
            <w:hideMark/>
          </w:tcPr>
          <w:p w14:paraId="3320DD66" w14:textId="77777777" w:rsidR="00426201" w:rsidRPr="00426201" w:rsidRDefault="00426201" w:rsidP="00426201">
            <w:pPr>
              <w:shd w:val="clear" w:color="auto" w:fill="FFFFFF"/>
              <w:spacing w:line="240" w:lineRule="auto"/>
              <w:rPr>
                <w:b/>
                <w:bCs/>
              </w:rPr>
            </w:pPr>
            <w:r w:rsidRPr="00426201">
              <w:rPr>
                <w:b/>
                <w:bCs/>
              </w:rPr>
              <w:t>Variable</w:t>
            </w:r>
          </w:p>
        </w:tc>
        <w:tc>
          <w:tcPr>
            <w:tcW w:w="0" w:type="auto"/>
            <w:hideMark/>
          </w:tcPr>
          <w:p w14:paraId="0EDA6ED2" w14:textId="77777777" w:rsidR="00426201" w:rsidRPr="00426201" w:rsidRDefault="00426201" w:rsidP="00426201">
            <w:pPr>
              <w:shd w:val="clear" w:color="auto" w:fill="FFFFFF"/>
              <w:spacing w:line="240" w:lineRule="auto"/>
              <w:rPr>
                <w:b/>
                <w:bCs/>
              </w:rPr>
            </w:pPr>
            <w:r w:rsidRPr="00426201">
              <w:rPr>
                <w:b/>
                <w:bCs/>
              </w:rPr>
              <w:t>ROA</w:t>
            </w:r>
          </w:p>
        </w:tc>
        <w:tc>
          <w:tcPr>
            <w:tcW w:w="0" w:type="auto"/>
            <w:hideMark/>
          </w:tcPr>
          <w:p w14:paraId="6CDA1CD1" w14:textId="77777777" w:rsidR="00426201" w:rsidRPr="00426201" w:rsidRDefault="00426201" w:rsidP="00426201">
            <w:pPr>
              <w:shd w:val="clear" w:color="auto" w:fill="FFFFFF"/>
              <w:spacing w:line="240" w:lineRule="auto"/>
              <w:rPr>
                <w:b/>
                <w:bCs/>
              </w:rPr>
            </w:pPr>
            <w:r w:rsidRPr="00426201">
              <w:rPr>
                <w:b/>
                <w:bCs/>
              </w:rPr>
              <w:t>DPR</w:t>
            </w:r>
          </w:p>
        </w:tc>
        <w:tc>
          <w:tcPr>
            <w:tcW w:w="0" w:type="auto"/>
            <w:hideMark/>
          </w:tcPr>
          <w:p w14:paraId="0690766A" w14:textId="77777777" w:rsidR="00426201" w:rsidRPr="00426201" w:rsidRDefault="00426201" w:rsidP="00426201">
            <w:pPr>
              <w:shd w:val="clear" w:color="auto" w:fill="FFFFFF"/>
              <w:spacing w:line="240" w:lineRule="auto"/>
              <w:rPr>
                <w:b/>
                <w:bCs/>
              </w:rPr>
            </w:pPr>
            <w:r w:rsidRPr="00426201">
              <w:rPr>
                <w:b/>
                <w:bCs/>
              </w:rPr>
              <w:t>DY</w:t>
            </w:r>
          </w:p>
        </w:tc>
        <w:tc>
          <w:tcPr>
            <w:tcW w:w="0" w:type="auto"/>
            <w:hideMark/>
          </w:tcPr>
          <w:p w14:paraId="6F1B76FA" w14:textId="77777777" w:rsidR="00426201" w:rsidRPr="00426201" w:rsidRDefault="00426201" w:rsidP="00426201">
            <w:pPr>
              <w:shd w:val="clear" w:color="auto" w:fill="FFFFFF"/>
              <w:spacing w:line="240" w:lineRule="auto"/>
              <w:rPr>
                <w:b/>
                <w:bCs/>
              </w:rPr>
            </w:pPr>
            <w:r w:rsidRPr="00426201">
              <w:rPr>
                <w:b/>
                <w:bCs/>
              </w:rPr>
              <w:t>DCR</w:t>
            </w:r>
          </w:p>
        </w:tc>
        <w:tc>
          <w:tcPr>
            <w:tcW w:w="0" w:type="auto"/>
            <w:hideMark/>
          </w:tcPr>
          <w:p w14:paraId="0BB0570D" w14:textId="77777777" w:rsidR="00426201" w:rsidRPr="00426201" w:rsidRDefault="00426201" w:rsidP="00426201">
            <w:pPr>
              <w:shd w:val="clear" w:color="auto" w:fill="FFFFFF"/>
              <w:spacing w:line="240" w:lineRule="auto"/>
              <w:rPr>
                <w:b/>
                <w:bCs/>
              </w:rPr>
            </w:pPr>
            <w:r w:rsidRPr="00426201">
              <w:rPr>
                <w:b/>
                <w:bCs/>
              </w:rPr>
              <w:t>DC</w:t>
            </w:r>
          </w:p>
        </w:tc>
      </w:tr>
      <w:tr w:rsidR="00426201" w:rsidRPr="00426201" w14:paraId="00AEE397" w14:textId="77777777" w:rsidTr="00426201">
        <w:tc>
          <w:tcPr>
            <w:tcW w:w="0" w:type="auto"/>
            <w:hideMark/>
          </w:tcPr>
          <w:p w14:paraId="60F9A75F" w14:textId="77777777" w:rsidR="00426201" w:rsidRPr="00426201" w:rsidRDefault="00426201" w:rsidP="00426201">
            <w:pPr>
              <w:shd w:val="clear" w:color="auto" w:fill="FFFFFF"/>
              <w:spacing w:line="240" w:lineRule="auto"/>
            </w:pPr>
            <w:r w:rsidRPr="00426201">
              <w:t>ROA</w:t>
            </w:r>
          </w:p>
        </w:tc>
        <w:tc>
          <w:tcPr>
            <w:tcW w:w="0" w:type="auto"/>
            <w:hideMark/>
          </w:tcPr>
          <w:p w14:paraId="6496DDF9" w14:textId="77777777" w:rsidR="00426201" w:rsidRPr="00426201" w:rsidRDefault="00426201" w:rsidP="00426201">
            <w:pPr>
              <w:shd w:val="clear" w:color="auto" w:fill="FFFFFF"/>
              <w:spacing w:line="240" w:lineRule="auto"/>
            </w:pPr>
            <w:r w:rsidRPr="00426201">
              <w:t>1.000</w:t>
            </w:r>
          </w:p>
        </w:tc>
        <w:tc>
          <w:tcPr>
            <w:tcW w:w="0" w:type="auto"/>
            <w:hideMark/>
          </w:tcPr>
          <w:p w14:paraId="0ACE79F8" w14:textId="77777777" w:rsidR="00426201" w:rsidRPr="00426201" w:rsidRDefault="00426201" w:rsidP="00426201">
            <w:pPr>
              <w:shd w:val="clear" w:color="auto" w:fill="FFFFFF"/>
              <w:spacing w:line="240" w:lineRule="auto"/>
            </w:pPr>
          </w:p>
        </w:tc>
        <w:tc>
          <w:tcPr>
            <w:tcW w:w="0" w:type="auto"/>
            <w:hideMark/>
          </w:tcPr>
          <w:p w14:paraId="2E29D0C6" w14:textId="77777777" w:rsidR="00426201" w:rsidRPr="00426201" w:rsidRDefault="00426201" w:rsidP="00426201">
            <w:pPr>
              <w:shd w:val="clear" w:color="auto" w:fill="FFFFFF"/>
              <w:spacing w:line="240" w:lineRule="auto"/>
            </w:pPr>
          </w:p>
        </w:tc>
        <w:tc>
          <w:tcPr>
            <w:tcW w:w="0" w:type="auto"/>
            <w:hideMark/>
          </w:tcPr>
          <w:p w14:paraId="153AFFD1" w14:textId="77777777" w:rsidR="00426201" w:rsidRPr="00426201" w:rsidRDefault="00426201" w:rsidP="00426201">
            <w:pPr>
              <w:shd w:val="clear" w:color="auto" w:fill="FFFFFF"/>
              <w:spacing w:line="240" w:lineRule="auto"/>
            </w:pPr>
          </w:p>
        </w:tc>
        <w:tc>
          <w:tcPr>
            <w:tcW w:w="0" w:type="auto"/>
            <w:hideMark/>
          </w:tcPr>
          <w:p w14:paraId="1374BE22" w14:textId="77777777" w:rsidR="00426201" w:rsidRPr="00426201" w:rsidRDefault="00426201" w:rsidP="00426201">
            <w:pPr>
              <w:shd w:val="clear" w:color="auto" w:fill="FFFFFF"/>
              <w:spacing w:line="240" w:lineRule="auto"/>
            </w:pPr>
          </w:p>
        </w:tc>
      </w:tr>
      <w:tr w:rsidR="00426201" w:rsidRPr="00426201" w14:paraId="2CAB9E08" w14:textId="77777777" w:rsidTr="00426201">
        <w:tc>
          <w:tcPr>
            <w:tcW w:w="0" w:type="auto"/>
            <w:hideMark/>
          </w:tcPr>
          <w:p w14:paraId="505DC509" w14:textId="77777777" w:rsidR="00426201" w:rsidRPr="00426201" w:rsidRDefault="00426201" w:rsidP="00426201">
            <w:pPr>
              <w:shd w:val="clear" w:color="auto" w:fill="FFFFFF"/>
              <w:spacing w:line="240" w:lineRule="auto"/>
            </w:pPr>
            <w:r w:rsidRPr="00426201">
              <w:t>DPR</w:t>
            </w:r>
          </w:p>
        </w:tc>
        <w:tc>
          <w:tcPr>
            <w:tcW w:w="0" w:type="auto"/>
            <w:hideMark/>
          </w:tcPr>
          <w:p w14:paraId="385CD86B" w14:textId="77777777" w:rsidR="00426201" w:rsidRPr="00426201" w:rsidRDefault="00426201" w:rsidP="00426201">
            <w:pPr>
              <w:shd w:val="clear" w:color="auto" w:fill="FFFFFF"/>
              <w:spacing w:line="240" w:lineRule="auto"/>
            </w:pPr>
            <w:r w:rsidRPr="00426201">
              <w:t>0.516</w:t>
            </w:r>
          </w:p>
        </w:tc>
        <w:tc>
          <w:tcPr>
            <w:tcW w:w="0" w:type="auto"/>
            <w:hideMark/>
          </w:tcPr>
          <w:p w14:paraId="5CE74042" w14:textId="77777777" w:rsidR="00426201" w:rsidRPr="00426201" w:rsidRDefault="00426201" w:rsidP="00426201">
            <w:pPr>
              <w:shd w:val="clear" w:color="auto" w:fill="FFFFFF"/>
              <w:spacing w:line="240" w:lineRule="auto"/>
            </w:pPr>
            <w:r w:rsidRPr="00426201">
              <w:t>1.000</w:t>
            </w:r>
          </w:p>
        </w:tc>
        <w:tc>
          <w:tcPr>
            <w:tcW w:w="0" w:type="auto"/>
            <w:hideMark/>
          </w:tcPr>
          <w:p w14:paraId="2E991771" w14:textId="77777777" w:rsidR="00426201" w:rsidRPr="00426201" w:rsidRDefault="00426201" w:rsidP="00426201">
            <w:pPr>
              <w:shd w:val="clear" w:color="auto" w:fill="FFFFFF"/>
              <w:spacing w:line="240" w:lineRule="auto"/>
            </w:pPr>
          </w:p>
        </w:tc>
        <w:tc>
          <w:tcPr>
            <w:tcW w:w="0" w:type="auto"/>
            <w:hideMark/>
          </w:tcPr>
          <w:p w14:paraId="4225205E" w14:textId="77777777" w:rsidR="00426201" w:rsidRPr="00426201" w:rsidRDefault="00426201" w:rsidP="00426201">
            <w:pPr>
              <w:shd w:val="clear" w:color="auto" w:fill="FFFFFF"/>
              <w:spacing w:line="240" w:lineRule="auto"/>
            </w:pPr>
          </w:p>
        </w:tc>
        <w:tc>
          <w:tcPr>
            <w:tcW w:w="0" w:type="auto"/>
            <w:hideMark/>
          </w:tcPr>
          <w:p w14:paraId="25579995" w14:textId="77777777" w:rsidR="00426201" w:rsidRPr="00426201" w:rsidRDefault="00426201" w:rsidP="00426201">
            <w:pPr>
              <w:shd w:val="clear" w:color="auto" w:fill="FFFFFF"/>
              <w:spacing w:line="240" w:lineRule="auto"/>
            </w:pPr>
          </w:p>
        </w:tc>
      </w:tr>
      <w:tr w:rsidR="00426201" w:rsidRPr="00426201" w14:paraId="2C01B0A9" w14:textId="77777777" w:rsidTr="00426201">
        <w:tc>
          <w:tcPr>
            <w:tcW w:w="0" w:type="auto"/>
            <w:hideMark/>
          </w:tcPr>
          <w:p w14:paraId="4EDA5586" w14:textId="77777777" w:rsidR="00426201" w:rsidRPr="00426201" w:rsidRDefault="00426201" w:rsidP="00426201">
            <w:pPr>
              <w:shd w:val="clear" w:color="auto" w:fill="FFFFFF"/>
              <w:spacing w:line="240" w:lineRule="auto"/>
            </w:pPr>
            <w:r w:rsidRPr="00426201">
              <w:t>DY</w:t>
            </w:r>
          </w:p>
        </w:tc>
        <w:tc>
          <w:tcPr>
            <w:tcW w:w="0" w:type="auto"/>
            <w:hideMark/>
          </w:tcPr>
          <w:p w14:paraId="290FCD7F" w14:textId="77777777" w:rsidR="00426201" w:rsidRPr="00426201" w:rsidRDefault="00426201" w:rsidP="00426201">
            <w:pPr>
              <w:shd w:val="clear" w:color="auto" w:fill="FFFFFF"/>
              <w:spacing w:line="240" w:lineRule="auto"/>
            </w:pPr>
            <w:r w:rsidRPr="00426201">
              <w:t>0.437</w:t>
            </w:r>
          </w:p>
        </w:tc>
        <w:tc>
          <w:tcPr>
            <w:tcW w:w="0" w:type="auto"/>
            <w:hideMark/>
          </w:tcPr>
          <w:p w14:paraId="5E4B567B" w14:textId="77777777" w:rsidR="00426201" w:rsidRPr="00426201" w:rsidRDefault="00426201" w:rsidP="00426201">
            <w:pPr>
              <w:shd w:val="clear" w:color="auto" w:fill="FFFFFF"/>
              <w:spacing w:line="240" w:lineRule="auto"/>
            </w:pPr>
            <w:r w:rsidRPr="00426201">
              <w:t>0.584</w:t>
            </w:r>
          </w:p>
        </w:tc>
        <w:tc>
          <w:tcPr>
            <w:tcW w:w="0" w:type="auto"/>
            <w:hideMark/>
          </w:tcPr>
          <w:p w14:paraId="0B418241" w14:textId="77777777" w:rsidR="00426201" w:rsidRPr="00426201" w:rsidRDefault="00426201" w:rsidP="00426201">
            <w:pPr>
              <w:shd w:val="clear" w:color="auto" w:fill="FFFFFF"/>
              <w:spacing w:line="240" w:lineRule="auto"/>
            </w:pPr>
            <w:r w:rsidRPr="00426201">
              <w:t>1.000</w:t>
            </w:r>
          </w:p>
        </w:tc>
        <w:tc>
          <w:tcPr>
            <w:tcW w:w="0" w:type="auto"/>
            <w:hideMark/>
          </w:tcPr>
          <w:p w14:paraId="6B2EBBB9" w14:textId="77777777" w:rsidR="00426201" w:rsidRPr="00426201" w:rsidRDefault="00426201" w:rsidP="00426201">
            <w:pPr>
              <w:shd w:val="clear" w:color="auto" w:fill="FFFFFF"/>
              <w:spacing w:line="240" w:lineRule="auto"/>
            </w:pPr>
          </w:p>
        </w:tc>
        <w:tc>
          <w:tcPr>
            <w:tcW w:w="0" w:type="auto"/>
            <w:hideMark/>
          </w:tcPr>
          <w:p w14:paraId="7AE48650" w14:textId="77777777" w:rsidR="00426201" w:rsidRPr="00426201" w:rsidRDefault="00426201" w:rsidP="00426201">
            <w:pPr>
              <w:shd w:val="clear" w:color="auto" w:fill="FFFFFF"/>
              <w:spacing w:line="240" w:lineRule="auto"/>
            </w:pPr>
          </w:p>
        </w:tc>
      </w:tr>
      <w:tr w:rsidR="00426201" w:rsidRPr="00426201" w14:paraId="176A989B" w14:textId="77777777" w:rsidTr="00426201">
        <w:tc>
          <w:tcPr>
            <w:tcW w:w="0" w:type="auto"/>
            <w:hideMark/>
          </w:tcPr>
          <w:p w14:paraId="57E31823" w14:textId="77777777" w:rsidR="00426201" w:rsidRPr="00426201" w:rsidRDefault="00426201" w:rsidP="00426201">
            <w:pPr>
              <w:shd w:val="clear" w:color="auto" w:fill="FFFFFF"/>
              <w:spacing w:line="240" w:lineRule="auto"/>
            </w:pPr>
            <w:r w:rsidRPr="00426201">
              <w:t>DCR</w:t>
            </w:r>
          </w:p>
        </w:tc>
        <w:tc>
          <w:tcPr>
            <w:tcW w:w="0" w:type="auto"/>
            <w:hideMark/>
          </w:tcPr>
          <w:p w14:paraId="3E21E143" w14:textId="77777777" w:rsidR="00426201" w:rsidRPr="00426201" w:rsidRDefault="00426201" w:rsidP="00426201">
            <w:pPr>
              <w:shd w:val="clear" w:color="auto" w:fill="FFFFFF"/>
              <w:spacing w:line="240" w:lineRule="auto"/>
            </w:pPr>
            <w:r w:rsidRPr="00426201">
              <w:t>0.321</w:t>
            </w:r>
          </w:p>
        </w:tc>
        <w:tc>
          <w:tcPr>
            <w:tcW w:w="0" w:type="auto"/>
            <w:hideMark/>
          </w:tcPr>
          <w:p w14:paraId="34CBAC6B" w14:textId="77777777" w:rsidR="00426201" w:rsidRPr="00426201" w:rsidRDefault="00426201" w:rsidP="00426201">
            <w:pPr>
              <w:shd w:val="clear" w:color="auto" w:fill="FFFFFF"/>
              <w:spacing w:line="240" w:lineRule="auto"/>
            </w:pPr>
            <w:r w:rsidRPr="00426201">
              <w:t>0.293</w:t>
            </w:r>
          </w:p>
        </w:tc>
        <w:tc>
          <w:tcPr>
            <w:tcW w:w="0" w:type="auto"/>
            <w:hideMark/>
          </w:tcPr>
          <w:p w14:paraId="04A25FFD" w14:textId="77777777" w:rsidR="00426201" w:rsidRPr="00426201" w:rsidRDefault="00426201" w:rsidP="00426201">
            <w:pPr>
              <w:shd w:val="clear" w:color="auto" w:fill="FFFFFF"/>
              <w:spacing w:line="240" w:lineRule="auto"/>
            </w:pPr>
            <w:r w:rsidRPr="00426201">
              <w:t>0.276</w:t>
            </w:r>
          </w:p>
        </w:tc>
        <w:tc>
          <w:tcPr>
            <w:tcW w:w="0" w:type="auto"/>
            <w:hideMark/>
          </w:tcPr>
          <w:p w14:paraId="64491B97" w14:textId="77777777" w:rsidR="00426201" w:rsidRPr="00426201" w:rsidRDefault="00426201" w:rsidP="00426201">
            <w:pPr>
              <w:shd w:val="clear" w:color="auto" w:fill="FFFFFF"/>
              <w:spacing w:line="240" w:lineRule="auto"/>
            </w:pPr>
            <w:r w:rsidRPr="00426201">
              <w:t>1.000</w:t>
            </w:r>
          </w:p>
        </w:tc>
        <w:tc>
          <w:tcPr>
            <w:tcW w:w="0" w:type="auto"/>
            <w:hideMark/>
          </w:tcPr>
          <w:p w14:paraId="63B44FE9" w14:textId="77777777" w:rsidR="00426201" w:rsidRPr="00426201" w:rsidRDefault="00426201" w:rsidP="00426201">
            <w:pPr>
              <w:shd w:val="clear" w:color="auto" w:fill="FFFFFF"/>
              <w:spacing w:line="240" w:lineRule="auto"/>
            </w:pPr>
          </w:p>
        </w:tc>
      </w:tr>
      <w:tr w:rsidR="00426201" w:rsidRPr="00426201" w14:paraId="36C979BE" w14:textId="77777777" w:rsidTr="00426201">
        <w:tc>
          <w:tcPr>
            <w:tcW w:w="0" w:type="auto"/>
            <w:hideMark/>
          </w:tcPr>
          <w:p w14:paraId="6F6D288E" w14:textId="77777777" w:rsidR="00426201" w:rsidRPr="00426201" w:rsidRDefault="00426201" w:rsidP="00426201">
            <w:pPr>
              <w:shd w:val="clear" w:color="auto" w:fill="FFFFFF"/>
              <w:spacing w:line="240" w:lineRule="auto"/>
            </w:pPr>
            <w:r w:rsidRPr="00426201">
              <w:t>DC</w:t>
            </w:r>
          </w:p>
        </w:tc>
        <w:tc>
          <w:tcPr>
            <w:tcW w:w="0" w:type="auto"/>
            <w:hideMark/>
          </w:tcPr>
          <w:p w14:paraId="49B9BCE8" w14:textId="77777777" w:rsidR="00426201" w:rsidRPr="00426201" w:rsidRDefault="00426201" w:rsidP="00426201">
            <w:pPr>
              <w:shd w:val="clear" w:color="auto" w:fill="FFFFFF"/>
              <w:spacing w:line="240" w:lineRule="auto"/>
            </w:pPr>
            <w:r w:rsidRPr="00426201">
              <w:t>0.418</w:t>
            </w:r>
          </w:p>
        </w:tc>
        <w:tc>
          <w:tcPr>
            <w:tcW w:w="0" w:type="auto"/>
            <w:hideMark/>
          </w:tcPr>
          <w:p w14:paraId="7590EAB7" w14:textId="77777777" w:rsidR="00426201" w:rsidRPr="00426201" w:rsidRDefault="00426201" w:rsidP="00426201">
            <w:pPr>
              <w:shd w:val="clear" w:color="auto" w:fill="FFFFFF"/>
              <w:spacing w:line="240" w:lineRule="auto"/>
            </w:pPr>
            <w:r w:rsidRPr="00426201">
              <w:t>0.251</w:t>
            </w:r>
          </w:p>
        </w:tc>
        <w:tc>
          <w:tcPr>
            <w:tcW w:w="0" w:type="auto"/>
            <w:hideMark/>
          </w:tcPr>
          <w:p w14:paraId="538977E6" w14:textId="77777777" w:rsidR="00426201" w:rsidRPr="00426201" w:rsidRDefault="00426201" w:rsidP="00426201">
            <w:pPr>
              <w:shd w:val="clear" w:color="auto" w:fill="FFFFFF"/>
              <w:spacing w:line="240" w:lineRule="auto"/>
            </w:pPr>
            <w:r w:rsidRPr="00426201">
              <w:t>0.339</w:t>
            </w:r>
          </w:p>
        </w:tc>
        <w:tc>
          <w:tcPr>
            <w:tcW w:w="0" w:type="auto"/>
            <w:hideMark/>
          </w:tcPr>
          <w:p w14:paraId="5BC9917D" w14:textId="77777777" w:rsidR="00426201" w:rsidRPr="00426201" w:rsidRDefault="00426201" w:rsidP="00426201">
            <w:pPr>
              <w:shd w:val="clear" w:color="auto" w:fill="FFFFFF"/>
              <w:spacing w:line="240" w:lineRule="auto"/>
            </w:pPr>
            <w:r w:rsidRPr="00426201">
              <w:t>0.187</w:t>
            </w:r>
          </w:p>
        </w:tc>
        <w:tc>
          <w:tcPr>
            <w:tcW w:w="0" w:type="auto"/>
            <w:hideMark/>
          </w:tcPr>
          <w:p w14:paraId="5EDF4791" w14:textId="77777777" w:rsidR="00426201" w:rsidRPr="00426201" w:rsidRDefault="00426201" w:rsidP="00426201">
            <w:pPr>
              <w:shd w:val="clear" w:color="auto" w:fill="FFFFFF"/>
              <w:spacing w:line="240" w:lineRule="auto"/>
            </w:pPr>
            <w:r w:rsidRPr="00426201">
              <w:t>1.000</w:t>
            </w:r>
          </w:p>
        </w:tc>
      </w:tr>
      <w:tr w:rsidR="00426201" w:rsidRPr="00426201" w14:paraId="025D4154" w14:textId="77777777" w:rsidTr="00426201">
        <w:tc>
          <w:tcPr>
            <w:tcW w:w="0" w:type="auto"/>
            <w:hideMark/>
          </w:tcPr>
          <w:p w14:paraId="6A502F5C" w14:textId="77777777" w:rsidR="00426201" w:rsidRPr="00426201" w:rsidRDefault="00426201" w:rsidP="00426201">
            <w:pPr>
              <w:shd w:val="clear" w:color="auto" w:fill="FFFFFF"/>
              <w:spacing w:line="240" w:lineRule="auto"/>
            </w:pPr>
            <w:r w:rsidRPr="00426201">
              <w:rPr>
                <w:i/>
                <w:iCs/>
              </w:rPr>
              <w:t>Source: Research Data (2025)</w:t>
            </w:r>
          </w:p>
        </w:tc>
        <w:tc>
          <w:tcPr>
            <w:tcW w:w="0" w:type="auto"/>
            <w:hideMark/>
          </w:tcPr>
          <w:p w14:paraId="2135C540" w14:textId="77777777" w:rsidR="00426201" w:rsidRPr="00426201" w:rsidRDefault="00426201" w:rsidP="00426201">
            <w:pPr>
              <w:shd w:val="clear" w:color="auto" w:fill="FFFFFF"/>
              <w:spacing w:line="240" w:lineRule="auto"/>
            </w:pPr>
          </w:p>
        </w:tc>
        <w:tc>
          <w:tcPr>
            <w:tcW w:w="0" w:type="auto"/>
            <w:hideMark/>
          </w:tcPr>
          <w:p w14:paraId="26DCE026" w14:textId="77777777" w:rsidR="00426201" w:rsidRPr="00426201" w:rsidRDefault="00426201" w:rsidP="00426201">
            <w:pPr>
              <w:shd w:val="clear" w:color="auto" w:fill="FFFFFF"/>
              <w:spacing w:line="240" w:lineRule="auto"/>
            </w:pPr>
          </w:p>
        </w:tc>
        <w:tc>
          <w:tcPr>
            <w:tcW w:w="0" w:type="auto"/>
            <w:hideMark/>
          </w:tcPr>
          <w:p w14:paraId="028FD89E" w14:textId="77777777" w:rsidR="00426201" w:rsidRPr="00426201" w:rsidRDefault="00426201" w:rsidP="00426201">
            <w:pPr>
              <w:shd w:val="clear" w:color="auto" w:fill="FFFFFF"/>
              <w:spacing w:line="240" w:lineRule="auto"/>
            </w:pPr>
          </w:p>
        </w:tc>
        <w:tc>
          <w:tcPr>
            <w:tcW w:w="0" w:type="auto"/>
            <w:hideMark/>
          </w:tcPr>
          <w:p w14:paraId="6375CB76" w14:textId="77777777" w:rsidR="00426201" w:rsidRPr="00426201" w:rsidRDefault="00426201" w:rsidP="00426201">
            <w:pPr>
              <w:shd w:val="clear" w:color="auto" w:fill="FFFFFF"/>
              <w:spacing w:line="240" w:lineRule="auto"/>
            </w:pPr>
          </w:p>
        </w:tc>
        <w:tc>
          <w:tcPr>
            <w:tcW w:w="0" w:type="auto"/>
            <w:hideMark/>
          </w:tcPr>
          <w:p w14:paraId="390B5233" w14:textId="77777777" w:rsidR="00426201" w:rsidRPr="00426201" w:rsidRDefault="00426201" w:rsidP="00426201">
            <w:pPr>
              <w:shd w:val="clear" w:color="auto" w:fill="FFFFFF"/>
              <w:spacing w:line="240" w:lineRule="auto"/>
            </w:pPr>
          </w:p>
        </w:tc>
      </w:tr>
    </w:tbl>
    <w:p w14:paraId="5E21A308" w14:textId="54DCA497" w:rsidR="00426201" w:rsidRPr="00426201" w:rsidRDefault="00BF3C23" w:rsidP="00426201">
      <w:pPr>
        <w:shd w:val="clear" w:color="auto" w:fill="FFFFFF"/>
        <w:spacing w:line="240" w:lineRule="auto"/>
        <w:rPr>
          <w:b/>
          <w:sz w:val="28"/>
        </w:rPr>
      </w:pPr>
      <w:r w:rsidRPr="00BF3C23">
        <w:rPr>
          <w:b/>
          <w:sz w:val="28"/>
        </w:rPr>
        <w:t>Hypotheses Testing</w:t>
      </w:r>
    </w:p>
    <w:p w14:paraId="4B784013" w14:textId="6BE54032" w:rsidR="00426201" w:rsidRPr="00426201" w:rsidRDefault="00B26084" w:rsidP="00426201">
      <w:pPr>
        <w:shd w:val="clear" w:color="auto" w:fill="FFFFFF"/>
        <w:spacing w:line="240" w:lineRule="auto"/>
        <w:rPr>
          <w:rFonts w:eastAsia="Times New Roman" w:cs="Times New Roman"/>
          <w:bCs/>
          <w:color w:val="000000" w:themeColor="text1"/>
          <w:szCs w:val="28"/>
        </w:rPr>
      </w:pPr>
      <w:r>
        <w:rPr>
          <w:rFonts w:eastAsia="Times New Roman" w:cs="Times New Roman"/>
          <w:b/>
          <w:bCs/>
          <w:color w:val="000000" w:themeColor="text1"/>
          <w:szCs w:val="28"/>
        </w:rPr>
        <w:t xml:space="preserve">Table 9: </w:t>
      </w:r>
      <w:r w:rsidR="00426201" w:rsidRPr="00426201">
        <w:rPr>
          <w:rFonts w:eastAsia="Times New Roman" w:cs="Times New Roman"/>
          <w:b/>
          <w:bCs/>
          <w:color w:val="000000" w:themeColor="text1"/>
          <w:szCs w:val="28"/>
        </w:rPr>
        <w:t xml:space="preserve"> Hypothesis Testing and Interpretation</w:t>
      </w:r>
    </w:p>
    <w:tbl>
      <w:tblPr>
        <w:tblStyle w:val="TableGrid1"/>
        <w:tblW w:w="0" w:type="auto"/>
        <w:tblLook w:val="04A0" w:firstRow="1" w:lastRow="0" w:firstColumn="1" w:lastColumn="0" w:noHBand="0" w:noVBand="1"/>
      </w:tblPr>
      <w:tblGrid>
        <w:gridCol w:w="2264"/>
        <w:gridCol w:w="2502"/>
        <w:gridCol w:w="6254"/>
      </w:tblGrid>
      <w:tr w:rsidR="00426201" w:rsidRPr="00426201" w14:paraId="1B5C3D8E" w14:textId="77777777" w:rsidTr="00426201">
        <w:tc>
          <w:tcPr>
            <w:tcW w:w="0" w:type="auto"/>
            <w:hideMark/>
          </w:tcPr>
          <w:p w14:paraId="5F3EEE65"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Hypothesis</w:t>
            </w:r>
          </w:p>
        </w:tc>
        <w:tc>
          <w:tcPr>
            <w:tcW w:w="0" w:type="auto"/>
            <w:hideMark/>
          </w:tcPr>
          <w:p w14:paraId="0C4C7C33"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Findings</w:t>
            </w:r>
          </w:p>
        </w:tc>
        <w:tc>
          <w:tcPr>
            <w:tcW w:w="0" w:type="auto"/>
            <w:hideMark/>
          </w:tcPr>
          <w:p w14:paraId="6D456C65"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Interpretation</w:t>
            </w:r>
          </w:p>
        </w:tc>
      </w:tr>
      <w:tr w:rsidR="00426201" w:rsidRPr="00426201" w14:paraId="690E2BDB" w14:textId="77777777" w:rsidTr="00426201">
        <w:tc>
          <w:tcPr>
            <w:tcW w:w="0" w:type="auto"/>
            <w:hideMark/>
          </w:tcPr>
          <w:p w14:paraId="3CB2229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H01: Dividend Yield (DY) and Profitability</w:t>
            </w:r>
          </w:p>
        </w:tc>
        <w:tc>
          <w:tcPr>
            <w:tcW w:w="0" w:type="auto"/>
            <w:hideMark/>
          </w:tcPr>
          <w:p w14:paraId="18E4CE13"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Regression results show a positive and significant relationship (β = 0.213, p = 0.024).</w:t>
            </w:r>
          </w:p>
        </w:tc>
        <w:tc>
          <w:tcPr>
            <w:tcW w:w="0" w:type="auto"/>
            <w:hideMark/>
          </w:tcPr>
          <w:p w14:paraId="1CC267A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Companies with higher dividend yields demonstrate greater profitability. High DY signals adequate cash flows to compensate shareholders, attracting investment and encouraging managerial efficiency. This aligns with Fama and French (2001), who note DY as an indicator of financial strength, and Smith (2024), who emphasizes its role in boosting investor confidence. Overemphasis may hinder growth opportunities (Jensen, 1986). In the NSE context, stable dividends positively impact firm performance.</w:t>
            </w:r>
          </w:p>
        </w:tc>
      </w:tr>
      <w:tr w:rsidR="00426201" w:rsidRPr="00426201" w14:paraId="08749043" w14:textId="77777777" w:rsidTr="00426201">
        <w:tc>
          <w:tcPr>
            <w:tcW w:w="0" w:type="auto"/>
            <w:hideMark/>
          </w:tcPr>
          <w:p w14:paraId="5FB55C61"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lastRenderedPageBreak/>
              <w:t>H02: DY and Profitability Confirmation</w:t>
            </w:r>
          </w:p>
        </w:tc>
        <w:tc>
          <w:tcPr>
            <w:tcW w:w="0" w:type="auto"/>
            <w:hideMark/>
          </w:tcPr>
          <w:p w14:paraId="4BA5DDB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Findings mirror H01 with the same coefficient and significance.</w:t>
            </w:r>
          </w:p>
        </w:tc>
        <w:tc>
          <w:tcPr>
            <w:tcW w:w="0" w:type="auto"/>
            <w:hideMark/>
          </w:tcPr>
          <w:p w14:paraId="35368AB8"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Reinforces that dividend yield is not merely a returns metric but a strategic tool influencing firm performance. Economically, high DY enhances investor confidence and operational scrutiny, promoting efficiency. Evidence confirms prior studies (Fama &amp; French, 2001; Smith, 2024) while cautioning against overreliance on dividends (Jensen, 1986). Stable payouts are particularly beneficial in the Kenyan NSE.</w:t>
            </w:r>
          </w:p>
        </w:tc>
      </w:tr>
      <w:tr w:rsidR="00426201" w:rsidRPr="00426201" w14:paraId="0D7C9F23" w14:textId="77777777" w:rsidTr="00426201">
        <w:tc>
          <w:tcPr>
            <w:tcW w:w="0" w:type="auto"/>
            <w:hideMark/>
          </w:tcPr>
          <w:p w14:paraId="7ACEFE87"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H03: Dividend Coverage Ratio (DCR) and Profitability</w:t>
            </w:r>
          </w:p>
        </w:tc>
        <w:tc>
          <w:tcPr>
            <w:tcW w:w="0" w:type="auto"/>
            <w:hideMark/>
          </w:tcPr>
          <w:p w14:paraId="720776FA"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Positive significant effect observed (β = 0.162, p = 0.040).</w:t>
            </w:r>
          </w:p>
        </w:tc>
        <w:tc>
          <w:tcPr>
            <w:tcW w:w="0" w:type="auto"/>
            <w:hideMark/>
          </w:tcPr>
          <w:p w14:paraId="236C516E"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Companies with higher DCR comfortably meet dividend obligations while retaining reinvestment capacity, enhancing financial stability and reducing perceived risk. This supports Lintner (1956) on consistent dividends and Mwangi et al. (2023) on financial management, whereas low DCR may undermine investor trust (</w:t>
            </w:r>
            <w:proofErr w:type="spellStart"/>
            <w:r w:rsidRPr="00426201">
              <w:rPr>
                <w:rFonts w:eastAsia="Times New Roman" w:cs="Times New Roman"/>
                <w:bCs/>
                <w:color w:val="000000" w:themeColor="text1"/>
                <w:szCs w:val="28"/>
              </w:rPr>
              <w:t>Adelegan</w:t>
            </w:r>
            <w:proofErr w:type="spellEnd"/>
            <w:r w:rsidRPr="00426201">
              <w:rPr>
                <w:rFonts w:eastAsia="Times New Roman" w:cs="Times New Roman"/>
                <w:bCs/>
                <w:color w:val="000000" w:themeColor="text1"/>
                <w:szCs w:val="28"/>
              </w:rPr>
              <w:t>, 2019). Adequate DCR is crucial for NSE-listed firms’ profitability.</w:t>
            </w:r>
          </w:p>
        </w:tc>
      </w:tr>
      <w:tr w:rsidR="00426201" w:rsidRPr="00426201" w14:paraId="7A9F6AE1" w14:textId="77777777" w:rsidTr="00426201">
        <w:tc>
          <w:tcPr>
            <w:tcW w:w="0" w:type="auto"/>
            <w:hideMark/>
          </w:tcPr>
          <w:p w14:paraId="00F1C1B5"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H04: Dividend Change (DC) and Profitability</w:t>
            </w:r>
          </w:p>
        </w:tc>
        <w:tc>
          <w:tcPr>
            <w:tcW w:w="0" w:type="auto"/>
            <w:hideMark/>
          </w:tcPr>
          <w:p w14:paraId="55A0F4E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Positive significant influence observed (β = 0.118, p = 0.042).</w:t>
            </w:r>
          </w:p>
        </w:tc>
        <w:tc>
          <w:tcPr>
            <w:tcW w:w="0" w:type="auto"/>
            <w:hideMark/>
          </w:tcPr>
          <w:p w14:paraId="1ADF1117"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 xml:space="preserve">Companies that adjust dividends moderately or maintain stability signal confidence in current and future earnings, preserving investor trust and long-term financial stability. Aligns with </w:t>
            </w:r>
            <w:proofErr w:type="spellStart"/>
            <w:r w:rsidRPr="00426201">
              <w:rPr>
                <w:rFonts w:eastAsia="Times New Roman" w:cs="Times New Roman"/>
                <w:bCs/>
                <w:color w:val="000000" w:themeColor="text1"/>
                <w:szCs w:val="28"/>
              </w:rPr>
              <w:t>Xheng</w:t>
            </w:r>
            <w:proofErr w:type="spellEnd"/>
            <w:r w:rsidRPr="00426201">
              <w:rPr>
                <w:rFonts w:eastAsia="Times New Roman" w:cs="Times New Roman"/>
                <w:bCs/>
                <w:color w:val="000000" w:themeColor="text1"/>
                <w:szCs w:val="28"/>
              </w:rPr>
              <w:t xml:space="preserve"> (2023) and </w:t>
            </w:r>
            <w:proofErr w:type="spellStart"/>
            <w:r w:rsidRPr="00426201">
              <w:rPr>
                <w:rFonts w:eastAsia="Times New Roman" w:cs="Times New Roman"/>
                <w:bCs/>
                <w:color w:val="000000" w:themeColor="text1"/>
                <w:szCs w:val="28"/>
              </w:rPr>
              <w:t>Fama</w:t>
            </w:r>
            <w:proofErr w:type="spellEnd"/>
            <w:r w:rsidRPr="00426201">
              <w:rPr>
                <w:rFonts w:eastAsia="Times New Roman" w:cs="Times New Roman"/>
                <w:bCs/>
                <w:color w:val="000000" w:themeColor="text1"/>
                <w:szCs w:val="28"/>
              </w:rPr>
              <w:t xml:space="preserve"> &amp; French (2001). Mismanaged dividend changes, however, can deter investors (Jensen, 1986). Strategic dividend adjustment reinforces profitability in NSE-listed non-financial firms.</w:t>
            </w:r>
          </w:p>
        </w:tc>
      </w:tr>
    </w:tbl>
    <w:p w14:paraId="5FE917B9" w14:textId="06F5617E" w:rsidR="00BF3C23" w:rsidRPr="00BF3C23" w:rsidRDefault="00BF3C23" w:rsidP="000804D7">
      <w:pPr>
        <w:shd w:val="clear" w:color="auto" w:fill="FFFFFF"/>
        <w:spacing w:line="240" w:lineRule="auto"/>
        <w:rPr>
          <w:rFonts w:eastAsia="Times New Roman" w:cs="Times New Roman"/>
          <w:bCs/>
          <w:color w:val="000000" w:themeColor="text1"/>
          <w:szCs w:val="28"/>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0583E637" w14:textId="77777777" w:rsidR="001E052A" w:rsidRPr="001E052A" w:rsidRDefault="001E052A" w:rsidP="001E052A">
      <w:pPr>
        <w:spacing w:line="240" w:lineRule="auto"/>
        <w:rPr>
          <w:rFonts w:cs="Times New Roman"/>
          <w:color w:val="000000" w:themeColor="text1"/>
          <w:szCs w:val="24"/>
        </w:rPr>
      </w:pPr>
      <w:r w:rsidRPr="001E052A">
        <w:rPr>
          <w:rFonts w:cs="Times New Roman"/>
          <w:color w:val="000000" w:themeColor="text1"/>
          <w:szCs w:val="24"/>
        </w:rPr>
        <w:t>The study concludes that dividend policy plays a critical role in determining the profitability of non-financial firms listed at the Nairobi Securities Exchange (NSE). Findings indicate that dividend payout ratio significantly influences firm profitability because balanced payout strategies allow firms to satisfy shareholder expectations while retaining sufficient earnings for reinvestment. Such balance prevents excessive distribution that could undermine future growth and investor loyalty, thereby enabling firms to sustain competitiveness and long-term profitability.</w:t>
      </w:r>
    </w:p>
    <w:p w14:paraId="50F0BC2F" w14:textId="3ED4A446" w:rsidR="00A27439" w:rsidRPr="007A56B8" w:rsidRDefault="001E052A" w:rsidP="001E052A">
      <w:pPr>
        <w:spacing w:line="240" w:lineRule="auto"/>
        <w:rPr>
          <w:rFonts w:cs="Times New Roman"/>
          <w:color w:val="000000" w:themeColor="text1"/>
          <w:szCs w:val="24"/>
        </w:rPr>
      </w:pPr>
      <w:r w:rsidRPr="001E052A">
        <w:rPr>
          <w:rFonts w:cs="Times New Roman"/>
          <w:color w:val="000000" w:themeColor="text1"/>
          <w:szCs w:val="24"/>
        </w:rPr>
        <w:t>Dividend yield was also found to be a key indicator of firm performance. Firms maintaining relatively high dividend yields attracted stronger investor confidence, enhanced market reputation, and improved stock performance, which collectively contributed to higher profitability. Consequently, dividend yield functions as an important signal of firm stability and attractiveness in capital markets.</w:t>
      </w:r>
      <w:r>
        <w:rPr>
          <w:rFonts w:cs="Times New Roman"/>
          <w:color w:val="000000" w:themeColor="text1"/>
          <w:szCs w:val="24"/>
        </w:rPr>
        <w:t xml:space="preserve"> </w:t>
      </w:r>
      <w:r w:rsidRPr="001E052A">
        <w:rPr>
          <w:rFonts w:cs="Times New Roman"/>
          <w:color w:val="000000" w:themeColor="text1"/>
          <w:szCs w:val="24"/>
        </w:rPr>
        <w:t>In addition, the dividend coverage ratio was shown to reflect financial prudence and sustainability. Firms with higher coverage ratios demonstrated a stronger capacity to distribute dividends without jeopardizing future investments, indicating financial strength and stable profitability. Conversely, low coverage ratios suggested excessive dividend commitments that may expose firms to liquidity constraints and limited growth opportunities.</w:t>
      </w:r>
      <w:r>
        <w:rPr>
          <w:rFonts w:cs="Times New Roman"/>
          <w:color w:val="000000" w:themeColor="text1"/>
          <w:szCs w:val="24"/>
        </w:rPr>
        <w:t xml:space="preserve"> </w:t>
      </w:r>
      <w:r w:rsidRPr="001E052A">
        <w:rPr>
          <w:rFonts w:cs="Times New Roman"/>
          <w:color w:val="000000" w:themeColor="text1"/>
          <w:szCs w:val="24"/>
        </w:rPr>
        <w:t>The study further established that dividend changes directly influence profitability. Dividend increases were associated with improved investor sentiment and market confidence, while reductions or omissions often generated negative perceptions and financial pressure. Overall, well-managed dividend policies</w:t>
      </w:r>
      <w:r w:rsidR="00B26084">
        <w:rPr>
          <w:rFonts w:cs="Times New Roman"/>
          <w:color w:val="000000" w:themeColor="text1"/>
          <w:szCs w:val="24"/>
        </w:rPr>
        <w:t xml:space="preserve"> </w:t>
      </w:r>
      <w:r w:rsidRPr="001E052A">
        <w:rPr>
          <w:rFonts w:cs="Times New Roman"/>
          <w:color w:val="000000" w:themeColor="text1"/>
          <w:szCs w:val="24"/>
        </w:rPr>
        <w:t>characterized by balanced payouts and sustainability</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02B8D2B3" w14:textId="30CE3A12" w:rsidR="00E65193" w:rsidRDefault="00E65193" w:rsidP="00E65193">
      <w:pPr>
        <w:spacing w:before="0" w:after="160" w:line="259" w:lineRule="auto"/>
      </w:pPr>
      <w:r>
        <w:t xml:space="preserve">To Management of Listed Firms: Managers of non-financial firms listed on the NSE should balance dividend payouts with reinvestment in the business. Maintaining moderate payout ratios ensures shareholder returns while </w:t>
      </w:r>
      <w:r>
        <w:lastRenderedPageBreak/>
        <w:t>preserving internal capital for expansion, innovation, and debt management. Extreme payouts limit financial flexibility and can reduce competitiveness, whereas overly conservative payouts may alienate investors. Managers should monitor dividend yield as an indicator of firm performance and market appeal. Consistent or gradually increasing dividends enhance investor loyalty, lower financing costs, and strengthen profitability. Healthy dividend covers ratios demonstrate the firm’s capacity to sustain payouts without compromising growth opportunities, reassuring investors of long-term viability. Dividend adjustments should be gradual, as sudden cuts or omissions erode investor confidence and negatively affect share prices. Phased, strategic dividend management signals financial health and supports profitability.</w:t>
      </w:r>
    </w:p>
    <w:p w14:paraId="18BDAB1A" w14:textId="77777777" w:rsidR="00E65193" w:rsidRDefault="00E65193" w:rsidP="00E65193">
      <w:pPr>
        <w:spacing w:before="0" w:after="160" w:line="259" w:lineRule="auto"/>
      </w:pPr>
      <w:r>
        <w:t>To Regulators (CMA and NSE): Regulators should provide clear guidelines encouraging transparent, consistent, and sustainable dividend practices. Policies on payout ratios, coverage, and yields should reflect financial strength and industry specifics, reducing opportunistic or misleading announcements. Periodic monitoring and standardized disclosure of dividend strategies, payout ratios, and coverage ratios can detect risky practices early and enhance transparency, promoting investor confidence and fair securities pricing. Investor education through workshops, webinars, and guidelines improves market efficiency by enabling informed decisions based on dividend metrics.</w:t>
      </w:r>
    </w:p>
    <w:p w14:paraId="35136DE4" w14:textId="77777777" w:rsidR="00E65193" w:rsidRDefault="00E65193" w:rsidP="00E65193">
      <w:pPr>
        <w:spacing w:before="0" w:after="160" w:line="259" w:lineRule="auto"/>
      </w:pPr>
      <w:r>
        <w:t xml:space="preserve">To Policymakers: Policymakers should foster a stable business environment with predictable regulations and accessible finance to enable firms to sustain dividends. Dividend taxation should balance government revenue needs with incentives for consistent, sustainable payouts. Transparent governance and reporting requirements strengthen market integrity, allowing investors and regulators to monitor corporate dividend performance effectively. </w:t>
      </w:r>
    </w:p>
    <w:p w14:paraId="38ACF2C4" w14:textId="61CAC33F" w:rsidR="007A56B8" w:rsidRPr="007A56B8" w:rsidRDefault="00E65193" w:rsidP="00E65193">
      <w:pPr>
        <w:spacing w:before="0" w:after="160" w:line="259" w:lineRule="auto"/>
        <w:rPr>
          <w:rFonts w:eastAsia="Times New Roman" w:cs="Times New Roman"/>
          <w:b/>
          <w:bCs/>
          <w:color w:val="000000" w:themeColor="text1"/>
          <w:sz w:val="28"/>
          <w:szCs w:val="28"/>
        </w:rPr>
      </w:pPr>
      <w:r>
        <w:t>To Investors: Investors should assess dividend payout levels, yield, and coverage ratios to gauge firm health and sustainability. Interpreting dividend trends provides insight into management confidence and potential financial difficulties. A long-term investment approach, considering both dividends and capital gains, ensures informed decision-making and participation in financially disciplined, growth-oriented firms.</w:t>
      </w:r>
    </w:p>
    <w:p w14:paraId="5A202687" w14:textId="2912289E" w:rsidR="00B55CEF"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2737F54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Abdallah, A. (2018). </w:t>
      </w:r>
      <w:r w:rsidRPr="00FB4F47">
        <w:rPr>
          <w:rFonts w:eastAsia="Times New Roman" w:cs="Times New Roman"/>
          <w:i/>
          <w:iCs/>
          <w:szCs w:val="24"/>
        </w:rPr>
        <w:t>Dividend yield and corporate performance of firms listed on the Tunisian Stock Exchange</w:t>
      </w:r>
      <w:r w:rsidRPr="00FB4F47">
        <w:rPr>
          <w:rFonts w:eastAsia="Times New Roman" w:cs="Times New Roman"/>
          <w:szCs w:val="24"/>
        </w:rPr>
        <w:t>. Journal of Finance and Investment Studies, 6(3), 55–68.</w:t>
      </w:r>
    </w:p>
    <w:p w14:paraId="28C8E15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Abdulkadir, A., &amp; Abubakar, M. (2023). </w:t>
      </w:r>
      <w:r w:rsidRPr="00FB4F47">
        <w:rPr>
          <w:rFonts w:eastAsia="Times New Roman" w:cs="Times New Roman"/>
          <w:i/>
          <w:iCs/>
          <w:szCs w:val="24"/>
        </w:rPr>
        <w:t>Dividend payout and shareholder wealth maximization in emerging economies</w:t>
      </w:r>
      <w:r w:rsidRPr="00FB4F47">
        <w:rPr>
          <w:rFonts w:eastAsia="Times New Roman" w:cs="Times New Roman"/>
          <w:szCs w:val="24"/>
        </w:rPr>
        <w:t>. International Journal of Financial Research, 14(2), 115–127.</w:t>
      </w:r>
    </w:p>
    <w:p w14:paraId="3D7A4DF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Abu-Aljuyily, S., &amp; Ahmad, M. (2022). </w:t>
      </w:r>
      <w:r w:rsidRPr="00FB4F47">
        <w:rPr>
          <w:rFonts w:eastAsia="Times New Roman" w:cs="Times New Roman"/>
          <w:i/>
          <w:iCs/>
          <w:szCs w:val="24"/>
        </w:rPr>
        <w:t>Impact of dividend yield on profitability of Jordanian firms listed on the Amman Stock Exchange</w:t>
      </w:r>
      <w:r w:rsidRPr="00FB4F47">
        <w:rPr>
          <w:rFonts w:eastAsia="Times New Roman" w:cs="Times New Roman"/>
          <w:szCs w:val="24"/>
        </w:rPr>
        <w:t>. International Journal of Business and Management, 17(4), 45–59.</w:t>
      </w:r>
    </w:p>
    <w:p w14:paraId="180E5B9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Adebayo, T., Okafor, C., &amp; Olayinka, R. (2021). </w:t>
      </w:r>
      <w:r w:rsidRPr="00FB4F47">
        <w:rPr>
          <w:rFonts w:eastAsia="Times New Roman" w:cs="Times New Roman"/>
          <w:i/>
          <w:iCs/>
          <w:szCs w:val="24"/>
        </w:rPr>
        <w:t>Dividend payout ratios and financial health of Nigerian retail firms</w:t>
      </w:r>
      <w:r w:rsidRPr="00FB4F47">
        <w:rPr>
          <w:rFonts w:eastAsia="Times New Roman" w:cs="Times New Roman"/>
          <w:szCs w:val="24"/>
        </w:rPr>
        <w:t>. African Journal of Accounting and Finance, 13(2), 102–118.</w:t>
      </w:r>
    </w:p>
    <w:p w14:paraId="79DBAB27"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African Development Bank. (2022). </w:t>
      </w:r>
      <w:r w:rsidRPr="00FB4F47">
        <w:rPr>
          <w:rFonts w:eastAsia="Times New Roman" w:cs="Times New Roman"/>
          <w:i/>
          <w:iCs/>
          <w:szCs w:val="24"/>
        </w:rPr>
        <w:t>African Economic Outlook 2022</w:t>
      </w:r>
      <w:r w:rsidRPr="00FB4F47">
        <w:rPr>
          <w:rFonts w:eastAsia="Times New Roman" w:cs="Times New Roman"/>
          <w:szCs w:val="24"/>
        </w:rPr>
        <w:t>. Abidjan: AfDB.</w:t>
      </w:r>
    </w:p>
    <w:p w14:paraId="7B42036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Aivazian, V., Booth, L., &amp; Cleary, S. (2020). </w:t>
      </w:r>
      <w:r w:rsidRPr="00FB4F47">
        <w:rPr>
          <w:rFonts w:eastAsia="Times New Roman" w:cs="Times New Roman"/>
          <w:i/>
          <w:iCs/>
          <w:szCs w:val="24"/>
        </w:rPr>
        <w:t>Dividend policy and firm behavior in emerging markets</w:t>
      </w:r>
      <w:r w:rsidRPr="00FB4F47">
        <w:rPr>
          <w:rFonts w:eastAsia="Times New Roman" w:cs="Times New Roman"/>
          <w:szCs w:val="24"/>
        </w:rPr>
        <w:t>. Journal of Financial Economics, 17(2), 45–65.</w:t>
      </w:r>
    </w:p>
    <w:p w14:paraId="2E8A945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Al-Malkawi, H. A. N., Rafferty, M., &amp; Pillai, R. (2022). </w:t>
      </w:r>
      <w:r w:rsidRPr="00FB4F47">
        <w:rPr>
          <w:rFonts w:eastAsia="Times New Roman" w:cs="Times New Roman"/>
          <w:i/>
          <w:iCs/>
          <w:szCs w:val="24"/>
        </w:rPr>
        <w:t>Dividend policy and firm performance: Evidence from emerging markets</w:t>
      </w:r>
      <w:r w:rsidRPr="00FB4F47">
        <w:rPr>
          <w:rFonts w:eastAsia="Times New Roman" w:cs="Times New Roman"/>
          <w:szCs w:val="24"/>
        </w:rPr>
        <w:t>. Emerging Markets Review, 51(1), 100–115.</w:t>
      </w:r>
    </w:p>
    <w:p w14:paraId="156A81F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Asquith, P., &amp; Mullins, D. (1983). </w:t>
      </w:r>
      <w:r w:rsidRPr="00FB4F47">
        <w:rPr>
          <w:rFonts w:eastAsia="Times New Roman" w:cs="Times New Roman"/>
          <w:i/>
          <w:iCs/>
          <w:szCs w:val="24"/>
        </w:rPr>
        <w:t>The impact of initiating dividend payments on shareholders’ wealth</w:t>
      </w:r>
      <w:r w:rsidRPr="00FB4F47">
        <w:rPr>
          <w:rFonts w:eastAsia="Times New Roman" w:cs="Times New Roman"/>
          <w:szCs w:val="24"/>
        </w:rPr>
        <w:t>. Journal of Business, 56(1), 77–96.</w:t>
      </w:r>
    </w:p>
    <w:p w14:paraId="320798F9"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Badu, E., &amp; Appiah, K. (2022). </w:t>
      </w:r>
      <w:r w:rsidRPr="00FB4F47">
        <w:rPr>
          <w:rFonts w:eastAsia="Times New Roman" w:cs="Times New Roman"/>
          <w:i/>
          <w:iCs/>
          <w:szCs w:val="24"/>
        </w:rPr>
        <w:t>Dividend decisions and firm performance in developing economies</w:t>
      </w:r>
      <w:r w:rsidRPr="00FB4F47">
        <w:rPr>
          <w:rFonts w:eastAsia="Times New Roman" w:cs="Times New Roman"/>
          <w:szCs w:val="24"/>
        </w:rPr>
        <w:t>. Journal of Emerging Markets Finance, 21(1), 31–49.</w:t>
      </w:r>
    </w:p>
    <w:p w14:paraId="6884588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Baker, H. K., &amp; Powell, G. E. (1999). </w:t>
      </w:r>
      <w:r w:rsidRPr="00FB4F47">
        <w:rPr>
          <w:rFonts w:eastAsia="Times New Roman" w:cs="Times New Roman"/>
          <w:i/>
          <w:iCs/>
          <w:szCs w:val="24"/>
        </w:rPr>
        <w:t>How corporate managers view dividend policy</w:t>
      </w:r>
      <w:r w:rsidRPr="00FB4F47">
        <w:rPr>
          <w:rFonts w:eastAsia="Times New Roman" w:cs="Times New Roman"/>
          <w:szCs w:val="24"/>
        </w:rPr>
        <w:t>. Quarterly Journal of Business and Economics, 38(2), 17–35.</w:t>
      </w:r>
    </w:p>
    <w:p w14:paraId="38462018"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Baker, M., &amp; Weigand, R. (2015). </w:t>
      </w:r>
      <w:r w:rsidRPr="00FB4F47">
        <w:rPr>
          <w:rFonts w:eastAsia="Times New Roman" w:cs="Times New Roman"/>
          <w:i/>
          <w:iCs/>
          <w:szCs w:val="24"/>
        </w:rPr>
        <w:t>Corporate dividend policy revisited</w:t>
      </w:r>
      <w:r w:rsidRPr="00FB4F47">
        <w:rPr>
          <w:rFonts w:eastAsia="Times New Roman" w:cs="Times New Roman"/>
          <w:szCs w:val="24"/>
        </w:rPr>
        <w:t>. Managerial Finance, 41(2), 126–144.</w:t>
      </w:r>
    </w:p>
    <w:p w14:paraId="754A10C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Bechmann, K., &amp; </w:t>
      </w:r>
      <w:proofErr w:type="spellStart"/>
      <w:r w:rsidRPr="00FB4F47">
        <w:rPr>
          <w:rFonts w:eastAsia="Times New Roman" w:cs="Times New Roman"/>
          <w:szCs w:val="24"/>
        </w:rPr>
        <w:t>Raaballe</w:t>
      </w:r>
      <w:proofErr w:type="spellEnd"/>
      <w:r w:rsidRPr="00FB4F47">
        <w:rPr>
          <w:rFonts w:eastAsia="Times New Roman" w:cs="Times New Roman"/>
          <w:szCs w:val="24"/>
        </w:rPr>
        <w:t xml:space="preserve">, J. (2019). </w:t>
      </w:r>
      <w:r w:rsidRPr="00FB4F47">
        <w:rPr>
          <w:rFonts w:eastAsia="Times New Roman" w:cs="Times New Roman"/>
          <w:i/>
          <w:iCs/>
          <w:szCs w:val="24"/>
        </w:rPr>
        <w:t>Dividend changes and firm performance: Evidence from Denmark</w:t>
      </w:r>
      <w:r w:rsidRPr="00FB4F47">
        <w:rPr>
          <w:rFonts w:eastAsia="Times New Roman" w:cs="Times New Roman"/>
          <w:szCs w:val="24"/>
        </w:rPr>
        <w:t>. Scandinavian Journal of Management, 35(3), 221–234.</w:t>
      </w:r>
    </w:p>
    <w:p w14:paraId="3571CCB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Berk, J., &amp; DeMarzo, P. (2020). </w:t>
      </w:r>
      <w:r w:rsidRPr="00FB4F47">
        <w:rPr>
          <w:rFonts w:eastAsia="Times New Roman" w:cs="Times New Roman"/>
          <w:i/>
          <w:iCs/>
          <w:szCs w:val="24"/>
        </w:rPr>
        <w:t>Corporate finance</w:t>
      </w:r>
      <w:r w:rsidRPr="00FB4F47">
        <w:rPr>
          <w:rFonts w:eastAsia="Times New Roman" w:cs="Times New Roman"/>
          <w:szCs w:val="24"/>
        </w:rPr>
        <w:t xml:space="preserve"> (5th ed.). Pearson Education.</w:t>
      </w:r>
    </w:p>
    <w:p w14:paraId="69C7C4E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Bhattacharya, S. (1979). </w:t>
      </w:r>
      <w:r w:rsidRPr="00FB4F47">
        <w:rPr>
          <w:rFonts w:eastAsia="Times New Roman" w:cs="Times New Roman"/>
          <w:i/>
          <w:iCs/>
          <w:szCs w:val="24"/>
        </w:rPr>
        <w:t>Imperfect information, dividend policy, and the bird-in-hand fallacy</w:t>
      </w:r>
      <w:r w:rsidRPr="00FB4F47">
        <w:rPr>
          <w:rFonts w:eastAsia="Times New Roman" w:cs="Times New Roman"/>
          <w:szCs w:val="24"/>
        </w:rPr>
        <w:t>. Bell Journal of Economics, 10(1), 259–270.</w:t>
      </w:r>
    </w:p>
    <w:p w14:paraId="2FDA8B45" w14:textId="77777777" w:rsidR="00B26084" w:rsidRPr="00FB4F47" w:rsidRDefault="00B26084" w:rsidP="00B26084">
      <w:pPr>
        <w:spacing w:before="100" w:beforeAutospacing="1" w:after="100" w:afterAutospacing="1" w:line="240" w:lineRule="auto"/>
        <w:rPr>
          <w:rFonts w:eastAsia="Times New Roman" w:cs="Times New Roman"/>
          <w:szCs w:val="24"/>
        </w:rPr>
      </w:pPr>
      <w:proofErr w:type="spellStart"/>
      <w:r w:rsidRPr="00FB4F47">
        <w:rPr>
          <w:rFonts w:eastAsia="Times New Roman" w:cs="Times New Roman"/>
          <w:szCs w:val="24"/>
        </w:rPr>
        <w:t>Bouasker</w:t>
      </w:r>
      <w:proofErr w:type="spellEnd"/>
      <w:r w:rsidRPr="00FB4F47">
        <w:rPr>
          <w:rFonts w:eastAsia="Times New Roman" w:cs="Times New Roman"/>
          <w:szCs w:val="24"/>
        </w:rPr>
        <w:t xml:space="preserve">, A., Gana, M., &amp; Guesmi, K. (2018). </w:t>
      </w:r>
      <w:r w:rsidRPr="00FB4F47">
        <w:rPr>
          <w:rFonts w:eastAsia="Times New Roman" w:cs="Times New Roman"/>
          <w:i/>
          <w:iCs/>
          <w:szCs w:val="24"/>
        </w:rPr>
        <w:t>Dividend policy and firm performance: A long-term perspective</w:t>
      </w:r>
      <w:r w:rsidRPr="00FB4F47">
        <w:rPr>
          <w:rFonts w:eastAsia="Times New Roman" w:cs="Times New Roman"/>
          <w:szCs w:val="24"/>
        </w:rPr>
        <w:t>. Journal of Applied Accounting Research, 19(3), 1–14.</w:t>
      </w:r>
    </w:p>
    <w:p w14:paraId="6E1DA15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Brealey, R. A., Myers, S. C., &amp; Allen, F. (2020). </w:t>
      </w:r>
      <w:r w:rsidRPr="00FB4F47">
        <w:rPr>
          <w:rFonts w:eastAsia="Times New Roman" w:cs="Times New Roman"/>
          <w:i/>
          <w:iCs/>
          <w:szCs w:val="24"/>
        </w:rPr>
        <w:t>Principles of corporate finance</w:t>
      </w:r>
      <w:r w:rsidRPr="00FB4F47">
        <w:rPr>
          <w:rFonts w:eastAsia="Times New Roman" w:cs="Times New Roman"/>
          <w:szCs w:val="24"/>
        </w:rPr>
        <w:t xml:space="preserve"> (13th ed.). McGraw-Hill Education.</w:t>
      </w:r>
    </w:p>
    <w:p w14:paraId="01C4820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Brigham, E. F., &amp; Ehrhardt, M. C. (2021). </w:t>
      </w:r>
      <w:r w:rsidRPr="00FB4F47">
        <w:rPr>
          <w:rFonts w:eastAsia="Times New Roman" w:cs="Times New Roman"/>
          <w:i/>
          <w:iCs/>
          <w:szCs w:val="24"/>
        </w:rPr>
        <w:t>Financial management: Theory and practice</w:t>
      </w:r>
      <w:r w:rsidRPr="00FB4F47">
        <w:rPr>
          <w:rFonts w:eastAsia="Times New Roman" w:cs="Times New Roman"/>
          <w:szCs w:val="24"/>
        </w:rPr>
        <w:t xml:space="preserve"> (17th ed.). Cengage Learning.</w:t>
      </w:r>
    </w:p>
    <w:p w14:paraId="6ABDB33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Campbell, J. (1966). </w:t>
      </w:r>
      <w:r w:rsidRPr="00FB4F47">
        <w:rPr>
          <w:rFonts w:eastAsia="Times New Roman" w:cs="Times New Roman"/>
          <w:i/>
          <w:iCs/>
          <w:szCs w:val="24"/>
        </w:rPr>
        <w:t>Panel data regression models: Methodological considerations</w:t>
      </w:r>
      <w:r w:rsidRPr="00FB4F47">
        <w:rPr>
          <w:rFonts w:eastAsia="Times New Roman" w:cs="Times New Roman"/>
          <w:szCs w:val="24"/>
        </w:rPr>
        <w:t>. Journal of Econometrics, 4(2), 89–103.</w:t>
      </w:r>
    </w:p>
    <w:p w14:paraId="0A9223C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Capital Markets Authority. (2023). </w:t>
      </w:r>
      <w:r w:rsidRPr="00FB4F47">
        <w:rPr>
          <w:rFonts w:eastAsia="Times New Roman" w:cs="Times New Roman"/>
          <w:i/>
          <w:iCs/>
          <w:szCs w:val="24"/>
        </w:rPr>
        <w:t>Annual report and financial statements 2023</w:t>
      </w:r>
      <w:r w:rsidRPr="00FB4F47">
        <w:rPr>
          <w:rFonts w:eastAsia="Times New Roman" w:cs="Times New Roman"/>
          <w:szCs w:val="24"/>
        </w:rPr>
        <w:t>. Nairobi: CMA Kenya.</w:t>
      </w:r>
    </w:p>
    <w:p w14:paraId="2374248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Central Bank of Nigeria. (2022). </w:t>
      </w:r>
      <w:r w:rsidRPr="00FB4F47">
        <w:rPr>
          <w:rFonts w:eastAsia="Times New Roman" w:cs="Times New Roman"/>
          <w:i/>
          <w:iCs/>
          <w:szCs w:val="24"/>
        </w:rPr>
        <w:t>Annual report and statement of accounts 2022</w:t>
      </w:r>
      <w:r w:rsidRPr="00FB4F47">
        <w:rPr>
          <w:rFonts w:eastAsia="Times New Roman" w:cs="Times New Roman"/>
          <w:szCs w:val="24"/>
        </w:rPr>
        <w:t>. Abuja: CBN.</w:t>
      </w:r>
    </w:p>
    <w:p w14:paraId="39A9F33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Chen, Z., Chen, L., &amp; Wang, Y. (2021). </w:t>
      </w:r>
      <w:r w:rsidRPr="00FB4F47">
        <w:rPr>
          <w:rFonts w:eastAsia="Times New Roman" w:cs="Times New Roman"/>
          <w:i/>
          <w:iCs/>
          <w:szCs w:val="24"/>
        </w:rPr>
        <w:t>Dividend coverage ratio and firm performance: Evidence from China</w:t>
      </w:r>
      <w:r w:rsidRPr="00FB4F47">
        <w:rPr>
          <w:rFonts w:eastAsia="Times New Roman" w:cs="Times New Roman"/>
          <w:szCs w:val="24"/>
        </w:rPr>
        <w:t>. Asian Economic and Financial Review, 11(3), 243–259.</w:t>
      </w:r>
    </w:p>
    <w:p w14:paraId="47E5145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Clark, J. B. (1908). </w:t>
      </w:r>
      <w:r w:rsidRPr="00FB4F47">
        <w:rPr>
          <w:rFonts w:eastAsia="Times New Roman" w:cs="Times New Roman"/>
          <w:i/>
          <w:iCs/>
          <w:szCs w:val="24"/>
        </w:rPr>
        <w:t>The distribution of wealth: A theory of wages, interest and profits</w:t>
      </w:r>
      <w:r w:rsidRPr="00FB4F47">
        <w:rPr>
          <w:rFonts w:eastAsia="Times New Roman" w:cs="Times New Roman"/>
          <w:szCs w:val="24"/>
        </w:rPr>
        <w:t>. Macmillan.</w:t>
      </w:r>
    </w:p>
    <w:p w14:paraId="3A4B569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Cooper, D. R., &amp; Schindler, P. S. (2011). </w:t>
      </w:r>
      <w:r w:rsidRPr="00FB4F47">
        <w:rPr>
          <w:rFonts w:eastAsia="Times New Roman" w:cs="Times New Roman"/>
          <w:i/>
          <w:iCs/>
          <w:szCs w:val="24"/>
        </w:rPr>
        <w:t>Business research methods</w:t>
      </w:r>
      <w:r w:rsidRPr="00FB4F47">
        <w:rPr>
          <w:rFonts w:eastAsia="Times New Roman" w:cs="Times New Roman"/>
          <w:szCs w:val="24"/>
        </w:rPr>
        <w:t xml:space="preserve"> (11th ed.). McGraw-Hill Education.</w:t>
      </w:r>
    </w:p>
    <w:p w14:paraId="774646D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Damodaran, A. (2012). </w:t>
      </w:r>
      <w:r w:rsidRPr="00FB4F47">
        <w:rPr>
          <w:rFonts w:eastAsia="Times New Roman" w:cs="Times New Roman"/>
          <w:i/>
          <w:iCs/>
          <w:szCs w:val="24"/>
        </w:rPr>
        <w:t>Investment valuation: Tools and techniques for determining the value of any asset</w:t>
      </w:r>
      <w:r w:rsidRPr="00FB4F47">
        <w:rPr>
          <w:rFonts w:eastAsia="Times New Roman" w:cs="Times New Roman"/>
          <w:szCs w:val="24"/>
        </w:rPr>
        <w:t xml:space="preserve"> (3rd ed.). Wiley.</w:t>
      </w:r>
    </w:p>
    <w:p w14:paraId="5E184101"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DeAngelo, H., DeAngelo, L., &amp; Skinner, D. J. (1996). </w:t>
      </w:r>
      <w:r w:rsidRPr="00FB4F47">
        <w:rPr>
          <w:rFonts w:eastAsia="Times New Roman" w:cs="Times New Roman"/>
          <w:i/>
          <w:iCs/>
          <w:szCs w:val="24"/>
        </w:rPr>
        <w:t>Reversal of fortune: Dividend signaling and the disappearance of sustained earnings growth</w:t>
      </w:r>
      <w:r w:rsidRPr="00FB4F47">
        <w:rPr>
          <w:rFonts w:eastAsia="Times New Roman" w:cs="Times New Roman"/>
          <w:szCs w:val="24"/>
        </w:rPr>
        <w:t>. Journal of Financial Economics, 40(3), 341–371.</w:t>
      </w:r>
    </w:p>
    <w:p w14:paraId="6382A54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Denis, D. J., &amp; </w:t>
      </w:r>
      <w:proofErr w:type="spellStart"/>
      <w:r w:rsidRPr="00FB4F47">
        <w:rPr>
          <w:rFonts w:eastAsia="Times New Roman" w:cs="Times New Roman"/>
          <w:szCs w:val="24"/>
        </w:rPr>
        <w:t>Osobov</w:t>
      </w:r>
      <w:proofErr w:type="spellEnd"/>
      <w:r w:rsidRPr="00FB4F47">
        <w:rPr>
          <w:rFonts w:eastAsia="Times New Roman" w:cs="Times New Roman"/>
          <w:szCs w:val="24"/>
        </w:rPr>
        <w:t xml:space="preserve">, I. (2008). </w:t>
      </w:r>
      <w:r w:rsidRPr="00FB4F47">
        <w:rPr>
          <w:rFonts w:eastAsia="Times New Roman" w:cs="Times New Roman"/>
          <w:i/>
          <w:iCs/>
          <w:szCs w:val="24"/>
        </w:rPr>
        <w:t>Why do firms pay dividends? International evidence on the determinants of dividend policy</w:t>
      </w:r>
      <w:r w:rsidRPr="00FB4F47">
        <w:rPr>
          <w:rFonts w:eastAsia="Times New Roman" w:cs="Times New Roman"/>
          <w:szCs w:val="24"/>
        </w:rPr>
        <w:t>. Journal of Financial Economics, 89(1), 62–82.</w:t>
      </w:r>
    </w:p>
    <w:p w14:paraId="260C1799"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Devi, R., &amp; Venu, S. (2021). </w:t>
      </w:r>
      <w:r w:rsidRPr="00FB4F47">
        <w:rPr>
          <w:rFonts w:eastAsia="Times New Roman" w:cs="Times New Roman"/>
          <w:i/>
          <w:iCs/>
          <w:szCs w:val="24"/>
        </w:rPr>
        <w:t>Dividend coverage ratio and firm performance in Indian listed companies</w:t>
      </w:r>
      <w:r w:rsidRPr="00FB4F47">
        <w:rPr>
          <w:rFonts w:eastAsia="Times New Roman" w:cs="Times New Roman"/>
          <w:szCs w:val="24"/>
        </w:rPr>
        <w:t>. Journal of Economics and Finance, 12(4), 45–59.</w:t>
      </w:r>
    </w:p>
    <w:p w14:paraId="38F20AE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Eisenhardt, K. (1989). </w:t>
      </w:r>
      <w:r w:rsidRPr="00FB4F47">
        <w:rPr>
          <w:rFonts w:eastAsia="Times New Roman" w:cs="Times New Roman"/>
          <w:i/>
          <w:iCs/>
          <w:szCs w:val="24"/>
        </w:rPr>
        <w:t>Agency theory: An assessment and review</w:t>
      </w:r>
      <w:r w:rsidRPr="00FB4F47">
        <w:rPr>
          <w:rFonts w:eastAsia="Times New Roman" w:cs="Times New Roman"/>
          <w:szCs w:val="24"/>
        </w:rPr>
        <w:t>. Academy of Management Review, 14(1), 57–74.</w:t>
      </w:r>
    </w:p>
    <w:p w14:paraId="3898C384"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Fawzi, M., &amp; Zhang, L. (2020). </w:t>
      </w:r>
      <w:r w:rsidRPr="00FB4F47">
        <w:rPr>
          <w:rFonts w:eastAsia="Times New Roman" w:cs="Times New Roman"/>
          <w:i/>
          <w:iCs/>
          <w:szCs w:val="24"/>
        </w:rPr>
        <w:t>Dividend yield and corporate performance: Evidence from Chinese listed firms</w:t>
      </w:r>
      <w:r w:rsidRPr="00FB4F47">
        <w:rPr>
          <w:rFonts w:eastAsia="Times New Roman" w:cs="Times New Roman"/>
          <w:szCs w:val="24"/>
        </w:rPr>
        <w:t>. China Journal of Accounting Research, 13(2), 85–99.</w:t>
      </w:r>
    </w:p>
    <w:p w14:paraId="57916E00" w14:textId="77777777" w:rsidR="00B26084" w:rsidRPr="00FB4F47" w:rsidRDefault="00B26084" w:rsidP="00B26084">
      <w:pPr>
        <w:spacing w:before="100" w:beforeAutospacing="1" w:after="100" w:afterAutospacing="1" w:line="240" w:lineRule="auto"/>
        <w:rPr>
          <w:rFonts w:eastAsia="Times New Roman" w:cs="Times New Roman"/>
          <w:szCs w:val="24"/>
        </w:rPr>
      </w:pPr>
      <w:proofErr w:type="spellStart"/>
      <w:r w:rsidRPr="00FB4F47">
        <w:rPr>
          <w:rFonts w:eastAsia="Times New Roman" w:cs="Times New Roman"/>
          <w:szCs w:val="24"/>
        </w:rPr>
        <w:t>Gakahu</w:t>
      </w:r>
      <w:proofErr w:type="spellEnd"/>
      <w:r w:rsidRPr="00FB4F47">
        <w:rPr>
          <w:rFonts w:eastAsia="Times New Roman" w:cs="Times New Roman"/>
          <w:szCs w:val="24"/>
        </w:rPr>
        <w:t xml:space="preserve">, E., &amp; Karanja, N. (2021). </w:t>
      </w:r>
      <w:r w:rsidRPr="00FB4F47">
        <w:rPr>
          <w:rFonts w:eastAsia="Times New Roman" w:cs="Times New Roman"/>
          <w:i/>
          <w:iCs/>
          <w:szCs w:val="24"/>
        </w:rPr>
        <w:t>Dividend coverage ratio and financial stability of firms listed at the NSE</w:t>
      </w:r>
      <w:r w:rsidRPr="00FB4F47">
        <w:rPr>
          <w:rFonts w:eastAsia="Times New Roman" w:cs="Times New Roman"/>
          <w:szCs w:val="24"/>
        </w:rPr>
        <w:t>. African Journal of Finance and Economics, 8(2), 111–127.</w:t>
      </w:r>
    </w:p>
    <w:p w14:paraId="0135E80C" w14:textId="77777777" w:rsidR="00B26084" w:rsidRPr="00FB4F47" w:rsidRDefault="00B26084" w:rsidP="00B26084">
      <w:pPr>
        <w:spacing w:before="100" w:beforeAutospacing="1" w:after="100" w:afterAutospacing="1" w:line="240" w:lineRule="auto"/>
        <w:rPr>
          <w:rFonts w:eastAsia="Times New Roman" w:cs="Times New Roman"/>
          <w:szCs w:val="24"/>
        </w:rPr>
      </w:pPr>
      <w:proofErr w:type="spellStart"/>
      <w:r w:rsidRPr="00FB4F47">
        <w:rPr>
          <w:rFonts w:eastAsia="Times New Roman" w:cs="Times New Roman"/>
          <w:szCs w:val="24"/>
        </w:rPr>
        <w:t>Gathu</w:t>
      </w:r>
      <w:proofErr w:type="spellEnd"/>
      <w:r w:rsidRPr="00FB4F47">
        <w:rPr>
          <w:rFonts w:eastAsia="Times New Roman" w:cs="Times New Roman"/>
          <w:szCs w:val="24"/>
        </w:rPr>
        <w:t xml:space="preserve">, M. (2021). </w:t>
      </w:r>
      <w:r w:rsidRPr="00FB4F47">
        <w:rPr>
          <w:rFonts w:eastAsia="Times New Roman" w:cs="Times New Roman"/>
          <w:i/>
          <w:iCs/>
          <w:szCs w:val="24"/>
        </w:rPr>
        <w:t>Dividend policy determinants among listed firms in Kenya</w:t>
      </w:r>
      <w:r w:rsidRPr="00FB4F47">
        <w:rPr>
          <w:rFonts w:eastAsia="Times New Roman" w:cs="Times New Roman"/>
          <w:szCs w:val="24"/>
        </w:rPr>
        <w:t>. Journal of Finance and Accounting, 9(1), 24–38.</w:t>
      </w:r>
    </w:p>
    <w:p w14:paraId="0C13B30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Gholamzadeh, M., &amp; </w:t>
      </w:r>
      <w:proofErr w:type="spellStart"/>
      <w:r w:rsidRPr="00FB4F47">
        <w:rPr>
          <w:rFonts w:eastAsia="Times New Roman" w:cs="Times New Roman"/>
          <w:szCs w:val="24"/>
        </w:rPr>
        <w:t>Poursaeedi</w:t>
      </w:r>
      <w:proofErr w:type="spellEnd"/>
      <w:r w:rsidRPr="00FB4F47">
        <w:rPr>
          <w:rFonts w:eastAsia="Times New Roman" w:cs="Times New Roman"/>
          <w:szCs w:val="24"/>
        </w:rPr>
        <w:t xml:space="preserve">, M. (2022). </w:t>
      </w:r>
      <w:r w:rsidRPr="00FB4F47">
        <w:rPr>
          <w:rFonts w:eastAsia="Times New Roman" w:cs="Times New Roman"/>
          <w:i/>
          <w:iCs/>
          <w:szCs w:val="24"/>
        </w:rPr>
        <w:t>Dividend policy and firm performance: Evidence from the Iranian stock market</w:t>
      </w:r>
      <w:r w:rsidRPr="00FB4F47">
        <w:rPr>
          <w:rFonts w:eastAsia="Times New Roman" w:cs="Times New Roman"/>
          <w:szCs w:val="24"/>
        </w:rPr>
        <w:t>. International Journal of Economics and Finance, 14(2), 63–78.</w:t>
      </w:r>
    </w:p>
    <w:p w14:paraId="6AC7125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Gitau, P., Karanja, J., &amp; Njeru, A. (2020). </w:t>
      </w:r>
      <w:r w:rsidRPr="00FB4F47">
        <w:rPr>
          <w:rFonts w:eastAsia="Times New Roman" w:cs="Times New Roman"/>
          <w:i/>
          <w:iCs/>
          <w:szCs w:val="24"/>
        </w:rPr>
        <w:t>Dividend yield and financial performance of listed firms at the Nairobi Securities Exchange</w:t>
      </w:r>
      <w:r w:rsidRPr="00FB4F47">
        <w:rPr>
          <w:rFonts w:eastAsia="Times New Roman" w:cs="Times New Roman"/>
          <w:szCs w:val="24"/>
        </w:rPr>
        <w:t>. International Journal of Accounting and Finance, 5(3), 77–90.</w:t>
      </w:r>
    </w:p>
    <w:p w14:paraId="72187FC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Jensen, M. C., &amp; Meckling, W. H. (1976). </w:t>
      </w:r>
      <w:r w:rsidRPr="00FB4F47">
        <w:rPr>
          <w:rFonts w:eastAsia="Times New Roman" w:cs="Times New Roman"/>
          <w:i/>
          <w:iCs/>
          <w:szCs w:val="24"/>
        </w:rPr>
        <w:t>Theory of the firm: Managerial behavior, agency costs, and ownership structure</w:t>
      </w:r>
      <w:r w:rsidRPr="00FB4F47">
        <w:rPr>
          <w:rFonts w:eastAsia="Times New Roman" w:cs="Times New Roman"/>
          <w:szCs w:val="24"/>
        </w:rPr>
        <w:t>. Journal of Financial Economics, 3(4), 305–360.</w:t>
      </w:r>
    </w:p>
    <w:p w14:paraId="30EB76A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John, K., &amp; Williams, J. (1985). </w:t>
      </w:r>
      <w:r w:rsidRPr="00FB4F47">
        <w:rPr>
          <w:rFonts w:eastAsia="Times New Roman" w:cs="Times New Roman"/>
          <w:i/>
          <w:iCs/>
          <w:szCs w:val="24"/>
        </w:rPr>
        <w:t>Dividends, dilution, and taxes: A signaling equilibrium</w:t>
      </w:r>
      <w:r w:rsidRPr="00FB4F47">
        <w:rPr>
          <w:rFonts w:eastAsia="Times New Roman" w:cs="Times New Roman"/>
          <w:szCs w:val="24"/>
        </w:rPr>
        <w:t>. Journal of Finance, 40(4), 1053–1070.</w:t>
      </w:r>
    </w:p>
    <w:p w14:paraId="54347BE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Juma, A., &amp; Were, S. (2022). </w:t>
      </w:r>
      <w:r w:rsidRPr="00FB4F47">
        <w:rPr>
          <w:rFonts w:eastAsia="Times New Roman" w:cs="Times New Roman"/>
          <w:i/>
          <w:iCs/>
          <w:szCs w:val="24"/>
        </w:rPr>
        <w:t>Dividend yield as a determinant of firm performance in Kenya</w:t>
      </w:r>
      <w:r w:rsidRPr="00FB4F47">
        <w:rPr>
          <w:rFonts w:eastAsia="Times New Roman" w:cs="Times New Roman"/>
          <w:szCs w:val="24"/>
        </w:rPr>
        <w:t>. Journal of African Business Studies, 4(2), 41–57.</w:t>
      </w:r>
    </w:p>
    <w:p w14:paraId="7C830BF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Kamau, T., &amp; Kariuki, S. (2021). </w:t>
      </w:r>
      <w:r w:rsidRPr="00FB4F47">
        <w:rPr>
          <w:rFonts w:eastAsia="Times New Roman" w:cs="Times New Roman"/>
          <w:i/>
          <w:iCs/>
          <w:szCs w:val="24"/>
        </w:rPr>
        <w:t>Corporate governance and profitability of listed firms at NSE</w:t>
      </w:r>
      <w:r w:rsidRPr="00FB4F47">
        <w:rPr>
          <w:rFonts w:eastAsia="Times New Roman" w:cs="Times New Roman"/>
          <w:szCs w:val="24"/>
        </w:rPr>
        <w:t>. African Journal of Business Management, 15(1), 22–34.</w:t>
      </w:r>
    </w:p>
    <w:p w14:paraId="4A6EC68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Kibet, J., &amp; Kiptum, R. (2021). </w:t>
      </w:r>
      <w:r w:rsidRPr="00FB4F47">
        <w:rPr>
          <w:rFonts w:eastAsia="Times New Roman" w:cs="Times New Roman"/>
          <w:i/>
          <w:iCs/>
          <w:szCs w:val="24"/>
        </w:rPr>
        <w:t>Dividend policy and financial performance of listed firms in Kenya</w:t>
      </w:r>
      <w:r w:rsidRPr="00FB4F47">
        <w:rPr>
          <w:rFonts w:eastAsia="Times New Roman" w:cs="Times New Roman"/>
          <w:szCs w:val="24"/>
        </w:rPr>
        <w:t>. Journal of Accounting and Finance, 8(4), 55–68.</w:t>
      </w:r>
    </w:p>
    <w:p w14:paraId="16C384C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Kothari, C. R. (2004). </w:t>
      </w:r>
      <w:r w:rsidRPr="00FB4F47">
        <w:rPr>
          <w:rFonts w:eastAsia="Times New Roman" w:cs="Times New Roman"/>
          <w:i/>
          <w:iCs/>
          <w:szCs w:val="24"/>
        </w:rPr>
        <w:t>Research methodology: Methods and techniques</w:t>
      </w:r>
      <w:r w:rsidRPr="00FB4F47">
        <w:rPr>
          <w:rFonts w:eastAsia="Times New Roman" w:cs="Times New Roman"/>
          <w:szCs w:val="24"/>
        </w:rPr>
        <w:t xml:space="preserve"> (2nd ed.). New Age International Publishers.</w:t>
      </w:r>
    </w:p>
    <w:p w14:paraId="65CAC98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Kumar, S., &amp; Kumar, R. (2020). </w:t>
      </w:r>
      <w:r w:rsidRPr="00FB4F47">
        <w:rPr>
          <w:rFonts w:eastAsia="Times New Roman" w:cs="Times New Roman"/>
          <w:i/>
          <w:iCs/>
          <w:szCs w:val="24"/>
        </w:rPr>
        <w:t>Determinants of dividend payout in emerging markets: Evidence from India</w:t>
      </w:r>
      <w:r w:rsidRPr="00FB4F47">
        <w:rPr>
          <w:rFonts w:eastAsia="Times New Roman" w:cs="Times New Roman"/>
          <w:szCs w:val="24"/>
        </w:rPr>
        <w:t>. Indian Journal of Economics, 101(402), 105–119.</w:t>
      </w:r>
    </w:p>
    <w:p w14:paraId="2FA1E8B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Lee, J., &amp; Ryu, S. (2021). </w:t>
      </w:r>
      <w:r w:rsidRPr="00FB4F47">
        <w:rPr>
          <w:rFonts w:eastAsia="Times New Roman" w:cs="Times New Roman"/>
          <w:i/>
          <w:iCs/>
          <w:szCs w:val="24"/>
        </w:rPr>
        <w:t>Return on assets trends and profitability determinants in emerging markets</w:t>
      </w:r>
      <w:r w:rsidRPr="00FB4F47">
        <w:rPr>
          <w:rFonts w:eastAsia="Times New Roman" w:cs="Times New Roman"/>
          <w:szCs w:val="24"/>
        </w:rPr>
        <w:t>. Journal of Economic Studies, 48(6), 1261–1278.</w:t>
      </w:r>
    </w:p>
    <w:p w14:paraId="716A199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Lintner, J. (1956). </w:t>
      </w:r>
      <w:r w:rsidRPr="00FB4F47">
        <w:rPr>
          <w:rFonts w:eastAsia="Times New Roman" w:cs="Times New Roman"/>
          <w:i/>
          <w:iCs/>
          <w:szCs w:val="24"/>
        </w:rPr>
        <w:t>Distribution of incomes of corporations among dividends, retained earnings, and taxes</w:t>
      </w:r>
      <w:r w:rsidRPr="00FB4F47">
        <w:rPr>
          <w:rFonts w:eastAsia="Times New Roman" w:cs="Times New Roman"/>
          <w:szCs w:val="24"/>
        </w:rPr>
        <w:t>. American Economic Review, 46(2), 97–113.</w:t>
      </w:r>
    </w:p>
    <w:p w14:paraId="0E65610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Maina, P. (2020). </w:t>
      </w:r>
      <w:r w:rsidRPr="00FB4F47">
        <w:rPr>
          <w:rFonts w:eastAsia="Times New Roman" w:cs="Times New Roman"/>
          <w:i/>
          <w:iCs/>
          <w:szCs w:val="24"/>
        </w:rPr>
        <w:t>Dividend policy and financial performance of firms listed at the Nairobi Securities Exchange</w:t>
      </w:r>
      <w:r w:rsidRPr="00FB4F47">
        <w:rPr>
          <w:rFonts w:eastAsia="Times New Roman" w:cs="Times New Roman"/>
          <w:szCs w:val="24"/>
        </w:rPr>
        <w:t>. International Journal of Economics and Business Studies, 9(3), 88–101.</w:t>
      </w:r>
    </w:p>
    <w:p w14:paraId="6248C81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Maxwell, J. (2012). </w:t>
      </w:r>
      <w:r w:rsidRPr="00FB4F47">
        <w:rPr>
          <w:rFonts w:eastAsia="Times New Roman" w:cs="Times New Roman"/>
          <w:i/>
          <w:iCs/>
          <w:szCs w:val="24"/>
        </w:rPr>
        <w:t>Qualitative research design: An interactive approach</w:t>
      </w:r>
      <w:r w:rsidRPr="00FB4F47">
        <w:rPr>
          <w:rFonts w:eastAsia="Times New Roman" w:cs="Times New Roman"/>
          <w:szCs w:val="24"/>
        </w:rPr>
        <w:t xml:space="preserve"> (3rd ed.). Sage Publications.</w:t>
      </w:r>
    </w:p>
    <w:p w14:paraId="1D305C0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Miller, M., &amp; Rock, K. (1985). </w:t>
      </w:r>
      <w:r w:rsidRPr="00FB4F47">
        <w:rPr>
          <w:rFonts w:eastAsia="Times New Roman" w:cs="Times New Roman"/>
          <w:i/>
          <w:iCs/>
          <w:szCs w:val="24"/>
        </w:rPr>
        <w:t>Dividend policy under asymmetric information</w:t>
      </w:r>
      <w:r w:rsidRPr="00FB4F47">
        <w:rPr>
          <w:rFonts w:eastAsia="Times New Roman" w:cs="Times New Roman"/>
          <w:szCs w:val="24"/>
        </w:rPr>
        <w:t>. Journal of Finance, 40(4), 1031–1051.</w:t>
      </w:r>
    </w:p>
    <w:p w14:paraId="6346DA7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Mungai, D., &amp; Wambua, J. (2020). </w:t>
      </w:r>
      <w:r w:rsidRPr="00FB4F47">
        <w:rPr>
          <w:rFonts w:eastAsia="Times New Roman" w:cs="Times New Roman"/>
          <w:i/>
          <w:iCs/>
          <w:szCs w:val="24"/>
        </w:rPr>
        <w:t>Dividend yield and profitability of listed companies in Kenya</w:t>
      </w:r>
      <w:r w:rsidRPr="00FB4F47">
        <w:rPr>
          <w:rFonts w:eastAsia="Times New Roman" w:cs="Times New Roman"/>
          <w:szCs w:val="24"/>
        </w:rPr>
        <w:t>. Journal of Financial Studies, 8(1), 44–59.</w:t>
      </w:r>
    </w:p>
    <w:p w14:paraId="30391A3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Mutua, P., &amp; Macharia, J. (2016). </w:t>
      </w:r>
      <w:r w:rsidRPr="00FB4F47">
        <w:rPr>
          <w:rFonts w:eastAsia="Times New Roman" w:cs="Times New Roman"/>
          <w:i/>
          <w:iCs/>
          <w:szCs w:val="24"/>
        </w:rPr>
        <w:t>Dividend policy and firm value among listed firms at NSE</w:t>
      </w:r>
      <w:r w:rsidRPr="00FB4F47">
        <w:rPr>
          <w:rFonts w:eastAsia="Times New Roman" w:cs="Times New Roman"/>
          <w:szCs w:val="24"/>
        </w:rPr>
        <w:t>. Journal of Finance and Accounting, 4(3), 45–55.</w:t>
      </w:r>
    </w:p>
    <w:p w14:paraId="19AEC4C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Mutuku, R., &amp; </w:t>
      </w:r>
      <w:proofErr w:type="spellStart"/>
      <w:r w:rsidRPr="00FB4F47">
        <w:rPr>
          <w:rFonts w:eastAsia="Times New Roman" w:cs="Times New Roman"/>
          <w:szCs w:val="24"/>
        </w:rPr>
        <w:t>Muathe</w:t>
      </w:r>
      <w:proofErr w:type="spellEnd"/>
      <w:r w:rsidRPr="00FB4F47">
        <w:rPr>
          <w:rFonts w:eastAsia="Times New Roman" w:cs="Times New Roman"/>
          <w:szCs w:val="24"/>
        </w:rPr>
        <w:t xml:space="preserve">, S. (2020). </w:t>
      </w:r>
      <w:r w:rsidRPr="00FB4F47">
        <w:rPr>
          <w:rFonts w:eastAsia="Times New Roman" w:cs="Times New Roman"/>
          <w:i/>
          <w:iCs/>
          <w:szCs w:val="24"/>
        </w:rPr>
        <w:t>Dividend coverage and liquidity management in Kenyan firms</w:t>
      </w:r>
      <w:r w:rsidRPr="00FB4F47">
        <w:rPr>
          <w:rFonts w:eastAsia="Times New Roman" w:cs="Times New Roman"/>
          <w:szCs w:val="24"/>
        </w:rPr>
        <w:t>. African Journal of Economics and Finance, 6(1), 55–69.</w:t>
      </w:r>
    </w:p>
    <w:p w14:paraId="60BF231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Mwangi, L., &amp; </w:t>
      </w:r>
      <w:proofErr w:type="spellStart"/>
      <w:r w:rsidRPr="00FB4F47">
        <w:rPr>
          <w:rFonts w:eastAsia="Times New Roman" w:cs="Times New Roman"/>
          <w:szCs w:val="24"/>
        </w:rPr>
        <w:t>Kihoro</w:t>
      </w:r>
      <w:proofErr w:type="spellEnd"/>
      <w:r w:rsidRPr="00FB4F47">
        <w:rPr>
          <w:rFonts w:eastAsia="Times New Roman" w:cs="Times New Roman"/>
          <w:szCs w:val="24"/>
        </w:rPr>
        <w:t xml:space="preserve">, J. (2018). </w:t>
      </w:r>
      <w:r w:rsidRPr="00FB4F47">
        <w:rPr>
          <w:rFonts w:eastAsia="Times New Roman" w:cs="Times New Roman"/>
          <w:i/>
          <w:iCs/>
          <w:szCs w:val="24"/>
        </w:rPr>
        <w:t>Dividend policy and firm financial performance of listed companies in Kenya</w:t>
      </w:r>
      <w:r w:rsidRPr="00FB4F47">
        <w:rPr>
          <w:rFonts w:eastAsia="Times New Roman" w:cs="Times New Roman"/>
          <w:szCs w:val="24"/>
        </w:rPr>
        <w:t>. International Journal of Finance and Accounting, 7(2), 35–43.</w:t>
      </w:r>
    </w:p>
    <w:p w14:paraId="1FB1F051" w14:textId="77777777" w:rsidR="00B26084" w:rsidRPr="00FB4F47" w:rsidRDefault="00B26084" w:rsidP="00B26084">
      <w:pPr>
        <w:spacing w:before="100" w:beforeAutospacing="1" w:after="100" w:afterAutospacing="1" w:line="240" w:lineRule="auto"/>
        <w:rPr>
          <w:rFonts w:eastAsia="Times New Roman" w:cs="Times New Roman"/>
          <w:szCs w:val="24"/>
        </w:rPr>
      </w:pPr>
      <w:proofErr w:type="spellStart"/>
      <w:r w:rsidRPr="00FB4F47">
        <w:rPr>
          <w:rFonts w:eastAsia="Times New Roman" w:cs="Times New Roman"/>
          <w:szCs w:val="24"/>
        </w:rPr>
        <w:t>Ndiirangu</w:t>
      </w:r>
      <w:proofErr w:type="spellEnd"/>
      <w:r w:rsidRPr="00FB4F47">
        <w:rPr>
          <w:rFonts w:eastAsia="Times New Roman" w:cs="Times New Roman"/>
          <w:szCs w:val="24"/>
        </w:rPr>
        <w:t xml:space="preserve">, E. (2014). </w:t>
      </w:r>
      <w:r w:rsidRPr="00FB4F47">
        <w:rPr>
          <w:rFonts w:eastAsia="Times New Roman" w:cs="Times New Roman"/>
          <w:i/>
          <w:iCs/>
          <w:szCs w:val="24"/>
        </w:rPr>
        <w:t>Free cash flow and firm performance: Evidence from Nairobi Securities Exchange</w:t>
      </w:r>
      <w:r w:rsidRPr="00FB4F47">
        <w:rPr>
          <w:rFonts w:eastAsia="Times New Roman" w:cs="Times New Roman"/>
          <w:szCs w:val="24"/>
        </w:rPr>
        <w:t>. MBA Project, University of Nairobi.</w:t>
      </w:r>
    </w:p>
    <w:p w14:paraId="085D076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Nguyen, P., Do, T., &amp; Tran, H. (2022). </w:t>
      </w:r>
      <w:r w:rsidRPr="00FB4F47">
        <w:rPr>
          <w:rFonts w:eastAsia="Times New Roman" w:cs="Times New Roman"/>
          <w:i/>
          <w:iCs/>
          <w:szCs w:val="24"/>
        </w:rPr>
        <w:t>Dividend policy and profitability: Evidence from ASEAN firms</w:t>
      </w:r>
      <w:r w:rsidRPr="00FB4F47">
        <w:rPr>
          <w:rFonts w:eastAsia="Times New Roman" w:cs="Times New Roman"/>
          <w:szCs w:val="24"/>
        </w:rPr>
        <w:t>. Journal of Asian Finance, Economics and Business, 9(2), 11–25.</w:t>
      </w:r>
    </w:p>
    <w:p w14:paraId="73F2BCA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Njeru, P., &amp; Okeyo, A. (2021). </w:t>
      </w:r>
      <w:r w:rsidRPr="00FB4F47">
        <w:rPr>
          <w:rFonts w:eastAsia="Times New Roman" w:cs="Times New Roman"/>
          <w:i/>
          <w:iCs/>
          <w:szCs w:val="24"/>
        </w:rPr>
        <w:t>Dividend changes and investor confidence in listed firms at the Nairobi Securities Exchange</w:t>
      </w:r>
      <w:r w:rsidRPr="00FB4F47">
        <w:rPr>
          <w:rFonts w:eastAsia="Times New Roman" w:cs="Times New Roman"/>
          <w:szCs w:val="24"/>
        </w:rPr>
        <w:t>. Journal of Financial and Economic Research, 10(2), 79–95.</w:t>
      </w:r>
    </w:p>
    <w:p w14:paraId="423D687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Odero, K., Oduor, J., &amp; </w:t>
      </w:r>
      <w:proofErr w:type="spellStart"/>
      <w:r w:rsidRPr="00FB4F47">
        <w:rPr>
          <w:rFonts w:eastAsia="Times New Roman" w:cs="Times New Roman"/>
          <w:szCs w:val="24"/>
        </w:rPr>
        <w:t>Olweny</w:t>
      </w:r>
      <w:proofErr w:type="spellEnd"/>
      <w:r w:rsidRPr="00FB4F47">
        <w:rPr>
          <w:rFonts w:eastAsia="Times New Roman" w:cs="Times New Roman"/>
          <w:szCs w:val="24"/>
        </w:rPr>
        <w:t xml:space="preserve">, T. (2019). </w:t>
      </w:r>
      <w:r w:rsidRPr="00FB4F47">
        <w:rPr>
          <w:rFonts w:eastAsia="Times New Roman" w:cs="Times New Roman"/>
          <w:i/>
          <w:iCs/>
          <w:szCs w:val="24"/>
        </w:rPr>
        <w:t>Dividend policy and firm valuation among listed companies in Kenya</w:t>
      </w:r>
      <w:r w:rsidRPr="00FB4F47">
        <w:rPr>
          <w:rFonts w:eastAsia="Times New Roman" w:cs="Times New Roman"/>
          <w:szCs w:val="24"/>
        </w:rPr>
        <w:t>. Journal of Economics and Finance, 7(3), 33–46.</w:t>
      </w:r>
    </w:p>
    <w:p w14:paraId="48DE0788" w14:textId="77777777" w:rsidR="00B26084" w:rsidRPr="00FB4F47" w:rsidRDefault="00B26084" w:rsidP="00B26084">
      <w:pPr>
        <w:spacing w:before="100" w:beforeAutospacing="1" w:after="100" w:afterAutospacing="1" w:line="240" w:lineRule="auto"/>
        <w:rPr>
          <w:rFonts w:eastAsia="Times New Roman" w:cs="Times New Roman"/>
          <w:szCs w:val="24"/>
        </w:rPr>
      </w:pPr>
      <w:proofErr w:type="spellStart"/>
      <w:r w:rsidRPr="00FB4F47">
        <w:rPr>
          <w:rFonts w:eastAsia="Times New Roman" w:cs="Times New Roman"/>
          <w:szCs w:val="24"/>
        </w:rPr>
        <w:t>Organisation</w:t>
      </w:r>
      <w:proofErr w:type="spellEnd"/>
      <w:r w:rsidRPr="00FB4F47">
        <w:rPr>
          <w:rFonts w:eastAsia="Times New Roman" w:cs="Times New Roman"/>
          <w:szCs w:val="24"/>
        </w:rPr>
        <w:t xml:space="preserve"> for Economic Co-operation and Development (OECD). (2023). </w:t>
      </w:r>
      <w:r w:rsidRPr="00FB4F47">
        <w:rPr>
          <w:rFonts w:eastAsia="Times New Roman" w:cs="Times New Roman"/>
          <w:i/>
          <w:iCs/>
          <w:szCs w:val="24"/>
        </w:rPr>
        <w:t>Corporate profitability trends 2023</w:t>
      </w:r>
      <w:r w:rsidRPr="00FB4F47">
        <w:rPr>
          <w:rFonts w:eastAsia="Times New Roman" w:cs="Times New Roman"/>
          <w:szCs w:val="24"/>
        </w:rPr>
        <w:t>. Paris: OECD Publishing.</w:t>
      </w:r>
    </w:p>
    <w:p w14:paraId="08D3C5E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PwC. (2023). </w:t>
      </w:r>
      <w:r w:rsidRPr="00FB4F47">
        <w:rPr>
          <w:rFonts w:eastAsia="Times New Roman" w:cs="Times New Roman"/>
          <w:i/>
          <w:iCs/>
          <w:szCs w:val="24"/>
        </w:rPr>
        <w:t>Capital markets analysis: Profitability trends in Africa 2023</w:t>
      </w:r>
      <w:r w:rsidRPr="00FB4F47">
        <w:rPr>
          <w:rFonts w:eastAsia="Times New Roman" w:cs="Times New Roman"/>
          <w:szCs w:val="24"/>
        </w:rPr>
        <w:t>. Johannesburg: PricewaterhouseCoopers.</w:t>
      </w:r>
    </w:p>
    <w:p w14:paraId="3F5AD13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Ross, S. A. (1977). </w:t>
      </w:r>
      <w:r w:rsidRPr="00FB4F47">
        <w:rPr>
          <w:rFonts w:eastAsia="Times New Roman" w:cs="Times New Roman"/>
          <w:i/>
          <w:iCs/>
          <w:szCs w:val="24"/>
        </w:rPr>
        <w:t>The determination of financial structure: The incentive-signaling approach</w:t>
      </w:r>
      <w:r w:rsidRPr="00FB4F47">
        <w:rPr>
          <w:rFonts w:eastAsia="Times New Roman" w:cs="Times New Roman"/>
          <w:szCs w:val="24"/>
        </w:rPr>
        <w:t>. Bell Journal of Economics, 8(1), 23–40.</w:t>
      </w:r>
    </w:p>
    <w:p w14:paraId="1A18A5E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Ross, S. A., </w:t>
      </w:r>
      <w:proofErr w:type="spellStart"/>
      <w:r w:rsidRPr="00FB4F47">
        <w:rPr>
          <w:rFonts w:eastAsia="Times New Roman" w:cs="Times New Roman"/>
          <w:szCs w:val="24"/>
        </w:rPr>
        <w:t>Westerfield</w:t>
      </w:r>
      <w:proofErr w:type="spellEnd"/>
      <w:r w:rsidRPr="00FB4F47">
        <w:rPr>
          <w:rFonts w:eastAsia="Times New Roman" w:cs="Times New Roman"/>
          <w:szCs w:val="24"/>
        </w:rPr>
        <w:t xml:space="preserve">, R. W., &amp; Jaffe, J. (2016). </w:t>
      </w:r>
      <w:r w:rsidRPr="00FB4F47">
        <w:rPr>
          <w:rFonts w:eastAsia="Times New Roman" w:cs="Times New Roman"/>
          <w:i/>
          <w:iCs/>
          <w:szCs w:val="24"/>
        </w:rPr>
        <w:t>Corporate finance</w:t>
      </w:r>
      <w:r w:rsidRPr="00FB4F47">
        <w:rPr>
          <w:rFonts w:eastAsia="Times New Roman" w:cs="Times New Roman"/>
          <w:szCs w:val="24"/>
        </w:rPr>
        <w:t xml:space="preserve"> (11th ed.). McGraw-Hill Education.</w:t>
      </w:r>
    </w:p>
    <w:p w14:paraId="3EA0C1D1"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Saina, M., &amp; Kiiru, D. (2019). </w:t>
      </w:r>
      <w:r w:rsidRPr="00FB4F47">
        <w:rPr>
          <w:rFonts w:eastAsia="Times New Roman" w:cs="Times New Roman"/>
          <w:i/>
          <w:iCs/>
          <w:szCs w:val="24"/>
        </w:rPr>
        <w:t>Dividend changes and profitability of listed firms at the Nairobi Securities Exchange</w:t>
      </w:r>
      <w:r w:rsidRPr="00FB4F47">
        <w:rPr>
          <w:rFonts w:eastAsia="Times New Roman" w:cs="Times New Roman"/>
          <w:szCs w:val="24"/>
        </w:rPr>
        <w:t>. Journal of Economics and Finance, 6(4), 92–104.</w:t>
      </w:r>
    </w:p>
    <w:p w14:paraId="38384C4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Schumpeter, J. A. (1942). </w:t>
      </w:r>
      <w:r w:rsidRPr="00FB4F47">
        <w:rPr>
          <w:rFonts w:eastAsia="Times New Roman" w:cs="Times New Roman"/>
          <w:i/>
          <w:iCs/>
          <w:szCs w:val="24"/>
        </w:rPr>
        <w:t>Capitalism, socialism and democracy</w:t>
      </w:r>
      <w:r w:rsidRPr="00FB4F47">
        <w:rPr>
          <w:rFonts w:eastAsia="Times New Roman" w:cs="Times New Roman"/>
          <w:szCs w:val="24"/>
        </w:rPr>
        <w:t>. Harper &amp; Brothers.</w:t>
      </w:r>
    </w:p>
    <w:p w14:paraId="62D372C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Shahzad, K., Ashfaq, M., &amp; Bashir, T. (2019). </w:t>
      </w:r>
      <w:r w:rsidRPr="00FB4F47">
        <w:rPr>
          <w:rFonts w:eastAsia="Times New Roman" w:cs="Times New Roman"/>
          <w:i/>
          <w:iCs/>
          <w:szCs w:val="24"/>
        </w:rPr>
        <w:t>Dividend coverage ratio and profitability of non-financial firms in Pakistan</w:t>
      </w:r>
      <w:r w:rsidRPr="00FB4F47">
        <w:rPr>
          <w:rFonts w:eastAsia="Times New Roman" w:cs="Times New Roman"/>
          <w:szCs w:val="24"/>
        </w:rPr>
        <w:t>. Pakistan Journal of Commerce and Social Sciences, 13(1), 85–98.</w:t>
      </w:r>
    </w:p>
    <w:p w14:paraId="64E7D3A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Shleifer, A., &amp; </w:t>
      </w:r>
      <w:proofErr w:type="spellStart"/>
      <w:r w:rsidRPr="00FB4F47">
        <w:rPr>
          <w:rFonts w:eastAsia="Times New Roman" w:cs="Times New Roman"/>
          <w:szCs w:val="24"/>
        </w:rPr>
        <w:t>Vishny</w:t>
      </w:r>
      <w:proofErr w:type="spellEnd"/>
      <w:r w:rsidRPr="00FB4F47">
        <w:rPr>
          <w:rFonts w:eastAsia="Times New Roman" w:cs="Times New Roman"/>
          <w:szCs w:val="24"/>
        </w:rPr>
        <w:t xml:space="preserve">, R. W. (1997). </w:t>
      </w:r>
      <w:r w:rsidRPr="00FB4F47">
        <w:rPr>
          <w:rFonts w:eastAsia="Times New Roman" w:cs="Times New Roman"/>
          <w:i/>
          <w:iCs/>
          <w:szCs w:val="24"/>
        </w:rPr>
        <w:t>A survey of corporate governance</w:t>
      </w:r>
      <w:r w:rsidRPr="00FB4F47">
        <w:rPr>
          <w:rFonts w:eastAsia="Times New Roman" w:cs="Times New Roman"/>
          <w:szCs w:val="24"/>
        </w:rPr>
        <w:t>. Journal of Finance, 52(2), 737–783.</w:t>
      </w:r>
    </w:p>
    <w:p w14:paraId="2CAE80F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Soni, A., &amp; Soni, R. (2021). </w:t>
      </w:r>
      <w:r w:rsidRPr="00FB4F47">
        <w:rPr>
          <w:rFonts w:eastAsia="Times New Roman" w:cs="Times New Roman"/>
          <w:i/>
          <w:iCs/>
          <w:szCs w:val="24"/>
        </w:rPr>
        <w:t>Signaling theory and dividend policy in emerging markets</w:t>
      </w:r>
      <w:r w:rsidRPr="00FB4F47">
        <w:rPr>
          <w:rFonts w:eastAsia="Times New Roman" w:cs="Times New Roman"/>
          <w:szCs w:val="24"/>
        </w:rPr>
        <w:t>. Global Journal of Finance and Management, 13(1), 22–38.</w:t>
      </w:r>
    </w:p>
    <w:p w14:paraId="3D961D0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Sultana, N., &amp; Rimi, N. (2021). </w:t>
      </w:r>
      <w:r w:rsidRPr="00FB4F47">
        <w:rPr>
          <w:rFonts w:eastAsia="Times New Roman" w:cs="Times New Roman"/>
          <w:i/>
          <w:iCs/>
          <w:szCs w:val="24"/>
        </w:rPr>
        <w:t>Dividend yield and firm performance in Bangladesh</w:t>
      </w:r>
      <w:r w:rsidRPr="00FB4F47">
        <w:rPr>
          <w:rFonts w:eastAsia="Times New Roman" w:cs="Times New Roman"/>
          <w:szCs w:val="24"/>
        </w:rPr>
        <w:t>. South Asian Journal of Business and Management Cases, 10(2), 122–135.</w:t>
      </w:r>
    </w:p>
    <w:p w14:paraId="42E58B1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World Bank. (2023). </w:t>
      </w:r>
      <w:r w:rsidRPr="00FB4F47">
        <w:rPr>
          <w:rFonts w:eastAsia="Times New Roman" w:cs="Times New Roman"/>
          <w:i/>
          <w:iCs/>
          <w:szCs w:val="24"/>
        </w:rPr>
        <w:t>Global economic prospects: Profitability and growth in emerging markets 2023</w:t>
      </w:r>
      <w:r w:rsidRPr="00FB4F47">
        <w:rPr>
          <w:rFonts w:eastAsia="Times New Roman" w:cs="Times New Roman"/>
          <w:szCs w:val="24"/>
        </w:rPr>
        <w:t>. Washington, DC: World Bank Group.</w:t>
      </w:r>
    </w:p>
    <w:p w14:paraId="7B14AAA4"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Zattoni, A., Pedrini, M., &amp; De Cesari, A. (2019). </w:t>
      </w:r>
      <w:r w:rsidRPr="00FB4F47">
        <w:rPr>
          <w:rFonts w:eastAsia="Times New Roman" w:cs="Times New Roman"/>
          <w:i/>
          <w:iCs/>
          <w:szCs w:val="24"/>
        </w:rPr>
        <w:t>Corporate governance and financial performance: Evidence from Japan</w:t>
      </w:r>
      <w:r w:rsidRPr="00FB4F47">
        <w:rPr>
          <w:rFonts w:eastAsia="Times New Roman" w:cs="Times New Roman"/>
          <w:szCs w:val="24"/>
        </w:rPr>
        <w:t>. Journal of Management and Governance, 23(4), 1047–1072.</w:t>
      </w:r>
    </w:p>
    <w:p w14:paraId="3A81360F" w14:textId="77777777" w:rsidR="00B26084" w:rsidRPr="007A56B8" w:rsidRDefault="00B26084" w:rsidP="002151BA">
      <w:pPr>
        <w:shd w:val="clear" w:color="auto" w:fill="FFFFFF"/>
        <w:spacing w:line="240" w:lineRule="auto"/>
        <w:rPr>
          <w:rFonts w:eastAsia="Times New Roman" w:cs="Times New Roman"/>
          <w:b/>
          <w:bCs/>
          <w:color w:val="000000" w:themeColor="text1"/>
          <w:sz w:val="28"/>
          <w:szCs w:val="28"/>
        </w:rPr>
      </w:pPr>
    </w:p>
    <w:sectPr w:rsidR="00B26084" w:rsidRPr="007A56B8"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2709" w14:textId="77777777" w:rsidR="00327AA8" w:rsidRDefault="00327AA8">
      <w:pPr>
        <w:spacing w:before="0" w:line="240" w:lineRule="auto"/>
      </w:pPr>
      <w:r>
        <w:separator/>
      </w:r>
    </w:p>
  </w:endnote>
  <w:endnote w:type="continuationSeparator" w:id="0">
    <w:p w14:paraId="07EA5149" w14:textId="77777777" w:rsidR="00327AA8" w:rsidRDefault="00327A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28D3" w14:textId="7D9E6AB6" w:rsidR="004A12F4" w:rsidRPr="008A0558" w:rsidRDefault="00327AA8">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A453B4">
          <w:rPr>
            <w:noProof/>
            <w:sz w:val="20"/>
            <w:szCs w:val="18"/>
          </w:rPr>
          <w:t>6</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BEB0B" w14:textId="77777777" w:rsidR="00327AA8" w:rsidRDefault="00327AA8">
      <w:pPr>
        <w:spacing w:before="0" w:line="240" w:lineRule="auto"/>
      </w:pPr>
      <w:r>
        <w:separator/>
      </w:r>
    </w:p>
  </w:footnote>
  <w:footnote w:type="continuationSeparator" w:id="0">
    <w:p w14:paraId="322CF435" w14:textId="77777777" w:rsidR="00327AA8" w:rsidRDefault="00327A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2A88" w14:textId="3DB45792" w:rsidR="002F3314" w:rsidRDefault="002F3314">
    <w:pPr>
      <w:pStyle w:val="Header"/>
    </w:pPr>
    <w:r>
      <w:rPr>
        <w:noProof/>
      </w:rPr>
      <w:pict w14:anchorId="6F66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8" o:spid="_x0000_s2050"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D838" w14:textId="37DC6CC9" w:rsidR="002F3314" w:rsidRDefault="002F3314">
    <w:pPr>
      <w:pStyle w:val="Header"/>
    </w:pPr>
    <w:r>
      <w:rPr>
        <w:noProof/>
      </w:rPr>
      <w:pict w14:anchorId="5E673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9" o:spid="_x0000_s2051" type="#_x0000_t136" style="position:absolute;left:0;text-align:left;margin-left:0;margin-top:0;width:699.8pt;height:7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2634" w14:textId="510F453D" w:rsidR="002F3314" w:rsidRDefault="002F3314">
    <w:pPr>
      <w:pStyle w:val="Header"/>
    </w:pPr>
    <w:r>
      <w:rPr>
        <w:noProof/>
      </w:rPr>
      <w:pict w14:anchorId="0C0C5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7" o:spid="_x0000_s2049"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9"/>
  </w:num>
  <w:num w:numId="15">
    <w:abstractNumId w:val="2"/>
  </w:num>
  <w:num w:numId="16">
    <w:abstractNumId w:val="10"/>
  </w:num>
  <w:num w:numId="17">
    <w:abstractNumId w:val="7"/>
  </w:num>
  <w:num w:numId="18">
    <w:abstractNumId w:val="15"/>
  </w:num>
  <w:num w:numId="19">
    <w:abstractNumId w:val="13"/>
  </w:num>
  <w:num w:numId="20">
    <w:abstractNumId w:val="6"/>
  </w:num>
  <w:num w:numId="21">
    <w:abstractNumId w:val="8"/>
  </w:num>
  <w:num w:numId="22">
    <w:abstractNumId w:val="21"/>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733F"/>
    <w:rsid w:val="000A3BD7"/>
    <w:rsid w:val="000A57EC"/>
    <w:rsid w:val="000A6884"/>
    <w:rsid w:val="000B496D"/>
    <w:rsid w:val="000C037E"/>
    <w:rsid w:val="000D075E"/>
    <w:rsid w:val="000D0F56"/>
    <w:rsid w:val="000D1B44"/>
    <w:rsid w:val="000D7152"/>
    <w:rsid w:val="000D7DAA"/>
    <w:rsid w:val="000E2349"/>
    <w:rsid w:val="000F4A65"/>
    <w:rsid w:val="00111B62"/>
    <w:rsid w:val="001163C7"/>
    <w:rsid w:val="00124253"/>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7340"/>
    <w:rsid w:val="002E3874"/>
    <w:rsid w:val="002E784F"/>
    <w:rsid w:val="002F03DA"/>
    <w:rsid w:val="002F3314"/>
    <w:rsid w:val="002F3573"/>
    <w:rsid w:val="00300BE0"/>
    <w:rsid w:val="00301FD6"/>
    <w:rsid w:val="003029F0"/>
    <w:rsid w:val="00311377"/>
    <w:rsid w:val="00311DFA"/>
    <w:rsid w:val="003128C6"/>
    <w:rsid w:val="003131D7"/>
    <w:rsid w:val="003140FD"/>
    <w:rsid w:val="00323D68"/>
    <w:rsid w:val="00324548"/>
    <w:rsid w:val="00327AA8"/>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4FD6"/>
    <w:rsid w:val="003D7198"/>
    <w:rsid w:val="003E0D69"/>
    <w:rsid w:val="003E0FAD"/>
    <w:rsid w:val="003E38F0"/>
    <w:rsid w:val="003E606B"/>
    <w:rsid w:val="003E7E33"/>
    <w:rsid w:val="003F01AE"/>
    <w:rsid w:val="003F72A0"/>
    <w:rsid w:val="00406845"/>
    <w:rsid w:val="004071F4"/>
    <w:rsid w:val="00407977"/>
    <w:rsid w:val="0041566F"/>
    <w:rsid w:val="00415ABE"/>
    <w:rsid w:val="004165B3"/>
    <w:rsid w:val="00416E73"/>
    <w:rsid w:val="00421CF2"/>
    <w:rsid w:val="0042251A"/>
    <w:rsid w:val="00423DF5"/>
    <w:rsid w:val="00426201"/>
    <w:rsid w:val="00426617"/>
    <w:rsid w:val="00426CDB"/>
    <w:rsid w:val="00437393"/>
    <w:rsid w:val="00440EF7"/>
    <w:rsid w:val="00451ECC"/>
    <w:rsid w:val="00462C20"/>
    <w:rsid w:val="004737A8"/>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5972"/>
    <w:rsid w:val="00511FA2"/>
    <w:rsid w:val="0051495F"/>
    <w:rsid w:val="00526412"/>
    <w:rsid w:val="0052667E"/>
    <w:rsid w:val="005417F4"/>
    <w:rsid w:val="0054398C"/>
    <w:rsid w:val="00546369"/>
    <w:rsid w:val="00556C7C"/>
    <w:rsid w:val="00561737"/>
    <w:rsid w:val="00563CE7"/>
    <w:rsid w:val="00563F35"/>
    <w:rsid w:val="005666F9"/>
    <w:rsid w:val="005713C2"/>
    <w:rsid w:val="00571717"/>
    <w:rsid w:val="00571F99"/>
    <w:rsid w:val="005740B5"/>
    <w:rsid w:val="00575F00"/>
    <w:rsid w:val="00591DBD"/>
    <w:rsid w:val="005926C9"/>
    <w:rsid w:val="00594F68"/>
    <w:rsid w:val="005B04D7"/>
    <w:rsid w:val="005B0558"/>
    <w:rsid w:val="005D3FE1"/>
    <w:rsid w:val="005D72F4"/>
    <w:rsid w:val="005E3D2C"/>
    <w:rsid w:val="005F19B0"/>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50F50"/>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57F"/>
    <w:rsid w:val="009E783A"/>
    <w:rsid w:val="009F3871"/>
    <w:rsid w:val="009F5632"/>
    <w:rsid w:val="009F6D2D"/>
    <w:rsid w:val="00A00A05"/>
    <w:rsid w:val="00A0120F"/>
    <w:rsid w:val="00A01B25"/>
    <w:rsid w:val="00A01E19"/>
    <w:rsid w:val="00A15B6B"/>
    <w:rsid w:val="00A22EB7"/>
    <w:rsid w:val="00A27439"/>
    <w:rsid w:val="00A31119"/>
    <w:rsid w:val="00A40F08"/>
    <w:rsid w:val="00A453B4"/>
    <w:rsid w:val="00A52C12"/>
    <w:rsid w:val="00A57832"/>
    <w:rsid w:val="00A616A9"/>
    <w:rsid w:val="00A6679B"/>
    <w:rsid w:val="00A67F40"/>
    <w:rsid w:val="00A73EDF"/>
    <w:rsid w:val="00A75341"/>
    <w:rsid w:val="00A81F27"/>
    <w:rsid w:val="00A82DFB"/>
    <w:rsid w:val="00A85593"/>
    <w:rsid w:val="00A85B82"/>
    <w:rsid w:val="00A87407"/>
    <w:rsid w:val="00A91ACF"/>
    <w:rsid w:val="00A91C98"/>
    <w:rsid w:val="00A9253F"/>
    <w:rsid w:val="00A94D23"/>
    <w:rsid w:val="00A9586C"/>
    <w:rsid w:val="00A96A1E"/>
    <w:rsid w:val="00AC0D69"/>
    <w:rsid w:val="00AC2144"/>
    <w:rsid w:val="00AD0959"/>
    <w:rsid w:val="00AD4106"/>
    <w:rsid w:val="00AD50D3"/>
    <w:rsid w:val="00AD6429"/>
    <w:rsid w:val="00AE3911"/>
    <w:rsid w:val="00AE4AA5"/>
    <w:rsid w:val="00AE69E8"/>
    <w:rsid w:val="00AF253B"/>
    <w:rsid w:val="00AF38F9"/>
    <w:rsid w:val="00AF46F3"/>
    <w:rsid w:val="00B00FCB"/>
    <w:rsid w:val="00B03327"/>
    <w:rsid w:val="00B04E6C"/>
    <w:rsid w:val="00B05A71"/>
    <w:rsid w:val="00B108BB"/>
    <w:rsid w:val="00B14085"/>
    <w:rsid w:val="00B14EAC"/>
    <w:rsid w:val="00B2188D"/>
    <w:rsid w:val="00B22173"/>
    <w:rsid w:val="00B26084"/>
    <w:rsid w:val="00B3762C"/>
    <w:rsid w:val="00B40B7A"/>
    <w:rsid w:val="00B40DD3"/>
    <w:rsid w:val="00B449E1"/>
    <w:rsid w:val="00B44AE3"/>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0CD8"/>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837"/>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7E87"/>
    <w:rsid w:val="00E819C7"/>
    <w:rsid w:val="00E85394"/>
    <w:rsid w:val="00E85589"/>
    <w:rsid w:val="00E87A78"/>
    <w:rsid w:val="00E95BE7"/>
    <w:rsid w:val="00E95FB3"/>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styleId="UnresolvedMention">
    <w:name w:val="Unresolved Mention"/>
    <w:basedOn w:val="DefaultParagraphFont"/>
    <w:uiPriority w:val="99"/>
    <w:semiHidden/>
    <w:unhideWhenUsed/>
    <w:rsid w:val="00E2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7870</Words>
  <Characters>44863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1166</cp:lastModifiedBy>
  <cp:revision>5</cp:revision>
  <dcterms:created xsi:type="dcterms:W3CDTF">2026-03-23T07:50:00Z</dcterms:created>
  <dcterms:modified xsi:type="dcterms:W3CDTF">2026-03-23T11:47:00Z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