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1B1EF" w14:textId="32D54DA2" w:rsidR="00B74453" w:rsidRDefault="00B52B55" w:rsidP="00B74453">
      <w:pPr>
        <w:pStyle w:val="Title"/>
        <w:spacing w:after="0"/>
        <w:jc w:val="both"/>
        <w:rPr>
          <w:rFonts w:ascii="Arial" w:hAnsi="Arial" w:cs="Arial"/>
        </w:rPr>
      </w:pPr>
      <w:r w:rsidRPr="00B52B55">
        <w:rPr>
          <w:rFonts w:ascii="Arial" w:hAnsi="Arial" w:cs="Arial"/>
        </w:rPr>
        <w:t>Original Research Article</w:t>
      </w:r>
    </w:p>
    <w:p w14:paraId="0D2605B8" w14:textId="77777777" w:rsidR="00B52B55" w:rsidRDefault="00B52B55" w:rsidP="00B74453">
      <w:pPr>
        <w:pStyle w:val="Title"/>
        <w:spacing w:after="0"/>
        <w:jc w:val="both"/>
        <w:rPr>
          <w:rFonts w:ascii="Arial" w:hAnsi="Arial" w:cs="Arial"/>
        </w:rPr>
      </w:pPr>
    </w:p>
    <w:p w14:paraId="1A53FC16" w14:textId="77777777" w:rsidR="00B74453" w:rsidRPr="00B74453" w:rsidRDefault="00B74453" w:rsidP="00B74453">
      <w:pPr>
        <w:jc w:val="right"/>
        <w:rPr>
          <w:rFonts w:ascii="Arial" w:hAnsi="Arial" w:cs="Arial"/>
          <w:b/>
          <w:sz w:val="36"/>
          <w:szCs w:val="36"/>
        </w:rPr>
      </w:pPr>
      <w:r w:rsidRPr="00B74453">
        <w:rPr>
          <w:rFonts w:ascii="Arial" w:hAnsi="Arial" w:cs="Arial"/>
          <w:b/>
          <w:sz w:val="36"/>
          <w:szCs w:val="36"/>
        </w:rPr>
        <w:t>Poisson Autoregressive and Poisson Exponential Weighted Moving Average Models for Infectious Disease Prevalence among Farmers in Benue State, Nigeria</w:t>
      </w:r>
    </w:p>
    <w:p w14:paraId="785AA0F5" w14:textId="77777777" w:rsidR="00B74453" w:rsidRDefault="00B74453" w:rsidP="00B74453">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7DDCED0" w14:textId="77777777" w:rsidR="00B74453" w:rsidRPr="00FB3A86" w:rsidRDefault="00B74453" w:rsidP="00B7445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74453" w:rsidRPr="00E66978" w14:paraId="70454885" w14:textId="77777777" w:rsidTr="00B74453">
        <w:tc>
          <w:tcPr>
            <w:tcW w:w="9576" w:type="dxa"/>
            <w:shd w:val="clear" w:color="auto" w:fill="F2F2F2"/>
          </w:tcPr>
          <w:p w14:paraId="2353EC7D" w14:textId="77777777" w:rsidR="00B74453" w:rsidRPr="00E66978" w:rsidRDefault="00B74453" w:rsidP="00B74453">
            <w:pPr>
              <w:pStyle w:val="Body"/>
              <w:spacing w:after="0"/>
              <w:rPr>
                <w:rFonts w:ascii="Arial" w:eastAsia="Calibri" w:hAnsi="Arial" w:cs="Arial"/>
                <w:szCs w:val="22"/>
              </w:rPr>
            </w:pPr>
            <w:r w:rsidRPr="00E66978">
              <w:rPr>
                <w:rFonts w:ascii="Arial" w:eastAsia="Calibri" w:hAnsi="Arial" w:cs="Arial"/>
                <w:b/>
                <w:szCs w:val="22"/>
              </w:rPr>
              <w:t xml:space="preserve">Aims: </w:t>
            </w:r>
            <w:r w:rsidR="00E66978" w:rsidRPr="00E66978">
              <w:rPr>
                <w:rFonts w:ascii="Arial" w:hAnsi="Arial" w:cs="Arial"/>
              </w:rPr>
              <w:t>This study aims to model and analyze the infection rates of Human Immunodeficiency Virus (HIV), Tuberculosis (TB), and Viral Hepatitis (VHP) among farmers in Benue State, Nigeria, and to examine their temporal dynamics and co-infection patterns using Poisson-based time series models.</w:t>
            </w:r>
          </w:p>
          <w:p w14:paraId="65A4329A" w14:textId="77777777" w:rsidR="00E66978" w:rsidRPr="00E66978" w:rsidRDefault="00B74453" w:rsidP="00B74453">
            <w:pPr>
              <w:pStyle w:val="Body"/>
              <w:spacing w:after="0"/>
              <w:rPr>
                <w:rFonts w:ascii="Arial" w:hAnsi="Arial" w:cs="Arial"/>
              </w:rPr>
            </w:pPr>
            <w:r w:rsidRPr="00E66978">
              <w:rPr>
                <w:rFonts w:ascii="Arial" w:eastAsia="Calibri" w:hAnsi="Arial" w:cs="Arial"/>
                <w:b/>
                <w:szCs w:val="22"/>
              </w:rPr>
              <w:t>Study design:</w:t>
            </w:r>
            <w:r w:rsidR="00E66978" w:rsidRPr="00E66978">
              <w:rPr>
                <w:rFonts w:ascii="Arial" w:eastAsia="Calibri" w:hAnsi="Arial" w:cs="Arial"/>
                <w:b/>
                <w:szCs w:val="22"/>
              </w:rPr>
              <w:t xml:space="preserve"> </w:t>
            </w:r>
            <w:r w:rsidR="00E66978" w:rsidRPr="00E66978">
              <w:rPr>
                <w:rFonts w:ascii="Arial" w:hAnsi="Arial" w:cs="Arial"/>
              </w:rPr>
              <w:t>The study adopts a quantitative, retrospective time series design utilizing count data models, specifically the Poisson Autoregressive (</w:t>
            </w:r>
            <w:proofErr w:type="gramStart"/>
            <w:r w:rsidR="00E66978" w:rsidRPr="00E66978">
              <w:rPr>
                <w:rFonts w:ascii="Arial" w:hAnsi="Arial" w:cs="Arial"/>
              </w:rPr>
              <w:t>PAR(</w:t>
            </w:r>
            <w:proofErr w:type="gramEnd"/>
            <w:r w:rsidR="00E66978" w:rsidRPr="00E66978">
              <w:rPr>
                <w:rFonts w:ascii="Arial" w:hAnsi="Arial" w:cs="Arial"/>
              </w:rPr>
              <w:t>1)) and Poisson Exponential Weighted Moving Average (PEWMA) models.</w:t>
            </w:r>
          </w:p>
          <w:p w14:paraId="67362AD0" w14:textId="77777777" w:rsidR="00E66978" w:rsidRPr="00E66978" w:rsidRDefault="00B74453" w:rsidP="00B74453">
            <w:pPr>
              <w:pStyle w:val="Body"/>
              <w:spacing w:after="0"/>
              <w:rPr>
                <w:rFonts w:ascii="Arial" w:hAnsi="Arial" w:cs="Arial"/>
              </w:rPr>
            </w:pPr>
            <w:r w:rsidRPr="00E66978">
              <w:rPr>
                <w:rFonts w:ascii="Arial" w:eastAsia="Calibri" w:hAnsi="Arial" w:cs="Arial"/>
                <w:b/>
                <w:szCs w:val="22"/>
              </w:rPr>
              <w:t>Place and Duration of Study:</w:t>
            </w:r>
            <w:r w:rsidR="00E66978" w:rsidRPr="00E66978">
              <w:rPr>
                <w:rFonts w:ascii="Arial" w:eastAsia="Calibri" w:hAnsi="Arial" w:cs="Arial"/>
                <w:b/>
                <w:szCs w:val="22"/>
              </w:rPr>
              <w:t xml:space="preserve"> </w:t>
            </w:r>
            <w:r w:rsidR="00E66978" w:rsidRPr="00E66978">
              <w:rPr>
                <w:rFonts w:ascii="Arial" w:hAnsi="Arial" w:cs="Arial"/>
              </w:rPr>
              <w:t>The study was conducted in Benue State, Nigeria, using monthly secondary data on serologically confirmed cases of HIV, TB, and VHP from January 2010 to December 2022.</w:t>
            </w:r>
          </w:p>
          <w:p w14:paraId="24156AD8" w14:textId="77777777" w:rsidR="00B74453" w:rsidRPr="00E66978" w:rsidRDefault="00B74453" w:rsidP="00B74453">
            <w:pPr>
              <w:pStyle w:val="Body"/>
              <w:spacing w:after="0"/>
              <w:rPr>
                <w:rFonts w:ascii="Arial" w:eastAsia="Calibri" w:hAnsi="Arial" w:cs="Arial"/>
                <w:szCs w:val="22"/>
              </w:rPr>
            </w:pPr>
            <w:r w:rsidRPr="00E66978">
              <w:rPr>
                <w:rFonts w:ascii="Arial" w:eastAsia="Calibri" w:hAnsi="Arial" w:cs="Arial"/>
                <w:b/>
                <w:bCs/>
                <w:szCs w:val="22"/>
              </w:rPr>
              <w:t>Methodology:</w:t>
            </w:r>
            <w:r w:rsidR="00E66978" w:rsidRPr="00E66978">
              <w:rPr>
                <w:rFonts w:ascii="Arial" w:eastAsia="Calibri" w:hAnsi="Arial" w:cs="Arial"/>
                <w:b/>
                <w:bCs/>
                <w:szCs w:val="22"/>
              </w:rPr>
              <w:t xml:space="preserve"> </w:t>
            </w:r>
            <w:r w:rsidR="00E66978" w:rsidRPr="00E66978">
              <w:rPr>
                <w:rFonts w:ascii="Arial" w:hAnsi="Arial" w:cs="Arial"/>
              </w:rPr>
              <w:t xml:space="preserve">Descriptive statistics, time plots, bar charts, and the Anderson-Darling normality test were employed to explore the data characteristics. The </w:t>
            </w:r>
            <w:proofErr w:type="gramStart"/>
            <w:r w:rsidR="00E66978" w:rsidRPr="00E66978">
              <w:rPr>
                <w:rFonts w:ascii="Arial" w:hAnsi="Arial" w:cs="Arial"/>
              </w:rPr>
              <w:t>PAR(</w:t>
            </w:r>
            <w:proofErr w:type="gramEnd"/>
            <w:r w:rsidR="00E66978" w:rsidRPr="00E66978">
              <w:rPr>
                <w:rFonts w:ascii="Arial" w:hAnsi="Arial" w:cs="Arial"/>
              </w:rPr>
              <w:t>1) model was used to assess persistence in infection rates, while the PEWMA model captured dynamic changes and co-infection relationships. Model performance was evaluated using coefficients of determination and diagnostic checks for dispersion and predictive accuracy.</w:t>
            </w:r>
          </w:p>
          <w:p w14:paraId="64B0AEEB" w14:textId="77777777" w:rsidR="00E66978" w:rsidRPr="00E66978" w:rsidRDefault="00B74453" w:rsidP="00B74453">
            <w:pPr>
              <w:pStyle w:val="Body"/>
              <w:spacing w:after="0"/>
              <w:rPr>
                <w:rFonts w:ascii="Arial" w:hAnsi="Arial" w:cs="Arial"/>
              </w:rPr>
            </w:pPr>
            <w:r w:rsidRPr="00E66978">
              <w:rPr>
                <w:rFonts w:ascii="Arial" w:eastAsia="Calibri" w:hAnsi="Arial" w:cs="Arial"/>
                <w:b/>
                <w:bCs/>
                <w:szCs w:val="22"/>
              </w:rPr>
              <w:t>Results:</w:t>
            </w:r>
            <w:r w:rsidR="00E66978" w:rsidRPr="00E66978">
              <w:rPr>
                <w:rFonts w:ascii="Arial" w:eastAsia="Calibri" w:hAnsi="Arial" w:cs="Arial"/>
                <w:b/>
                <w:bCs/>
                <w:szCs w:val="22"/>
              </w:rPr>
              <w:t xml:space="preserve"> </w:t>
            </w:r>
            <w:r w:rsidR="00E66978" w:rsidRPr="00E66978">
              <w:rPr>
                <w:rFonts w:ascii="Arial" w:hAnsi="Arial" w:cs="Arial"/>
              </w:rPr>
              <w:t xml:space="preserve">The findings revealed increasing trends in HIV, TB, and VHP infections with clear non-Gaussian distributions. Peak infection rates occurred between 2017 and 2019, while the lowest rates were observed in 2010. The </w:t>
            </w:r>
            <w:proofErr w:type="gramStart"/>
            <w:r w:rsidR="00E66978" w:rsidRPr="00E66978">
              <w:rPr>
                <w:rFonts w:ascii="Arial" w:hAnsi="Arial" w:cs="Arial"/>
              </w:rPr>
              <w:t>PAR(</w:t>
            </w:r>
            <w:proofErr w:type="gramEnd"/>
            <w:r w:rsidR="00E66978" w:rsidRPr="00E66978">
              <w:rPr>
                <w:rFonts w:ascii="Arial" w:hAnsi="Arial" w:cs="Arial"/>
              </w:rPr>
              <w:t>1) model indicated strong persistence with lag coefficients of 0.7362 (HIV), 0.7036 (TB), and 0.6718 (VHP). Monthly increases were estimated at 2.25% for HIV, 1.22% for TB, and 12.08% for VHP. The models demonstrated strong goodness-of-fit with R² values of 83.3%, 78.8%, and 80.8% for HIV, TB, and VHP, respectively. The PEWMA model highlighted significant co-infection dynamics, particularly between HIV and TB, and showed that VHP incidence is closely associated with both infections. Diagnostic results confirmed minimal over-dispersion and strong predictive capability.</w:t>
            </w:r>
          </w:p>
          <w:p w14:paraId="69334E07" w14:textId="77777777" w:rsidR="00B74453" w:rsidRPr="00E66978" w:rsidRDefault="00B74453" w:rsidP="00B74453">
            <w:pPr>
              <w:pStyle w:val="Body"/>
              <w:spacing w:after="0"/>
              <w:rPr>
                <w:rFonts w:ascii="Arial" w:eastAsia="Calibri" w:hAnsi="Arial" w:cs="Arial"/>
                <w:szCs w:val="22"/>
              </w:rPr>
            </w:pPr>
            <w:r w:rsidRPr="00E66978">
              <w:rPr>
                <w:rFonts w:ascii="Arial" w:eastAsia="Calibri" w:hAnsi="Arial" w:cs="Arial"/>
                <w:b/>
                <w:bCs/>
                <w:szCs w:val="22"/>
              </w:rPr>
              <w:t>Conclusion:</w:t>
            </w:r>
            <w:r w:rsidRPr="00E66978">
              <w:rPr>
                <w:rFonts w:ascii="Arial" w:eastAsia="Calibri" w:hAnsi="Arial" w:cs="Arial"/>
                <w:szCs w:val="22"/>
              </w:rPr>
              <w:t xml:space="preserve"> </w:t>
            </w:r>
            <w:r w:rsidR="00E66978" w:rsidRPr="00E66978">
              <w:rPr>
                <w:rFonts w:ascii="Arial" w:hAnsi="Arial" w:cs="Arial"/>
              </w:rPr>
              <w:t>The study concludes that infection rates of HIV, TB, and VHP among farmers in Benue State are increasing and exhibit strong temporal dependence and co-infection interactions. The findings underscore the need for continuous surveillance, targeted interventions, and integrated public health strategies. Further research is recommended to investigate the underlying drivers of these trends and the observed non-normality in the data.</w:t>
            </w:r>
          </w:p>
        </w:tc>
      </w:tr>
    </w:tbl>
    <w:p w14:paraId="2CFBF853" w14:textId="77777777" w:rsidR="00B74453" w:rsidRPr="00FD4E87" w:rsidRDefault="00B74453" w:rsidP="00B74453">
      <w:pPr>
        <w:pStyle w:val="Body"/>
        <w:spacing w:after="0"/>
        <w:rPr>
          <w:rFonts w:ascii="Arial" w:hAnsi="Arial" w:cs="Arial"/>
          <w:i/>
        </w:rPr>
      </w:pPr>
      <w:r>
        <w:rPr>
          <w:rFonts w:ascii="Arial" w:hAnsi="Arial" w:cs="Arial"/>
          <w:i/>
        </w:rPr>
        <w:t xml:space="preserve">Keywords: </w:t>
      </w:r>
      <w:r w:rsidR="00FD4E87" w:rsidRPr="00FD4E87">
        <w:rPr>
          <w:rFonts w:ascii="Arial" w:hAnsi="Arial" w:cs="Arial"/>
          <w:i/>
        </w:rPr>
        <w:t>Infectious Diseases, Farmers, Poison-Based Regression, Time Series Models, Benue State, Nigeria.</w:t>
      </w:r>
    </w:p>
    <w:p w14:paraId="5972521B" w14:textId="77777777" w:rsidR="00FD4E87" w:rsidRDefault="00FD4E87" w:rsidP="00B74453">
      <w:pPr>
        <w:pStyle w:val="AbstHead"/>
        <w:spacing w:after="0"/>
        <w:jc w:val="both"/>
        <w:rPr>
          <w:rFonts w:ascii="Arial" w:hAnsi="Arial" w:cs="Arial"/>
        </w:rPr>
      </w:pPr>
    </w:p>
    <w:p w14:paraId="11C4BA5E" w14:textId="77777777" w:rsidR="00B74453" w:rsidRPr="00FB3A86" w:rsidRDefault="00B74453" w:rsidP="00B7445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32E527C" w14:textId="77777777" w:rsidR="00B74453" w:rsidRPr="00B74453" w:rsidRDefault="00B74453" w:rsidP="00B74453">
      <w:pPr>
        <w:spacing w:before="240"/>
        <w:jc w:val="both"/>
        <w:rPr>
          <w:rFonts w:ascii="Arial" w:hAnsi="Arial" w:cs="Arial"/>
        </w:rPr>
      </w:pPr>
      <w:r w:rsidRPr="00B74453">
        <w:rPr>
          <w:rFonts w:ascii="Arial" w:hAnsi="Arial" w:cs="Arial"/>
        </w:rPr>
        <w:t xml:space="preserve">Infectious diseases remain a major public health burden worldwide, especially in sub-Saharan Africa where the prevalence of communicable diseases such as HIV, tuberculosis (TB), and viral hepatitis (VHP) continues to pose significant health and socio-economic challenges. According to the World Health Organization (WHO, 2023) these diseases </w:t>
      </w:r>
      <w:r w:rsidRPr="00B74453">
        <w:rPr>
          <w:rFonts w:ascii="Arial" w:hAnsi="Arial" w:cs="Arial"/>
        </w:rPr>
        <w:lastRenderedPageBreak/>
        <w:t>account for a high proportion of morbidity and mortality in the region. Nigeria, being one of the most affected countries, continues to experience high infection rates despite various public health interventions. The situation is further aggravated in rural areas where healthcare access is limited, and the farming population remains highly vulnerable due to occupational exposures and limited health literacy.</w:t>
      </w:r>
    </w:p>
    <w:p w14:paraId="631F2A93" w14:textId="77777777" w:rsidR="00B74453" w:rsidRPr="00B74453" w:rsidRDefault="00B74453" w:rsidP="00B74453">
      <w:pPr>
        <w:spacing w:before="240"/>
        <w:jc w:val="both"/>
        <w:rPr>
          <w:rFonts w:ascii="Arial" w:hAnsi="Arial" w:cs="Arial"/>
        </w:rPr>
      </w:pPr>
      <w:r w:rsidRPr="00B74453">
        <w:rPr>
          <w:rFonts w:ascii="Arial" w:hAnsi="Arial" w:cs="Arial"/>
        </w:rPr>
        <w:t>Benue State, located in North-Central Nigeria, is predominantly agrarian, with a large proportion of its population engaged in farming activities. The nature of farming work often involves physical strain, open injuries, and migration conditions that increase susceptibility to infectious diseases. Several reports have indicated a rising trend in HIV, TB, and VHP in the region, raising public health concerns (Federal Ministry of Health, 2022). However, understanding the temporal dynamics and interrelationships of these infections among farmers is still inadequate due to limited research that combines epidemiological data with advanced time series modeling techniques.</w:t>
      </w:r>
    </w:p>
    <w:p w14:paraId="3DB126D7" w14:textId="77777777" w:rsidR="00B74453" w:rsidRPr="00B74453" w:rsidRDefault="00B74453" w:rsidP="00B74453">
      <w:pPr>
        <w:spacing w:before="240"/>
        <w:jc w:val="both"/>
        <w:rPr>
          <w:rFonts w:ascii="Arial" w:hAnsi="Arial" w:cs="Arial"/>
        </w:rPr>
      </w:pPr>
      <w:r w:rsidRPr="00B74453">
        <w:rPr>
          <w:rFonts w:ascii="Arial" w:hAnsi="Arial" w:cs="Arial"/>
        </w:rPr>
        <w:t>Mathematical and statistical models play a crucial role in disease surveillance and forecasting. Among these, count data models such as the Poisson Autoregressive (PAR) model have gained prominence for modeling discrete-valued time series, particularly in epidemiology (</w:t>
      </w:r>
      <w:proofErr w:type="spellStart"/>
      <w:r w:rsidRPr="00B74453">
        <w:rPr>
          <w:rFonts w:ascii="Arial" w:hAnsi="Arial" w:cs="Arial"/>
        </w:rPr>
        <w:t>Fokianos</w:t>
      </w:r>
      <w:proofErr w:type="spellEnd"/>
      <w:r w:rsidRPr="00B74453">
        <w:rPr>
          <w:rFonts w:ascii="Arial" w:hAnsi="Arial" w:cs="Arial"/>
        </w:rPr>
        <w:t xml:space="preserve"> and Fried, 2010). The PAR model is particularly suitable for evaluating temporal dependence in count data, allowing for the assessment of how past infection rates influence current levels. Such models help public health stakeholders anticipate future outbreaks and allocate resources more effectively.</w:t>
      </w:r>
    </w:p>
    <w:p w14:paraId="502BCCFD" w14:textId="77777777" w:rsidR="00B74453" w:rsidRPr="00B74453" w:rsidRDefault="00B74453" w:rsidP="00B74453">
      <w:pPr>
        <w:spacing w:before="240"/>
        <w:jc w:val="both"/>
        <w:rPr>
          <w:rFonts w:ascii="Arial" w:hAnsi="Arial" w:cs="Arial"/>
        </w:rPr>
      </w:pPr>
      <w:r w:rsidRPr="00B74453">
        <w:rPr>
          <w:rFonts w:ascii="Arial" w:hAnsi="Arial" w:cs="Arial"/>
        </w:rPr>
        <w:t xml:space="preserve">More recently, the Poisson Exponential Weighted Moving Average (PEWMA) model has emerged as a robust tool in the monitoring of count-based surveillance data. It combines the strengths of time series smoothing with count-based probability distributions, making it particularly useful in detecting subtle trends and co-movements in infectious disease data (Jung </w:t>
      </w:r>
      <w:r w:rsidRPr="00B74453">
        <w:rPr>
          <w:rFonts w:ascii="Arial" w:hAnsi="Arial" w:cs="Arial"/>
          <w:i/>
        </w:rPr>
        <w:t>et al</w:t>
      </w:r>
      <w:r w:rsidRPr="00B74453">
        <w:rPr>
          <w:rFonts w:ascii="Arial" w:hAnsi="Arial" w:cs="Arial"/>
        </w:rPr>
        <w:t>., 2005). These models are particularly relevant when data exhibit over-dispersion and non-Gaussian properties; common features in real-world infectious disease data. When applied together, PAR and PEWMA offer a comprehensive analytical framework for understanding disease dynamics.</w:t>
      </w:r>
    </w:p>
    <w:p w14:paraId="3B63D94E" w14:textId="77777777" w:rsidR="00B74453" w:rsidRPr="00B74453" w:rsidRDefault="00B74453" w:rsidP="00B74453">
      <w:pPr>
        <w:spacing w:before="240"/>
        <w:jc w:val="both"/>
        <w:rPr>
          <w:rFonts w:ascii="Arial" w:hAnsi="Arial" w:cs="Arial"/>
        </w:rPr>
      </w:pPr>
      <w:r w:rsidRPr="00B74453">
        <w:rPr>
          <w:rFonts w:ascii="Arial" w:hAnsi="Arial" w:cs="Arial"/>
        </w:rPr>
        <w:t>Despite the availability of surveillance data from health agencies in Benue State, few studies have utilized these advanced statistical models to track infectious disease patterns among the farming population. Most studies rely on descriptive statistics or classical regression models that fail to account for time-dependence and non-normality in data. As such, there is a critical need to bridge this gap by applying rigorous, model-based approaches that can improve the quality of inference, monitoring, and intervention planning.</w:t>
      </w:r>
    </w:p>
    <w:p w14:paraId="0094658C" w14:textId="77777777" w:rsidR="00B74453" w:rsidRPr="00B74453" w:rsidRDefault="00B74453" w:rsidP="00B74453">
      <w:pPr>
        <w:spacing w:before="240"/>
        <w:jc w:val="both"/>
        <w:rPr>
          <w:rFonts w:ascii="Arial" w:hAnsi="Arial" w:cs="Arial"/>
        </w:rPr>
      </w:pPr>
      <w:r w:rsidRPr="00B74453">
        <w:rPr>
          <w:rFonts w:ascii="Arial" w:hAnsi="Arial" w:cs="Arial"/>
        </w:rPr>
        <w:t>This study, therefore, seeks to utilize both Poisson Autoregressive and Poisson Exponential Weighted Moving Average models to model the monthly prevalence rates of HIV, TB, and VHP among farmers in Benue State. The findings are expected to contribute to better disease monitoring frameworks and provide policymakers with evidence-based tools for controlling the spread of these infections. Furthermore, the research will serve as a valuable reference for future studies seeking to apply similar methodologies in rural health epidemiology.</w:t>
      </w:r>
    </w:p>
    <w:p w14:paraId="58086807" w14:textId="77777777" w:rsidR="00B74453" w:rsidRDefault="00B74453" w:rsidP="00B74453">
      <w:pPr>
        <w:jc w:val="both"/>
        <w:rPr>
          <w:rFonts w:ascii="Times New Roman" w:hAnsi="Times New Roman"/>
          <w:sz w:val="24"/>
          <w:szCs w:val="24"/>
        </w:rPr>
      </w:pPr>
    </w:p>
    <w:p w14:paraId="558BA8EA" w14:textId="77777777" w:rsidR="00B74453" w:rsidRPr="00B74453" w:rsidRDefault="00B74453" w:rsidP="00B74453">
      <w:pPr>
        <w:jc w:val="both"/>
        <w:rPr>
          <w:rFonts w:ascii="Arial" w:hAnsi="Arial" w:cs="Arial"/>
        </w:rPr>
      </w:pPr>
      <w:r w:rsidRPr="00B74453">
        <w:rPr>
          <w:rFonts w:ascii="Arial" w:hAnsi="Arial" w:cs="Arial"/>
        </w:rPr>
        <w:t xml:space="preserve">There is a growing body of research on TB-HIV co-infection and other infectious diseases in Nigeria and across sub-Saharan Africa. For example, </w:t>
      </w:r>
      <w:proofErr w:type="spellStart"/>
      <w:r w:rsidRPr="00B74453">
        <w:rPr>
          <w:rFonts w:ascii="Arial" w:hAnsi="Arial" w:cs="Arial"/>
        </w:rPr>
        <w:t>Chukwuocha</w:t>
      </w:r>
      <w:proofErr w:type="spellEnd"/>
      <w:r w:rsidRPr="00B74453">
        <w:rPr>
          <w:rFonts w:ascii="Arial" w:hAnsi="Arial" w:cs="Arial"/>
        </w:rPr>
        <w:t xml:space="preserve"> et al. (2024) studied common TB-HIV co-infection in South Eastern Nigeria and how well patients were responding to treatment. Looking back at patient records from 2018 to 2020, they used descriptive statistics to explore patient characteristics and treatment outcomes. The results showed a high co-infection rate and revealed some serious challenges in treatment success. </w:t>
      </w:r>
      <w:r w:rsidRPr="00B74453">
        <w:rPr>
          <w:rFonts w:ascii="Arial" w:hAnsi="Arial" w:cs="Arial"/>
        </w:rPr>
        <w:lastRenderedPageBreak/>
        <w:t xml:space="preserve">The study recommended the need for integrated TB and HIV treatment </w:t>
      </w:r>
      <w:proofErr w:type="spellStart"/>
      <w:r w:rsidRPr="00B74453">
        <w:rPr>
          <w:rFonts w:ascii="Arial" w:hAnsi="Arial" w:cs="Arial"/>
        </w:rPr>
        <w:t>programmes</w:t>
      </w:r>
      <w:proofErr w:type="spellEnd"/>
      <w:r w:rsidRPr="00B74453">
        <w:rPr>
          <w:rFonts w:ascii="Arial" w:hAnsi="Arial" w:cs="Arial"/>
        </w:rPr>
        <w:t xml:space="preserve"> to improve patient outcomes, strengthen collaborative TB/HIV activities and enhance patient management strategies. ​ Similarly, Eze et al. (2024) examined what drives TB-HIV co-infection in Enugu State, Nigeria. They analyzed five years of data (2018-2022) from a major health facility using chi-square tests and logistic regression. They found a 29% co-infection rate, with traders and students at particularly high risk. Occupation and place of residence stood out as significant factors. The study recommended that targeted interventions for high-risk occupational groups were necessary to curb the spread of co-infections.​</w:t>
      </w:r>
    </w:p>
    <w:p w14:paraId="69DBEC2D" w14:textId="77777777" w:rsidR="00B74453" w:rsidRPr="00B74453" w:rsidRDefault="00B74453" w:rsidP="00B74453">
      <w:pPr>
        <w:jc w:val="both"/>
        <w:rPr>
          <w:rFonts w:ascii="Arial" w:hAnsi="Arial" w:cs="Arial"/>
        </w:rPr>
      </w:pPr>
    </w:p>
    <w:p w14:paraId="35006C04" w14:textId="77777777" w:rsidR="00B74453" w:rsidRPr="00B74453" w:rsidRDefault="00B74453" w:rsidP="00B74453">
      <w:pPr>
        <w:jc w:val="both"/>
        <w:rPr>
          <w:rFonts w:ascii="Arial" w:hAnsi="Arial" w:cs="Arial"/>
        </w:rPr>
      </w:pPr>
      <w:r w:rsidRPr="00B74453">
        <w:rPr>
          <w:rFonts w:ascii="Arial" w:hAnsi="Arial" w:cs="Arial"/>
        </w:rPr>
        <w:t xml:space="preserve">Adebayo et al. (2024) took a different angle, using the UNAIDS Incidence Patterns Model (IPM) to explore new HIV infections in Lagos State. Drawing on multiple national datasets including NDHS 2018 and IBBSS 2020, they used the model to track which groups and age ranges were most affected. The results offered detailed insights into how HIV spreads and emphasized the value of data-driven planning. The study concluded that public health interventions should be guided by model outputs for maximum impact. In Minna, Niger State, </w:t>
      </w:r>
      <w:proofErr w:type="spellStart"/>
      <w:r w:rsidRPr="00B74453">
        <w:rPr>
          <w:rFonts w:ascii="Arial" w:hAnsi="Arial" w:cs="Arial"/>
        </w:rPr>
        <w:t>Umunn</w:t>
      </w:r>
      <w:proofErr w:type="spellEnd"/>
      <w:r w:rsidRPr="00B74453">
        <w:rPr>
          <w:rFonts w:ascii="Arial" w:hAnsi="Arial" w:cs="Arial"/>
        </w:rPr>
        <w:t xml:space="preserve"> and Olanrewaju (2020) developed a forecasting model for monthly HIV cases. Using ARMA and ARIMA models, they identified ARIMA (1,0,1) × SARIMA (1,0,</w:t>
      </w:r>
      <w:proofErr w:type="gramStart"/>
      <w:r w:rsidRPr="00B74453">
        <w:rPr>
          <w:rFonts w:ascii="Arial" w:hAnsi="Arial" w:cs="Arial"/>
        </w:rPr>
        <w:t>1)</w:t>
      </w:r>
      <w:r w:rsidRPr="00B74453">
        <w:rPr>
          <w:rFonts w:ascii="Times New Roman" w:hAnsi="Times New Roman" w:cs="Arial"/>
        </w:rPr>
        <w:t>₁</w:t>
      </w:r>
      <w:proofErr w:type="gramEnd"/>
      <w:r w:rsidRPr="00B74453">
        <w:rPr>
          <w:rFonts w:ascii="Times New Roman" w:hAnsi="Times New Roman" w:cs="Arial"/>
        </w:rPr>
        <w:t>₂</w:t>
      </w:r>
      <w:r w:rsidRPr="00B74453">
        <w:rPr>
          <w:rFonts w:ascii="Arial" w:hAnsi="Arial" w:cs="Arial"/>
        </w:rPr>
        <w:t xml:space="preserve"> as the best fit for predicting future trends. Their study highlighted how forecasting tools can support better planning and allocation of health resources.</w:t>
      </w:r>
    </w:p>
    <w:p w14:paraId="6C3C9DFB" w14:textId="77777777" w:rsidR="00B74453" w:rsidRPr="00B74453" w:rsidRDefault="00B74453" w:rsidP="00B74453">
      <w:pPr>
        <w:pStyle w:val="NormalWeb"/>
        <w:spacing w:after="0" w:afterAutospacing="0"/>
        <w:jc w:val="both"/>
        <w:rPr>
          <w:rFonts w:ascii="Arial" w:hAnsi="Arial" w:cs="Arial"/>
          <w:sz w:val="20"/>
          <w:szCs w:val="20"/>
        </w:rPr>
      </w:pPr>
      <w:r w:rsidRPr="00B74453">
        <w:rPr>
          <w:rFonts w:ascii="Arial" w:hAnsi="Arial" w:cs="Arial"/>
          <w:sz w:val="20"/>
          <w:szCs w:val="20"/>
        </w:rPr>
        <w:t xml:space="preserve">​ Going beyond Nigeria, Otiende et al. (2019) looked at TB-HIV co-infection in Kenya, analyzing case data from 2012 to 2018. Using advanced Poisson regression with Integrated Nested Laplace Approximations (INLA), they mapped geographical hotspots and trends over time. Their findings showed the power of spatial analysis for guiding region-specific public health strategies. </w:t>
      </w:r>
      <w:proofErr w:type="spellStart"/>
      <w:r w:rsidRPr="00B74453">
        <w:rPr>
          <w:rFonts w:ascii="Arial" w:hAnsi="Arial" w:cs="Arial"/>
          <w:sz w:val="20"/>
          <w:szCs w:val="20"/>
        </w:rPr>
        <w:t>Ebeigbe</w:t>
      </w:r>
      <w:proofErr w:type="spellEnd"/>
      <w:r w:rsidRPr="00B74453">
        <w:rPr>
          <w:rFonts w:ascii="Arial" w:hAnsi="Arial" w:cs="Arial"/>
          <w:sz w:val="20"/>
          <w:szCs w:val="20"/>
        </w:rPr>
        <w:t xml:space="preserve"> et al. (2020) introduced a Poisson Kalman filter to improve disease tracking, applying it to neonatal sepsis and post-infectious hydrocephalus data in Africa. Their innovation allowed for real-time monitoring of disease patterns, even when the data were sparse or nonlinear. They recommended adopting such advanced tools to boost the accuracy of disease surveillance.</w:t>
      </w:r>
    </w:p>
    <w:p w14:paraId="6C859FCA" w14:textId="77777777" w:rsidR="00B74453" w:rsidRPr="00B74453" w:rsidRDefault="00B74453" w:rsidP="00B74453">
      <w:pPr>
        <w:pStyle w:val="NormalWeb"/>
        <w:jc w:val="both"/>
        <w:rPr>
          <w:rFonts w:ascii="Arial" w:hAnsi="Arial" w:cs="Arial"/>
          <w:sz w:val="20"/>
          <w:szCs w:val="20"/>
        </w:rPr>
      </w:pPr>
      <w:r w:rsidRPr="00B74453">
        <w:rPr>
          <w:rFonts w:ascii="Arial" w:hAnsi="Arial" w:cs="Arial"/>
          <w:sz w:val="20"/>
          <w:szCs w:val="20"/>
        </w:rPr>
        <w:t xml:space="preserve">Xi et al. (2021) focused on the flow of HIV infections in sub-Saharan Africa using deep-sequenced genetic data from Rakai, Uganda. By integrating molecular data with epidemiological information, they uncovered transmission networks and pinpointed individuals and regions driving the epidemic. They stressed the importance of using molecular data to design targeted interventions in high-transmission zones. In Uganda, Kiggundu et al. (2021) analyzed national data from 2016-2020 to understand how TB and HIV interact in adults. Using Poisson regression and Cox models, they found that HIV-positive TB patients faced double the risk of death, although antiretroviral therapy (ART) significantly improved survival. The study recommends that integrated screening and early initiation of treatment for both TB and HIV should be prioritized. </w:t>
      </w:r>
    </w:p>
    <w:p w14:paraId="5D500117" w14:textId="77777777" w:rsidR="00B74453" w:rsidRPr="00B74453" w:rsidRDefault="00B74453" w:rsidP="00B74453">
      <w:pPr>
        <w:pStyle w:val="NormalWeb"/>
        <w:jc w:val="both"/>
        <w:rPr>
          <w:rFonts w:ascii="Arial" w:hAnsi="Arial" w:cs="Arial"/>
          <w:sz w:val="20"/>
          <w:szCs w:val="20"/>
        </w:rPr>
      </w:pPr>
      <w:r w:rsidRPr="00B74453">
        <w:rPr>
          <w:rFonts w:ascii="Arial" w:hAnsi="Arial" w:cs="Arial"/>
          <w:sz w:val="20"/>
          <w:szCs w:val="20"/>
        </w:rPr>
        <w:t xml:space="preserve">Switching gears to hepatitis, </w:t>
      </w:r>
      <w:proofErr w:type="spellStart"/>
      <w:r w:rsidRPr="00B74453">
        <w:rPr>
          <w:rFonts w:ascii="Arial" w:hAnsi="Arial" w:cs="Arial"/>
          <w:sz w:val="20"/>
          <w:szCs w:val="20"/>
        </w:rPr>
        <w:t>Adigwe</w:t>
      </w:r>
      <w:proofErr w:type="spellEnd"/>
      <w:r w:rsidRPr="00B74453">
        <w:rPr>
          <w:rFonts w:ascii="Arial" w:hAnsi="Arial" w:cs="Arial"/>
          <w:sz w:val="20"/>
          <w:szCs w:val="20"/>
        </w:rPr>
        <w:t xml:space="preserve"> et al. (2020</w:t>
      </w:r>
      <w:proofErr w:type="gramStart"/>
      <w:r w:rsidRPr="00B74453">
        <w:rPr>
          <w:rFonts w:ascii="Arial" w:hAnsi="Arial" w:cs="Arial"/>
          <w:sz w:val="20"/>
          <w:szCs w:val="20"/>
        </w:rPr>
        <w:t>) )</w:t>
      </w:r>
      <w:proofErr w:type="gramEnd"/>
      <w:r w:rsidRPr="00B74453">
        <w:rPr>
          <w:rFonts w:ascii="Arial" w:hAnsi="Arial" w:cs="Arial"/>
          <w:sz w:val="20"/>
          <w:szCs w:val="20"/>
        </w:rPr>
        <w:t xml:space="preserve"> assessed community knowledge and practices regarding hepatitis B virus (HBV) in rural Benue State. Their interviews revealed that only 28% had sufficient knowledge, and vaccination rates were alarmingly low. The authors called for intensified education and vaccination drives in rural areas. In a related study, Bello et al. (2022) evaluated various models to track infectious disease trends in Nigeria and Ghana, including ARIMA, PEWMA, and Poisson autoregressive models. PEWMA came out on top for its robustness and accuracy. They recommended integrating such models into regional early warning systems. Li et al. (2022) also explored predictive models, comparing PEWMA and traditional EWMA in detecting outbreaks like HIV and influenza. They found PEWMA was better at early detection, especially in low-incidence settings-an important edge for resource-limited regions.</w:t>
      </w:r>
    </w:p>
    <w:p w14:paraId="6146C12B" w14:textId="77777777" w:rsidR="00B74453" w:rsidRPr="00B74453" w:rsidRDefault="00B74453" w:rsidP="00B74453">
      <w:pPr>
        <w:pStyle w:val="NormalWeb"/>
        <w:spacing w:after="0" w:afterAutospacing="0"/>
        <w:jc w:val="both"/>
        <w:rPr>
          <w:rFonts w:ascii="Arial" w:hAnsi="Arial" w:cs="Arial"/>
          <w:sz w:val="20"/>
          <w:szCs w:val="20"/>
        </w:rPr>
      </w:pPr>
      <w:r w:rsidRPr="00B74453">
        <w:rPr>
          <w:rFonts w:ascii="Arial" w:hAnsi="Arial" w:cs="Arial"/>
          <w:sz w:val="20"/>
          <w:szCs w:val="20"/>
        </w:rPr>
        <w:lastRenderedPageBreak/>
        <w:t>Looking at long-term TB trends, Musa et al. (2019) studied data from North-Central Nigeria spanning from 2000-2017. Their seasonal ARIMA and Poisson models showed TB cases peaked during the dry season, suggesting that environmental factors may play a role. The study recommended seasonal planning of TB interventions. In Southeastern Nigeria, Nwoke et al. (2020) looked at co-infection rates between HIV and hepatitis B among 500 patients. They found a 19.4% co-infection rate, with women being more affected. The study recommended routine HBV screening and vaccination for people living with HIV.</w:t>
      </w:r>
    </w:p>
    <w:p w14:paraId="726D8B73" w14:textId="77777777" w:rsidR="00B74453" w:rsidRPr="00B74453" w:rsidRDefault="00B74453" w:rsidP="00B74453">
      <w:pPr>
        <w:pStyle w:val="NormalWeb"/>
        <w:spacing w:after="0" w:afterAutospacing="0"/>
        <w:jc w:val="both"/>
        <w:rPr>
          <w:rFonts w:ascii="Arial" w:hAnsi="Arial" w:cs="Arial"/>
          <w:sz w:val="20"/>
          <w:szCs w:val="20"/>
        </w:rPr>
      </w:pPr>
      <w:proofErr w:type="spellStart"/>
      <w:r w:rsidRPr="00B74453">
        <w:rPr>
          <w:rFonts w:ascii="Arial" w:hAnsi="Arial" w:cs="Arial"/>
          <w:sz w:val="20"/>
          <w:szCs w:val="20"/>
        </w:rPr>
        <w:t>Agbede</w:t>
      </w:r>
      <w:proofErr w:type="spellEnd"/>
      <w:r w:rsidRPr="00B74453">
        <w:rPr>
          <w:rFonts w:ascii="Arial" w:hAnsi="Arial" w:cs="Arial"/>
          <w:sz w:val="20"/>
          <w:szCs w:val="20"/>
        </w:rPr>
        <w:t xml:space="preserve"> et al. (2023) used time series models to analyze hepatitis C in Nigeria’s Middle Belt, based on data from 2010 to 2022. Their results showed a steady rise in cases, with spikes possibly tied to social events and health outreach gaps. They emphasized the need for more proactive rural health campaigns. In Benue State, </w:t>
      </w:r>
      <w:proofErr w:type="spellStart"/>
      <w:r w:rsidRPr="00B74453">
        <w:rPr>
          <w:rFonts w:ascii="Arial" w:hAnsi="Arial" w:cs="Arial"/>
          <w:sz w:val="20"/>
          <w:szCs w:val="20"/>
        </w:rPr>
        <w:t>Onwuliri</w:t>
      </w:r>
      <w:proofErr w:type="spellEnd"/>
      <w:r w:rsidRPr="00B74453">
        <w:rPr>
          <w:rFonts w:ascii="Arial" w:hAnsi="Arial" w:cs="Arial"/>
          <w:sz w:val="20"/>
          <w:szCs w:val="20"/>
        </w:rPr>
        <w:t xml:space="preserve"> et al. (2021) mapped HIV cases using GIS and found clusters in Makurdi, Gboko, and Otukpo-all farming areas. They suggested that directing resources to these hotspots could make interventions more efficient and impactful. Finally, </w:t>
      </w:r>
      <w:proofErr w:type="spellStart"/>
      <w:r w:rsidRPr="00B74453">
        <w:rPr>
          <w:rFonts w:ascii="Arial" w:hAnsi="Arial" w:cs="Arial"/>
          <w:sz w:val="20"/>
          <w:szCs w:val="20"/>
        </w:rPr>
        <w:t>Adenomon</w:t>
      </w:r>
      <w:proofErr w:type="spellEnd"/>
      <w:r w:rsidRPr="00B74453">
        <w:rPr>
          <w:rFonts w:ascii="Arial" w:hAnsi="Arial" w:cs="Arial"/>
          <w:sz w:val="20"/>
          <w:szCs w:val="20"/>
        </w:rPr>
        <w:t xml:space="preserve"> and </w:t>
      </w:r>
      <w:proofErr w:type="spellStart"/>
      <w:r w:rsidRPr="00B74453">
        <w:rPr>
          <w:rFonts w:ascii="Arial" w:hAnsi="Arial" w:cs="Arial"/>
          <w:sz w:val="20"/>
          <w:szCs w:val="20"/>
        </w:rPr>
        <w:t>Fagbemi</w:t>
      </w:r>
      <w:proofErr w:type="spellEnd"/>
      <w:r w:rsidRPr="00B74453">
        <w:rPr>
          <w:rFonts w:ascii="Arial" w:hAnsi="Arial" w:cs="Arial"/>
          <w:sz w:val="20"/>
          <w:szCs w:val="20"/>
        </w:rPr>
        <w:t xml:space="preserve"> (2019) reviewed trends in HIV, TB, and hepatitis in Plateau State using data from 2003 to 2018. Their PEWMA model revealed declining trends in TB and HIV, but a concerning 46% annual rise in hepatitis. The study emphasized the strong interplay between these diseases and recommended intensifying TB control as a strategy to tackle all three conditions.</w:t>
      </w:r>
    </w:p>
    <w:p w14:paraId="6F8BAC24" w14:textId="77777777" w:rsidR="00B74453" w:rsidRPr="00B74453" w:rsidRDefault="00B74453" w:rsidP="00B74453">
      <w:pPr>
        <w:pStyle w:val="NormalWeb"/>
        <w:spacing w:after="0" w:afterAutospacing="0"/>
        <w:jc w:val="both"/>
        <w:rPr>
          <w:rFonts w:ascii="Arial" w:hAnsi="Arial" w:cs="Arial"/>
          <w:sz w:val="20"/>
          <w:szCs w:val="20"/>
        </w:rPr>
      </w:pPr>
      <w:r w:rsidRPr="00B74453">
        <w:rPr>
          <w:rFonts w:ascii="Arial" w:hAnsi="Arial" w:cs="Arial"/>
          <w:sz w:val="20"/>
          <w:szCs w:val="20"/>
        </w:rPr>
        <w:t>The above review highlights a wide range of studies focused on TB, HIV, hepatitis, and related infectious diseases in Nigeria and sub-Saharan Africa, revealing high rates of co-infection, especially between TB and HIV, and the challenges of managing these conditions. The findings emphasize the need for integrated treatment approaches, targeted interventions for high-risk groups like traders, students, and rural dwellers, and improved community awareness-particularly around hepatitis and vaccination. Several studies also showcase the growing use of predictive models, spatial analysis, and molecular tools to monitor disease trends, forecast outbreaks, and guide public health responses. Together, the evidence points to the urgent need for data-driven planning, region-specific strategies, and strengthened health systems to reduce disease burden and improve patient outcomes.</w:t>
      </w:r>
    </w:p>
    <w:p w14:paraId="5C57DA89" w14:textId="77777777" w:rsidR="00B74453" w:rsidRPr="00B74453" w:rsidRDefault="00B74453" w:rsidP="00B74453">
      <w:pPr>
        <w:pStyle w:val="Body"/>
        <w:spacing w:after="0"/>
        <w:rPr>
          <w:rFonts w:ascii="Arial" w:hAnsi="Arial" w:cs="Arial"/>
        </w:rPr>
      </w:pPr>
    </w:p>
    <w:p w14:paraId="3167A48B" w14:textId="77777777" w:rsidR="00B74453" w:rsidRPr="00FB3A86" w:rsidRDefault="00B74453" w:rsidP="00B74453">
      <w:pPr>
        <w:pStyle w:val="AbstHead"/>
        <w:spacing w:after="0"/>
        <w:jc w:val="both"/>
        <w:rPr>
          <w:rFonts w:ascii="Arial" w:hAnsi="Arial" w:cs="Arial"/>
        </w:rPr>
      </w:pPr>
      <w:r>
        <w:rPr>
          <w:rFonts w:ascii="Arial" w:hAnsi="Arial" w:cs="Arial"/>
        </w:rPr>
        <w:t xml:space="preserve">2. material and methods </w:t>
      </w:r>
    </w:p>
    <w:p w14:paraId="70203C1D" w14:textId="77777777" w:rsidR="00B74453" w:rsidRPr="00B74453" w:rsidRDefault="00B74453" w:rsidP="00B74453">
      <w:pPr>
        <w:spacing w:before="240"/>
        <w:jc w:val="both"/>
        <w:rPr>
          <w:rFonts w:ascii="Arial" w:hAnsi="Arial" w:cs="Arial"/>
          <w:b/>
        </w:rPr>
      </w:pPr>
      <w:r w:rsidRPr="00B74453">
        <w:rPr>
          <w:rFonts w:ascii="Arial" w:hAnsi="Arial" w:cs="Arial"/>
          <w:b/>
        </w:rPr>
        <w:t>2.1 Data Source</w:t>
      </w:r>
    </w:p>
    <w:p w14:paraId="1FAF19A6" w14:textId="77777777" w:rsidR="00B74453" w:rsidRPr="00B74453" w:rsidRDefault="00B74453" w:rsidP="00B74453">
      <w:pPr>
        <w:jc w:val="both"/>
        <w:rPr>
          <w:rFonts w:ascii="Arial" w:hAnsi="Arial" w:cs="Arial"/>
        </w:rPr>
      </w:pPr>
      <w:r w:rsidRPr="00B74453">
        <w:rPr>
          <w:rFonts w:ascii="Arial" w:hAnsi="Arial" w:cs="Arial"/>
        </w:rPr>
        <w:t xml:space="preserve">The data used in this work comprised monthly time series secondary data on the serologically confirmed cases of HIV, Tuberculosis (TB) and Viral hepatitis infections in Benue state. The data spanned from January, 2010 to December, 2022 and was obtained from Benue State Epidemiological Unit, Makurdi. </w:t>
      </w:r>
    </w:p>
    <w:p w14:paraId="1B77CB8D" w14:textId="77777777" w:rsidR="00B74453" w:rsidRPr="00B74453" w:rsidRDefault="00B74453" w:rsidP="00B74453">
      <w:pPr>
        <w:jc w:val="both"/>
        <w:rPr>
          <w:rFonts w:ascii="Arial" w:hAnsi="Arial" w:cs="Arial"/>
          <w:b/>
        </w:rPr>
      </w:pPr>
      <w:r w:rsidRPr="00B74453">
        <w:rPr>
          <w:rFonts w:ascii="Arial" w:hAnsi="Arial" w:cs="Arial"/>
          <w:b/>
        </w:rPr>
        <w:t>2.2 Methods of Data Analysis</w:t>
      </w:r>
    </w:p>
    <w:p w14:paraId="5DC89652" w14:textId="77777777" w:rsidR="00B74453" w:rsidRPr="00B74453" w:rsidRDefault="00B74453" w:rsidP="00B74453">
      <w:pPr>
        <w:jc w:val="both"/>
        <w:rPr>
          <w:rFonts w:ascii="Arial" w:hAnsi="Arial" w:cs="Arial"/>
        </w:rPr>
      </w:pPr>
      <w:r w:rsidRPr="00B74453">
        <w:rPr>
          <w:rFonts w:ascii="Arial" w:hAnsi="Arial" w:cs="Arial"/>
        </w:rPr>
        <w:t>The following statistical tools have been employed for analysis of data in this work.</w:t>
      </w:r>
    </w:p>
    <w:p w14:paraId="733BA72C" w14:textId="77777777" w:rsidR="00B74453" w:rsidRPr="00B74453" w:rsidRDefault="00B74453" w:rsidP="00B74453">
      <w:pPr>
        <w:jc w:val="both"/>
        <w:rPr>
          <w:rFonts w:ascii="Arial" w:hAnsi="Arial" w:cs="Arial"/>
          <w:b/>
        </w:rPr>
      </w:pPr>
      <w:r w:rsidRPr="00B74453">
        <w:rPr>
          <w:rFonts w:ascii="Arial" w:hAnsi="Arial" w:cs="Arial"/>
          <w:b/>
        </w:rPr>
        <w:t xml:space="preserve">2.2.1 Model Specification </w:t>
      </w:r>
    </w:p>
    <w:p w14:paraId="52892597" w14:textId="77777777" w:rsidR="00B74453" w:rsidRPr="00B74453" w:rsidRDefault="00B74453" w:rsidP="00B74453">
      <w:pPr>
        <w:jc w:val="both"/>
        <w:rPr>
          <w:rFonts w:ascii="Arial" w:hAnsi="Arial" w:cs="Arial"/>
        </w:rPr>
      </w:pPr>
      <w:r w:rsidRPr="00B74453">
        <w:rPr>
          <w:rFonts w:ascii="Arial" w:hAnsi="Arial" w:cs="Arial"/>
        </w:rPr>
        <w:t>The following models are employed and specified for data analysis in this work:</w:t>
      </w:r>
    </w:p>
    <w:p w14:paraId="7273ED31" w14:textId="77777777" w:rsidR="00B74453" w:rsidRPr="00B74453" w:rsidRDefault="00B74453" w:rsidP="00B74453">
      <w:pPr>
        <w:jc w:val="both"/>
        <w:rPr>
          <w:rFonts w:ascii="Arial" w:hAnsi="Arial" w:cs="Arial"/>
          <w:b/>
        </w:rPr>
      </w:pPr>
      <w:r w:rsidRPr="00B74453">
        <w:rPr>
          <w:rFonts w:ascii="Arial" w:hAnsi="Arial" w:cs="Arial"/>
          <w:b/>
        </w:rPr>
        <w:t>2.2.2 Poisson Autoregressive (PAR) Model</w:t>
      </w:r>
    </w:p>
    <w:p w14:paraId="645F5ABF" w14:textId="77777777" w:rsidR="00B74453" w:rsidRPr="00B74453" w:rsidRDefault="00B74453" w:rsidP="00B74453">
      <w:pPr>
        <w:jc w:val="both"/>
        <w:rPr>
          <w:rFonts w:ascii="Arial" w:hAnsi="Arial" w:cs="Arial"/>
        </w:rPr>
      </w:pPr>
      <w:r w:rsidRPr="00B74453">
        <w:rPr>
          <w:rFonts w:ascii="Arial" w:hAnsi="Arial" w:cs="Arial"/>
        </w:rPr>
        <w:t>The Poisson autoregressive (PAR) model is a time series model designed to handle count data where the observations are influenced by previous time periods. It extends the concept of auto-regression to contexts where the response variable follows a Poisson distribution, typically representing counts of events occurring over time.</w:t>
      </w:r>
    </w:p>
    <w:p w14:paraId="39294B98" w14:textId="77777777" w:rsidR="00B74453" w:rsidRPr="00B74453" w:rsidRDefault="00B74453" w:rsidP="00B74453">
      <w:pPr>
        <w:jc w:val="both"/>
        <w:rPr>
          <w:rFonts w:ascii="Arial" w:hAnsi="Arial" w:cs="Arial"/>
        </w:rPr>
      </w:pPr>
      <w:r w:rsidRPr="00B74453">
        <w:rPr>
          <w:rFonts w:ascii="Arial" w:hAnsi="Arial" w:cs="Arial"/>
        </w:rPr>
        <w:t>A simple form of a Poisson autoregressive model with a lag-1 structure can be written as:</w:t>
      </w:r>
    </w:p>
    <w:p w14:paraId="0045E9E1" w14:textId="77777777" w:rsidR="00B74453" w:rsidRPr="00005AC1" w:rsidRDefault="00530C5D" w:rsidP="00B74453">
      <w:pPr>
        <w:pStyle w:val="Subtitle"/>
        <w:spacing w:line="240" w:lineRule="auto"/>
        <w:jc w:val="both"/>
        <w:rPr>
          <w:rFonts w:ascii="Arial" w:hAnsi="Arial" w:cs="Arial"/>
          <w:b/>
          <w:bCs/>
          <w:color w:val="auto"/>
          <w:sz w:val="20"/>
          <w:szCs w:val="20"/>
        </w:rPr>
      </w:pPr>
      <m:oMathPara>
        <m:oMath>
          <m:sSub>
            <m:sSubPr>
              <m:ctrlPr>
                <w:rPr>
                  <w:rFonts w:ascii="Cambria Math" w:hAnsi="Arial" w:cs="Arial"/>
                  <w:i/>
                  <w:color w:val="auto"/>
                  <w:sz w:val="20"/>
                  <w:szCs w:val="20"/>
                </w:rPr>
              </m:ctrlPr>
            </m:sSubPr>
            <m:e>
              <m:r>
                <w:rPr>
                  <w:rFonts w:ascii="Cambria Math" w:hAnsi="Cambria Math" w:cs="Arial"/>
                  <w:color w:val="auto"/>
                  <w:sz w:val="20"/>
                  <w:szCs w:val="20"/>
                </w:rPr>
                <m:t>Y</m:t>
              </m:r>
            </m:e>
            <m:sub>
              <m:r>
                <w:rPr>
                  <w:rFonts w:ascii="Cambria Math" w:hAnsi="Cambria Math" w:cs="Arial"/>
                  <w:color w:val="auto"/>
                  <w:sz w:val="20"/>
                  <w:szCs w:val="20"/>
                </w:rPr>
                <m:t>t</m:t>
              </m:r>
            </m:sub>
          </m:sSub>
          <m:r>
            <w:rPr>
              <w:rFonts w:ascii="Cambria Math" w:hAnsi="Arial" w:cs="Arial"/>
              <w:color w:val="auto"/>
              <w:sz w:val="20"/>
              <w:szCs w:val="20"/>
            </w:rPr>
            <m:t>~</m:t>
          </m:r>
          <m:r>
            <w:rPr>
              <w:rFonts w:ascii="Cambria Math" w:hAnsi="Cambria Math" w:cs="Arial"/>
              <w:color w:val="auto"/>
              <w:sz w:val="20"/>
              <w:szCs w:val="20"/>
            </w:rPr>
            <m:t>Poisson</m:t>
          </m:r>
          <m:d>
            <m:dPr>
              <m:ctrlPr>
                <w:rPr>
                  <w:rFonts w:ascii="Cambria Math" w:hAnsi="Arial" w:cs="Arial"/>
                  <w:i/>
                  <w:color w:val="auto"/>
                  <w:sz w:val="20"/>
                  <w:szCs w:val="20"/>
                </w:rPr>
              </m:ctrlPr>
            </m:dPr>
            <m:e>
              <m:sSub>
                <m:sSubPr>
                  <m:ctrlPr>
                    <w:rPr>
                      <w:rFonts w:ascii="Cambria Math" w:hAnsi="Arial" w:cs="Arial"/>
                      <w:i/>
                      <w:color w:val="auto"/>
                      <w:sz w:val="20"/>
                      <w:szCs w:val="20"/>
                    </w:rPr>
                  </m:ctrlPr>
                </m:sSubPr>
                <m:e>
                  <m:r>
                    <w:rPr>
                      <w:rFonts w:ascii="Cambria Math" w:hAnsi="Cambria Math" w:cs="Arial"/>
                      <w:color w:val="auto"/>
                      <w:sz w:val="20"/>
                      <w:szCs w:val="20"/>
                    </w:rPr>
                    <m:t>λ</m:t>
                  </m:r>
                </m:e>
                <m:sub>
                  <m:r>
                    <w:rPr>
                      <w:rFonts w:ascii="Cambria Math" w:hAnsi="Cambria Math" w:cs="Arial"/>
                      <w:color w:val="auto"/>
                      <w:sz w:val="20"/>
                      <w:szCs w:val="20"/>
                    </w:rPr>
                    <m:t>t</m:t>
                  </m:r>
                </m:sub>
              </m:sSub>
            </m:e>
          </m:d>
          <m:r>
            <w:rPr>
              <w:rFonts w:ascii="Cambria Math" w:hAnsi="Arial" w:cs="Arial"/>
              <w:color w:val="auto"/>
              <w:sz w:val="20"/>
              <w:szCs w:val="20"/>
            </w:rPr>
            <m:t xml:space="preserve">                                                                                                                   (1)</m:t>
          </m:r>
        </m:oMath>
      </m:oMathPara>
    </w:p>
    <w:p w14:paraId="152A002F" w14:textId="77777777" w:rsidR="00B74453" w:rsidRPr="00005AC1" w:rsidRDefault="00B74453" w:rsidP="00B74453">
      <w:pPr>
        <w:jc w:val="both"/>
        <w:rPr>
          <w:rFonts w:ascii="Arial" w:hAnsi="Arial" w:cs="Arial"/>
        </w:rPr>
      </w:pPr>
      <w:r w:rsidRPr="00005AC1">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005AC1">
        <w:rPr>
          <w:rFonts w:ascii="Arial" w:hAnsi="Arial" w:cs="Arial"/>
        </w:rPr>
        <w:t xml:space="preserve"> is the count variable at time </w:t>
      </w:r>
      <m:oMath>
        <m:r>
          <w:rPr>
            <w:rFonts w:ascii="Cambria Math" w:hAnsi="Cambria Math" w:cs="Arial"/>
          </w:rPr>
          <m:t>t</m:t>
        </m:r>
      </m:oMath>
      <w:r w:rsidRPr="00005AC1">
        <w:rPr>
          <w:rFonts w:ascii="Arial" w:hAnsi="Arial" w:cs="Arial"/>
        </w:rPr>
        <w:t xml:space="preserve"> and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005AC1">
        <w:rPr>
          <w:rFonts w:ascii="Arial" w:hAnsi="Arial" w:cs="Arial"/>
        </w:rPr>
        <w:t xml:space="preserve"> is the expected value or rate of the Poisson distribution, representing the average number of events occurring at time </w:t>
      </w:r>
      <m:oMath>
        <m:r>
          <w:rPr>
            <w:rFonts w:ascii="Cambria Math" w:hAnsi="Cambria Math" w:cs="Arial"/>
          </w:rPr>
          <m:t>t</m:t>
        </m:r>
        <m:r>
          <w:rPr>
            <w:rFonts w:ascii="Cambria Math" w:hAnsi="Arial" w:cs="Arial"/>
          </w:rPr>
          <m:t>.</m:t>
        </m:r>
      </m:oMath>
      <w:r w:rsidRPr="00005AC1">
        <w:rPr>
          <w:rFonts w:ascii="Arial" w:hAnsi="Arial" w:cs="Arial"/>
        </w:rPr>
        <w:t xml:space="preserve"> The expected value,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005AC1">
        <w:rPr>
          <w:rFonts w:ascii="Arial" w:hAnsi="Arial" w:cs="Arial"/>
        </w:rPr>
        <w:t xml:space="preserve"> is modeled as:</w:t>
      </w:r>
    </w:p>
    <w:p w14:paraId="0755BB55" w14:textId="77777777" w:rsidR="00B74453" w:rsidRPr="00005AC1" w:rsidRDefault="00530C5D" w:rsidP="00B74453">
      <w:pPr>
        <w:jc w:val="both"/>
        <w:rPr>
          <w:rFonts w:ascii="Arial" w:eastAsiaTheme="minorEastAsia" w:hAnsi="Arial" w:cs="Arial"/>
          <w:b/>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m:rPr>
              <m:sty m:val="bi"/>
            </m:rPr>
            <w:rPr>
              <w:rFonts w:ascii="Cambria Math" w:hAnsi="Arial" w:cs="Arial"/>
            </w:rPr>
            <m:t xml:space="preserve">                                                                                            (</m:t>
          </m:r>
          <m:r>
            <w:rPr>
              <w:rFonts w:ascii="Cambria Math" w:hAnsi="Arial" w:cs="Arial"/>
            </w:rPr>
            <m:t>2</m:t>
          </m:r>
          <m:r>
            <m:rPr>
              <m:sty m:val="bi"/>
            </m:rPr>
            <w:rPr>
              <w:rFonts w:ascii="Cambria Math" w:hAnsi="Arial" w:cs="Arial"/>
            </w:rPr>
            <m:t>)</m:t>
          </m:r>
        </m:oMath>
      </m:oMathPara>
    </w:p>
    <w:p w14:paraId="7F006CD2" w14:textId="77777777" w:rsidR="00B74453" w:rsidRPr="00005AC1" w:rsidRDefault="00B74453" w:rsidP="00B74453">
      <w:pPr>
        <w:jc w:val="both"/>
        <w:rPr>
          <w:rFonts w:ascii="Arial" w:hAnsi="Arial" w:cs="Arial"/>
        </w:rPr>
      </w:pPr>
      <w:r w:rsidRPr="00005AC1">
        <w:rPr>
          <w:rFonts w:ascii="Arial" w:hAnsi="Arial" w:cs="Arial"/>
        </w:rPr>
        <w:t>where</w:t>
      </w:r>
    </w:p>
    <w:p w14:paraId="4E5BA87C" w14:textId="77777777" w:rsidR="00B74453" w:rsidRPr="00005AC1" w:rsidRDefault="00530C5D" w:rsidP="00B74453">
      <w:pPr>
        <w:jc w:val="both"/>
        <w:rPr>
          <w:rFonts w:ascii="Arial" w:hAnsi="Arial" w:cs="Arial"/>
        </w:rPr>
      </w:pP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00B74453" w:rsidRPr="00005AC1">
        <w:rPr>
          <w:rFonts w:ascii="Arial" w:hAnsi="Arial" w:cs="Arial"/>
        </w:rPr>
        <w:t xml:space="preserve"> is the intercept term.</w:t>
      </w:r>
    </w:p>
    <w:p w14:paraId="2D5B7431" w14:textId="77777777" w:rsidR="00B74453" w:rsidRPr="00005AC1" w:rsidRDefault="00530C5D" w:rsidP="00B74453">
      <w:pPr>
        <w:jc w:val="both"/>
        <w:rPr>
          <w:rFonts w:ascii="Arial" w:hAnsi="Arial" w:cs="Arial"/>
        </w:rPr>
      </w:pPr>
      <m:oMath>
        <m:sSub>
          <m:sSubPr>
            <m:ctrlPr>
              <w:rPr>
                <w:rFonts w:ascii="Cambria Math" w:hAnsi="Arial" w:cs="Arial"/>
                <w:i/>
              </w:rPr>
            </m:ctrlPr>
          </m:sSubPr>
          <m:e>
            <m:r>
              <w:rPr>
                <w:rFonts w:ascii="Cambria Math" w:hAnsi="Cambria Math" w:cs="Arial"/>
              </w:rPr>
              <m:t>ϕ</m:t>
            </m:r>
          </m:e>
          <m:sub>
            <m:r>
              <w:rPr>
                <w:rFonts w:ascii="Cambria Math" w:hAnsi="Arial" w:cs="Arial"/>
              </w:rPr>
              <m:t>1</m:t>
            </m:r>
          </m:sub>
        </m:sSub>
      </m:oMath>
      <w:r w:rsidR="00B74453" w:rsidRPr="00005AC1">
        <w:rPr>
          <w:rFonts w:ascii="Arial" w:hAnsi="Arial" w:cs="Arial"/>
        </w:rPr>
        <w:t xml:space="preserve"> is the autoregressive coefficient, representing the influence of the previous count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oMath>
      <w:r w:rsidR="00B74453" w:rsidRPr="00005AC1">
        <w:rPr>
          <w:rFonts w:ascii="Arial" w:hAnsi="Arial" w:cs="Arial"/>
        </w:rPr>
        <w:t xml:space="preserve"> on the current count.</w:t>
      </w:r>
    </w:p>
    <w:p w14:paraId="288538CB" w14:textId="77777777" w:rsidR="00B74453" w:rsidRPr="00005AC1" w:rsidRDefault="00530C5D" w:rsidP="00B74453">
      <w:pPr>
        <w:jc w:val="both"/>
        <w:rPr>
          <w:rFonts w:ascii="Arial" w:hAnsi="Arial" w:cs="Arial"/>
        </w:rPr>
      </w:pP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m:rPr>
            <m:sty m:val="bi"/>
          </m:rPr>
          <w:rPr>
            <w:rFonts w:ascii="Cambria Math" w:hAnsi="Arial" w:cs="Arial"/>
          </w:rPr>
          <m:t xml:space="preserve"> </m:t>
        </m:r>
      </m:oMath>
      <w:r w:rsidR="00B74453" w:rsidRPr="00005AC1">
        <w:rPr>
          <w:rFonts w:ascii="Arial" w:hAnsi="Arial" w:cs="Arial"/>
        </w:rPr>
        <w:t xml:space="preserve">represents a linear combination of covariates at time </w:t>
      </w:r>
      <m:oMath>
        <m:r>
          <w:rPr>
            <w:rFonts w:ascii="Cambria Math" w:hAnsi="Cambria Math" w:cs="Arial"/>
          </w:rPr>
          <m:t>t</m:t>
        </m:r>
        <m:r>
          <w:rPr>
            <w:rFonts w:ascii="Cambria Math" w:hAnsi="Arial" w:cs="Arial"/>
          </w:rPr>
          <m:t>,</m:t>
        </m:r>
      </m:oMath>
      <w:r w:rsidR="00B74453" w:rsidRPr="00005AC1">
        <w:rPr>
          <w:rFonts w:ascii="Arial" w:hAnsi="Arial" w:cs="Arial"/>
        </w:rPr>
        <w:t xml:space="preserve"> where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00B74453" w:rsidRPr="00005AC1">
        <w:rPr>
          <w:rFonts w:ascii="Arial" w:hAnsi="Arial" w:cs="Arial"/>
        </w:rPr>
        <w:t xml:space="preserve"> is a vector of covariates and</w:t>
      </w:r>
      <m:oMath>
        <m:r>
          <m:rPr>
            <m:sty m:val="bi"/>
          </m:rPr>
          <w:rPr>
            <w:rFonts w:ascii="Cambria Math" w:hAnsi="Arial" w:cs="Arial"/>
          </w:rPr>
          <m:t xml:space="preserve"> </m:t>
        </m:r>
        <m:r>
          <m:rPr>
            <m:sty m:val="bi"/>
          </m:rPr>
          <w:rPr>
            <w:rFonts w:ascii="Cambria Math" w:hAnsi="Cambria Math" w:cs="Arial"/>
          </w:rPr>
          <m:t>β</m:t>
        </m:r>
        <m:r>
          <m:rPr>
            <m:sty m:val="bi"/>
          </m:rPr>
          <w:rPr>
            <w:rFonts w:ascii="Cambria Math" w:hAnsi="Arial" w:cs="Arial"/>
          </w:rPr>
          <m:t xml:space="preserve">  </m:t>
        </m:r>
      </m:oMath>
      <w:r w:rsidR="00B74453" w:rsidRPr="00005AC1">
        <w:rPr>
          <w:rFonts w:ascii="Arial" w:hAnsi="Arial" w:cs="Arial"/>
        </w:rPr>
        <w:t>is a corresponding vector of coefficients.</w:t>
      </w:r>
    </w:p>
    <w:p w14:paraId="19E0980B" w14:textId="77777777" w:rsidR="00B74453" w:rsidRPr="00005AC1" w:rsidRDefault="00B74453" w:rsidP="00B74453">
      <w:pPr>
        <w:jc w:val="both"/>
        <w:rPr>
          <w:rFonts w:ascii="Arial" w:hAnsi="Arial" w:cs="Arial"/>
        </w:rPr>
      </w:pPr>
      <w:r w:rsidRPr="00005AC1">
        <w:rPr>
          <w:rFonts w:ascii="Arial" w:hAnsi="Arial" w:cs="Arial"/>
        </w:rPr>
        <w:t>The above formulation can be extended to include multiple autoregressive lags and additional covariates. Considering multiple past observations, we can extend the model to include additional lags as follows:</w:t>
      </w:r>
    </w:p>
    <w:p w14:paraId="58359EBC" w14:textId="77777777" w:rsidR="00B74453" w:rsidRPr="00005AC1" w:rsidRDefault="00530C5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Cambria Math" w:cs="Arial"/>
                </w:rPr>
                <m:t>p</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m:rPr>
              <m:sty m:val="bi"/>
            </m:rPr>
            <w:rPr>
              <w:rFonts w:ascii="Cambria Math" w:hAnsi="Arial" w:cs="Arial"/>
            </w:rPr>
            <m:t xml:space="preserve"> </m:t>
          </m:r>
          <m:r>
            <w:rPr>
              <w:rFonts w:ascii="Cambria Math" w:hAnsi="Arial" w:cs="Arial"/>
            </w:rPr>
            <m:t xml:space="preserve">                                                  (3)</m:t>
          </m:r>
        </m:oMath>
      </m:oMathPara>
    </w:p>
    <w:p w14:paraId="1C1769BE" w14:textId="77777777" w:rsidR="00B74453" w:rsidRPr="00005AC1" w:rsidRDefault="00B74453" w:rsidP="00B74453">
      <w:pPr>
        <w:jc w:val="both"/>
        <w:rPr>
          <w:rFonts w:ascii="Arial" w:hAnsi="Arial" w:cs="Arial"/>
        </w:rPr>
      </w:pPr>
      <w:r w:rsidRPr="00005AC1">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005AC1">
        <w:rPr>
          <w:rFonts w:ascii="Arial" w:hAnsi="Arial" w:cs="Arial"/>
        </w:rPr>
        <w:t xml:space="preserve"> is the count variable at time </w:t>
      </w:r>
      <m:oMath>
        <m:r>
          <w:rPr>
            <w:rFonts w:ascii="Cambria Math" w:hAnsi="Cambria Math" w:cs="Arial"/>
          </w:rPr>
          <m:t>t</m:t>
        </m:r>
      </m:oMath>
      <w:r w:rsidRPr="00005AC1">
        <w:rPr>
          <w:rFonts w:ascii="Arial" w:hAnsi="Arial" w:cs="Arial"/>
        </w:rPr>
        <w:t xml:space="preserv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005AC1">
        <w:rPr>
          <w:rFonts w:ascii="Arial" w:hAnsi="Arial" w:cs="Arial"/>
        </w:rPr>
        <w:t xml:space="preserve"> is the expected value of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005AC1">
        <w:rPr>
          <w:rFonts w:ascii="Arial" w:hAnsi="Arial" w:cs="Arial"/>
        </w:rPr>
        <w:t xml:space="preserve">,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005AC1">
        <w:rPr>
          <w:rFonts w:ascii="Arial" w:hAnsi="Arial" w:cs="Arial"/>
        </w:rPr>
        <w:t xml:space="preserve"> is the intercept, </w:t>
      </w:r>
      <m:oMath>
        <m:sSub>
          <m:sSubPr>
            <m:ctrlPr>
              <w:rPr>
                <w:rFonts w:ascii="Cambria Math" w:hAnsi="Arial" w:cs="Arial"/>
                <w:i/>
              </w:rPr>
            </m:ctrlPr>
          </m:sSubPr>
          <m:e>
            <m:r>
              <w:rPr>
                <w:rFonts w:ascii="Cambria Math" w:hAnsi="Cambria Math" w:cs="Arial"/>
              </w:rPr>
              <m:t>β</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β</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β</m:t>
            </m:r>
          </m:e>
          <m:sub>
            <m:r>
              <w:rPr>
                <w:rFonts w:ascii="Cambria Math" w:hAnsi="Cambria Math" w:cs="Arial"/>
              </w:rPr>
              <m:t>p</m:t>
            </m:r>
          </m:sub>
        </m:sSub>
      </m:oMath>
      <w:r w:rsidRPr="00005AC1">
        <w:rPr>
          <w:rFonts w:ascii="Arial" w:hAnsi="Arial" w:cs="Arial"/>
        </w:rPr>
        <w:t xml:space="preserve"> are the autoregressive coefficients for the lagged counts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oMath>
      <w:r w:rsidRPr="00005AC1">
        <w:rPr>
          <w:rFonts w:ascii="Arial" w:hAnsi="Arial" w:cs="Arial"/>
        </w:rPr>
        <w:t xml:space="preserve"> respectively,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Pr="00005AC1">
        <w:rPr>
          <w:rFonts w:ascii="Arial" w:hAnsi="Arial" w:cs="Arial"/>
        </w:rPr>
        <w:t xml:space="preserve"> is a vector of additional covariates at time </w:t>
      </w:r>
      <m:oMath>
        <m:r>
          <w:rPr>
            <w:rFonts w:ascii="Cambria Math" w:hAnsi="Cambria Math" w:cs="Arial"/>
          </w:rPr>
          <m:t>t</m:t>
        </m:r>
      </m:oMath>
      <w:r w:rsidRPr="00005AC1">
        <w:rPr>
          <w:rFonts w:ascii="Arial" w:hAnsi="Arial" w:cs="Arial"/>
        </w:rPr>
        <w:t xml:space="preserve"> and </w:t>
      </w:r>
      <m:oMath>
        <m:r>
          <m:rPr>
            <m:sty m:val="bi"/>
          </m:rPr>
          <w:rPr>
            <w:rFonts w:ascii="Cambria Math" w:hAnsi="Cambria Math" w:cs="Arial"/>
          </w:rPr>
          <m:t>β</m:t>
        </m:r>
        <m:r>
          <m:rPr>
            <m:sty m:val="bi"/>
          </m:rPr>
          <w:rPr>
            <w:rFonts w:ascii="Cambria Math" w:hAnsi="Arial" w:cs="Arial"/>
          </w:rPr>
          <m:t xml:space="preserve"> </m:t>
        </m:r>
      </m:oMath>
      <w:r w:rsidRPr="00005AC1">
        <w:rPr>
          <w:rFonts w:ascii="Arial" w:hAnsi="Arial" w:cs="Arial"/>
        </w:rPr>
        <w:t xml:space="preserve"> is a vector of corresponding coefficients for the covariates.</w:t>
      </w:r>
    </w:p>
    <w:p w14:paraId="49405086" w14:textId="77777777" w:rsidR="00B74453" w:rsidRPr="00005AC1" w:rsidRDefault="00B74453" w:rsidP="00B74453">
      <w:pPr>
        <w:jc w:val="both"/>
        <w:rPr>
          <w:rFonts w:ascii="Arial" w:hAnsi="Arial" w:cs="Arial"/>
        </w:rPr>
      </w:pPr>
      <w:r w:rsidRPr="00005AC1">
        <w:rPr>
          <w:rFonts w:ascii="Arial" w:hAnsi="Arial" w:cs="Arial"/>
        </w:rPr>
        <w:t>The autoregressive structure of the model is given as:</w:t>
      </w:r>
    </w:p>
    <w:p w14:paraId="435E0EDA" w14:textId="77777777" w:rsidR="00B74453" w:rsidRPr="00005AC1" w:rsidRDefault="00530C5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ϕ</m:t>
                  </m:r>
                </m:e>
                <m:sub>
                  <m:r>
                    <w:rPr>
                      <w:rFonts w:ascii="Cambria Math" w:hAnsi="Cambria Math" w:cs="Arial"/>
                    </w:rPr>
                    <m:t>i</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i</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e>
          </m:nary>
          <m:r>
            <w:rPr>
              <w:rFonts w:ascii="Cambria Math" w:hAnsi="Arial" w:cs="Arial"/>
            </w:rPr>
            <m:t xml:space="preserve">                                                                                             (4)</m:t>
          </m:r>
        </m:oMath>
      </m:oMathPara>
    </w:p>
    <w:p w14:paraId="0A6CA9CC" w14:textId="77777777" w:rsidR="00B74453" w:rsidRPr="00005AC1" w:rsidRDefault="00B74453" w:rsidP="00B74453">
      <w:pPr>
        <w:jc w:val="both"/>
        <w:rPr>
          <w:rFonts w:ascii="Arial" w:hAnsi="Arial" w:cs="Arial"/>
        </w:rPr>
      </w:pPr>
      <w:r w:rsidRPr="00005AC1">
        <w:rPr>
          <w:rFonts w:ascii="Arial" w:hAnsi="Arial" w:cs="Arial"/>
        </w:rPr>
        <w:t xml:space="preserve">The autoregressive terms capture the influence of past counts on the current count, while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Pr="00005AC1">
        <w:rPr>
          <w:rFonts w:ascii="Arial" w:hAnsi="Arial" w:cs="Arial"/>
        </w:rPr>
        <w:t xml:space="preserve"> represents additional covariates that may affect the count process.</w:t>
      </w:r>
    </w:p>
    <w:p w14:paraId="05BAC078" w14:textId="77777777" w:rsidR="00B74453" w:rsidRPr="00EB2CAE" w:rsidRDefault="00B74453" w:rsidP="00B74453">
      <w:pPr>
        <w:jc w:val="both"/>
        <w:rPr>
          <w:rFonts w:ascii="Times New Roman" w:hAnsi="Times New Roman"/>
          <w:sz w:val="24"/>
          <w:szCs w:val="24"/>
        </w:rPr>
      </w:pPr>
      <w:r w:rsidRPr="00EB2CAE">
        <w:rPr>
          <w:rFonts w:ascii="Times New Roman" w:hAnsi="Times New Roman"/>
          <w:sz w:val="24"/>
          <w:szCs w:val="24"/>
        </w:rPr>
        <w:t>Estimation of the parameters (</w:t>
      </w:r>
      <m:oMath>
        <m:r>
          <w:rPr>
            <w:rFonts w:ascii="Cambria Math" w:hAnsi="Cambria Math"/>
            <w:sz w:val="24"/>
            <w:szCs w:val="24"/>
          </w:rPr>
          <m:t xml:space="preserve">α,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p</m:t>
            </m:r>
          </m:sub>
        </m:sSub>
        <m:r>
          <w:rPr>
            <w:rFonts w:ascii="Cambria Math" w:hAnsi="Cambria Math"/>
            <w:sz w:val="24"/>
            <w:szCs w:val="24"/>
          </w:rPr>
          <m:t>, γ</m:t>
        </m:r>
      </m:oMath>
      <w:r w:rsidRPr="00EB2CAE">
        <w:rPr>
          <w:rFonts w:ascii="Times New Roman" w:hAnsi="Times New Roman"/>
          <w:sz w:val="24"/>
          <w:szCs w:val="24"/>
        </w:rPr>
        <w:t>) is typically done using maximum likelihood estimation (MLE) methods.</w:t>
      </w:r>
    </w:p>
    <w:p w14:paraId="68766866" w14:textId="77777777" w:rsidR="00935894" w:rsidRDefault="00935894" w:rsidP="00B74453">
      <w:pPr>
        <w:jc w:val="both"/>
        <w:rPr>
          <w:rFonts w:ascii="Arial" w:hAnsi="Arial" w:cs="Arial"/>
          <w:b/>
        </w:rPr>
      </w:pPr>
    </w:p>
    <w:p w14:paraId="219002B9" w14:textId="77777777" w:rsidR="00935894" w:rsidRDefault="00935894" w:rsidP="00B74453">
      <w:pPr>
        <w:jc w:val="both"/>
        <w:rPr>
          <w:rFonts w:ascii="Arial" w:hAnsi="Arial" w:cs="Arial"/>
          <w:b/>
        </w:rPr>
      </w:pPr>
    </w:p>
    <w:p w14:paraId="2CC53BBD" w14:textId="77777777"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 xml:space="preserve">.2.3 The likelihood function </w:t>
      </w:r>
    </w:p>
    <w:p w14:paraId="259194E8" w14:textId="77777777" w:rsidR="00B74453" w:rsidRPr="00935894" w:rsidRDefault="00B74453" w:rsidP="00B74453">
      <w:pPr>
        <w:jc w:val="both"/>
        <w:rPr>
          <w:rFonts w:ascii="Arial" w:hAnsi="Arial" w:cs="Arial"/>
        </w:rPr>
      </w:pPr>
      <w:r w:rsidRPr="00935894">
        <w:rPr>
          <w:rFonts w:ascii="Arial" w:hAnsi="Arial" w:cs="Arial"/>
        </w:rPr>
        <w:t xml:space="preserve">Given that the observed counts are assumed to follow a Poisson distribution, the probability of observing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hAnsi="Arial" w:cs="Arial"/>
        </w:rPr>
        <w:t xml:space="preserve"> given the expected value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935894">
        <w:rPr>
          <w:rFonts w:ascii="Arial" w:hAnsi="Arial" w:cs="Arial"/>
        </w:rPr>
        <w:t xml:space="preserve"> is:</w:t>
      </w:r>
    </w:p>
    <w:p w14:paraId="5D0A5A8D" w14:textId="77777777" w:rsidR="00B74453" w:rsidRPr="00935894" w:rsidRDefault="00B74453" w:rsidP="00B74453">
      <w:pPr>
        <w:jc w:val="both"/>
        <w:rPr>
          <w:rFonts w:ascii="Arial" w:eastAsiaTheme="minorEastAsia" w:hAnsi="Arial" w:cs="Arial"/>
        </w:rPr>
      </w:pPr>
      <m:oMathPara>
        <m:oMath>
          <m:r>
            <w:rPr>
              <w:rFonts w:ascii="Cambria Math" w:hAnsi="Cambria Math" w:cs="Arial"/>
            </w:rPr>
            <m:t>P</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r>
            <w:rPr>
              <w:rFonts w:ascii="Cambria Math" w:hAnsi="Arial" w:cs="Arial"/>
            </w:rPr>
            <m:t>=</m:t>
          </m:r>
          <m:f>
            <m:fPr>
              <m:ctrlPr>
                <w:rPr>
                  <w:rFonts w:ascii="Cambria Math" w:hAnsi="Arial" w:cs="Arial"/>
                  <w:i/>
                </w:rPr>
              </m:ctrlPr>
            </m:fPr>
            <m:num>
              <m:sSup>
                <m:sSupPr>
                  <m:ctrlPr>
                    <w:rPr>
                      <w:rFonts w:ascii="Cambria Math" w:hAnsi="Arial" w:cs="Arial"/>
                      <w:i/>
                    </w:rPr>
                  </m:ctrlPr>
                </m:sSup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sup>
              </m:sSup>
              <m:r>
                <w:rPr>
                  <w:rFonts w:ascii="Cambria Math" w:hAnsi="Arial" w:cs="Arial"/>
                </w:rPr>
                <m:t>.</m:t>
              </m:r>
              <m:func>
                <m:funcPr>
                  <m:ctrlPr>
                    <w:rPr>
                      <w:rFonts w:ascii="Cambria Math" w:hAnsi="Arial" w:cs="Arial"/>
                    </w:rPr>
                  </m:ctrlPr>
                </m:funcPr>
                <m:fName>
                  <m:r>
                    <m:rPr>
                      <m:sty m:val="p"/>
                    </m:rPr>
                    <w:rPr>
                      <w:rFonts w:ascii="Cambria Math" w:hAnsi="Arial" w:cs="Arial"/>
                    </w:rPr>
                    <m:t>exp</m:t>
                  </m:r>
                  <m:ctrlPr>
                    <w:rPr>
                      <w:rFonts w:ascii="Cambria Math" w:hAnsi="Arial" w:cs="Arial"/>
                      <w:i/>
                    </w:rPr>
                  </m:ctrlPr>
                </m:fName>
                <m:e>
                  <m:d>
                    <m:dPr>
                      <m:ctrlPr>
                        <w:rPr>
                          <w:rFonts w:ascii="Cambria Math" w:hAnsi="Arial" w:cs="Arial"/>
                          <w:i/>
                        </w:rPr>
                      </m:ctrlPr>
                    </m:dPr>
                    <m:e>
                      <m:r>
                        <w:rPr>
                          <w:rFonts w:ascii="Arial"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num>
            <m:den>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den>
          </m:f>
          <m:r>
            <w:rPr>
              <w:rFonts w:ascii="Cambria Math" w:hAnsi="Arial" w:cs="Arial"/>
            </w:rPr>
            <m:t xml:space="preserve">                                                                                                                          </m:t>
          </m:r>
          <m:d>
            <m:dPr>
              <m:ctrlPr>
                <w:rPr>
                  <w:rFonts w:ascii="Cambria Math" w:hAnsi="Arial" w:cs="Arial"/>
                  <w:i/>
                </w:rPr>
              </m:ctrlPr>
            </m:dPr>
            <m:e>
              <m:r>
                <w:rPr>
                  <w:rFonts w:ascii="Cambria Math" w:hAnsi="Arial" w:cs="Arial"/>
                </w:rPr>
                <m:t>5</m:t>
              </m:r>
            </m:e>
          </m:d>
        </m:oMath>
      </m:oMathPara>
    </w:p>
    <w:p w14:paraId="7140BDFE" w14:textId="77777777" w:rsidR="00B74453" w:rsidRPr="00935894" w:rsidRDefault="00B74453" w:rsidP="00B74453">
      <w:pPr>
        <w:jc w:val="both"/>
        <w:rPr>
          <w:rFonts w:ascii="Arial" w:hAnsi="Arial" w:cs="Arial"/>
        </w:rPr>
      </w:pPr>
      <w:r w:rsidRPr="00935894">
        <w:rPr>
          <w:rFonts w:ascii="Arial" w:hAnsi="Arial" w:cs="Arial"/>
        </w:rPr>
        <w:t xml:space="preserve">The joint likelihood for a series of observations </w:t>
      </w:r>
      <m:oMath>
        <m:sSub>
          <m:sSubPr>
            <m:ctrlPr>
              <w:rPr>
                <w:rFonts w:ascii="Cambria Math" w:hAnsi="Arial" w:cs="Arial"/>
                <w:i/>
              </w:rPr>
            </m:ctrlPr>
          </m:sSubPr>
          <m:e>
            <m:r>
              <w:rPr>
                <w:rFonts w:ascii="Cambria Math" w:hAnsi="Cambria Math" w:cs="Arial"/>
              </w:rPr>
              <m:t>Y</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hAnsi="Arial" w:cs="Arial"/>
        </w:rPr>
        <w:t xml:space="preserve"> is the product of individual likelihoods:</w:t>
      </w:r>
    </w:p>
    <w:p w14:paraId="5BC5B341" w14:textId="77777777" w:rsidR="00B74453" w:rsidRPr="00935894" w:rsidRDefault="00B74453" w:rsidP="00B74453">
      <w:pPr>
        <w:jc w:val="both"/>
        <w:rPr>
          <w:rFonts w:ascii="Arial" w:eastAsiaTheme="minorEastAsia" w:hAnsi="Arial" w:cs="Arial"/>
        </w:rPr>
      </w:pPr>
      <m:oMathPara>
        <m:oMath>
          <m:r>
            <w:rPr>
              <w:rFonts w:ascii="Cambria Math" w:hAnsi="Cambria Math" w:cs="Arial"/>
            </w:rPr>
            <m:t>l</m:t>
          </m:r>
          <m:d>
            <m:dPr>
              <m:ctrlPr>
                <w:rPr>
                  <w:rFonts w:ascii="Cambria Math" w:hAnsi="Arial" w:cs="Arial"/>
                  <w:i/>
                </w:rPr>
              </m:ctrlPr>
            </m:dPr>
            <m:e>
              <m:r>
                <w:rPr>
                  <w:rFonts w:ascii="Cambria Math" w:hAnsi="Cambria Math" w:cs="Arial"/>
                </w:rPr>
                <m:t>θ</m:t>
              </m:r>
            </m:e>
            <m:e>
              <m:sSub>
                <m:sSubPr>
                  <m:ctrlPr>
                    <w:rPr>
                      <w:rFonts w:ascii="Cambria Math" w:hAnsi="Arial" w:cs="Arial"/>
                      <w:i/>
                    </w:rPr>
                  </m:ctrlPr>
                </m:sSubPr>
                <m:e>
                  <m:r>
                    <w:rPr>
                      <w:rFonts w:ascii="Cambria Math" w:hAnsi="Cambria Math" w:cs="Arial"/>
                    </w:rPr>
                    <m:t>Y</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d>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f>
                <m:fPr>
                  <m:ctrlPr>
                    <w:rPr>
                      <w:rFonts w:ascii="Cambria Math" w:hAnsi="Arial" w:cs="Arial"/>
                      <w:i/>
                    </w:rPr>
                  </m:ctrlPr>
                </m:fPr>
                <m:num>
                  <m:sSup>
                    <m:sSupPr>
                      <m:ctrlPr>
                        <w:rPr>
                          <w:rFonts w:ascii="Cambria Math" w:hAnsi="Arial" w:cs="Arial"/>
                          <w:i/>
                        </w:rPr>
                      </m:ctrlPr>
                    </m:sSup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sup>
                  </m:sSup>
                  <m:r>
                    <w:rPr>
                      <w:rFonts w:ascii="Cambria Math" w:hAnsi="Arial" w:cs="Arial"/>
                    </w:rPr>
                    <m:t>.</m:t>
                  </m:r>
                  <m:r>
                    <m:rPr>
                      <m:sty m:val="p"/>
                    </m:rPr>
                    <w:rPr>
                      <w:rFonts w:ascii="Cambria Math" w:hAnsi="Arial" w:cs="Arial"/>
                    </w:rPr>
                    <m:t>exp</m:t>
                  </m:r>
                  <m:r>
                    <m:rPr>
                      <m:sty m:val="p"/>
                    </m:rPr>
                    <w:rPr>
                      <w:rFonts w:ascii="Cambria Math" w:hAnsi="Cambria Math"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t</m:t>
                      </m:r>
                    </m:sub>
                  </m:sSub>
                  <m:r>
                    <w:rPr>
                      <w:rFonts w:ascii="Cambria Math" w:hAnsi="Arial" w:cs="Arial"/>
                    </w:rPr>
                    <m:t>)</m:t>
                  </m:r>
                </m:num>
                <m:den>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den>
              </m:f>
              <m:r>
                <w:rPr>
                  <w:rFonts w:ascii="Cambria Math" w:hAnsi="Arial" w:cs="Arial"/>
                </w:rPr>
                <m:t>,</m:t>
              </m:r>
            </m:e>
          </m:nary>
        </m:oMath>
      </m:oMathPara>
    </w:p>
    <w:p w14:paraId="4A7AB9BA" w14:textId="77777777" w:rsidR="00B74453" w:rsidRPr="00935894" w:rsidRDefault="00B74453" w:rsidP="00B74453">
      <w:pPr>
        <w:jc w:val="both"/>
        <w:rPr>
          <w:rFonts w:ascii="Arial" w:hAnsi="Arial" w:cs="Arial"/>
        </w:rPr>
      </w:pPr>
      <w:r w:rsidRPr="00935894">
        <w:rPr>
          <w:rFonts w:ascii="Arial" w:hAnsi="Arial" w:cs="Arial"/>
        </w:rPr>
        <w:t xml:space="preserve">where </w:t>
      </w:r>
      <m:oMath>
        <m:r>
          <w:rPr>
            <w:rFonts w:ascii="Cambria Math" w:hAnsi="Cambria Math" w:cs="Arial"/>
          </w:rPr>
          <m:t>θ</m:t>
        </m:r>
        <m:r>
          <w:rPr>
            <w:rFonts w:ascii="Cambria Math" w:hAnsi="Arial" w:cs="Arial"/>
          </w:rPr>
          <m:t>=</m:t>
        </m:r>
        <m:d>
          <m:dPr>
            <m:ctrlPr>
              <w:rPr>
                <w:rFonts w:ascii="Cambria Math" w:hAnsi="Arial" w:cs="Arial"/>
                <w:i/>
              </w:rPr>
            </m:ctrlPr>
          </m:dPr>
          <m:e>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 xml:space="preserve">, </m:t>
            </m:r>
            <m:sSub>
              <m:sSubPr>
                <m:ctrlPr>
                  <w:rPr>
                    <w:rFonts w:ascii="Cambria Math" w:hAnsi="Arial" w:cs="Arial"/>
                    <w:i/>
                  </w:rPr>
                </m:ctrlPr>
              </m:sSubPr>
              <m:e>
                <m:r>
                  <w:rPr>
                    <w:rFonts w:ascii="Cambria Math" w:hAnsi="Cambria Math" w:cs="Arial"/>
                  </w:rPr>
                  <m:t>ϕ</m:t>
                </m:r>
              </m:e>
              <m:sub>
                <m:r>
                  <w:rPr>
                    <w:rFonts w:ascii="Cambria Math" w:hAnsi="Arial" w:cs="Arial"/>
                  </w:rPr>
                  <m:t>1</m:t>
                </m:r>
              </m:sub>
            </m:sSub>
            <m:r>
              <w:rPr>
                <w:rFonts w:ascii="Cambria Math" w:hAnsi="Arial" w:cs="Arial"/>
              </w:rPr>
              <m:t xml:space="preserve">, </m:t>
            </m:r>
            <m:r>
              <m:rPr>
                <m:sty m:val="bi"/>
              </m:rPr>
              <w:rPr>
                <w:rFonts w:ascii="Cambria Math" w:hAnsi="Cambria Math" w:cs="Arial"/>
              </w:rPr>
              <m:t>β</m:t>
            </m:r>
          </m:e>
        </m:d>
      </m:oMath>
      <w:r w:rsidRPr="00935894">
        <w:rPr>
          <w:rFonts w:ascii="Arial" w:hAnsi="Arial" w:cs="Arial"/>
        </w:rPr>
        <w:t xml:space="preserve"> are the parameters to be estimated.</w:t>
      </w:r>
    </w:p>
    <w:p w14:paraId="6133EABC" w14:textId="77777777" w:rsidR="00B74453" w:rsidRPr="00935894" w:rsidRDefault="00B74453" w:rsidP="00B74453">
      <w:pPr>
        <w:jc w:val="both"/>
        <w:rPr>
          <w:rFonts w:ascii="Arial" w:hAnsi="Arial" w:cs="Arial"/>
        </w:rPr>
      </w:pPr>
      <w:r w:rsidRPr="00935894">
        <w:rPr>
          <w:rFonts w:ascii="Arial" w:hAnsi="Arial" w:cs="Arial"/>
        </w:rPr>
        <w:t>It is often easier to work with the log-likelihood, which transforms products into sums. The log-likelihood for the PAR model is:</w:t>
      </w:r>
    </w:p>
    <w:p w14:paraId="1FC12A28" w14:textId="77777777" w:rsidR="00B74453" w:rsidRPr="00935894" w:rsidRDefault="00B74453" w:rsidP="00B74453">
      <w:pPr>
        <w:jc w:val="both"/>
        <w:rPr>
          <w:rFonts w:ascii="Arial" w:eastAsiaTheme="minorEastAsia" w:hAnsi="Arial" w:cs="Arial"/>
        </w:rPr>
      </w:pPr>
      <m:oMathPara>
        <m:oMath>
          <m:r>
            <w:rPr>
              <w:rFonts w:ascii="Cambria Math" w:hAnsi="Cambria Math" w:cs="Arial"/>
            </w:rPr>
            <m:t>l</m:t>
          </m:r>
          <m:d>
            <m:dPr>
              <m:ctrlPr>
                <w:rPr>
                  <w:rFonts w:ascii="Cambria Math" w:hAnsi="Arial" w:cs="Arial"/>
                  <w:i/>
                </w:rPr>
              </m:ctrlPr>
            </m:dPr>
            <m:e>
              <m:r>
                <w:rPr>
                  <w:rFonts w:ascii="Cambria Math" w:hAnsi="Cambria Math" w:cs="Arial"/>
                </w:rPr>
                <m:t>θ</m:t>
              </m:r>
            </m:e>
            <m:e>
              <m:sSub>
                <m:sSubPr>
                  <m:ctrlPr>
                    <w:rPr>
                      <w:rFonts w:ascii="Cambria Math" w:hAnsi="Arial" w:cs="Arial"/>
                      <w:i/>
                    </w:rPr>
                  </m:ctrlPr>
                </m:sSubPr>
                <m:e>
                  <m:r>
                    <w:rPr>
                      <w:rFonts w:ascii="Cambria Math" w:hAnsi="Cambria Math" w:cs="Arial"/>
                    </w:rPr>
                    <m:t>Y</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d>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Arial"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t</m:t>
                      </m:r>
                    </m:sub>
                  </m:sSub>
                  <m:r>
                    <w:rPr>
                      <w:rFonts w:ascii="Arial" w:hAnsi="Arial" w:cs="Arial"/>
                    </w:rPr>
                    <m:t>-</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e>
                      </m:d>
                    </m:e>
                  </m:func>
                </m:e>
              </m:d>
              <m:r>
                <w:rPr>
                  <w:rFonts w:ascii="Cambria Math" w:hAnsi="Arial" w:cs="Arial"/>
                </w:rPr>
                <m:t xml:space="preserve">                                                                             (6)</m:t>
              </m:r>
            </m:e>
          </m:nary>
        </m:oMath>
      </m:oMathPara>
    </w:p>
    <w:p w14:paraId="507AFDAC" w14:textId="77777777" w:rsidR="00B74453" w:rsidRPr="00935894" w:rsidRDefault="00B74453" w:rsidP="00B74453">
      <w:pPr>
        <w:jc w:val="both"/>
        <w:rPr>
          <w:rFonts w:ascii="Arial" w:hAnsi="Arial" w:cs="Arial"/>
        </w:rPr>
      </w:pPr>
      <w:r w:rsidRPr="00935894">
        <w:rPr>
          <w:rFonts w:ascii="Arial" w:hAnsi="Arial" w:cs="Arial"/>
        </w:rPr>
        <w:t xml:space="preserve">where </w:t>
      </w:r>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oMath>
      <w:r w:rsidRPr="00935894">
        <w:rPr>
          <w:rFonts w:ascii="Arial" w:hAnsi="Arial" w:cs="Arial"/>
        </w:rPr>
        <w:t>.</w:t>
      </w:r>
    </w:p>
    <w:p w14:paraId="196291B8" w14:textId="77777777" w:rsidR="00B74453" w:rsidRPr="00935894" w:rsidRDefault="00B74453" w:rsidP="00B74453">
      <w:pPr>
        <w:jc w:val="both"/>
        <w:rPr>
          <w:rFonts w:ascii="Arial" w:hAnsi="Arial" w:cs="Arial"/>
        </w:rPr>
      </w:pPr>
      <w:r w:rsidRPr="00935894">
        <w:rPr>
          <w:rFonts w:ascii="Arial" w:hAnsi="Arial" w:cs="Arial"/>
        </w:rPr>
        <w:t xml:space="preserve">To find the MLE estimates, maximize the log-likelihood function with respect to the parameters </w:t>
      </w:r>
      <m:oMath>
        <m:r>
          <w:rPr>
            <w:rFonts w:ascii="Cambria Math" w:hAnsi="Cambria Math" w:cs="Arial"/>
          </w:rPr>
          <m:t>θ</m:t>
        </m:r>
      </m:oMath>
      <w:r w:rsidRPr="00935894">
        <w:rPr>
          <w:rFonts w:ascii="Arial" w:hAnsi="Arial" w:cs="Arial"/>
        </w:rPr>
        <w:t>. This typically requires numerical optimization techniques since the log-likelihood function can be complex and nonlinear.</w:t>
      </w:r>
    </w:p>
    <w:p w14:paraId="757CF856" w14:textId="77777777" w:rsidR="00B74453" w:rsidRPr="005E62E0" w:rsidRDefault="00B74453" w:rsidP="00B74453">
      <w:pPr>
        <w:jc w:val="both"/>
        <w:rPr>
          <w:rFonts w:ascii="Times New Roman" w:hAnsi="Times New Roman"/>
          <w:sz w:val="24"/>
          <w:szCs w:val="24"/>
        </w:rPr>
      </w:pPr>
    </w:p>
    <w:p w14:paraId="564FF9CC" w14:textId="77777777"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 xml:space="preserve">.2.4 </w:t>
      </w:r>
      <w:r w:rsidRPr="00935894">
        <w:rPr>
          <w:rFonts w:ascii="Arial" w:hAnsi="Arial" w:cs="Arial"/>
          <w:b/>
        </w:rPr>
        <w:t xml:space="preserve">PAR </w:t>
      </w:r>
      <w:r w:rsidR="00B74453" w:rsidRPr="00935894">
        <w:rPr>
          <w:rFonts w:ascii="Arial" w:hAnsi="Arial" w:cs="Arial"/>
          <w:b/>
        </w:rPr>
        <w:t>Model diagnostic checks</w:t>
      </w:r>
    </w:p>
    <w:p w14:paraId="552ED901" w14:textId="77777777" w:rsidR="00B74453" w:rsidRPr="00935894" w:rsidRDefault="00B74453" w:rsidP="00B74453">
      <w:pPr>
        <w:jc w:val="both"/>
        <w:rPr>
          <w:rFonts w:ascii="Arial" w:hAnsi="Arial" w:cs="Arial"/>
        </w:rPr>
      </w:pPr>
      <w:r w:rsidRPr="00935894">
        <w:rPr>
          <w:rFonts w:ascii="Arial" w:hAnsi="Arial" w:cs="Arial"/>
        </w:rPr>
        <w:t>When evaluating models like the Poisson autoregressive (PAR) model, metrics such as Akaike Information Criterion (AIC), Bayesian Information Criterion (BIC), and deviance are commonly used. These metrics help assess the goodness-of-fit, penalizing models for excessive complexity to avoid over-fitting.</w:t>
      </w:r>
    </w:p>
    <w:p w14:paraId="0147E9A9" w14:textId="77777777" w:rsidR="00B74453" w:rsidRPr="00935894" w:rsidRDefault="00B74453" w:rsidP="00B74453">
      <w:pPr>
        <w:jc w:val="both"/>
        <w:rPr>
          <w:rFonts w:ascii="Arial" w:hAnsi="Arial" w:cs="Arial"/>
          <w:b/>
        </w:rPr>
      </w:pPr>
    </w:p>
    <w:p w14:paraId="3EDBBA42" w14:textId="77777777" w:rsidR="00B74453" w:rsidRPr="00935894" w:rsidRDefault="00935894" w:rsidP="00B74453">
      <w:pPr>
        <w:jc w:val="both"/>
        <w:rPr>
          <w:rFonts w:ascii="Arial" w:hAnsi="Arial" w:cs="Arial"/>
          <w:b/>
        </w:rPr>
      </w:pPr>
      <w:r w:rsidRPr="00935894">
        <w:rPr>
          <w:rFonts w:ascii="Arial" w:hAnsi="Arial" w:cs="Arial"/>
          <w:b/>
        </w:rPr>
        <w:lastRenderedPageBreak/>
        <w:t>2</w:t>
      </w:r>
      <w:r w:rsidR="00B74453" w:rsidRPr="00935894">
        <w:rPr>
          <w:rFonts w:ascii="Arial" w:hAnsi="Arial" w:cs="Arial"/>
          <w:b/>
        </w:rPr>
        <w:t>.2.5 Akaike information criterion (AIC)</w:t>
      </w:r>
    </w:p>
    <w:p w14:paraId="0E8542DC" w14:textId="77777777" w:rsidR="00B74453" w:rsidRPr="00935894" w:rsidRDefault="00B74453" w:rsidP="00B74453">
      <w:pPr>
        <w:jc w:val="both"/>
        <w:rPr>
          <w:rFonts w:ascii="Arial" w:hAnsi="Arial" w:cs="Arial"/>
        </w:rPr>
      </w:pPr>
      <w:r w:rsidRPr="00935894">
        <w:rPr>
          <w:rFonts w:ascii="Arial" w:hAnsi="Arial" w:cs="Arial"/>
        </w:rPr>
        <w:t>The AIC provides a measure of a model’s relative quality, balancing goodness-of-fit and complexity. It is calculated as follows:</w:t>
      </w:r>
    </w:p>
    <w:p w14:paraId="29629870" w14:textId="77777777" w:rsidR="00B74453" w:rsidRPr="00935894" w:rsidRDefault="00B74453" w:rsidP="00B74453">
      <w:pPr>
        <w:jc w:val="both"/>
        <w:rPr>
          <w:rFonts w:ascii="Arial" w:eastAsiaTheme="minorEastAsia" w:hAnsi="Arial" w:cs="Arial"/>
        </w:rPr>
      </w:pPr>
      <m:oMathPara>
        <m:oMath>
          <m:r>
            <m:rPr>
              <m:sty m:val="p"/>
            </m:rPr>
            <w:rPr>
              <w:rFonts w:ascii="Cambria Math" w:hAnsi="Arial" w:cs="Arial"/>
            </w:rPr>
            <m:t>AIC=2k</m:t>
          </m:r>
          <m:r>
            <m:rPr>
              <m:sty m:val="p"/>
            </m:rPr>
            <w:rPr>
              <w:rFonts w:ascii="Cambria Math" w:hAnsi="Arial" w:cs="Arial"/>
            </w:rPr>
            <m:t>-</m:t>
          </m:r>
          <m:r>
            <m:rPr>
              <m:sty m:val="p"/>
            </m:rPr>
            <w:rPr>
              <w:rFonts w:ascii="Cambria Math" w:hAnsi="Arial" w:cs="Arial"/>
            </w:rPr>
            <m:t>2</m:t>
          </m:r>
          <m:func>
            <m:funcPr>
              <m:ctrlPr>
                <w:rPr>
                  <w:rFonts w:ascii="Cambria Math" w:hAnsi="Arial" w:cs="Arial"/>
                </w:rPr>
              </m:ctrlPr>
            </m:funcPr>
            <m:fName>
              <m:r>
                <m:rPr>
                  <m:sty m:val="p"/>
                </m:rPr>
                <w:rPr>
                  <w:rFonts w:ascii="Cambria Math" w:hAnsi="Arial" w:cs="Arial"/>
                </w:rPr>
                <m:t>ln</m:t>
              </m:r>
            </m:fName>
            <m:e>
              <m:r>
                <w:rPr>
                  <w:rFonts w:ascii="Cambria Math" w:hAnsi="Cambria Math" w:cs="Arial"/>
                </w:rPr>
                <m:t>L</m:t>
              </m:r>
            </m:e>
          </m:func>
          <m:r>
            <m:rPr>
              <m:sty m:val="p"/>
            </m:rPr>
            <w:rPr>
              <w:rFonts w:ascii="Cambria Math" w:hAnsi="Arial" w:cs="Arial"/>
            </w:rPr>
            <m:t xml:space="preserve">                                                                                                                                        (7)</m:t>
          </m:r>
        </m:oMath>
      </m:oMathPara>
    </w:p>
    <w:p w14:paraId="467EC21A" w14:textId="77777777" w:rsidR="00B74453" w:rsidRPr="00935894" w:rsidRDefault="00B74453" w:rsidP="00B74453">
      <w:pPr>
        <w:jc w:val="both"/>
        <w:rPr>
          <w:rFonts w:ascii="Arial" w:hAnsi="Arial" w:cs="Arial"/>
        </w:rPr>
      </w:pPr>
      <m:oMath>
        <m:r>
          <w:rPr>
            <w:rFonts w:ascii="Cambria Math" w:hAnsi="Cambria Math" w:cs="Arial"/>
          </w:rPr>
          <m:t>L</m:t>
        </m:r>
      </m:oMath>
      <w:r w:rsidRPr="00935894">
        <w:rPr>
          <w:rFonts w:ascii="Arial" w:hAnsi="Arial" w:cs="Arial"/>
        </w:rPr>
        <w:t xml:space="preserve"> is the maximum log-likelihood of the model, </w:t>
      </w:r>
      <m:oMath>
        <m:r>
          <w:rPr>
            <w:rFonts w:ascii="Cambria Math" w:hAnsi="Cambria Math" w:cs="Arial"/>
          </w:rPr>
          <m:t>k</m:t>
        </m:r>
      </m:oMath>
      <w:r w:rsidRPr="00935894">
        <w:rPr>
          <w:rFonts w:ascii="Arial" w:hAnsi="Arial" w:cs="Arial"/>
        </w:rPr>
        <w:t xml:space="preserve"> is the number of estimated parameters in the model. A lower AIC indicates a better model. The term </w:t>
      </w:r>
      <m:oMath>
        <m:r>
          <m:rPr>
            <m:sty m:val="p"/>
          </m:rPr>
          <w:rPr>
            <w:rFonts w:ascii="Cambria Math" w:hAnsi="Arial" w:cs="Arial"/>
          </w:rPr>
          <m:t>2k</m:t>
        </m:r>
      </m:oMath>
      <w:r w:rsidRPr="00935894">
        <w:rPr>
          <w:rFonts w:ascii="Arial" w:hAnsi="Arial" w:cs="Arial"/>
        </w:rPr>
        <w:t xml:space="preserve"> penalizes models with more parameters to avoid over-fitting.</w:t>
      </w:r>
    </w:p>
    <w:p w14:paraId="07E928E1" w14:textId="77777777"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.2.6 Bayesian information criterion (BIC)</w:t>
      </w:r>
    </w:p>
    <w:p w14:paraId="16D1F384" w14:textId="77777777" w:rsidR="00B74453" w:rsidRPr="00935894" w:rsidRDefault="00B74453" w:rsidP="00B74453">
      <w:pPr>
        <w:jc w:val="both"/>
        <w:rPr>
          <w:rFonts w:ascii="Arial" w:hAnsi="Arial" w:cs="Arial"/>
        </w:rPr>
      </w:pPr>
      <w:r w:rsidRPr="00935894">
        <w:rPr>
          <w:rFonts w:ascii="Arial" w:hAnsi="Arial" w:cs="Arial"/>
        </w:rPr>
        <w:t xml:space="preserve">The BIC is similar to the AIC but includes a stronger penalty for the number of parameters, accounting for the number of data points </w:t>
      </w:r>
      <m:oMath>
        <m:r>
          <w:rPr>
            <w:rFonts w:ascii="Cambria Math" w:hAnsi="Arial" w:cs="Arial"/>
          </w:rPr>
          <m:t>(</m:t>
        </m:r>
        <m:r>
          <w:rPr>
            <w:rFonts w:ascii="Cambria Math" w:hAnsi="Cambria Math" w:cs="Arial"/>
          </w:rPr>
          <m:t>n</m:t>
        </m:r>
        <m:r>
          <w:rPr>
            <w:rFonts w:ascii="Cambria Math" w:hAnsi="Arial" w:cs="Arial"/>
          </w:rPr>
          <m:t>)</m:t>
        </m:r>
      </m:oMath>
      <w:r w:rsidRPr="00935894">
        <w:rPr>
          <w:rFonts w:ascii="Arial" w:hAnsi="Arial" w:cs="Arial"/>
        </w:rPr>
        <w:t>. The BIC formula is:</w:t>
      </w:r>
    </w:p>
    <w:p w14:paraId="0F77D623" w14:textId="77777777" w:rsidR="00B74453" w:rsidRPr="00935894" w:rsidRDefault="00B74453" w:rsidP="00B74453">
      <w:pPr>
        <w:jc w:val="both"/>
        <w:rPr>
          <w:rFonts w:ascii="Arial" w:eastAsiaTheme="minorEastAsia" w:hAnsi="Arial" w:cs="Arial"/>
        </w:rPr>
      </w:pPr>
      <m:oMathPara>
        <m:oMath>
          <m:r>
            <m:rPr>
              <m:sty m:val="p"/>
            </m:rPr>
            <w:rPr>
              <w:rFonts w:ascii="Cambria Math" w:hAnsi="Arial" w:cs="Arial"/>
            </w:rPr>
            <m:t>BIC</m:t>
          </m:r>
          <m:r>
            <w:rPr>
              <w:rFonts w:ascii="Cambria Math" w:hAnsi="Arial" w:cs="Arial"/>
            </w:rPr>
            <m:t>=</m:t>
          </m:r>
          <m:f>
            <m:fPr>
              <m:ctrlPr>
                <w:rPr>
                  <w:rFonts w:ascii="Cambria Math" w:hAnsi="Arial" w:cs="Arial"/>
                  <w:i/>
                </w:rPr>
              </m:ctrlPr>
            </m:fPr>
            <m:num>
              <m:r>
                <w:rPr>
                  <w:rFonts w:ascii="Cambria Math" w:hAnsi="Cambria Math" w:cs="Arial"/>
                </w:rPr>
                <m:t>k</m:t>
              </m:r>
              <m:func>
                <m:funcPr>
                  <m:ctrlPr>
                    <w:rPr>
                      <w:rFonts w:ascii="Cambria Math" w:hAnsi="Arial" w:cs="Arial"/>
                      <w:i/>
                    </w:rPr>
                  </m:ctrlPr>
                </m:funcPr>
                <m:fName>
                  <m:r>
                    <m:rPr>
                      <m:sty m:val="p"/>
                    </m:rPr>
                    <w:rPr>
                      <w:rFonts w:ascii="Cambria Math" w:hAnsi="Arial" w:cs="Arial"/>
                    </w:rPr>
                    <m:t>ln</m:t>
                  </m:r>
                </m:fName>
                <m:e>
                  <m:r>
                    <w:rPr>
                      <w:rFonts w:ascii="Cambria Math" w:hAnsi="Arial" w:cs="Arial"/>
                    </w:rPr>
                    <m:t>(</m:t>
                  </m:r>
                  <m:r>
                    <w:rPr>
                      <w:rFonts w:ascii="Cambria Math" w:hAnsi="Cambria Math" w:cs="Arial"/>
                    </w:rPr>
                    <m:t>n</m:t>
                  </m:r>
                  <m:r>
                    <w:rPr>
                      <w:rFonts w:ascii="Cambria Math" w:hAnsi="Arial" w:cs="Arial"/>
                    </w:rPr>
                    <m:t>)</m:t>
                  </m:r>
                </m:e>
              </m:func>
              <m:r>
                <w:rPr>
                  <w:rFonts w:ascii="Arial" w:hAnsi="Arial" w:cs="Arial"/>
                </w:rPr>
                <m:t>-</m:t>
              </m:r>
              <m:r>
                <w:rPr>
                  <w:rFonts w:ascii="Cambria Math" w:hAnsi="Arial" w:cs="Arial"/>
                </w:rPr>
                <m:t>2</m:t>
              </m:r>
              <m:func>
                <m:funcPr>
                  <m:ctrlPr>
                    <w:rPr>
                      <w:rFonts w:ascii="Cambria Math" w:hAnsi="Arial" w:cs="Arial"/>
                      <w:i/>
                    </w:rPr>
                  </m:ctrlPr>
                </m:funcPr>
                <m:fName>
                  <m:r>
                    <m:rPr>
                      <m:sty m:val="p"/>
                    </m:rPr>
                    <w:rPr>
                      <w:rFonts w:ascii="Cambria Math" w:hAnsi="Arial" w:cs="Arial"/>
                    </w:rPr>
                    <m:t>ln</m:t>
                  </m:r>
                </m:fName>
                <m:e>
                  <m:r>
                    <w:rPr>
                      <w:rFonts w:ascii="Cambria Math" w:hAnsi="Cambria Math" w:cs="Arial"/>
                    </w:rPr>
                    <m:t>L</m:t>
                  </m:r>
                </m:e>
              </m:func>
            </m:num>
            <m:den>
              <m:r>
                <w:rPr>
                  <w:rFonts w:ascii="Cambria Math" w:hAnsi="Cambria Math" w:cs="Arial"/>
                </w:rPr>
                <m:t>n</m:t>
              </m:r>
            </m:den>
          </m:f>
          <m:r>
            <w:rPr>
              <w:rFonts w:ascii="Cambria Math" w:hAnsi="Arial" w:cs="Arial"/>
            </w:rPr>
            <m:t xml:space="preserve">                                                                                                                               (8)</m:t>
          </m:r>
        </m:oMath>
      </m:oMathPara>
    </w:p>
    <w:p w14:paraId="035EC5A0" w14:textId="77777777" w:rsidR="00B74453" w:rsidRPr="00935894" w:rsidRDefault="00B74453" w:rsidP="00B74453">
      <w:pPr>
        <w:jc w:val="both"/>
        <w:rPr>
          <w:rFonts w:ascii="Arial" w:hAnsi="Arial" w:cs="Arial"/>
        </w:rPr>
      </w:pPr>
      <m:oMath>
        <m:r>
          <w:rPr>
            <w:rFonts w:ascii="Cambria Math" w:hAnsi="Cambria Math" w:cs="Arial"/>
          </w:rPr>
          <m:t>n</m:t>
        </m:r>
      </m:oMath>
      <w:r w:rsidRPr="00935894">
        <w:rPr>
          <w:rFonts w:ascii="Arial" w:hAnsi="Arial" w:cs="Arial"/>
        </w:rPr>
        <w:t xml:space="preserve"> represents the number of observations in the dataset.</w:t>
      </w:r>
    </w:p>
    <w:p w14:paraId="65D0347C" w14:textId="77777777" w:rsidR="00B74453" w:rsidRPr="00935894" w:rsidRDefault="00B74453" w:rsidP="00B74453">
      <w:pPr>
        <w:jc w:val="both"/>
        <w:rPr>
          <w:rFonts w:ascii="Arial" w:hAnsi="Arial" w:cs="Arial"/>
        </w:rPr>
      </w:pPr>
      <w:r w:rsidRPr="00935894">
        <w:rPr>
          <w:rFonts w:ascii="Arial" w:hAnsi="Arial" w:cs="Arial"/>
        </w:rPr>
        <w:t>As with the AIC, a lower BIC indicates a better-fitting model. Since it penalizes models with more parameters more heavily than the AIC, the BIC generally prefers simpler models.</w:t>
      </w:r>
    </w:p>
    <w:p w14:paraId="7F7A5D13" w14:textId="77777777"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.2.7 Deviance statistic</w:t>
      </w:r>
    </w:p>
    <w:p w14:paraId="14518E8D" w14:textId="77777777" w:rsidR="00B74453" w:rsidRPr="00935894" w:rsidRDefault="00B74453" w:rsidP="00B74453">
      <w:pPr>
        <w:jc w:val="both"/>
        <w:rPr>
          <w:rFonts w:ascii="Arial" w:hAnsi="Arial" w:cs="Arial"/>
        </w:rPr>
      </w:pPr>
      <w:r w:rsidRPr="00935894">
        <w:rPr>
          <w:rFonts w:ascii="Arial" w:hAnsi="Arial" w:cs="Arial"/>
        </w:rPr>
        <w:t xml:space="preserve">Deviance is a measure of the goodness-of-fit for models that assumes a probability distribution (like Poisson). It represents the difference in fit between a given model and the saturated model (the “best” possible model that perfectly fits the data). For a Poisson autoregressive model, deviance is calculated as: </w:t>
      </w:r>
    </w:p>
    <w:p w14:paraId="17D67963" w14:textId="77777777" w:rsidR="00B74453" w:rsidRPr="00935894" w:rsidRDefault="00B74453" w:rsidP="00B74453">
      <w:pPr>
        <w:jc w:val="both"/>
        <w:rPr>
          <w:rFonts w:ascii="Arial" w:eastAsiaTheme="minorEastAsia" w:hAnsi="Arial" w:cs="Arial"/>
        </w:rPr>
      </w:pPr>
      <m:oMathPara>
        <m:oMath>
          <m:r>
            <m:rPr>
              <m:sty m:val="p"/>
            </m:rPr>
            <w:rPr>
              <w:rFonts w:ascii="Cambria Math" w:hAnsi="Arial" w:cs="Arial"/>
            </w:rPr>
            <m:t>Deviance=2.</m:t>
          </m:r>
          <m:nary>
            <m:naryPr>
              <m:chr m:val="∑"/>
              <m:limLoc m:val="undOvr"/>
              <m:ctrlPr>
                <w:rPr>
                  <w:rFonts w:ascii="Cambria Math" w:hAnsi="Arial" w:cs="Arial"/>
                </w:rPr>
              </m:ctrlPr>
            </m:naryPr>
            <m:sub>
              <m:r>
                <m:rPr>
                  <m:sty m:val="p"/>
                </m:rPr>
                <w:rPr>
                  <w:rFonts w:ascii="Cambria Math" w:hAnsi="Arial" w:cs="Arial"/>
                </w:rPr>
                <m:t>t=1</m:t>
              </m:r>
            </m:sub>
            <m:sup>
              <m:r>
                <w:rPr>
                  <w:rFonts w:ascii="Cambria Math" w:hAnsi="Cambria Math" w:cs="Arial"/>
                </w:rPr>
                <m:t>T</m:t>
              </m:r>
            </m:sup>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Y</m:t>
                              </m:r>
                            </m:e>
                            <m:sub>
                              <m:r>
                                <w:rPr>
                                  <w:rFonts w:ascii="Cambria Math" w:hAnsi="Cambria Math" w:cs="Arial"/>
                                </w:rPr>
                                <m:t>t</m:t>
                              </m:r>
                            </m:sub>
                          </m:sSub>
                        </m:num>
                        <m:den>
                          <m:sSub>
                            <m:sSubPr>
                              <m:ctrlPr>
                                <w:rPr>
                                  <w:rFonts w:ascii="Cambria Math" w:hAnsi="Arial" w:cs="Arial"/>
                                  <w:i/>
                                </w:rPr>
                              </m:ctrlPr>
                            </m:sSubPr>
                            <m:e>
                              <m:acc>
                                <m:accPr>
                                  <m:ctrlPr>
                                    <w:rPr>
                                      <w:rFonts w:ascii="Cambria Math" w:hAnsi="Arial" w:cs="Arial"/>
                                      <w:i/>
                                    </w:rPr>
                                  </m:ctrlPr>
                                </m:accPr>
                                <m:e>
                                  <m:r>
                                    <w:rPr>
                                      <w:rFonts w:ascii="Cambria Math" w:hAnsi="Cambria Math" w:cs="Arial"/>
                                    </w:rPr>
                                    <m:t>λ</m:t>
                                  </m:r>
                                </m:e>
                              </m:acc>
                            </m:e>
                            <m:sub>
                              <m:r>
                                <w:rPr>
                                  <w:rFonts w:ascii="Cambria Math" w:hAnsi="Cambria Math" w:cs="Arial"/>
                                </w:rPr>
                                <m:t>t</m:t>
                              </m:r>
                            </m:sub>
                          </m:sSub>
                        </m:den>
                      </m:f>
                    </m:e>
                  </m:d>
                  <m:r>
                    <w:rPr>
                      <w:rFonts w:ascii="Arial" w:hAnsi="Arial" w:cs="Arial"/>
                    </w:rPr>
                    <m:t>-</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λ</m:t>
                              </m:r>
                            </m:e>
                          </m:acc>
                        </m:e>
                        <m:sub>
                          <m:r>
                            <w:rPr>
                              <w:rFonts w:ascii="Cambria Math" w:hAnsi="Cambria Math" w:cs="Arial"/>
                            </w:rPr>
                            <m:t>t</m:t>
                          </m:r>
                        </m:sub>
                      </m:sSub>
                    </m:e>
                  </m:d>
                </m:e>
              </m:func>
            </m:e>
          </m:nary>
          <m:r>
            <m:rPr>
              <m:sty m:val="p"/>
            </m:rPr>
            <w:rPr>
              <w:rFonts w:ascii="Cambria Math" w:hAnsi="Arial" w:cs="Arial"/>
            </w:rPr>
            <m:t xml:space="preserve">                                                                                       </m:t>
          </m:r>
          <m:d>
            <m:dPr>
              <m:ctrlPr>
                <w:rPr>
                  <w:rFonts w:ascii="Cambria Math" w:hAnsi="Arial" w:cs="Arial"/>
                </w:rPr>
              </m:ctrlPr>
            </m:dPr>
            <m:e>
              <m:r>
                <m:rPr>
                  <m:sty m:val="p"/>
                </m:rPr>
                <w:rPr>
                  <w:rFonts w:ascii="Cambria Math" w:hAnsi="Arial" w:cs="Arial"/>
                </w:rPr>
                <m:t>9</m:t>
              </m:r>
            </m:e>
          </m:d>
        </m:oMath>
      </m:oMathPara>
    </w:p>
    <w:p w14:paraId="19FB8D5B" w14:textId="77777777" w:rsidR="00B74453" w:rsidRPr="00935894" w:rsidRDefault="00B74453" w:rsidP="00B74453">
      <w:pPr>
        <w:jc w:val="both"/>
        <w:rPr>
          <w:rFonts w:ascii="Arial" w:hAnsi="Arial" w:cs="Arial"/>
        </w:rPr>
      </w:pPr>
      <w:r w:rsidRPr="00935894">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hAnsi="Arial" w:cs="Arial"/>
        </w:rPr>
        <w:t xml:space="preserve"> is the observed count at time </w:t>
      </w:r>
      <m:oMath>
        <m:r>
          <w:rPr>
            <w:rFonts w:ascii="Cambria Math" w:hAnsi="Cambria Math" w:cs="Arial"/>
          </w:rPr>
          <m:t>t</m:t>
        </m:r>
      </m:oMath>
      <w:r w:rsidRPr="00935894">
        <w:rPr>
          <w:rFonts w:ascii="Arial" w:hAnsi="Arial" w:cs="Arial"/>
        </w:rPr>
        <w:t xml:space="preserve">, </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λ</m:t>
                </m:r>
              </m:e>
            </m:acc>
          </m:e>
          <m:sub>
            <m:r>
              <w:rPr>
                <w:rFonts w:ascii="Cambria Math" w:hAnsi="Cambria Math" w:cs="Arial"/>
              </w:rPr>
              <m:t>t</m:t>
            </m:r>
          </m:sub>
        </m:sSub>
      </m:oMath>
      <w:r w:rsidRPr="00935894">
        <w:rPr>
          <w:rFonts w:ascii="Arial" w:hAnsi="Arial" w:cs="Arial"/>
        </w:rPr>
        <w:t xml:space="preserve"> is the predicted value from the model, </w:t>
      </w:r>
      <m:oMath>
        <m:r>
          <w:rPr>
            <w:rFonts w:ascii="Cambria Math" w:hAnsi="Cambria Math" w:cs="Arial"/>
          </w:rPr>
          <m:t>T</m:t>
        </m:r>
      </m:oMath>
      <w:r w:rsidRPr="00935894">
        <w:rPr>
          <w:rFonts w:ascii="Arial" w:hAnsi="Arial" w:cs="Arial"/>
        </w:rPr>
        <w:t xml:space="preserve"> represents the total number of observations.</w:t>
      </w:r>
    </w:p>
    <w:p w14:paraId="626A8CFC" w14:textId="77777777" w:rsidR="00B74453" w:rsidRPr="00935894" w:rsidRDefault="00B74453" w:rsidP="00B74453">
      <w:pPr>
        <w:jc w:val="both"/>
        <w:rPr>
          <w:rFonts w:ascii="Arial" w:hAnsi="Arial" w:cs="Arial"/>
        </w:rPr>
      </w:pPr>
      <w:r w:rsidRPr="00935894">
        <w:rPr>
          <w:rFonts w:ascii="Arial" w:hAnsi="Arial" w:cs="Arial"/>
        </w:rPr>
        <w:t>Lower deviance indicates a better fit, as it means the model’s predictions are closer to the observed values. Deviance is also used in hypothesis tests (like the deviance chi-square test) to compare models.</w:t>
      </w:r>
    </w:p>
    <w:p w14:paraId="2CAF90D7" w14:textId="77777777" w:rsidR="00B74453" w:rsidRPr="00935894" w:rsidRDefault="00935894" w:rsidP="00B74453">
      <w:pPr>
        <w:spacing w:before="240"/>
        <w:jc w:val="both"/>
        <w:rPr>
          <w:rFonts w:ascii="Arial" w:hAnsi="Arial" w:cs="Arial"/>
          <w:b/>
        </w:rPr>
      </w:pPr>
      <w:r w:rsidRPr="00935894">
        <w:rPr>
          <w:rFonts w:ascii="Arial" w:hAnsi="Arial" w:cs="Arial"/>
          <w:b/>
        </w:rPr>
        <w:t>2</w:t>
      </w:r>
      <w:r w:rsidR="00B74453" w:rsidRPr="00935894">
        <w:rPr>
          <w:rFonts w:ascii="Arial" w:hAnsi="Arial" w:cs="Arial"/>
          <w:b/>
        </w:rPr>
        <w:t>.2.8 Poisson Exponential Weighted Moving Average (PEWMA) Model</w:t>
      </w:r>
    </w:p>
    <w:p w14:paraId="66545428" w14:textId="77777777" w:rsidR="00B74453" w:rsidRPr="00935894" w:rsidRDefault="00B74453" w:rsidP="00B74453">
      <w:pPr>
        <w:spacing w:before="240"/>
        <w:jc w:val="both"/>
        <w:rPr>
          <w:rFonts w:ascii="Arial" w:eastAsiaTheme="minorEastAsia" w:hAnsi="Arial" w:cs="Arial"/>
        </w:rPr>
      </w:pPr>
      <w:r w:rsidRPr="00935894">
        <w:rPr>
          <w:rFonts w:ascii="Arial" w:hAnsi="Arial" w:cs="Arial"/>
        </w:rPr>
        <w:t>The Poisson Exponential Weighted Moving Average (PEWMA) model is a time-series model that applies exponential smoothing to count data. It incorporates the concept of exponentially weighted moving averages to capture trends and patterns in the count process. The general form of a Poisson Exponential Weighted Moving Average model is as follows:</w:t>
      </w:r>
    </w:p>
    <w:p w14:paraId="4C2D6A62" w14:textId="77777777" w:rsidR="00B74453" w:rsidRPr="00935894" w:rsidRDefault="00530C5D" w:rsidP="00B74453">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Poisson</m:t>
          </m:r>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r>
            <w:rPr>
              <w:rFonts w:ascii="Cambria Math" w:hAnsi="Arial" w:cs="Arial"/>
            </w:rPr>
            <m:t xml:space="preserve">                                                                                                                                        (10)</m:t>
          </m:r>
        </m:oMath>
      </m:oMathPara>
    </w:p>
    <w:p w14:paraId="05570201" w14:textId="77777777" w:rsidR="00B74453" w:rsidRPr="00935894" w:rsidRDefault="00530C5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=(1</m:t>
          </m:r>
          <m:r>
            <w:rPr>
              <w:rFonts w:ascii="Cambria Math" w:hAnsi="Arial" w:cs="Arial"/>
            </w:rPr>
            <m:t>-</m:t>
          </m:r>
          <m:r>
            <w:rPr>
              <w:rFonts w:ascii="Cambria Math" w:hAnsi="Cambria Math" w:cs="Arial"/>
            </w:rPr>
            <m:t>α</m:t>
          </m:r>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e>
          </m:func>
          <m:r>
            <w:rPr>
              <w:rFonts w:ascii="Cambria Math" w:hAnsi="Arial" w:cs="Arial"/>
            </w:rPr>
            <m:t>+</m:t>
          </m:r>
          <m:r>
            <w:rPr>
              <w:rFonts w:ascii="Cambria Math" w:hAnsi="Cambria Math" w:cs="Arial"/>
            </w:rPr>
            <m:t>α</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e>
              </m:d>
            </m:e>
          </m:func>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w:rPr>
              <w:rFonts w:ascii="Cambria Math" w:eastAsiaTheme="minorEastAsia" w:hAnsi="Arial" w:cs="Arial"/>
            </w:rPr>
            <m:t xml:space="preserve">                                                                           (11)</m:t>
          </m:r>
        </m:oMath>
      </m:oMathPara>
    </w:p>
    <w:p w14:paraId="75F49004" w14:textId="77777777" w:rsidR="00B74453" w:rsidRPr="00935894" w:rsidRDefault="00B74453" w:rsidP="00B74453">
      <w:pPr>
        <w:jc w:val="both"/>
        <w:rPr>
          <w:rFonts w:ascii="Arial" w:eastAsiaTheme="minorEastAsia" w:hAnsi="Arial" w:cs="Arial"/>
        </w:rPr>
      </w:pPr>
      <w:r w:rsidRPr="00935894">
        <w:rPr>
          <w:rFonts w:ascii="Arial" w:eastAsiaTheme="minorEastAsia"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eastAsiaTheme="minorEastAsia" w:hAnsi="Arial" w:cs="Arial"/>
        </w:rPr>
        <w:t xml:space="preserve"> is the count variable at time </w:t>
      </w:r>
      <m:oMath>
        <m:r>
          <w:rPr>
            <w:rFonts w:ascii="Cambria Math" w:eastAsiaTheme="minorEastAsia" w:hAnsi="Cambria Math" w:cs="Arial"/>
          </w:rPr>
          <m:t>t</m:t>
        </m:r>
      </m:oMath>
      <w:r w:rsidRPr="00935894">
        <w:rPr>
          <w:rFonts w:ascii="Arial" w:eastAsiaTheme="minorEastAsia" w:hAnsi="Arial" w:cs="Arial"/>
        </w:rPr>
        <w:t xml:space="preserv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935894">
        <w:rPr>
          <w:rFonts w:ascii="Arial" w:eastAsiaTheme="minorEastAsia" w:hAnsi="Arial" w:cs="Arial"/>
        </w:rPr>
        <w:t xml:space="preserve"> is the expected value of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eastAsiaTheme="minorEastAsia" w:hAnsi="Arial" w:cs="Arial"/>
        </w:rPr>
        <w:t>,</w:t>
      </w:r>
      <m:oMath>
        <m:r>
          <w:rPr>
            <w:rFonts w:ascii="Cambria Math" w:hAnsi="Arial" w:cs="Arial"/>
          </w:rPr>
          <m:t xml:space="preserve"> </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e>
        </m:func>
      </m:oMath>
      <w:r w:rsidRPr="00935894">
        <w:rPr>
          <w:rFonts w:ascii="Arial" w:eastAsiaTheme="minorEastAsia" w:hAnsi="Arial" w:cs="Arial"/>
        </w:rPr>
        <w:t xml:space="preserve"> represents the log of exponential weighted moving average of past count up to time </w:t>
      </w:r>
      <m:oMath>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oMath>
      <w:r w:rsidRPr="00935894">
        <w:rPr>
          <w:rFonts w:ascii="Arial" w:eastAsiaTheme="minorEastAsia" w:hAnsi="Arial" w:cs="Arial"/>
        </w:rPr>
        <w:t xml:space="preserve">, </w:t>
      </w:r>
      <m:oMath>
        <m:r>
          <w:rPr>
            <w:rFonts w:ascii="Cambria Math" w:eastAsiaTheme="minorEastAsia" w:hAnsi="Cambria Math" w:cs="Arial"/>
          </w:rPr>
          <m:t>α</m:t>
        </m:r>
      </m:oMath>
      <w:r w:rsidRPr="00935894">
        <w:rPr>
          <w:rFonts w:ascii="Arial" w:eastAsiaTheme="minorEastAsia" w:hAnsi="Arial" w:cs="Arial"/>
        </w:rPr>
        <w:t xml:space="preserve"> is the smoothing parameter, with </w:t>
      </w:r>
      <m:oMath>
        <m:r>
          <w:rPr>
            <w:rFonts w:ascii="Cambria Math" w:eastAsiaTheme="minorEastAsia" w:hAnsi="Arial" w:cs="Arial"/>
          </w:rPr>
          <m:t>0&lt;</m:t>
        </m:r>
        <m:r>
          <w:rPr>
            <w:rFonts w:ascii="Cambria Math" w:eastAsiaTheme="minorEastAsia" w:hAnsi="Cambria Math" w:cs="Arial"/>
          </w:rPr>
          <m:t>α</m:t>
        </m:r>
        <m:r>
          <w:rPr>
            <w:rFonts w:ascii="Cambria Math" w:eastAsiaTheme="minorEastAsia" w:hAnsi="Arial" w:cs="Arial"/>
          </w:rPr>
          <m:t>&lt;1</m:t>
        </m:r>
      </m:oMath>
      <w:r w:rsidRPr="00935894">
        <w:rPr>
          <w:rFonts w:ascii="Arial" w:eastAsiaTheme="minorEastAsia" w:hAnsi="Arial" w:cs="Arial"/>
        </w:rPr>
        <w:t xml:space="preserve">,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Pr="00935894">
        <w:rPr>
          <w:rFonts w:ascii="Arial" w:eastAsiaTheme="minorEastAsia" w:hAnsi="Arial" w:cs="Arial"/>
        </w:rPr>
        <w:t xml:space="preserve"> is a vector of additional covariates at time </w:t>
      </w:r>
      <m:oMath>
        <m:r>
          <w:rPr>
            <w:rFonts w:ascii="Cambria Math" w:eastAsiaTheme="minorEastAsia" w:hAnsi="Cambria Math" w:cs="Arial"/>
          </w:rPr>
          <m:t>t</m:t>
        </m:r>
      </m:oMath>
      <w:r w:rsidRPr="00935894">
        <w:rPr>
          <w:rFonts w:ascii="Arial" w:eastAsiaTheme="minorEastAsia" w:hAnsi="Arial" w:cs="Arial"/>
        </w:rPr>
        <w:t xml:space="preserve"> and </w:t>
      </w:r>
      <m:oMath>
        <m:r>
          <m:rPr>
            <m:sty m:val="bi"/>
          </m:rPr>
          <w:rPr>
            <w:rFonts w:ascii="Cambria Math" w:hAnsi="Cambria Math" w:cs="Arial"/>
          </w:rPr>
          <m:t>β</m:t>
        </m:r>
      </m:oMath>
      <w:r w:rsidRPr="00935894">
        <w:rPr>
          <w:rFonts w:ascii="Arial" w:eastAsiaTheme="minorEastAsia" w:hAnsi="Arial" w:cs="Arial"/>
        </w:rPr>
        <w:t xml:space="preserve"> is a vector of corresponding coefficients for the covariates.</w:t>
      </w:r>
    </w:p>
    <w:p w14:paraId="4245D760" w14:textId="77777777" w:rsidR="00B74453" w:rsidRPr="00935894" w:rsidRDefault="00B74453" w:rsidP="00935894">
      <w:pPr>
        <w:jc w:val="both"/>
        <w:rPr>
          <w:rFonts w:ascii="Arial" w:hAnsi="Arial" w:cs="Arial"/>
        </w:rPr>
      </w:pPr>
      <w:r w:rsidRPr="00935894">
        <w:rPr>
          <w:rFonts w:ascii="Arial" w:hAnsi="Arial" w:cs="Arial"/>
        </w:rPr>
        <w:t xml:space="preserve">The exponential weighted moving average is given by: </w:t>
      </w:r>
    </w:p>
    <w:p w14:paraId="0C644356" w14:textId="77777777" w:rsidR="00B74453" w:rsidRPr="00935894" w:rsidRDefault="00530C5D" w:rsidP="00935894">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Arial" w:cs="Arial"/>
                        </w:rPr>
                        <m:t>1</m:t>
                      </m:r>
                    </m:sub>
                  </m:sSub>
                </m:e>
              </m:d>
            </m:e>
          </m:func>
          <m:r>
            <w:rPr>
              <w:rFonts w:ascii="Cambria Math" w:hAnsi="Arial" w:cs="Arial"/>
            </w:rPr>
            <m:t>=(1</m:t>
          </m:r>
          <m:r>
            <w:rPr>
              <w:rFonts w:ascii="Cambria Math" w:hAnsi="Arial" w:cs="Arial"/>
            </w:rPr>
            <m:t>-</m:t>
          </m:r>
          <m:r>
            <w:rPr>
              <w:rFonts w:ascii="Cambria Math" w:hAnsi="Cambria Math" w:cs="Arial"/>
            </w:rPr>
            <m:t>α</m:t>
          </m:r>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e>
          </m:func>
          <m:r>
            <w:rPr>
              <w:rFonts w:ascii="Cambria Math" w:hAnsi="Arial" w:cs="Arial"/>
            </w:rPr>
            <m:t>+</m:t>
          </m:r>
          <m:r>
            <w:rPr>
              <w:rFonts w:ascii="Cambria Math" w:hAnsi="Cambria Math" w:cs="Arial"/>
            </w:rPr>
            <m:t>α</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e>
              </m:d>
            </m:e>
          </m:func>
          <m:r>
            <w:rPr>
              <w:rFonts w:ascii="Cambria Math" w:eastAsiaTheme="minorEastAsia" w:hAnsi="Arial" w:cs="Arial"/>
            </w:rPr>
            <m:t xml:space="preserve">                                                                                   (12)</m:t>
          </m:r>
        </m:oMath>
      </m:oMathPara>
    </w:p>
    <w:p w14:paraId="7D77FC53" w14:textId="77777777" w:rsidR="00B74453" w:rsidRPr="00935894" w:rsidRDefault="00B74453" w:rsidP="00935894">
      <w:pPr>
        <w:jc w:val="both"/>
        <w:rPr>
          <w:rFonts w:ascii="Arial" w:eastAsiaTheme="minorEastAsia" w:hAnsi="Arial" w:cs="Arial"/>
        </w:rPr>
      </w:pPr>
      <w:r w:rsidRPr="00935894">
        <w:rPr>
          <w:rFonts w:ascii="Arial" w:hAnsi="Arial" w:cs="Arial"/>
        </w:rPr>
        <w:t xml:space="preserve">The exponentially weighted moving average </w:t>
      </w:r>
      <m:oMath>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Arial" w:cs="Arial"/>
              </w:rPr>
              <m:t>1</m:t>
            </m:r>
          </m:sub>
        </m:sSub>
      </m:oMath>
      <w:r w:rsidRPr="00935894">
        <w:rPr>
          <w:rFonts w:ascii="Arial" w:hAnsi="Arial" w:cs="Arial"/>
        </w:rPr>
        <w:t xml:space="preserve"> is a weighted average of past counts, with higher weights assigned to more recent observations.</w:t>
      </w:r>
    </w:p>
    <w:p w14:paraId="7F18044B" w14:textId="77777777" w:rsidR="00B74453" w:rsidRPr="00935894" w:rsidRDefault="00B74453" w:rsidP="00B74453">
      <w:pPr>
        <w:jc w:val="both"/>
        <w:rPr>
          <w:rFonts w:ascii="Arial" w:hAnsi="Arial" w:cs="Arial"/>
        </w:rPr>
      </w:pPr>
      <w:r w:rsidRPr="00935894">
        <w:rPr>
          <w:rFonts w:ascii="Arial" w:hAnsi="Arial" w:cs="Arial"/>
        </w:rPr>
        <w:t>The autoregressive structure with covariates is given as:</w:t>
      </w:r>
    </w:p>
    <w:p w14:paraId="5769B319" w14:textId="77777777" w:rsidR="00B74453" w:rsidRPr="00935894" w:rsidRDefault="00530C5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=(1</m:t>
          </m:r>
          <m:r>
            <w:rPr>
              <w:rFonts w:ascii="Cambria Math" w:hAnsi="Arial" w:cs="Arial"/>
            </w:rPr>
            <m:t>-</m:t>
          </m:r>
          <m:r>
            <w:rPr>
              <w:rFonts w:ascii="Cambria Math" w:hAnsi="Cambria Math" w:cs="Arial"/>
            </w:rPr>
            <m:t>α</m:t>
          </m:r>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e>
          </m:func>
          <m:r>
            <w:rPr>
              <w:rFonts w:ascii="Cambria Math" w:hAnsi="Arial" w:cs="Arial"/>
            </w:rPr>
            <m:t>+</m:t>
          </m:r>
          <m:r>
            <w:rPr>
              <w:rFonts w:ascii="Cambria Math" w:hAnsi="Cambria Math" w:cs="Arial"/>
            </w:rPr>
            <m:t>α</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e>
              </m:d>
            </m:e>
          </m:func>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w:rPr>
              <w:rFonts w:ascii="Cambria Math" w:eastAsiaTheme="minorEastAsia" w:hAnsi="Arial" w:cs="Arial"/>
            </w:rPr>
            <m:t xml:space="preserve">                                                                      (13)</m:t>
          </m:r>
        </m:oMath>
      </m:oMathPara>
    </w:p>
    <w:p w14:paraId="0D0897AF" w14:textId="77777777" w:rsidR="00B74453" w:rsidRPr="00935894" w:rsidRDefault="00B74453" w:rsidP="00B74453">
      <w:pPr>
        <w:jc w:val="both"/>
        <w:rPr>
          <w:rFonts w:ascii="Arial" w:hAnsi="Arial" w:cs="Arial"/>
        </w:rPr>
      </w:pPr>
      <w:r w:rsidRPr="00935894">
        <w:rPr>
          <w:rFonts w:ascii="Arial" w:hAnsi="Arial" w:cs="Arial"/>
        </w:rPr>
        <w:t>Estimation of the parameters (</w:t>
      </w:r>
      <m:oMath>
        <m:r>
          <w:rPr>
            <w:rFonts w:ascii="Cambria Math" w:hAnsi="Cambria Math" w:cs="Arial"/>
          </w:rPr>
          <m:t>α</m:t>
        </m:r>
        <m:r>
          <w:rPr>
            <w:rFonts w:ascii="Cambria Math" w:hAnsi="Arial" w:cs="Arial"/>
          </w:rPr>
          <m:t xml:space="preserve">, </m:t>
        </m:r>
        <m:r>
          <w:rPr>
            <w:rFonts w:ascii="Cambria Math" w:hAnsi="Cambria Math" w:cs="Arial"/>
          </w:rPr>
          <m:t>β</m:t>
        </m:r>
      </m:oMath>
      <w:r w:rsidRPr="00935894">
        <w:rPr>
          <w:rFonts w:ascii="Arial" w:hAnsi="Arial" w:cs="Arial"/>
        </w:rPr>
        <w:t xml:space="preserve">) is typically done using maximum likelihood estimation (MLE) methods. The smoothing parameter </w:t>
      </w:r>
      <m:oMath>
        <m:r>
          <w:rPr>
            <w:rFonts w:ascii="Cambria Math" w:hAnsi="Cambria Math" w:cs="Arial"/>
          </w:rPr>
          <m:t>α</m:t>
        </m:r>
      </m:oMath>
      <w:r w:rsidRPr="00935894">
        <w:rPr>
          <w:rFonts w:ascii="Arial" w:hAnsi="Arial" w:cs="Arial"/>
        </w:rPr>
        <w:t xml:space="preserve"> controls the degree of smoothing, with higher values giving more weight to recent observations.</w:t>
      </w:r>
    </w:p>
    <w:p w14:paraId="1DAFC0A2" w14:textId="77777777" w:rsidR="00B74453" w:rsidRPr="00935894" w:rsidRDefault="00935894" w:rsidP="00B74453">
      <w:pPr>
        <w:pStyle w:val="NormalWeb"/>
        <w:spacing w:before="0" w:beforeAutospacing="0" w:after="0" w:afterAutospacing="0"/>
        <w:jc w:val="both"/>
        <w:rPr>
          <w:rFonts w:ascii="Arial" w:hAnsi="Arial" w:cs="Arial"/>
          <w:b/>
          <w:sz w:val="20"/>
          <w:szCs w:val="20"/>
        </w:rPr>
      </w:pPr>
      <w:r w:rsidRPr="00935894">
        <w:rPr>
          <w:rFonts w:ascii="Arial" w:hAnsi="Arial" w:cs="Arial"/>
          <w:b/>
          <w:sz w:val="20"/>
          <w:szCs w:val="20"/>
        </w:rPr>
        <w:t>2</w:t>
      </w:r>
      <w:r w:rsidR="00B74453" w:rsidRPr="00935894">
        <w:rPr>
          <w:rFonts w:ascii="Arial" w:hAnsi="Arial" w:cs="Arial"/>
          <w:b/>
          <w:sz w:val="20"/>
          <w:szCs w:val="20"/>
        </w:rPr>
        <w:t>.2.9 McFadden’s Pseudo R</w:t>
      </w:r>
      <w:r w:rsidR="00B74453" w:rsidRPr="00935894">
        <w:rPr>
          <w:rFonts w:ascii="Arial" w:hAnsi="Arial" w:cs="Arial"/>
          <w:b/>
          <w:sz w:val="20"/>
          <w:szCs w:val="20"/>
          <w:vertAlign w:val="superscript"/>
        </w:rPr>
        <w:t>2</w:t>
      </w:r>
    </w:p>
    <w:p w14:paraId="7A7DD932" w14:textId="77777777"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lastRenderedPageBreak/>
        <w:t>McFadden’s Pseudo R² is a measure of model fit analogous to R</w:t>
      </w:r>
      <w:r w:rsidRPr="00935894">
        <w:rPr>
          <w:rFonts w:ascii="Arial" w:hAnsi="Arial" w:cs="Arial"/>
          <w:sz w:val="20"/>
          <w:szCs w:val="20"/>
          <w:vertAlign w:val="superscript"/>
        </w:rPr>
        <w:t>2</w:t>
      </w:r>
      <w:r w:rsidRPr="00935894">
        <w:rPr>
          <w:rFonts w:ascii="Arial" w:hAnsi="Arial" w:cs="Arial"/>
          <w:sz w:val="20"/>
          <w:szCs w:val="20"/>
        </w:rPr>
        <w:t xml:space="preserve"> in linear regression. It compares the log-likelihood of the fitted model to that of the null model (intercept-only model). It is expressed by the following formula:</w:t>
      </w:r>
    </w:p>
    <w:p w14:paraId="490244E8" w14:textId="77777777" w:rsidR="00B74453" w:rsidRPr="00935894" w:rsidRDefault="00530C5D" w:rsidP="00B74453">
      <w:pPr>
        <w:pStyle w:val="NormalWeb"/>
        <w:spacing w:before="0" w:beforeAutospacing="0" w:after="0" w:afterAutospacing="0"/>
        <w:jc w:val="both"/>
        <w:rPr>
          <w:rFonts w:ascii="Arial" w:hAnsi="Arial" w:cs="Arial"/>
          <w:sz w:val="20"/>
          <w:szCs w:val="20"/>
        </w:rPr>
      </w:pPr>
      <m:oMathPara>
        <m:oMath>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McFadden</m:t>
              </m:r>
            </m:sub>
            <m:sup>
              <m:r>
                <w:rPr>
                  <w:rFonts w:ascii="Cambria Math" w:hAnsi="Arial" w:cs="Arial"/>
                  <w:sz w:val="20"/>
                  <w:szCs w:val="20"/>
                </w:rPr>
                <m:t>2</m:t>
              </m:r>
            </m:sup>
          </m:sSubSup>
          <m:r>
            <w:rPr>
              <w:rFonts w:ascii="Cambria Math" w:hAnsi="Arial" w:cs="Arial"/>
              <w:sz w:val="20"/>
              <w:szCs w:val="20"/>
            </w:rPr>
            <m:t>=1</m:t>
          </m:r>
          <m:r>
            <w:rPr>
              <w:rFonts w:ascii="Cambria Math" w:hAnsi="Arial" w:cs="Arial"/>
              <w:sz w:val="20"/>
              <w:szCs w:val="20"/>
            </w:rPr>
            <m:t>-</m:t>
          </m:r>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L</m:t>
                      </m:r>
                    </m:e>
                    <m:sub>
                      <m:r>
                        <w:rPr>
                          <w:rFonts w:ascii="Cambria Math" w:hAnsi="Cambria Math" w:cs="Arial"/>
                          <w:sz w:val="20"/>
                          <w:szCs w:val="20"/>
                        </w:rPr>
                        <m:t>full</m:t>
                      </m:r>
                    </m:sub>
                  </m:sSub>
                </m:e>
              </m:func>
            </m:num>
            <m:den>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L</m:t>
                      </m:r>
                    </m:e>
                    <m:sub>
                      <m:r>
                        <w:rPr>
                          <w:rFonts w:ascii="Cambria Math" w:hAnsi="Cambria Math" w:cs="Arial"/>
                          <w:sz w:val="20"/>
                          <w:szCs w:val="20"/>
                        </w:rPr>
                        <m:t>n</m:t>
                      </m:r>
                      <m:r>
                        <w:rPr>
                          <w:rFonts w:ascii="Cambria Math" w:hAnsi="Arial" w:cs="Arial"/>
                          <w:sz w:val="20"/>
                          <w:szCs w:val="20"/>
                        </w:rPr>
                        <m:t>ull</m:t>
                      </m:r>
                    </m:sub>
                  </m:sSub>
                </m:e>
              </m:func>
            </m:den>
          </m:f>
          <m:r>
            <w:rPr>
              <w:rFonts w:ascii="Cambria Math" w:hAnsi="Arial" w:cs="Arial"/>
              <w:sz w:val="20"/>
              <w:szCs w:val="20"/>
            </w:rPr>
            <m:t xml:space="preserve">                                          </m:t>
          </m:r>
          <m:r>
            <w:rPr>
              <w:rFonts w:ascii="Cambria Math" w:hAnsi="Arial" w:cs="Arial"/>
              <w:sz w:val="20"/>
              <w:szCs w:val="20"/>
            </w:rPr>
            <m:t xml:space="preserve">                                                                   (14)</m:t>
          </m:r>
        </m:oMath>
      </m:oMathPara>
    </w:p>
    <w:p w14:paraId="771A47ED" w14:textId="77777777" w:rsidR="00B74453" w:rsidRPr="00935894" w:rsidRDefault="00B74453" w:rsidP="00B74453">
      <w:pPr>
        <w:jc w:val="both"/>
        <w:rPr>
          <w:rFonts w:ascii="Arial" w:hAnsi="Arial" w:cs="Arial"/>
        </w:rPr>
      </w:pPr>
      <w:r w:rsidRPr="00935894">
        <w:rPr>
          <w:rFonts w:ascii="Arial" w:hAnsi="Arial" w:cs="Arial"/>
        </w:rPr>
        <w:t xml:space="preserve">where </w:t>
      </w:r>
      <m:oMath>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Cambria Math" w:cs="Arial"/>
                  </w:rPr>
                  <m:t>L</m:t>
                </m:r>
              </m:e>
              <m:sub>
                <m:r>
                  <w:rPr>
                    <w:rFonts w:ascii="Cambria Math" w:hAnsi="Cambria Math" w:cs="Arial"/>
                  </w:rPr>
                  <m:t>full</m:t>
                </m:r>
              </m:sub>
            </m:sSub>
          </m:e>
        </m:func>
      </m:oMath>
      <w:r w:rsidRPr="00935894">
        <w:rPr>
          <w:rFonts w:ascii="Arial" w:hAnsi="Arial" w:cs="Arial"/>
        </w:rPr>
        <w:t xml:space="preserve"> is the log-likelihood of the fitted (full) model and </w:t>
      </w:r>
      <m:oMath>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Cambria Math" w:cs="Arial"/>
                  </w:rPr>
                  <m:t>L</m:t>
                </m:r>
              </m:e>
              <m:sub>
                <m:r>
                  <w:rPr>
                    <w:rFonts w:ascii="Cambria Math" w:hAnsi="Cambria Math" w:cs="Arial"/>
                  </w:rPr>
                  <m:t>n</m:t>
                </m:r>
                <m:r>
                  <w:rPr>
                    <w:rFonts w:ascii="Cambria Math" w:hAnsi="Arial" w:cs="Arial"/>
                  </w:rPr>
                  <m:t>ull</m:t>
                </m:r>
              </m:sub>
            </m:sSub>
          </m:e>
        </m:func>
      </m:oMath>
      <w:r w:rsidRPr="00935894">
        <w:rPr>
          <w:rFonts w:ascii="Arial" w:hAnsi="Arial" w:cs="Arial"/>
        </w:rPr>
        <w:t xml:space="preserve"> is the log-likelihood of the null model.</w:t>
      </w:r>
    </w:p>
    <w:p w14:paraId="46465286" w14:textId="77777777"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In the Poisson regression framework (and generally for any generalized linear model), the null model is the model that includes only the intercept (constant term); it does not include any predictors (like HIV, TB, or VHP in this case).</w:t>
      </w:r>
    </w:p>
    <w:p w14:paraId="12D8A93D" w14:textId="77777777" w:rsidR="00B74453" w:rsidRPr="00935894" w:rsidRDefault="00B74453" w:rsidP="00B74453">
      <w:pPr>
        <w:jc w:val="both"/>
        <w:rPr>
          <w:rFonts w:ascii="Arial" w:hAnsi="Arial" w:cs="Arial"/>
        </w:rPr>
      </w:pPr>
      <w:r w:rsidRPr="00935894">
        <w:rPr>
          <w:rFonts w:ascii="Arial" w:hAnsi="Arial" w:cs="Arial"/>
        </w:rPr>
        <w:t>For instance, modeling TB as a function of HIV and VHP, the model is:</w:t>
      </w:r>
    </w:p>
    <w:p w14:paraId="1CE13260" w14:textId="77777777" w:rsidR="00B74453" w:rsidRPr="00935894" w:rsidRDefault="00530C5D" w:rsidP="00B74453">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log</m:t>
              </m:r>
            </m:fName>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λ</m:t>
                  </m:r>
                </m:e>
                <m:sub>
                  <m:r>
                    <w:rPr>
                      <w:rFonts w:ascii="Cambria Math" w:hAnsi="Cambria Math" w:cs="Arial"/>
                      <w:sz w:val="20"/>
                      <w:szCs w:val="20"/>
                    </w:rPr>
                    <m:t>TB</m:t>
                  </m:r>
                </m:sub>
              </m:sSub>
              <m:r>
                <w:rPr>
                  <w:rFonts w:ascii="Cambria Math" w:hAnsi="Arial" w:cs="Arial"/>
                  <w:sz w:val="20"/>
                  <w:szCs w:val="20"/>
                </w:rPr>
                <m:t>)</m:t>
              </m:r>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0</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r>
            <w:rPr>
              <w:rFonts w:ascii="Cambria Math" w:hAnsi="Cambria Math" w:cs="Arial"/>
              <w:sz w:val="20"/>
              <w:szCs w:val="20"/>
            </w:rPr>
            <m:t>HIV</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r>
            <w:rPr>
              <w:rFonts w:ascii="Cambria Math" w:hAnsi="Cambria Math" w:cs="Arial"/>
              <w:sz w:val="20"/>
              <w:szCs w:val="20"/>
            </w:rPr>
            <m:t>VHP</m:t>
          </m:r>
          <m:r>
            <w:rPr>
              <w:rFonts w:ascii="Cambria Math" w:hAnsi="Arial" w:cs="Arial"/>
              <w:sz w:val="20"/>
              <w:szCs w:val="20"/>
            </w:rPr>
            <m:t xml:space="preserve">                                                                                         (15)</m:t>
          </m:r>
        </m:oMath>
      </m:oMathPara>
    </w:p>
    <w:p w14:paraId="06563C9C" w14:textId="77777777"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Then the null model for comparison would be:</w:t>
      </w:r>
    </w:p>
    <w:p w14:paraId="355FD4D6" w14:textId="77777777" w:rsidR="00B74453" w:rsidRPr="00935894" w:rsidRDefault="00530C5D" w:rsidP="00B74453">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log</m:t>
              </m:r>
            </m:fName>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λ</m:t>
                  </m:r>
                </m:e>
                <m:sub>
                  <m:r>
                    <w:rPr>
                      <w:rFonts w:ascii="Cambria Math" w:hAnsi="Cambria Math" w:cs="Arial"/>
                      <w:sz w:val="20"/>
                      <w:szCs w:val="20"/>
                    </w:rPr>
                    <m:t>TB</m:t>
                  </m:r>
                </m:sub>
              </m:sSub>
              <m:r>
                <w:rPr>
                  <w:rFonts w:ascii="Cambria Math" w:hAnsi="Arial" w:cs="Arial"/>
                  <w:sz w:val="20"/>
                  <w:szCs w:val="20"/>
                </w:rPr>
                <m:t>)</m:t>
              </m:r>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0</m:t>
              </m:r>
            </m:sub>
          </m:sSub>
          <m:r>
            <w:rPr>
              <w:rFonts w:ascii="Cambria Math" w:hAnsi="Arial" w:cs="Arial"/>
              <w:sz w:val="20"/>
              <w:szCs w:val="20"/>
            </w:rPr>
            <m:t xml:space="preserve">                                                                        </m:t>
          </m:r>
          <m:r>
            <w:rPr>
              <w:rFonts w:ascii="Cambria Math" w:hAnsi="Arial" w:cs="Arial"/>
              <w:sz w:val="20"/>
              <w:szCs w:val="20"/>
            </w:rPr>
            <m:t xml:space="preserve">                                                     (16)</m:t>
          </m:r>
        </m:oMath>
      </m:oMathPara>
    </w:p>
    <w:p w14:paraId="3874D701" w14:textId="77777777"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i.e., the expected count of TB cases is constant over time and does not vary with HIV or VHP. The closer McFadden’s R² is to 1, the better the model fits. Values around 0.2 to 0.4 are considered acceptable for Poisson and logistic models (McFadden, 1974).</w:t>
      </w:r>
    </w:p>
    <w:p w14:paraId="75692337" w14:textId="77777777" w:rsidR="00B74453" w:rsidRPr="00EB2CAE" w:rsidRDefault="00B74453" w:rsidP="00B74453">
      <w:pPr>
        <w:rPr>
          <w:rFonts w:ascii="Times New Roman" w:hAnsi="Times New Roman"/>
          <w:b/>
          <w:color w:val="0D0D0D"/>
          <w:sz w:val="24"/>
          <w:szCs w:val="24"/>
          <w:shd w:val="clear" w:color="auto" w:fill="FFFFFF"/>
        </w:rPr>
      </w:pPr>
    </w:p>
    <w:p w14:paraId="5D78FDB9" w14:textId="77777777" w:rsidR="00B74453" w:rsidRPr="00FB3A86" w:rsidRDefault="00B74453" w:rsidP="00B74453">
      <w:pPr>
        <w:pStyle w:val="Body"/>
        <w:spacing w:after="0"/>
        <w:rPr>
          <w:rFonts w:ascii="Arial" w:hAnsi="Arial" w:cs="Arial"/>
        </w:rPr>
      </w:pPr>
    </w:p>
    <w:p w14:paraId="05AA8F15" w14:textId="77777777" w:rsidR="00B74453" w:rsidRDefault="00B74453" w:rsidP="00B74453">
      <w:pPr>
        <w:pStyle w:val="Head1"/>
        <w:spacing w:after="0"/>
        <w:jc w:val="both"/>
        <w:rPr>
          <w:rFonts w:ascii="Arial" w:hAnsi="Arial" w:cs="Arial"/>
        </w:rPr>
      </w:pPr>
      <w:r>
        <w:rPr>
          <w:rFonts w:ascii="Arial" w:hAnsi="Arial" w:cs="Arial"/>
        </w:rPr>
        <w:t>3. results and discussion</w:t>
      </w:r>
    </w:p>
    <w:p w14:paraId="7B3FC92E" w14:textId="77777777" w:rsidR="00B74453" w:rsidRPr="00FB3A86" w:rsidRDefault="00B74453" w:rsidP="00B74453">
      <w:pPr>
        <w:pStyle w:val="Head1"/>
        <w:spacing w:after="0"/>
        <w:jc w:val="both"/>
        <w:rPr>
          <w:rFonts w:ascii="Arial" w:hAnsi="Arial" w:cs="Arial"/>
        </w:rPr>
      </w:pPr>
    </w:p>
    <w:p w14:paraId="5915DE86" w14:textId="77777777" w:rsidR="00CB696F" w:rsidRPr="00B927BC" w:rsidRDefault="00CB696F" w:rsidP="00CB696F">
      <w:pPr>
        <w:jc w:val="both"/>
        <w:rPr>
          <w:rFonts w:ascii="Arial" w:hAnsi="Arial" w:cs="Arial"/>
          <w:b/>
        </w:rPr>
      </w:pPr>
      <w:r w:rsidRPr="00B927BC">
        <w:rPr>
          <w:rFonts w:ascii="Arial" w:hAnsi="Arial" w:cs="Arial"/>
          <w:b/>
        </w:rPr>
        <w:t>4.1 Descriptive Statistics and Normality Measures</w:t>
      </w:r>
    </w:p>
    <w:p w14:paraId="37069B6A" w14:textId="77777777" w:rsidR="00CB696F" w:rsidRPr="00B927BC" w:rsidRDefault="00CB696F" w:rsidP="00CB696F">
      <w:pPr>
        <w:jc w:val="both"/>
        <w:rPr>
          <w:rFonts w:ascii="Arial" w:hAnsi="Arial" w:cs="Arial"/>
        </w:rPr>
      </w:pPr>
      <w:r w:rsidRPr="00B927BC">
        <w:rPr>
          <w:rFonts w:ascii="Arial" w:hAnsi="Arial" w:cs="Arial"/>
        </w:rPr>
        <w:t>The descriptive statistics and normality measures are computed and reported in Table 1.</w:t>
      </w:r>
    </w:p>
    <w:p w14:paraId="1384F818" w14:textId="77777777" w:rsidR="00CB696F" w:rsidRPr="00B927BC" w:rsidRDefault="00CB696F" w:rsidP="00CB696F">
      <w:pPr>
        <w:spacing w:before="240"/>
        <w:jc w:val="both"/>
        <w:rPr>
          <w:rFonts w:ascii="Arial" w:hAnsi="Arial" w:cs="Arial"/>
          <w:shd w:val="clear" w:color="auto" w:fill="FFFFFF"/>
        </w:rPr>
      </w:pPr>
      <w:r w:rsidRPr="00B927BC">
        <w:rPr>
          <w:rFonts w:ascii="Arial" w:hAnsi="Arial" w:cs="Arial"/>
          <w:shd w:val="clear" w:color="auto" w:fill="FFFFFF"/>
        </w:rPr>
        <w:t>The descriptive statistics presented in Table 1 reveal that the monthly averages of HIV, TB, and VHP are all positive, indicating an increase in infection cases for these diseases during the reviewed period. The high standard deviations suggest significant dispersion from the monthly average infection cases for the diseases over the investigation period. The considerable gaps between the maximum and minimum values further support the high variability of the diseases in the study area during the specified period.</w:t>
      </w:r>
    </w:p>
    <w:p w14:paraId="6F2E683D" w14:textId="77777777" w:rsidR="00CB696F" w:rsidRPr="00B927BC" w:rsidRDefault="00CB696F" w:rsidP="00CB696F">
      <w:pPr>
        <w:spacing w:before="240"/>
        <w:jc w:val="both"/>
        <w:rPr>
          <w:rFonts w:ascii="Arial" w:eastAsiaTheme="minorEastAsia" w:hAnsi="Arial" w:cs="Arial"/>
        </w:rPr>
      </w:pPr>
      <w:r w:rsidRPr="00B927BC">
        <w:rPr>
          <w:rFonts w:ascii="Arial" w:hAnsi="Arial" w:cs="Arial"/>
          <w:shd w:val="clear" w:color="auto" w:fill="FFFFFF"/>
        </w:rPr>
        <w:t xml:space="preserve">Positive skewness coefficients for all infections indicate that their distributions among the population in Benue State are substantially positively skewed. Kurtosis, which measures the thickness of the distribution tail and is approximately 3 for a normal distribution, is below 3 for all study variables in this research. The skewness and kurtosis coefficients indicate that the infection cases do not follow normal distributions. Additionally, the Anderson-Darling test rejects the null hypothesis of normality at a 5% significance level, as the p-values for the test statistics of all variables are less than </w:t>
      </w:r>
      <m:oMath>
        <m:r>
          <w:rPr>
            <w:rFonts w:ascii="Cambria Math" w:hAnsi="Arial" w:cs="Arial"/>
          </w:rPr>
          <m:t>0.05 (</m:t>
        </m:r>
        <m:r>
          <w:rPr>
            <w:rFonts w:ascii="Cambria Math" w:hAnsi="Cambria Math" w:cs="Arial"/>
          </w:rPr>
          <m:t>p</m:t>
        </m:r>
        <m:r>
          <w:rPr>
            <w:rFonts w:ascii="Cambria Math" w:hAnsi="Arial" w:cs="Arial"/>
          </w:rPr>
          <m:t>&lt;0.05)</m:t>
        </m:r>
      </m:oMath>
      <w:r w:rsidRPr="00B927BC">
        <w:rPr>
          <w:rFonts w:ascii="Arial" w:eastAsiaTheme="minorEastAsia" w:hAnsi="Arial" w:cs="Arial"/>
        </w:rPr>
        <w:t>.</w:t>
      </w:r>
    </w:p>
    <w:p w14:paraId="6261DCDA" w14:textId="77777777" w:rsidR="00CB696F" w:rsidRPr="00B927BC" w:rsidRDefault="00CB696F" w:rsidP="00CB696F">
      <w:pPr>
        <w:rPr>
          <w:rFonts w:ascii="Arial" w:eastAsiaTheme="minorEastAsia" w:hAnsi="Arial" w:cs="Arial"/>
        </w:rPr>
      </w:pPr>
      <w:r w:rsidRPr="00B927BC">
        <w:rPr>
          <w:rFonts w:ascii="Arial" w:eastAsiaTheme="minorEastAsia" w:hAnsi="Arial" w:cs="Arial"/>
          <w:b/>
        </w:rPr>
        <w:t>Table 1:</w:t>
      </w:r>
      <w:r w:rsidRPr="00B927BC">
        <w:rPr>
          <w:rFonts w:ascii="Arial" w:eastAsiaTheme="minorEastAsia" w:hAnsi="Arial" w:cs="Arial"/>
        </w:rPr>
        <w:t xml:space="preserve"> </w:t>
      </w:r>
      <w:r w:rsidRPr="00B927BC">
        <w:rPr>
          <w:rFonts w:ascii="Arial" w:eastAsiaTheme="minorEastAsia" w:hAnsi="Arial" w:cs="Arial"/>
          <w:b/>
        </w:rPr>
        <w:t>Summary Statistics and Anderson-Darling Normality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2084"/>
        <w:gridCol w:w="2084"/>
        <w:gridCol w:w="2084"/>
      </w:tblGrid>
      <w:tr w:rsidR="00CB696F" w:rsidRPr="00B927BC" w14:paraId="151DF979" w14:textId="77777777" w:rsidTr="00CB696F">
        <w:tc>
          <w:tcPr>
            <w:tcW w:w="2253" w:type="dxa"/>
            <w:tcBorders>
              <w:top w:val="single" w:sz="4" w:space="0" w:color="auto"/>
              <w:bottom w:val="single" w:sz="4" w:space="0" w:color="auto"/>
            </w:tcBorders>
          </w:tcPr>
          <w:p w14:paraId="5F62783A" w14:textId="77777777" w:rsidR="00CB696F" w:rsidRPr="00B927BC" w:rsidRDefault="00CB696F" w:rsidP="00CB696F">
            <w:pPr>
              <w:rPr>
                <w:rFonts w:ascii="Arial" w:eastAsiaTheme="minorEastAsia" w:hAnsi="Arial" w:cs="Arial"/>
                <w:b/>
              </w:rPr>
            </w:pPr>
            <w:r w:rsidRPr="00B927BC">
              <w:rPr>
                <w:rFonts w:ascii="Arial" w:eastAsiaTheme="minorEastAsia" w:hAnsi="Arial" w:cs="Arial"/>
                <w:b/>
              </w:rPr>
              <w:t xml:space="preserve">Variable </w:t>
            </w:r>
          </w:p>
        </w:tc>
        <w:tc>
          <w:tcPr>
            <w:tcW w:w="2201" w:type="dxa"/>
            <w:tcBorders>
              <w:top w:val="single" w:sz="4" w:space="0" w:color="auto"/>
              <w:bottom w:val="single" w:sz="4" w:space="0" w:color="auto"/>
            </w:tcBorders>
          </w:tcPr>
          <w:p w14:paraId="5FAB2B86" w14:textId="77777777" w:rsidR="00CB696F" w:rsidRPr="00B927BC" w:rsidRDefault="00CB696F" w:rsidP="00CB696F">
            <w:pPr>
              <w:jc w:val="center"/>
              <w:rPr>
                <w:rFonts w:ascii="Arial" w:eastAsiaTheme="minorEastAsia" w:hAnsi="Arial" w:cs="Arial"/>
                <w:b/>
              </w:rPr>
            </w:pPr>
            <w:r w:rsidRPr="00B927BC">
              <w:rPr>
                <w:rFonts w:ascii="Arial" w:eastAsiaTheme="minorEastAsia" w:hAnsi="Arial" w:cs="Arial"/>
                <w:b/>
              </w:rPr>
              <w:t>HIV</w:t>
            </w:r>
          </w:p>
        </w:tc>
        <w:tc>
          <w:tcPr>
            <w:tcW w:w="2201" w:type="dxa"/>
            <w:tcBorders>
              <w:top w:val="single" w:sz="4" w:space="0" w:color="auto"/>
              <w:bottom w:val="single" w:sz="4" w:space="0" w:color="auto"/>
            </w:tcBorders>
          </w:tcPr>
          <w:p w14:paraId="44B1A772" w14:textId="77777777" w:rsidR="00CB696F" w:rsidRPr="00B927BC" w:rsidRDefault="00CB696F" w:rsidP="00CB696F">
            <w:pPr>
              <w:jc w:val="center"/>
              <w:rPr>
                <w:rFonts w:ascii="Arial" w:eastAsiaTheme="minorEastAsia" w:hAnsi="Arial" w:cs="Arial"/>
                <w:b/>
              </w:rPr>
            </w:pPr>
            <w:r w:rsidRPr="00B927BC">
              <w:rPr>
                <w:rFonts w:ascii="Arial" w:eastAsiaTheme="minorEastAsia" w:hAnsi="Arial" w:cs="Arial"/>
                <w:b/>
              </w:rPr>
              <w:t>TB</w:t>
            </w:r>
          </w:p>
        </w:tc>
        <w:tc>
          <w:tcPr>
            <w:tcW w:w="2201" w:type="dxa"/>
            <w:tcBorders>
              <w:top w:val="single" w:sz="4" w:space="0" w:color="auto"/>
              <w:bottom w:val="single" w:sz="4" w:space="0" w:color="auto"/>
            </w:tcBorders>
          </w:tcPr>
          <w:p w14:paraId="6E718C3D" w14:textId="77777777" w:rsidR="00CB696F" w:rsidRPr="00B927BC" w:rsidRDefault="00CB696F" w:rsidP="00CB696F">
            <w:pPr>
              <w:jc w:val="center"/>
              <w:rPr>
                <w:rFonts w:ascii="Arial" w:eastAsiaTheme="minorEastAsia" w:hAnsi="Arial" w:cs="Arial"/>
                <w:b/>
              </w:rPr>
            </w:pPr>
            <w:r w:rsidRPr="00B927BC">
              <w:rPr>
                <w:rFonts w:ascii="Arial" w:eastAsiaTheme="minorEastAsia" w:hAnsi="Arial" w:cs="Arial"/>
                <w:b/>
              </w:rPr>
              <w:t>VHP</w:t>
            </w:r>
          </w:p>
        </w:tc>
      </w:tr>
      <w:tr w:rsidR="00CB696F" w:rsidRPr="00B927BC" w14:paraId="507D6314" w14:textId="77777777" w:rsidTr="00CB696F">
        <w:tc>
          <w:tcPr>
            <w:tcW w:w="2253" w:type="dxa"/>
            <w:tcBorders>
              <w:top w:val="single" w:sz="4" w:space="0" w:color="auto"/>
            </w:tcBorders>
          </w:tcPr>
          <w:p w14:paraId="39F84D6E" w14:textId="77777777" w:rsidR="00CB696F" w:rsidRPr="00B927BC" w:rsidRDefault="00CB696F" w:rsidP="00CB696F">
            <w:pPr>
              <w:rPr>
                <w:rFonts w:ascii="Arial" w:eastAsiaTheme="minorEastAsia" w:hAnsi="Arial" w:cs="Arial"/>
              </w:rPr>
            </w:pPr>
            <w:r w:rsidRPr="00B927BC">
              <w:rPr>
                <w:rFonts w:ascii="Arial" w:eastAsiaTheme="minorEastAsia" w:hAnsi="Arial" w:cs="Arial"/>
              </w:rPr>
              <w:t>Mean</w:t>
            </w:r>
          </w:p>
        </w:tc>
        <w:tc>
          <w:tcPr>
            <w:tcW w:w="2201" w:type="dxa"/>
            <w:tcBorders>
              <w:top w:val="single" w:sz="4" w:space="0" w:color="auto"/>
            </w:tcBorders>
          </w:tcPr>
          <w:p w14:paraId="05BF50D4"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1022.9</w:t>
            </w:r>
          </w:p>
        </w:tc>
        <w:tc>
          <w:tcPr>
            <w:tcW w:w="2201" w:type="dxa"/>
            <w:tcBorders>
              <w:top w:val="single" w:sz="4" w:space="0" w:color="auto"/>
            </w:tcBorders>
          </w:tcPr>
          <w:p w14:paraId="178C7CA8"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371.6</w:t>
            </w:r>
          </w:p>
        </w:tc>
        <w:tc>
          <w:tcPr>
            <w:tcW w:w="2201" w:type="dxa"/>
            <w:tcBorders>
              <w:top w:val="single" w:sz="4" w:space="0" w:color="auto"/>
            </w:tcBorders>
          </w:tcPr>
          <w:p w14:paraId="0396EFE2"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1109.9</w:t>
            </w:r>
          </w:p>
        </w:tc>
      </w:tr>
      <w:tr w:rsidR="00CB696F" w:rsidRPr="00B927BC" w14:paraId="2E32D1BB" w14:textId="77777777" w:rsidTr="00CB696F">
        <w:tc>
          <w:tcPr>
            <w:tcW w:w="2253" w:type="dxa"/>
          </w:tcPr>
          <w:p w14:paraId="754ED605"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Standard deviation </w:t>
            </w:r>
          </w:p>
        </w:tc>
        <w:tc>
          <w:tcPr>
            <w:tcW w:w="2201" w:type="dxa"/>
          </w:tcPr>
          <w:p w14:paraId="6C758343"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382.6</w:t>
            </w:r>
          </w:p>
        </w:tc>
        <w:tc>
          <w:tcPr>
            <w:tcW w:w="2201" w:type="dxa"/>
          </w:tcPr>
          <w:p w14:paraId="73398E82"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183.0</w:t>
            </w:r>
          </w:p>
        </w:tc>
        <w:tc>
          <w:tcPr>
            <w:tcW w:w="2201" w:type="dxa"/>
          </w:tcPr>
          <w:p w14:paraId="021D0419"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382.6</w:t>
            </w:r>
          </w:p>
        </w:tc>
      </w:tr>
      <w:tr w:rsidR="00CB696F" w:rsidRPr="00B927BC" w14:paraId="3A02C56F" w14:textId="77777777" w:rsidTr="00CB696F">
        <w:tc>
          <w:tcPr>
            <w:tcW w:w="2253" w:type="dxa"/>
          </w:tcPr>
          <w:p w14:paraId="6EA4B193"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Maximum </w:t>
            </w:r>
          </w:p>
        </w:tc>
        <w:tc>
          <w:tcPr>
            <w:tcW w:w="2201" w:type="dxa"/>
          </w:tcPr>
          <w:p w14:paraId="3F3D3F8D"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2149</w:t>
            </w:r>
          </w:p>
        </w:tc>
        <w:tc>
          <w:tcPr>
            <w:tcW w:w="2201" w:type="dxa"/>
          </w:tcPr>
          <w:p w14:paraId="2BBBD479"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894.0</w:t>
            </w:r>
          </w:p>
        </w:tc>
        <w:tc>
          <w:tcPr>
            <w:tcW w:w="2201" w:type="dxa"/>
          </w:tcPr>
          <w:p w14:paraId="5FD2EE09"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2236</w:t>
            </w:r>
          </w:p>
        </w:tc>
      </w:tr>
      <w:tr w:rsidR="00CB696F" w:rsidRPr="00B927BC" w14:paraId="7A09DE8F" w14:textId="77777777" w:rsidTr="00CB696F">
        <w:tc>
          <w:tcPr>
            <w:tcW w:w="2253" w:type="dxa"/>
          </w:tcPr>
          <w:p w14:paraId="175CF7F6"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Minimum </w:t>
            </w:r>
          </w:p>
        </w:tc>
        <w:tc>
          <w:tcPr>
            <w:tcW w:w="2201" w:type="dxa"/>
          </w:tcPr>
          <w:p w14:paraId="64A15A87"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176</w:t>
            </w:r>
          </w:p>
        </w:tc>
        <w:tc>
          <w:tcPr>
            <w:tcW w:w="2201" w:type="dxa"/>
          </w:tcPr>
          <w:p w14:paraId="1D1AD5CC"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111</w:t>
            </w:r>
          </w:p>
        </w:tc>
        <w:tc>
          <w:tcPr>
            <w:tcW w:w="2201" w:type="dxa"/>
          </w:tcPr>
          <w:p w14:paraId="2988A40A"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263</w:t>
            </w:r>
          </w:p>
        </w:tc>
      </w:tr>
      <w:tr w:rsidR="00CB696F" w:rsidRPr="00B927BC" w14:paraId="7FFDF7D7" w14:textId="77777777" w:rsidTr="00CB696F">
        <w:tc>
          <w:tcPr>
            <w:tcW w:w="2253" w:type="dxa"/>
          </w:tcPr>
          <w:p w14:paraId="67AC065D"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Skewness </w:t>
            </w:r>
          </w:p>
        </w:tc>
        <w:tc>
          <w:tcPr>
            <w:tcW w:w="2201" w:type="dxa"/>
          </w:tcPr>
          <w:p w14:paraId="4D7D05B6"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0.1003</w:t>
            </w:r>
          </w:p>
        </w:tc>
        <w:tc>
          <w:tcPr>
            <w:tcW w:w="2201" w:type="dxa"/>
          </w:tcPr>
          <w:p w14:paraId="5050EE7C"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0.8494</w:t>
            </w:r>
          </w:p>
        </w:tc>
        <w:tc>
          <w:tcPr>
            <w:tcW w:w="2201" w:type="dxa"/>
          </w:tcPr>
          <w:p w14:paraId="4BD9DCF1"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0.1003</w:t>
            </w:r>
          </w:p>
        </w:tc>
      </w:tr>
      <w:tr w:rsidR="00CB696F" w:rsidRPr="00B927BC" w14:paraId="78BC51FB" w14:textId="77777777" w:rsidTr="00CB696F">
        <w:tc>
          <w:tcPr>
            <w:tcW w:w="2253" w:type="dxa"/>
          </w:tcPr>
          <w:p w14:paraId="4D1A01B2"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Kurtosis </w:t>
            </w:r>
          </w:p>
        </w:tc>
        <w:tc>
          <w:tcPr>
            <w:tcW w:w="2201" w:type="dxa"/>
          </w:tcPr>
          <w:p w14:paraId="79BFD69D"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0.6378</w:t>
            </w:r>
          </w:p>
        </w:tc>
        <w:tc>
          <w:tcPr>
            <w:tcW w:w="2201" w:type="dxa"/>
          </w:tcPr>
          <w:p w14:paraId="4F9933C7"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0.4396</w:t>
            </w:r>
          </w:p>
        </w:tc>
        <w:tc>
          <w:tcPr>
            <w:tcW w:w="2201" w:type="dxa"/>
          </w:tcPr>
          <w:p w14:paraId="4364451D"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0.6378</w:t>
            </w:r>
          </w:p>
        </w:tc>
      </w:tr>
      <w:tr w:rsidR="00CB696F" w:rsidRPr="00B927BC" w14:paraId="27D885BB" w14:textId="77777777" w:rsidTr="00CB696F">
        <w:tc>
          <w:tcPr>
            <w:tcW w:w="2253" w:type="dxa"/>
          </w:tcPr>
          <w:p w14:paraId="6BA21253"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AD </w:t>
            </w:r>
          </w:p>
        </w:tc>
        <w:tc>
          <w:tcPr>
            <w:tcW w:w="2201" w:type="dxa"/>
          </w:tcPr>
          <w:p w14:paraId="43A5FC01"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2.38</w:t>
            </w:r>
          </w:p>
        </w:tc>
        <w:tc>
          <w:tcPr>
            <w:tcW w:w="2201" w:type="dxa"/>
          </w:tcPr>
          <w:p w14:paraId="51C183F6"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2.14</w:t>
            </w:r>
          </w:p>
        </w:tc>
        <w:tc>
          <w:tcPr>
            <w:tcW w:w="2201" w:type="dxa"/>
          </w:tcPr>
          <w:p w14:paraId="07F046CB"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2.38</w:t>
            </w:r>
          </w:p>
        </w:tc>
      </w:tr>
      <w:tr w:rsidR="00CB696F" w:rsidRPr="00B927BC" w14:paraId="76586C21" w14:textId="77777777" w:rsidTr="00CB696F">
        <w:tc>
          <w:tcPr>
            <w:tcW w:w="2253" w:type="dxa"/>
          </w:tcPr>
          <w:p w14:paraId="388F2250"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p-value </w:t>
            </w:r>
          </w:p>
        </w:tc>
        <w:tc>
          <w:tcPr>
            <w:tcW w:w="2201" w:type="dxa"/>
          </w:tcPr>
          <w:p w14:paraId="6624268F" w14:textId="77777777" w:rsidR="00CB696F" w:rsidRPr="00B927BC" w:rsidRDefault="00CB696F" w:rsidP="00CB696F">
            <w:pPr>
              <w:jc w:val="center"/>
              <w:rPr>
                <w:rFonts w:ascii="Arial" w:eastAsiaTheme="minorEastAsia" w:hAnsi="Arial" w:cs="Arial"/>
              </w:rPr>
            </w:pPr>
            <m:oMathPara>
              <m:oMath>
                <m:r>
                  <w:rPr>
                    <w:rFonts w:ascii="Cambria Math" w:eastAsiaTheme="minorEastAsia" w:hAnsi="Arial" w:cs="Arial"/>
                  </w:rPr>
                  <m:t>&lt;0.005</m:t>
                </m:r>
              </m:oMath>
            </m:oMathPara>
          </w:p>
        </w:tc>
        <w:tc>
          <w:tcPr>
            <w:tcW w:w="2201" w:type="dxa"/>
          </w:tcPr>
          <w:p w14:paraId="13E83171" w14:textId="77777777" w:rsidR="00CB696F" w:rsidRPr="00B927BC" w:rsidRDefault="00CB696F" w:rsidP="00CB696F">
            <w:pPr>
              <w:jc w:val="center"/>
              <w:rPr>
                <w:rFonts w:ascii="Arial" w:hAnsi="Arial" w:cs="Arial"/>
              </w:rPr>
            </w:pPr>
            <m:oMathPara>
              <m:oMath>
                <m:r>
                  <w:rPr>
                    <w:rFonts w:ascii="Cambria Math" w:eastAsiaTheme="minorEastAsia" w:hAnsi="Arial" w:cs="Arial"/>
                  </w:rPr>
                  <m:t>&lt;0.005</m:t>
                </m:r>
              </m:oMath>
            </m:oMathPara>
          </w:p>
        </w:tc>
        <w:tc>
          <w:tcPr>
            <w:tcW w:w="2201" w:type="dxa"/>
          </w:tcPr>
          <w:p w14:paraId="4DBD6855" w14:textId="77777777" w:rsidR="00CB696F" w:rsidRPr="00B927BC" w:rsidRDefault="00CB696F" w:rsidP="00CB696F">
            <w:pPr>
              <w:jc w:val="center"/>
              <w:rPr>
                <w:rFonts w:ascii="Arial" w:hAnsi="Arial" w:cs="Arial"/>
              </w:rPr>
            </w:pPr>
            <m:oMathPara>
              <m:oMath>
                <m:r>
                  <w:rPr>
                    <w:rFonts w:ascii="Cambria Math" w:eastAsiaTheme="minorEastAsia" w:hAnsi="Arial" w:cs="Arial"/>
                  </w:rPr>
                  <m:t>&lt;0.005</m:t>
                </m:r>
              </m:oMath>
            </m:oMathPara>
          </w:p>
        </w:tc>
      </w:tr>
      <w:tr w:rsidR="00CB696F" w:rsidRPr="00B927BC" w14:paraId="0E97DDCF" w14:textId="77777777" w:rsidTr="00CB696F">
        <w:tc>
          <w:tcPr>
            <w:tcW w:w="2253" w:type="dxa"/>
          </w:tcPr>
          <w:p w14:paraId="3939135E" w14:textId="77777777" w:rsidR="00CB696F" w:rsidRPr="00B927BC" w:rsidRDefault="00CB696F" w:rsidP="00CB696F">
            <w:pPr>
              <w:rPr>
                <w:rFonts w:ascii="Arial" w:eastAsiaTheme="minorEastAsia" w:hAnsi="Arial" w:cs="Arial"/>
              </w:rPr>
            </w:pPr>
            <w:r w:rsidRPr="00B927BC">
              <w:rPr>
                <w:rFonts w:ascii="Arial" w:eastAsiaTheme="minorEastAsia" w:hAnsi="Arial" w:cs="Arial"/>
              </w:rPr>
              <w:t xml:space="preserve">Number of observations </w:t>
            </w:r>
          </w:p>
        </w:tc>
        <w:tc>
          <w:tcPr>
            <w:tcW w:w="2201" w:type="dxa"/>
          </w:tcPr>
          <w:p w14:paraId="5DA8CDD8"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156</w:t>
            </w:r>
          </w:p>
        </w:tc>
        <w:tc>
          <w:tcPr>
            <w:tcW w:w="2201" w:type="dxa"/>
          </w:tcPr>
          <w:p w14:paraId="2FEDC95C"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156</w:t>
            </w:r>
          </w:p>
        </w:tc>
        <w:tc>
          <w:tcPr>
            <w:tcW w:w="2201" w:type="dxa"/>
          </w:tcPr>
          <w:p w14:paraId="5052ABDB" w14:textId="77777777" w:rsidR="00CB696F" w:rsidRPr="00B927BC" w:rsidRDefault="00CB696F" w:rsidP="00CB696F">
            <w:pPr>
              <w:jc w:val="center"/>
              <w:rPr>
                <w:rFonts w:ascii="Arial" w:eastAsiaTheme="minorEastAsia" w:hAnsi="Arial" w:cs="Arial"/>
              </w:rPr>
            </w:pPr>
            <w:r w:rsidRPr="00B927BC">
              <w:rPr>
                <w:rFonts w:ascii="Arial" w:eastAsiaTheme="minorEastAsia" w:hAnsi="Arial" w:cs="Arial"/>
              </w:rPr>
              <w:t>156</w:t>
            </w:r>
          </w:p>
        </w:tc>
      </w:tr>
    </w:tbl>
    <w:p w14:paraId="7324FB3A" w14:textId="77777777" w:rsidR="00CB696F" w:rsidRPr="00B927BC" w:rsidRDefault="00B927BC" w:rsidP="00CB696F">
      <w:pPr>
        <w:spacing w:before="240"/>
        <w:jc w:val="both"/>
        <w:rPr>
          <w:rFonts w:ascii="Arial" w:hAnsi="Arial" w:cs="Arial"/>
          <w:b/>
        </w:rPr>
      </w:pPr>
      <w:r w:rsidRPr="00B927BC">
        <w:rPr>
          <w:rFonts w:ascii="Arial" w:hAnsi="Arial" w:cs="Arial"/>
          <w:b/>
        </w:rPr>
        <w:t>3</w:t>
      </w:r>
      <w:r w:rsidR="00CB696F" w:rsidRPr="00B927BC">
        <w:rPr>
          <w:rFonts w:ascii="Arial" w:hAnsi="Arial" w:cs="Arial"/>
          <w:b/>
        </w:rPr>
        <w:t>.2 Graphical Examination of the Series</w:t>
      </w:r>
    </w:p>
    <w:p w14:paraId="6CC6E6A4" w14:textId="77777777" w:rsidR="00CB696F" w:rsidRPr="00B927BC" w:rsidRDefault="00CB696F" w:rsidP="00CB696F">
      <w:pPr>
        <w:spacing w:before="240"/>
        <w:jc w:val="both"/>
        <w:rPr>
          <w:rFonts w:ascii="Arial" w:hAnsi="Arial" w:cs="Arial"/>
        </w:rPr>
      </w:pPr>
      <w:r w:rsidRPr="00B927BC">
        <w:rPr>
          <w:rFonts w:ascii="Arial" w:hAnsi="Arial" w:cs="Arial"/>
        </w:rPr>
        <w:lastRenderedPageBreak/>
        <w:t xml:space="preserve">The first step in analyzing time series data is to plot the original series in level against time and observe its graphical properties. This help in understanding the trend as well as pattern of movement of the original series. Here the original series (monthly infection cases of HIV, TB and VHP infections) has been plotted as a function of time. The time plots of the HIV, TB and VHP original series are presented in Figures 1, 2 and 3. </w:t>
      </w:r>
    </w:p>
    <w:p w14:paraId="258B041C" w14:textId="77777777"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14:anchorId="11249D6A" wp14:editId="44B7A1C2">
            <wp:extent cx="5486400" cy="19175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1917510"/>
                    </a:xfrm>
                    <a:prstGeom prst="rect">
                      <a:avLst/>
                    </a:prstGeom>
                    <a:noFill/>
                    <a:ln w="9525">
                      <a:noFill/>
                      <a:miter lim="800000"/>
                      <a:headEnd/>
                      <a:tailEnd/>
                    </a:ln>
                  </pic:spPr>
                </pic:pic>
              </a:graphicData>
            </a:graphic>
          </wp:inline>
        </w:drawing>
      </w:r>
    </w:p>
    <w:p w14:paraId="61297A9D" w14:textId="77777777" w:rsidR="00CB696F" w:rsidRDefault="00CB696F" w:rsidP="00CB696F">
      <w:pPr>
        <w:rPr>
          <w:rFonts w:ascii="Arial" w:eastAsiaTheme="minorEastAsia" w:hAnsi="Arial" w:cs="Arial"/>
          <w:b/>
        </w:rPr>
      </w:pPr>
      <w:r w:rsidRPr="00B927BC">
        <w:rPr>
          <w:rFonts w:ascii="Arial" w:eastAsiaTheme="minorEastAsia" w:hAnsi="Arial" w:cs="Arial"/>
          <w:b/>
        </w:rPr>
        <w:t>Figure 1:</w:t>
      </w:r>
      <w:r w:rsidRPr="00B927BC">
        <w:rPr>
          <w:rFonts w:ascii="Arial" w:eastAsiaTheme="minorEastAsia" w:hAnsi="Arial" w:cs="Arial"/>
          <w:sz w:val="24"/>
          <w:szCs w:val="24"/>
        </w:rPr>
        <w:t xml:space="preserve"> </w:t>
      </w:r>
      <w:r w:rsidRPr="00B927BC">
        <w:rPr>
          <w:rFonts w:ascii="Arial" w:eastAsiaTheme="minorEastAsia" w:hAnsi="Arial" w:cs="Arial"/>
          <w:b/>
        </w:rPr>
        <w:t xml:space="preserve">Time Plot of HIV Infection in </w:t>
      </w:r>
      <w:r w:rsidRPr="00B927BC">
        <w:rPr>
          <w:rFonts w:ascii="Arial" w:hAnsi="Arial" w:cs="Arial"/>
          <w:b/>
        </w:rPr>
        <w:t>B</w:t>
      </w:r>
      <w:r w:rsidRPr="00B927BC">
        <w:rPr>
          <w:rFonts w:ascii="Arial" w:eastAsiaTheme="minorEastAsia" w:hAnsi="Arial" w:cs="Arial"/>
          <w:b/>
        </w:rPr>
        <w:t>enue State from 2010-2022</w:t>
      </w:r>
    </w:p>
    <w:p w14:paraId="0F51CE14" w14:textId="77777777" w:rsidR="00B927BC" w:rsidRPr="00B927BC" w:rsidRDefault="00B927BC" w:rsidP="00CB696F">
      <w:pPr>
        <w:rPr>
          <w:rFonts w:ascii="Arial" w:eastAsiaTheme="minorEastAsia" w:hAnsi="Arial" w:cs="Arial"/>
          <w:b/>
        </w:rPr>
      </w:pPr>
    </w:p>
    <w:p w14:paraId="505B7E1A" w14:textId="77777777"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14:anchorId="53C5566F" wp14:editId="5491BAB0">
            <wp:extent cx="5486400" cy="201986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86400" cy="2019869"/>
                    </a:xfrm>
                    <a:prstGeom prst="rect">
                      <a:avLst/>
                    </a:prstGeom>
                    <a:noFill/>
                    <a:ln w="9525">
                      <a:noFill/>
                      <a:miter lim="800000"/>
                      <a:headEnd/>
                      <a:tailEnd/>
                    </a:ln>
                  </pic:spPr>
                </pic:pic>
              </a:graphicData>
            </a:graphic>
          </wp:inline>
        </w:drawing>
      </w:r>
    </w:p>
    <w:p w14:paraId="6101850F" w14:textId="77777777" w:rsidR="00CB696F" w:rsidRDefault="00CB696F" w:rsidP="00CB696F">
      <w:pPr>
        <w:rPr>
          <w:rFonts w:ascii="Arial" w:eastAsiaTheme="minorEastAsia" w:hAnsi="Arial" w:cs="Arial"/>
          <w:b/>
        </w:rPr>
      </w:pPr>
      <w:r w:rsidRPr="00B927BC">
        <w:rPr>
          <w:rFonts w:ascii="Arial" w:eastAsiaTheme="minorEastAsia" w:hAnsi="Arial" w:cs="Arial"/>
          <w:b/>
        </w:rPr>
        <w:t>Figure 2:</w:t>
      </w:r>
      <w:r w:rsidRPr="00B927BC">
        <w:rPr>
          <w:rFonts w:ascii="Arial" w:eastAsiaTheme="minorEastAsia" w:hAnsi="Arial" w:cs="Arial"/>
        </w:rPr>
        <w:t xml:space="preserve"> </w:t>
      </w:r>
      <w:r w:rsidRPr="00B927BC">
        <w:rPr>
          <w:rFonts w:ascii="Arial" w:eastAsiaTheme="minorEastAsia" w:hAnsi="Arial" w:cs="Arial"/>
          <w:b/>
        </w:rPr>
        <w:t>Time Plot of T</w:t>
      </w:r>
      <w:r w:rsidRPr="00B927BC">
        <w:rPr>
          <w:rFonts w:ascii="Arial" w:hAnsi="Arial" w:cs="Arial"/>
          <w:b/>
        </w:rPr>
        <w:t>B</w:t>
      </w:r>
      <w:r w:rsidRPr="00B927BC">
        <w:rPr>
          <w:rFonts w:ascii="Arial" w:eastAsiaTheme="minorEastAsia" w:hAnsi="Arial" w:cs="Arial"/>
          <w:b/>
        </w:rPr>
        <w:t xml:space="preserve"> Infection in </w:t>
      </w:r>
      <w:r w:rsidRPr="00B927BC">
        <w:rPr>
          <w:rFonts w:ascii="Arial" w:hAnsi="Arial" w:cs="Arial"/>
          <w:b/>
        </w:rPr>
        <w:t>B</w:t>
      </w:r>
      <w:r w:rsidRPr="00B927BC">
        <w:rPr>
          <w:rFonts w:ascii="Arial" w:eastAsiaTheme="minorEastAsia" w:hAnsi="Arial" w:cs="Arial"/>
          <w:b/>
        </w:rPr>
        <w:t>enue State from 2010-2022</w:t>
      </w:r>
    </w:p>
    <w:p w14:paraId="125A7395" w14:textId="77777777" w:rsidR="00B927BC" w:rsidRPr="00B927BC" w:rsidRDefault="00B927BC" w:rsidP="00CB696F">
      <w:pPr>
        <w:rPr>
          <w:rFonts w:ascii="Arial" w:eastAsiaTheme="minorEastAsia" w:hAnsi="Arial" w:cs="Arial"/>
          <w:b/>
        </w:rPr>
      </w:pPr>
    </w:p>
    <w:p w14:paraId="3310DA85" w14:textId="77777777"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14:anchorId="75B3CE05" wp14:editId="0DF39F17">
            <wp:extent cx="5486400" cy="1794681"/>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486400" cy="1794681"/>
                    </a:xfrm>
                    <a:prstGeom prst="rect">
                      <a:avLst/>
                    </a:prstGeom>
                    <a:noFill/>
                    <a:ln w="9525">
                      <a:noFill/>
                      <a:miter lim="800000"/>
                      <a:headEnd/>
                      <a:tailEnd/>
                    </a:ln>
                  </pic:spPr>
                </pic:pic>
              </a:graphicData>
            </a:graphic>
          </wp:inline>
        </w:drawing>
      </w:r>
    </w:p>
    <w:p w14:paraId="289BED6B" w14:textId="77777777" w:rsidR="00CB696F" w:rsidRPr="00AC7DC6" w:rsidRDefault="00CB696F" w:rsidP="00CB696F">
      <w:pPr>
        <w:rPr>
          <w:rFonts w:ascii="Arial" w:eastAsiaTheme="minorEastAsia" w:hAnsi="Arial" w:cs="Arial"/>
        </w:rPr>
      </w:pPr>
      <w:r w:rsidRPr="00AC7DC6">
        <w:rPr>
          <w:rFonts w:ascii="Arial" w:eastAsiaTheme="minorEastAsia" w:hAnsi="Arial" w:cs="Arial"/>
          <w:b/>
        </w:rPr>
        <w:t>Figure 3:</w:t>
      </w:r>
      <w:r w:rsidRPr="00AC7DC6">
        <w:rPr>
          <w:rFonts w:ascii="Arial" w:eastAsiaTheme="minorEastAsia" w:hAnsi="Arial" w:cs="Arial"/>
        </w:rPr>
        <w:t xml:space="preserve"> </w:t>
      </w:r>
      <w:r w:rsidRPr="00AC7DC6">
        <w:rPr>
          <w:rFonts w:ascii="Arial" w:eastAsiaTheme="minorEastAsia" w:hAnsi="Arial" w:cs="Arial"/>
          <w:b/>
        </w:rPr>
        <w:t xml:space="preserve">Time Plot of VHP Infection in </w:t>
      </w:r>
      <w:r w:rsidRPr="00AC7DC6">
        <w:rPr>
          <w:rFonts w:ascii="Arial" w:hAnsi="Arial" w:cs="Arial"/>
          <w:b/>
        </w:rPr>
        <w:t>B</w:t>
      </w:r>
      <w:r w:rsidRPr="00AC7DC6">
        <w:rPr>
          <w:rFonts w:ascii="Arial" w:eastAsiaTheme="minorEastAsia" w:hAnsi="Arial" w:cs="Arial"/>
          <w:b/>
        </w:rPr>
        <w:t>enue State from 2010-2022</w:t>
      </w:r>
    </w:p>
    <w:p w14:paraId="00EFF831" w14:textId="77777777" w:rsidR="00AC7DC6" w:rsidRDefault="00AC7DC6" w:rsidP="00CB696F">
      <w:pPr>
        <w:jc w:val="both"/>
        <w:rPr>
          <w:rFonts w:ascii="Times New Roman" w:hAnsi="Times New Roman"/>
          <w:sz w:val="24"/>
          <w:szCs w:val="24"/>
          <w:shd w:val="clear" w:color="auto" w:fill="FFFFFF"/>
        </w:rPr>
      </w:pPr>
    </w:p>
    <w:p w14:paraId="11112CDF" w14:textId="77777777" w:rsidR="00CB696F" w:rsidRPr="00AC7DC6" w:rsidRDefault="00CB696F" w:rsidP="00CB696F">
      <w:pPr>
        <w:jc w:val="both"/>
        <w:rPr>
          <w:rFonts w:ascii="Arial" w:hAnsi="Arial" w:cs="Arial"/>
          <w:shd w:val="clear" w:color="auto" w:fill="FFFFFF"/>
        </w:rPr>
      </w:pPr>
      <w:r w:rsidRPr="00AC7DC6">
        <w:rPr>
          <w:rFonts w:ascii="Arial" w:hAnsi="Arial" w:cs="Arial"/>
          <w:shd w:val="clear" w:color="auto" w:fill="FFFFFF"/>
        </w:rPr>
        <w:t xml:space="preserve">The time plots in Figures 1, 2 and 3 illustrate the monthly values for HIV, TB, and VHP infections from January 2010 to January 2022. Each disease shows an initial steady </w:t>
      </w:r>
      <w:bookmarkStart w:id="0" w:name="_GoBack"/>
      <w:bookmarkEnd w:id="0"/>
      <w:r w:rsidRPr="00AC7DC6">
        <w:rPr>
          <w:rFonts w:ascii="Arial" w:hAnsi="Arial" w:cs="Arial"/>
          <w:shd w:val="clear" w:color="auto" w:fill="FFFFFF"/>
        </w:rPr>
        <w:t xml:space="preserve">increase until around 2012, with HIV and VHP rising to approximately 1,000 infection cases, </w:t>
      </w:r>
      <w:r w:rsidRPr="00AC7DC6">
        <w:rPr>
          <w:rFonts w:ascii="Arial" w:hAnsi="Arial" w:cs="Arial"/>
          <w:shd w:val="clear" w:color="auto" w:fill="FFFFFF"/>
        </w:rPr>
        <w:lastRenderedPageBreak/>
        <w:t>and TB to around 300 cases. From 2012 to 2017, all the three diseases exhibit considerable fluctuations but continue an overall upward trend: HIV and VHP values reach about 1,500 cases, and TB reaches around 600 cases. In 2017-2018, HIV and VHP peak significantly above 2,000 cases, while TB peaks at about 900 cases. Post-2018, all the three diseases show a sharp decline followed by continued variability. From 2019 onwards, values for all the diseases stabilize with less extreme fluctuations, indicating a slight downward trend: HIV and VHP average between 1,000 and 1,500 cases, while TB fluctuates around 300 to 400 cases.</w:t>
      </w:r>
    </w:p>
    <w:p w14:paraId="5AF31BE9" w14:textId="77777777" w:rsidR="00CB696F" w:rsidRPr="00AC7DC6" w:rsidRDefault="00AC7DC6" w:rsidP="00CB696F">
      <w:pPr>
        <w:jc w:val="both"/>
        <w:rPr>
          <w:rFonts w:ascii="Arial" w:hAnsi="Arial" w:cs="Arial"/>
          <w:b/>
        </w:rPr>
      </w:pPr>
      <w:r w:rsidRPr="00AC7DC6">
        <w:rPr>
          <w:rFonts w:ascii="Arial" w:hAnsi="Arial" w:cs="Arial"/>
          <w:b/>
        </w:rPr>
        <w:t>3</w:t>
      </w:r>
      <w:r w:rsidR="00CB696F" w:rsidRPr="00AC7DC6">
        <w:rPr>
          <w:rFonts w:ascii="Arial" w:hAnsi="Arial" w:cs="Arial"/>
          <w:b/>
        </w:rPr>
        <w:t xml:space="preserve">.3 Bar Graphs of the Annual Infection Cases </w:t>
      </w:r>
    </w:p>
    <w:p w14:paraId="3B82A820" w14:textId="77777777" w:rsidR="00CB696F" w:rsidRPr="00AC7DC6" w:rsidRDefault="00CB696F" w:rsidP="00CB696F">
      <w:pPr>
        <w:jc w:val="both"/>
        <w:rPr>
          <w:rFonts w:ascii="Arial" w:hAnsi="Arial" w:cs="Arial"/>
          <w:shd w:val="clear" w:color="auto" w:fill="FFFFFF"/>
        </w:rPr>
      </w:pPr>
      <w:r w:rsidRPr="00AC7DC6">
        <w:rPr>
          <w:rFonts w:ascii="Arial" w:hAnsi="Arial" w:cs="Arial"/>
        </w:rPr>
        <w:t xml:space="preserve">We also consider the bar graphs of each of the infection cases to observe how the infections are distributed across the years annually.  The bar graphs for </w:t>
      </w:r>
      <w:r w:rsidRPr="00AC7DC6">
        <w:rPr>
          <w:rFonts w:ascii="Arial" w:hAnsi="Arial" w:cs="Arial"/>
          <w:shd w:val="clear" w:color="auto" w:fill="FFFFFF"/>
        </w:rPr>
        <w:t xml:space="preserve">HIV, TB and VHP </w:t>
      </w:r>
      <w:r w:rsidRPr="00AC7DC6">
        <w:rPr>
          <w:rFonts w:ascii="Arial" w:hAnsi="Arial" w:cs="Arial"/>
        </w:rPr>
        <w:t xml:space="preserve">annual </w:t>
      </w:r>
      <w:r w:rsidRPr="00AC7DC6">
        <w:rPr>
          <w:rFonts w:ascii="Arial" w:hAnsi="Arial" w:cs="Arial"/>
          <w:shd w:val="clear" w:color="auto" w:fill="FFFFFF"/>
        </w:rPr>
        <w:t>infections are presented i</w:t>
      </w:r>
      <w:r w:rsidRPr="00AC7DC6">
        <w:rPr>
          <w:rFonts w:ascii="Arial" w:hAnsi="Arial" w:cs="Arial"/>
        </w:rPr>
        <w:t>n</w:t>
      </w:r>
      <w:r w:rsidRPr="00AC7DC6">
        <w:rPr>
          <w:rFonts w:ascii="Arial" w:hAnsi="Arial" w:cs="Arial"/>
          <w:shd w:val="clear" w:color="auto" w:fill="FFFFFF"/>
        </w:rPr>
        <w:t xml:space="preserve"> Figures 4, 5 and 6 respectively.</w:t>
      </w:r>
    </w:p>
    <w:p w14:paraId="1E78BA21" w14:textId="77777777" w:rsidR="00AC7DC6" w:rsidRPr="00AC7DC6" w:rsidRDefault="00AC7DC6" w:rsidP="00CB696F">
      <w:pPr>
        <w:jc w:val="both"/>
        <w:rPr>
          <w:rFonts w:ascii="Arial" w:hAnsi="Arial" w:cs="Arial"/>
          <w:shd w:val="clear" w:color="auto" w:fill="FFFFFF"/>
        </w:rPr>
      </w:pPr>
    </w:p>
    <w:p w14:paraId="18894A0D" w14:textId="77777777" w:rsidR="00CB696F" w:rsidRPr="00EB2CAE" w:rsidRDefault="00CB696F" w:rsidP="00CB696F">
      <w:pPr>
        <w:jc w:val="both"/>
        <w:rPr>
          <w:rFonts w:eastAsiaTheme="minorEastAsia"/>
          <w:sz w:val="24"/>
          <w:szCs w:val="24"/>
        </w:rPr>
      </w:pPr>
      <w:r w:rsidRPr="00EB2CAE">
        <w:rPr>
          <w:rFonts w:eastAsiaTheme="minorEastAsia"/>
          <w:noProof/>
          <w:sz w:val="24"/>
          <w:szCs w:val="24"/>
        </w:rPr>
        <w:drawing>
          <wp:inline distT="0" distB="0" distL="0" distR="0" wp14:anchorId="562ADFD7" wp14:editId="45DA1492">
            <wp:extent cx="5484163" cy="2306472"/>
            <wp:effectExtent l="19050" t="0" r="21287"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EA81D4" w14:textId="77777777" w:rsidR="00AC7DC6" w:rsidRDefault="00AC7DC6" w:rsidP="00CB696F">
      <w:pPr>
        <w:rPr>
          <w:rFonts w:ascii="Times New Roman" w:eastAsiaTheme="minorEastAsia" w:hAnsi="Times New Roman"/>
          <w:b/>
          <w:sz w:val="24"/>
          <w:szCs w:val="24"/>
        </w:rPr>
      </w:pPr>
    </w:p>
    <w:p w14:paraId="70838930" w14:textId="77777777" w:rsidR="00CB696F" w:rsidRPr="00AC7DC6" w:rsidRDefault="00CB696F" w:rsidP="00CB696F">
      <w:pPr>
        <w:rPr>
          <w:rFonts w:ascii="Arial" w:hAnsi="Arial" w:cs="Arial"/>
          <w:b/>
        </w:rPr>
      </w:pPr>
      <w:r w:rsidRPr="00AC7DC6">
        <w:rPr>
          <w:rFonts w:ascii="Arial" w:eastAsiaTheme="minorEastAsia" w:hAnsi="Arial" w:cs="Arial"/>
          <w:b/>
        </w:rPr>
        <w:t>Figure 4:</w:t>
      </w:r>
      <w:r w:rsidRPr="00AC7DC6">
        <w:rPr>
          <w:rFonts w:ascii="Arial" w:eastAsiaTheme="minorEastAsia" w:hAnsi="Arial" w:cs="Arial"/>
        </w:rPr>
        <w:t xml:space="preserve"> </w:t>
      </w:r>
      <w:r w:rsidRPr="00AC7DC6">
        <w:rPr>
          <w:rFonts w:ascii="Arial" w:hAnsi="Arial" w:cs="Arial"/>
          <w:b/>
        </w:rPr>
        <w:t>Bar Chart of Annual Cases of HIV in Benue State from 2010-2022</w:t>
      </w:r>
    </w:p>
    <w:p w14:paraId="0132FB37" w14:textId="77777777" w:rsidR="00AC7DC6" w:rsidRDefault="00AC7DC6" w:rsidP="00CB696F">
      <w:pPr>
        <w:rPr>
          <w:rFonts w:ascii="Times New Roman" w:hAnsi="Times New Roman"/>
          <w:sz w:val="24"/>
          <w:szCs w:val="24"/>
        </w:rPr>
      </w:pPr>
    </w:p>
    <w:p w14:paraId="1BDC1B5D" w14:textId="77777777" w:rsidR="00AC7DC6" w:rsidRPr="00EB2CAE" w:rsidRDefault="00AC7DC6" w:rsidP="00CB696F">
      <w:pPr>
        <w:rPr>
          <w:rFonts w:ascii="Times New Roman" w:hAnsi="Times New Roman"/>
          <w:sz w:val="24"/>
          <w:szCs w:val="24"/>
        </w:rPr>
      </w:pPr>
    </w:p>
    <w:p w14:paraId="661282F8" w14:textId="77777777"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14:anchorId="5A53FA3B" wp14:editId="62B3976D">
            <wp:extent cx="5481623" cy="1992573"/>
            <wp:effectExtent l="19050" t="0" r="23827" b="7677"/>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3754AC" w14:textId="77777777" w:rsidR="00CB696F" w:rsidRPr="00AC7DC6" w:rsidRDefault="00CB696F" w:rsidP="00CB696F">
      <w:pPr>
        <w:rPr>
          <w:rFonts w:ascii="Arial" w:hAnsi="Arial" w:cs="Arial"/>
          <w:b/>
        </w:rPr>
      </w:pPr>
      <w:r w:rsidRPr="00AC7DC6">
        <w:rPr>
          <w:rFonts w:ascii="Arial" w:eastAsiaTheme="minorEastAsia" w:hAnsi="Arial" w:cs="Arial"/>
          <w:b/>
        </w:rPr>
        <w:t>Figure 5:</w:t>
      </w:r>
      <w:r w:rsidRPr="00AC7DC6">
        <w:rPr>
          <w:rFonts w:ascii="Arial" w:eastAsiaTheme="minorEastAsia" w:hAnsi="Arial" w:cs="Arial"/>
        </w:rPr>
        <w:t xml:space="preserve"> </w:t>
      </w:r>
      <w:r w:rsidRPr="00AC7DC6">
        <w:rPr>
          <w:rFonts w:ascii="Arial" w:hAnsi="Arial" w:cs="Arial"/>
        </w:rPr>
        <w:t xml:space="preserve"> </w:t>
      </w:r>
      <w:r w:rsidRPr="00AC7DC6">
        <w:rPr>
          <w:rFonts w:ascii="Arial" w:hAnsi="Arial" w:cs="Arial"/>
          <w:b/>
        </w:rPr>
        <w:t>Bar Chart of Annual Cases of Tuberculosis in Benue State from 2010-2022</w:t>
      </w:r>
    </w:p>
    <w:p w14:paraId="38B83449" w14:textId="77777777" w:rsidR="00CB696F" w:rsidRPr="00EB2CAE" w:rsidRDefault="00CB696F" w:rsidP="00CB696F">
      <w:pPr>
        <w:rPr>
          <w:rFonts w:eastAsiaTheme="minorEastAsia"/>
          <w:sz w:val="24"/>
          <w:szCs w:val="24"/>
        </w:rPr>
      </w:pPr>
      <w:r w:rsidRPr="00EB2CAE">
        <w:rPr>
          <w:rFonts w:eastAsiaTheme="minorEastAsia"/>
          <w:noProof/>
          <w:sz w:val="24"/>
          <w:szCs w:val="24"/>
        </w:rPr>
        <w:lastRenderedPageBreak/>
        <w:drawing>
          <wp:inline distT="0" distB="0" distL="0" distR="0" wp14:anchorId="1EC52351" wp14:editId="0BE8916D">
            <wp:extent cx="5517648" cy="2436125"/>
            <wp:effectExtent l="19050" t="0" r="25902" b="2275"/>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BA9A48" w14:textId="77777777" w:rsidR="00CB696F" w:rsidRPr="00AC7DC6" w:rsidRDefault="00CB696F" w:rsidP="00CB696F">
      <w:pPr>
        <w:rPr>
          <w:rFonts w:ascii="Arial" w:eastAsiaTheme="minorEastAsia" w:hAnsi="Arial" w:cs="Arial"/>
        </w:rPr>
      </w:pPr>
      <w:r w:rsidRPr="00AC7DC6">
        <w:rPr>
          <w:rFonts w:ascii="Arial" w:eastAsiaTheme="minorEastAsia" w:hAnsi="Arial" w:cs="Arial"/>
          <w:b/>
        </w:rPr>
        <w:t xml:space="preserve">Figure 6: </w:t>
      </w:r>
      <w:r w:rsidRPr="00AC7DC6">
        <w:rPr>
          <w:rFonts w:ascii="Arial" w:hAnsi="Arial" w:cs="Arial"/>
          <w:b/>
        </w:rPr>
        <w:t>Bar Chart of Annual Cases of Viral Hepatitis in Benue State from 2010-2022</w:t>
      </w:r>
    </w:p>
    <w:p w14:paraId="4ABD73C1" w14:textId="77777777" w:rsidR="00CB696F" w:rsidRPr="008B316F" w:rsidRDefault="00CB696F" w:rsidP="00CB696F">
      <w:pPr>
        <w:spacing w:before="240"/>
        <w:jc w:val="both"/>
        <w:rPr>
          <w:rFonts w:ascii="Arial" w:hAnsi="Arial" w:cs="Arial"/>
        </w:rPr>
      </w:pPr>
      <w:r w:rsidRPr="008B316F">
        <w:rPr>
          <w:rFonts w:ascii="Arial" w:hAnsi="Arial" w:cs="Arial"/>
        </w:rPr>
        <w:t>The results of Figures 4, 5 and 6 show the annual distribution of HIV, TB and Viral Hepatitis infection cases in Benue State from 2010 to 2022. The highest cases of HIV and Viral Hepatitis infections are recorded in 2019 while the lowest cases of HIV and Viral Hepatitis infection are recorded in 2010. The highest cases of TB infection are recorded in 2018 and 2017 while the lowest cases of TB infection are recorded in 2010. All the three infections have their peak period between 2017 and 2019 and their lowest occurrence in 2010. This suggests a common relationship among the three infections.</w:t>
      </w:r>
    </w:p>
    <w:p w14:paraId="610E8469" w14:textId="77777777" w:rsidR="00CB696F" w:rsidRPr="008B316F" w:rsidRDefault="008B316F" w:rsidP="00CB696F">
      <w:pPr>
        <w:spacing w:before="240"/>
        <w:rPr>
          <w:rFonts w:ascii="Arial" w:hAnsi="Arial" w:cs="Arial"/>
          <w:b/>
        </w:rPr>
      </w:pPr>
      <w:r w:rsidRPr="008B316F">
        <w:rPr>
          <w:rFonts w:ascii="Arial" w:hAnsi="Arial" w:cs="Arial"/>
          <w:b/>
        </w:rPr>
        <w:t>3</w:t>
      </w:r>
      <w:r w:rsidR="00CB696F" w:rsidRPr="008B316F">
        <w:rPr>
          <w:rFonts w:ascii="Arial" w:hAnsi="Arial" w:cs="Arial"/>
          <w:b/>
        </w:rPr>
        <w:t>.4 Parameter Estimation of PAR (1) Models</w:t>
      </w:r>
    </w:p>
    <w:p w14:paraId="04FA8D0F" w14:textId="77777777" w:rsidR="00CB696F" w:rsidRPr="008B316F" w:rsidRDefault="00CB696F" w:rsidP="00CB696F">
      <w:pPr>
        <w:jc w:val="both"/>
        <w:rPr>
          <w:rFonts w:ascii="Arial" w:hAnsi="Arial" w:cs="Arial"/>
        </w:rPr>
      </w:pPr>
      <w:r w:rsidRPr="008B316F">
        <w:rPr>
          <w:rFonts w:ascii="Arial" w:hAnsi="Arial" w:cs="Arial"/>
        </w:rPr>
        <w:t>Parameter estimates of PAR (1) models for HIV, TB and VHP infection rates are computed and presented in Tables 2, 3 and 4 respectively.</w:t>
      </w:r>
    </w:p>
    <w:p w14:paraId="1B0234EB" w14:textId="77777777" w:rsidR="00CB696F" w:rsidRPr="00EB2CAE" w:rsidRDefault="00CB696F" w:rsidP="00CB696F">
      <w:pPr>
        <w:rPr>
          <w:rFonts w:ascii="Times New Roman" w:hAnsi="Times New Roman"/>
          <w:b/>
          <w:sz w:val="24"/>
          <w:szCs w:val="24"/>
        </w:rPr>
      </w:pPr>
      <w:r w:rsidRPr="008B316F">
        <w:rPr>
          <w:rFonts w:ascii="Arial" w:hAnsi="Arial" w:cs="Arial"/>
          <w:b/>
        </w:rPr>
        <w:t>Table 2:</w:t>
      </w:r>
      <w:r w:rsidRPr="008B316F">
        <w:rPr>
          <w:rFonts w:ascii="Arial" w:hAnsi="Arial" w:cs="Arial"/>
        </w:rPr>
        <w:t xml:space="preserve"> </w:t>
      </w:r>
      <w:r w:rsidRPr="008B316F">
        <w:rPr>
          <w:rFonts w:ascii="Arial" w:hAnsi="Arial" w:cs="Arial"/>
          <w:b/>
        </w:rPr>
        <w:t>Parameter Estimate of PAR (1) Model for HIV Infection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710"/>
        <w:gridCol w:w="1648"/>
        <w:gridCol w:w="1678"/>
        <w:gridCol w:w="1688"/>
      </w:tblGrid>
      <w:tr w:rsidR="00CB696F" w:rsidRPr="008B316F" w14:paraId="7297D4CB" w14:textId="77777777" w:rsidTr="00CB696F">
        <w:tc>
          <w:tcPr>
            <w:tcW w:w="1771" w:type="dxa"/>
            <w:tcBorders>
              <w:top w:val="single" w:sz="4" w:space="0" w:color="auto"/>
              <w:bottom w:val="single" w:sz="4" w:space="0" w:color="auto"/>
            </w:tcBorders>
          </w:tcPr>
          <w:p w14:paraId="3EB4E540" w14:textId="77777777" w:rsidR="00CB696F" w:rsidRPr="008B316F" w:rsidRDefault="00CB696F" w:rsidP="00CB696F">
            <w:pPr>
              <w:rPr>
                <w:rFonts w:ascii="Arial" w:hAnsi="Arial" w:cs="Arial"/>
                <w:b/>
              </w:rPr>
            </w:pPr>
            <w:r w:rsidRPr="008B316F">
              <w:rPr>
                <w:rFonts w:ascii="Arial" w:hAnsi="Arial" w:cs="Arial"/>
                <w:b/>
              </w:rPr>
              <w:t xml:space="preserve">Variable </w:t>
            </w:r>
          </w:p>
        </w:tc>
        <w:tc>
          <w:tcPr>
            <w:tcW w:w="1771" w:type="dxa"/>
            <w:tcBorders>
              <w:top w:val="single" w:sz="4" w:space="0" w:color="auto"/>
              <w:bottom w:val="single" w:sz="4" w:space="0" w:color="auto"/>
            </w:tcBorders>
          </w:tcPr>
          <w:p w14:paraId="3CCBA5D6" w14:textId="77777777" w:rsidR="00CB696F" w:rsidRPr="008B316F" w:rsidRDefault="00CB696F" w:rsidP="00CB696F">
            <w:pPr>
              <w:rPr>
                <w:rFonts w:ascii="Arial" w:hAnsi="Arial" w:cs="Arial"/>
                <w:b/>
              </w:rPr>
            </w:pPr>
            <w:r w:rsidRPr="008B316F">
              <w:rPr>
                <w:rFonts w:ascii="Arial" w:hAnsi="Arial" w:cs="Arial"/>
                <w:b/>
              </w:rPr>
              <w:t xml:space="preserve">Coefficient </w:t>
            </w:r>
          </w:p>
        </w:tc>
        <w:tc>
          <w:tcPr>
            <w:tcW w:w="1771" w:type="dxa"/>
            <w:tcBorders>
              <w:top w:val="single" w:sz="4" w:space="0" w:color="auto"/>
              <w:bottom w:val="single" w:sz="4" w:space="0" w:color="auto"/>
            </w:tcBorders>
          </w:tcPr>
          <w:p w14:paraId="6BA5D78F" w14:textId="77777777" w:rsidR="00CB696F" w:rsidRPr="008B316F" w:rsidRDefault="00CB696F" w:rsidP="00CB696F">
            <w:pPr>
              <w:rPr>
                <w:rFonts w:ascii="Arial" w:hAnsi="Arial" w:cs="Arial"/>
                <w:b/>
              </w:rPr>
            </w:pPr>
            <w:r w:rsidRPr="008B316F">
              <w:rPr>
                <w:rFonts w:ascii="Arial" w:hAnsi="Arial" w:cs="Arial"/>
                <w:b/>
              </w:rPr>
              <w:t xml:space="preserve">Std. error </w:t>
            </w:r>
          </w:p>
        </w:tc>
        <w:tc>
          <w:tcPr>
            <w:tcW w:w="1771" w:type="dxa"/>
            <w:tcBorders>
              <w:top w:val="single" w:sz="4" w:space="0" w:color="auto"/>
              <w:bottom w:val="single" w:sz="4" w:space="0" w:color="auto"/>
            </w:tcBorders>
          </w:tcPr>
          <w:p w14:paraId="544B7A77" w14:textId="77777777" w:rsidR="00CB696F" w:rsidRPr="008B316F" w:rsidRDefault="00CB696F" w:rsidP="00CB696F">
            <w:pPr>
              <w:rPr>
                <w:rFonts w:ascii="Arial" w:hAnsi="Arial" w:cs="Arial"/>
                <w:b/>
              </w:rPr>
            </w:pPr>
            <w:r w:rsidRPr="008B316F">
              <w:rPr>
                <w:rFonts w:ascii="Arial" w:hAnsi="Arial" w:cs="Arial"/>
                <w:b/>
              </w:rPr>
              <w:t xml:space="preserve">t-statistic </w:t>
            </w:r>
          </w:p>
        </w:tc>
        <w:tc>
          <w:tcPr>
            <w:tcW w:w="1772" w:type="dxa"/>
            <w:tcBorders>
              <w:top w:val="single" w:sz="4" w:space="0" w:color="auto"/>
              <w:bottom w:val="single" w:sz="4" w:space="0" w:color="auto"/>
            </w:tcBorders>
          </w:tcPr>
          <w:p w14:paraId="6EA60843" w14:textId="77777777" w:rsidR="00CB696F" w:rsidRPr="008B316F" w:rsidRDefault="00CB696F" w:rsidP="00CB696F">
            <w:pPr>
              <w:rPr>
                <w:rFonts w:ascii="Arial" w:hAnsi="Arial" w:cs="Arial"/>
                <w:b/>
              </w:rPr>
            </w:pPr>
            <w:r w:rsidRPr="008B316F">
              <w:rPr>
                <w:rFonts w:ascii="Arial" w:hAnsi="Arial" w:cs="Arial"/>
                <w:b/>
              </w:rPr>
              <w:t>P&gt;|t|</w:t>
            </w:r>
          </w:p>
        </w:tc>
      </w:tr>
      <w:tr w:rsidR="00CB696F" w:rsidRPr="008B316F" w14:paraId="5033E78D" w14:textId="77777777" w:rsidTr="00CB696F">
        <w:tc>
          <w:tcPr>
            <w:tcW w:w="1771" w:type="dxa"/>
            <w:tcBorders>
              <w:top w:val="single" w:sz="4" w:space="0" w:color="auto"/>
            </w:tcBorders>
          </w:tcPr>
          <w:p w14:paraId="45CB63A9" w14:textId="77777777" w:rsidR="00CB696F" w:rsidRPr="008B316F" w:rsidRDefault="00CB696F" w:rsidP="00CB696F">
            <w:pPr>
              <w:rPr>
                <w:rFonts w:ascii="Arial" w:hAnsi="Arial" w:cs="Arial"/>
              </w:rPr>
            </w:pPr>
            <w:r w:rsidRPr="008B316F">
              <w:rPr>
                <w:rFonts w:ascii="Arial" w:hAnsi="Arial" w:cs="Arial"/>
              </w:rPr>
              <w:t xml:space="preserve"> Constant </w:t>
            </w:r>
          </w:p>
        </w:tc>
        <w:tc>
          <w:tcPr>
            <w:tcW w:w="1771" w:type="dxa"/>
            <w:tcBorders>
              <w:top w:val="single" w:sz="4" w:space="0" w:color="auto"/>
            </w:tcBorders>
          </w:tcPr>
          <w:p w14:paraId="26BB243C" w14:textId="77777777" w:rsidR="00CB696F" w:rsidRPr="008B316F" w:rsidRDefault="00CB696F" w:rsidP="00CB696F">
            <w:pPr>
              <w:rPr>
                <w:rFonts w:ascii="Arial" w:hAnsi="Arial" w:cs="Arial"/>
              </w:rPr>
            </w:pPr>
            <w:r w:rsidRPr="008B316F">
              <w:rPr>
                <w:rFonts w:ascii="Arial" w:hAnsi="Arial" w:cs="Arial"/>
              </w:rPr>
              <w:t>0.2507</w:t>
            </w:r>
          </w:p>
        </w:tc>
        <w:tc>
          <w:tcPr>
            <w:tcW w:w="1771" w:type="dxa"/>
            <w:tcBorders>
              <w:top w:val="single" w:sz="4" w:space="0" w:color="auto"/>
            </w:tcBorders>
          </w:tcPr>
          <w:p w14:paraId="7469E377" w14:textId="77777777" w:rsidR="00CB696F" w:rsidRPr="008B316F" w:rsidRDefault="00CB696F" w:rsidP="00CB696F">
            <w:pPr>
              <w:rPr>
                <w:rFonts w:ascii="Arial" w:hAnsi="Arial" w:cs="Arial"/>
              </w:rPr>
            </w:pPr>
            <w:r w:rsidRPr="008B316F">
              <w:rPr>
                <w:rFonts w:ascii="Arial" w:hAnsi="Arial" w:cs="Arial"/>
              </w:rPr>
              <w:t>0.097</w:t>
            </w:r>
          </w:p>
        </w:tc>
        <w:tc>
          <w:tcPr>
            <w:tcW w:w="1771" w:type="dxa"/>
            <w:tcBorders>
              <w:top w:val="single" w:sz="4" w:space="0" w:color="auto"/>
            </w:tcBorders>
          </w:tcPr>
          <w:p w14:paraId="1D484BFC" w14:textId="77777777" w:rsidR="00CB696F" w:rsidRPr="008B316F" w:rsidRDefault="00CB696F" w:rsidP="00CB696F">
            <w:pPr>
              <w:rPr>
                <w:rFonts w:ascii="Arial" w:hAnsi="Arial" w:cs="Arial"/>
              </w:rPr>
            </w:pPr>
            <w:r w:rsidRPr="008B316F">
              <w:rPr>
                <w:rFonts w:ascii="Arial" w:hAnsi="Arial" w:cs="Arial"/>
              </w:rPr>
              <w:t>2.585</w:t>
            </w:r>
          </w:p>
        </w:tc>
        <w:tc>
          <w:tcPr>
            <w:tcW w:w="1772" w:type="dxa"/>
            <w:tcBorders>
              <w:top w:val="single" w:sz="4" w:space="0" w:color="auto"/>
            </w:tcBorders>
          </w:tcPr>
          <w:p w14:paraId="7997D0D8" w14:textId="77777777" w:rsidR="00CB696F" w:rsidRPr="008B316F" w:rsidRDefault="00CB696F" w:rsidP="00CB696F">
            <w:pPr>
              <w:rPr>
                <w:rFonts w:ascii="Arial" w:hAnsi="Arial" w:cs="Arial"/>
              </w:rPr>
            </w:pPr>
            <w:r w:rsidRPr="008B316F">
              <w:rPr>
                <w:rFonts w:ascii="Arial" w:hAnsi="Arial" w:cs="Arial"/>
              </w:rPr>
              <w:t>0.012</w:t>
            </w:r>
          </w:p>
        </w:tc>
      </w:tr>
      <w:tr w:rsidR="00CB696F" w:rsidRPr="008B316F" w14:paraId="1C1268C7" w14:textId="77777777" w:rsidTr="00CB696F">
        <w:tc>
          <w:tcPr>
            <w:tcW w:w="1771" w:type="dxa"/>
          </w:tcPr>
          <w:p w14:paraId="7246FA70" w14:textId="77777777" w:rsidR="00CB696F" w:rsidRPr="008B316F" w:rsidRDefault="00CB696F" w:rsidP="00CB696F">
            <w:pPr>
              <w:rPr>
                <w:rFonts w:ascii="Arial" w:hAnsi="Arial" w:cs="Arial"/>
              </w:rPr>
            </w:pPr>
            <m:oMathPara>
              <m:oMath>
                <m:r>
                  <w:rPr>
                    <w:rFonts w:ascii="Cambria Math" w:hAnsi="Cambria Math" w:cs="Arial"/>
                  </w:rPr>
                  <m:t>α</m:t>
                </m:r>
              </m:oMath>
            </m:oMathPara>
          </w:p>
        </w:tc>
        <w:tc>
          <w:tcPr>
            <w:tcW w:w="1771" w:type="dxa"/>
          </w:tcPr>
          <w:p w14:paraId="2802A24F" w14:textId="77777777" w:rsidR="00CB696F" w:rsidRPr="008B316F" w:rsidRDefault="00CB696F" w:rsidP="00CB696F">
            <w:pPr>
              <w:rPr>
                <w:rFonts w:ascii="Arial" w:hAnsi="Arial" w:cs="Arial"/>
              </w:rPr>
            </w:pPr>
            <w:r w:rsidRPr="008B316F">
              <w:rPr>
                <w:rFonts w:ascii="Arial" w:hAnsi="Arial" w:cs="Arial"/>
              </w:rPr>
              <w:t>0.7362</w:t>
            </w:r>
          </w:p>
        </w:tc>
        <w:tc>
          <w:tcPr>
            <w:tcW w:w="1771" w:type="dxa"/>
          </w:tcPr>
          <w:p w14:paraId="081981DA" w14:textId="77777777" w:rsidR="00CB696F" w:rsidRPr="008B316F" w:rsidRDefault="00CB696F" w:rsidP="00CB696F">
            <w:pPr>
              <w:rPr>
                <w:rFonts w:ascii="Arial" w:hAnsi="Arial" w:cs="Arial"/>
              </w:rPr>
            </w:pPr>
            <w:r w:rsidRPr="008B316F">
              <w:rPr>
                <w:rFonts w:ascii="Arial" w:hAnsi="Arial" w:cs="Arial"/>
              </w:rPr>
              <w:t>0.046</w:t>
            </w:r>
          </w:p>
        </w:tc>
        <w:tc>
          <w:tcPr>
            <w:tcW w:w="1771" w:type="dxa"/>
          </w:tcPr>
          <w:p w14:paraId="559730CE" w14:textId="77777777" w:rsidR="00CB696F" w:rsidRPr="008B316F" w:rsidRDefault="00CB696F" w:rsidP="00CB696F">
            <w:pPr>
              <w:rPr>
                <w:rFonts w:ascii="Arial" w:hAnsi="Arial" w:cs="Arial"/>
              </w:rPr>
            </w:pPr>
            <w:r w:rsidRPr="008B316F">
              <w:rPr>
                <w:rFonts w:ascii="Arial" w:hAnsi="Arial" w:cs="Arial"/>
              </w:rPr>
              <w:t>16.004</w:t>
            </w:r>
          </w:p>
        </w:tc>
        <w:tc>
          <w:tcPr>
            <w:tcW w:w="1772" w:type="dxa"/>
          </w:tcPr>
          <w:p w14:paraId="243839E9"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22AE42EA" w14:textId="77777777" w:rsidTr="00CB696F">
        <w:tc>
          <w:tcPr>
            <w:tcW w:w="1771" w:type="dxa"/>
          </w:tcPr>
          <w:p w14:paraId="094A5890" w14:textId="77777777" w:rsidR="00CB696F" w:rsidRPr="008B316F" w:rsidRDefault="00CB696F" w:rsidP="00CB696F">
            <w:pPr>
              <w:rPr>
                <w:rFonts w:ascii="Arial" w:hAnsi="Arial" w:cs="Arial"/>
              </w:rPr>
            </w:pPr>
            <m:oMathPara>
              <m:oMath>
                <m:r>
                  <w:rPr>
                    <w:rFonts w:ascii="Cambria Math" w:hAnsi="Cambria Math" w:cs="Arial"/>
                  </w:rPr>
                  <m:t>γ</m:t>
                </m:r>
              </m:oMath>
            </m:oMathPara>
          </w:p>
        </w:tc>
        <w:tc>
          <w:tcPr>
            <w:tcW w:w="1771" w:type="dxa"/>
          </w:tcPr>
          <w:p w14:paraId="04343D9F" w14:textId="77777777" w:rsidR="00CB696F" w:rsidRPr="008B316F" w:rsidRDefault="00CB696F" w:rsidP="00CB696F">
            <w:pPr>
              <w:rPr>
                <w:rFonts w:ascii="Arial" w:hAnsi="Arial" w:cs="Arial"/>
              </w:rPr>
            </w:pPr>
            <w:r w:rsidRPr="008B316F">
              <w:rPr>
                <w:rFonts w:ascii="Arial" w:hAnsi="Arial" w:cs="Arial"/>
              </w:rPr>
              <w:t>0.0225</w:t>
            </w:r>
          </w:p>
        </w:tc>
        <w:tc>
          <w:tcPr>
            <w:tcW w:w="1771" w:type="dxa"/>
          </w:tcPr>
          <w:p w14:paraId="632C9DCE" w14:textId="77777777" w:rsidR="00CB696F" w:rsidRPr="008B316F" w:rsidRDefault="00CB696F" w:rsidP="00CB696F">
            <w:pPr>
              <w:rPr>
                <w:rFonts w:ascii="Arial" w:hAnsi="Arial" w:cs="Arial"/>
              </w:rPr>
            </w:pPr>
            <w:r w:rsidRPr="008B316F">
              <w:rPr>
                <w:rFonts w:ascii="Arial" w:hAnsi="Arial" w:cs="Arial"/>
              </w:rPr>
              <w:t>0.005</w:t>
            </w:r>
          </w:p>
        </w:tc>
        <w:tc>
          <w:tcPr>
            <w:tcW w:w="1771" w:type="dxa"/>
          </w:tcPr>
          <w:p w14:paraId="41AEC5A5" w14:textId="77777777" w:rsidR="00CB696F" w:rsidRPr="008B316F" w:rsidRDefault="00CB696F" w:rsidP="00CB696F">
            <w:pPr>
              <w:rPr>
                <w:rFonts w:ascii="Arial" w:hAnsi="Arial" w:cs="Arial"/>
              </w:rPr>
            </w:pPr>
            <w:r w:rsidRPr="008B316F">
              <w:rPr>
                <w:rFonts w:ascii="Arial" w:hAnsi="Arial" w:cs="Arial"/>
              </w:rPr>
              <w:t>4.500</w:t>
            </w:r>
          </w:p>
        </w:tc>
        <w:tc>
          <w:tcPr>
            <w:tcW w:w="1772" w:type="dxa"/>
          </w:tcPr>
          <w:p w14:paraId="68E134AA"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03BD1D84" w14:textId="77777777" w:rsidTr="00CB696F">
        <w:tc>
          <w:tcPr>
            <w:tcW w:w="1771" w:type="dxa"/>
          </w:tcPr>
          <w:p w14:paraId="1249C6BB" w14:textId="77777777" w:rsidR="00CB696F" w:rsidRPr="008B316F" w:rsidRDefault="00530C5D" w:rsidP="00CB696F">
            <w:pPr>
              <w:rPr>
                <w:rFonts w:ascii="Arial" w:hAnsi="Arial" w:cs="Arial"/>
              </w:rPr>
            </w:pPr>
            <m:oMathPara>
              <m:oMath>
                <m:sSup>
                  <m:sSupPr>
                    <m:ctrlPr>
                      <w:rPr>
                        <w:rFonts w:ascii="Cambria Math" w:hAnsi="Arial" w:cs="Arial"/>
                        <w:i/>
                      </w:rPr>
                    </m:ctrlPr>
                  </m:sSupPr>
                  <m:e>
                    <m:r>
                      <w:rPr>
                        <w:rFonts w:ascii="Cambria Math" w:hAnsi="Cambria Math" w:cs="Arial"/>
                      </w:rPr>
                      <m:t>σ</m:t>
                    </m:r>
                  </m:e>
                  <m:sup>
                    <m:r>
                      <w:rPr>
                        <w:rFonts w:ascii="Cambria Math" w:hAnsi="Arial" w:cs="Arial"/>
                      </w:rPr>
                      <m:t>2</m:t>
                    </m:r>
                  </m:sup>
                </m:sSup>
              </m:oMath>
            </m:oMathPara>
          </w:p>
        </w:tc>
        <w:tc>
          <w:tcPr>
            <w:tcW w:w="1771" w:type="dxa"/>
          </w:tcPr>
          <w:p w14:paraId="33599E7E" w14:textId="77777777" w:rsidR="00CB696F" w:rsidRPr="008B316F" w:rsidRDefault="00CB696F" w:rsidP="00CB696F">
            <w:pPr>
              <w:rPr>
                <w:rFonts w:ascii="Arial" w:hAnsi="Arial" w:cs="Arial"/>
              </w:rPr>
            </w:pPr>
            <w:r w:rsidRPr="008B316F">
              <w:rPr>
                <w:rFonts w:ascii="Arial" w:hAnsi="Arial" w:cs="Arial"/>
              </w:rPr>
              <w:t>0.1046</w:t>
            </w:r>
          </w:p>
        </w:tc>
        <w:tc>
          <w:tcPr>
            <w:tcW w:w="1771" w:type="dxa"/>
          </w:tcPr>
          <w:p w14:paraId="10222836" w14:textId="77777777" w:rsidR="00CB696F" w:rsidRPr="008B316F" w:rsidRDefault="00CB696F" w:rsidP="00CB696F">
            <w:pPr>
              <w:rPr>
                <w:rFonts w:ascii="Arial" w:hAnsi="Arial" w:cs="Arial"/>
              </w:rPr>
            </w:pPr>
            <w:r w:rsidRPr="008B316F">
              <w:rPr>
                <w:rFonts w:ascii="Arial" w:hAnsi="Arial" w:cs="Arial"/>
              </w:rPr>
              <w:t>0.024</w:t>
            </w:r>
          </w:p>
        </w:tc>
        <w:tc>
          <w:tcPr>
            <w:tcW w:w="1771" w:type="dxa"/>
          </w:tcPr>
          <w:p w14:paraId="096D4A54" w14:textId="77777777" w:rsidR="00CB696F" w:rsidRPr="008B316F" w:rsidRDefault="00CB696F" w:rsidP="00CB696F">
            <w:pPr>
              <w:rPr>
                <w:rFonts w:ascii="Arial" w:hAnsi="Arial" w:cs="Arial"/>
              </w:rPr>
            </w:pPr>
            <w:r w:rsidRPr="008B316F">
              <w:rPr>
                <w:rFonts w:ascii="Arial" w:hAnsi="Arial" w:cs="Arial"/>
              </w:rPr>
              <w:t>4.358</w:t>
            </w:r>
          </w:p>
        </w:tc>
        <w:tc>
          <w:tcPr>
            <w:tcW w:w="1772" w:type="dxa"/>
          </w:tcPr>
          <w:p w14:paraId="40C94086"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3111AA10" w14:textId="77777777" w:rsidTr="00CB696F">
        <w:tc>
          <w:tcPr>
            <w:tcW w:w="1771" w:type="dxa"/>
          </w:tcPr>
          <w:p w14:paraId="0921F359" w14:textId="77777777" w:rsidR="00CB696F" w:rsidRPr="008B316F" w:rsidRDefault="00CB696F" w:rsidP="00CB696F">
            <w:pPr>
              <w:rPr>
                <w:rFonts w:ascii="Arial" w:hAnsi="Arial" w:cs="Arial"/>
              </w:rPr>
            </w:pPr>
            <w:r w:rsidRPr="008B316F">
              <w:rPr>
                <w:rFonts w:ascii="Arial" w:hAnsi="Arial" w:cs="Arial"/>
              </w:rPr>
              <w:t xml:space="preserve">R-Squared </w:t>
            </w:r>
          </w:p>
        </w:tc>
        <w:tc>
          <w:tcPr>
            <w:tcW w:w="1771" w:type="dxa"/>
          </w:tcPr>
          <w:p w14:paraId="76815F1E" w14:textId="77777777" w:rsidR="00CB696F" w:rsidRPr="008B316F" w:rsidRDefault="00CB696F" w:rsidP="00CB696F">
            <w:pPr>
              <w:rPr>
                <w:rFonts w:ascii="Arial" w:hAnsi="Arial" w:cs="Arial"/>
              </w:rPr>
            </w:pPr>
            <w:r w:rsidRPr="008B316F">
              <w:rPr>
                <w:rFonts w:ascii="Arial" w:hAnsi="Arial" w:cs="Arial"/>
              </w:rPr>
              <w:t>0.833</w:t>
            </w:r>
          </w:p>
        </w:tc>
        <w:tc>
          <w:tcPr>
            <w:tcW w:w="1771" w:type="dxa"/>
          </w:tcPr>
          <w:p w14:paraId="5C2AEE2B" w14:textId="77777777" w:rsidR="00CB696F" w:rsidRPr="008B316F" w:rsidRDefault="00CB696F" w:rsidP="00CB696F">
            <w:pPr>
              <w:rPr>
                <w:rFonts w:ascii="Arial" w:hAnsi="Arial" w:cs="Arial"/>
              </w:rPr>
            </w:pPr>
          </w:p>
        </w:tc>
        <w:tc>
          <w:tcPr>
            <w:tcW w:w="1771" w:type="dxa"/>
          </w:tcPr>
          <w:p w14:paraId="75FFD397" w14:textId="77777777" w:rsidR="00CB696F" w:rsidRPr="008B316F" w:rsidRDefault="00CB696F" w:rsidP="00CB696F">
            <w:pPr>
              <w:rPr>
                <w:rFonts w:ascii="Arial" w:hAnsi="Arial" w:cs="Arial"/>
              </w:rPr>
            </w:pPr>
            <w:r w:rsidRPr="008B316F">
              <w:rPr>
                <w:rFonts w:ascii="Arial" w:hAnsi="Arial" w:cs="Arial"/>
              </w:rPr>
              <w:t>AIC</w:t>
            </w:r>
          </w:p>
        </w:tc>
        <w:tc>
          <w:tcPr>
            <w:tcW w:w="1772" w:type="dxa"/>
          </w:tcPr>
          <w:p w14:paraId="72653E3D" w14:textId="77777777" w:rsidR="00CB696F" w:rsidRPr="008B316F" w:rsidRDefault="00CB696F" w:rsidP="00CB696F">
            <w:pPr>
              <w:rPr>
                <w:rFonts w:ascii="Arial" w:hAnsi="Arial" w:cs="Arial"/>
              </w:rPr>
            </w:pPr>
            <w:r w:rsidRPr="008B316F">
              <w:rPr>
                <w:rFonts w:ascii="Arial" w:hAnsi="Arial" w:cs="Arial"/>
              </w:rPr>
              <w:t>228.6</w:t>
            </w:r>
          </w:p>
        </w:tc>
      </w:tr>
      <w:tr w:rsidR="00CB696F" w:rsidRPr="008B316F" w14:paraId="4B5C7D9E" w14:textId="77777777" w:rsidTr="00CB696F">
        <w:tc>
          <w:tcPr>
            <w:tcW w:w="1771" w:type="dxa"/>
          </w:tcPr>
          <w:p w14:paraId="0DB6040D" w14:textId="77777777" w:rsidR="00CB696F" w:rsidRPr="008B316F" w:rsidRDefault="00CB696F" w:rsidP="00CB696F">
            <w:pPr>
              <w:rPr>
                <w:rFonts w:ascii="Arial" w:hAnsi="Arial" w:cs="Arial"/>
              </w:rPr>
            </w:pPr>
            <w:r w:rsidRPr="008B316F">
              <w:rPr>
                <w:rFonts w:ascii="Arial" w:hAnsi="Arial" w:cs="Arial"/>
              </w:rPr>
              <w:t xml:space="preserve">Adj. R-Squared </w:t>
            </w:r>
          </w:p>
        </w:tc>
        <w:tc>
          <w:tcPr>
            <w:tcW w:w="1771" w:type="dxa"/>
          </w:tcPr>
          <w:p w14:paraId="1AC63134" w14:textId="77777777" w:rsidR="00CB696F" w:rsidRPr="008B316F" w:rsidRDefault="00CB696F" w:rsidP="00CB696F">
            <w:pPr>
              <w:rPr>
                <w:rFonts w:ascii="Arial" w:hAnsi="Arial" w:cs="Arial"/>
              </w:rPr>
            </w:pPr>
            <w:r w:rsidRPr="008B316F">
              <w:rPr>
                <w:rFonts w:ascii="Arial" w:hAnsi="Arial" w:cs="Arial"/>
              </w:rPr>
              <w:t>0.827</w:t>
            </w:r>
          </w:p>
        </w:tc>
        <w:tc>
          <w:tcPr>
            <w:tcW w:w="1771" w:type="dxa"/>
          </w:tcPr>
          <w:p w14:paraId="405A607F" w14:textId="77777777" w:rsidR="00CB696F" w:rsidRPr="008B316F" w:rsidRDefault="00CB696F" w:rsidP="00CB696F">
            <w:pPr>
              <w:rPr>
                <w:rFonts w:ascii="Arial" w:hAnsi="Arial" w:cs="Arial"/>
              </w:rPr>
            </w:pPr>
          </w:p>
        </w:tc>
        <w:tc>
          <w:tcPr>
            <w:tcW w:w="1771" w:type="dxa"/>
          </w:tcPr>
          <w:p w14:paraId="6634C259" w14:textId="77777777" w:rsidR="00CB696F" w:rsidRPr="008B316F" w:rsidRDefault="00CB696F" w:rsidP="00CB696F">
            <w:pPr>
              <w:rPr>
                <w:rFonts w:ascii="Arial" w:hAnsi="Arial" w:cs="Arial"/>
              </w:rPr>
            </w:pPr>
            <w:r w:rsidRPr="008B316F">
              <w:rPr>
                <w:rFonts w:ascii="Arial" w:hAnsi="Arial" w:cs="Arial"/>
              </w:rPr>
              <w:t>BIC</w:t>
            </w:r>
          </w:p>
        </w:tc>
        <w:tc>
          <w:tcPr>
            <w:tcW w:w="1772" w:type="dxa"/>
          </w:tcPr>
          <w:p w14:paraId="1110C4D9" w14:textId="77777777" w:rsidR="00CB696F" w:rsidRPr="008B316F" w:rsidRDefault="00CB696F" w:rsidP="00CB696F">
            <w:pPr>
              <w:rPr>
                <w:rFonts w:ascii="Arial" w:hAnsi="Arial" w:cs="Arial"/>
              </w:rPr>
            </w:pPr>
            <w:r w:rsidRPr="008B316F">
              <w:rPr>
                <w:rFonts w:ascii="Arial" w:hAnsi="Arial" w:cs="Arial"/>
              </w:rPr>
              <w:t>237.7</w:t>
            </w:r>
          </w:p>
        </w:tc>
      </w:tr>
      <w:tr w:rsidR="00CB696F" w:rsidRPr="008B316F" w14:paraId="68A3EF74" w14:textId="77777777" w:rsidTr="00CB696F">
        <w:tc>
          <w:tcPr>
            <w:tcW w:w="1771" w:type="dxa"/>
          </w:tcPr>
          <w:p w14:paraId="364BE67F" w14:textId="77777777" w:rsidR="00CB696F" w:rsidRPr="008B316F" w:rsidRDefault="00CB696F" w:rsidP="00CB696F">
            <w:pPr>
              <w:rPr>
                <w:rFonts w:ascii="Arial" w:hAnsi="Arial" w:cs="Arial"/>
              </w:rPr>
            </w:pPr>
            <w:r w:rsidRPr="008B316F">
              <w:rPr>
                <w:rFonts w:ascii="Arial" w:hAnsi="Arial" w:cs="Arial"/>
              </w:rPr>
              <w:t xml:space="preserve">F-Statistic </w:t>
            </w:r>
          </w:p>
        </w:tc>
        <w:tc>
          <w:tcPr>
            <w:tcW w:w="1771" w:type="dxa"/>
          </w:tcPr>
          <w:p w14:paraId="18D676A6" w14:textId="77777777" w:rsidR="00CB696F" w:rsidRPr="008B316F" w:rsidRDefault="00CB696F" w:rsidP="00CB696F">
            <w:pPr>
              <w:rPr>
                <w:rFonts w:ascii="Arial" w:hAnsi="Arial" w:cs="Arial"/>
              </w:rPr>
            </w:pPr>
            <w:r w:rsidRPr="008B316F">
              <w:rPr>
                <w:rFonts w:ascii="Arial" w:hAnsi="Arial" w:cs="Arial"/>
              </w:rPr>
              <w:t>211.5</w:t>
            </w:r>
          </w:p>
        </w:tc>
        <w:tc>
          <w:tcPr>
            <w:tcW w:w="1771" w:type="dxa"/>
          </w:tcPr>
          <w:p w14:paraId="76926FFB" w14:textId="77777777" w:rsidR="00CB696F" w:rsidRPr="008B316F" w:rsidRDefault="00CB696F" w:rsidP="00CB696F">
            <w:pPr>
              <w:rPr>
                <w:rFonts w:ascii="Arial" w:hAnsi="Arial" w:cs="Arial"/>
              </w:rPr>
            </w:pPr>
          </w:p>
        </w:tc>
        <w:tc>
          <w:tcPr>
            <w:tcW w:w="1771" w:type="dxa"/>
          </w:tcPr>
          <w:p w14:paraId="6ADEDA6E" w14:textId="77777777" w:rsidR="00CB696F" w:rsidRPr="008B316F" w:rsidRDefault="00CB696F" w:rsidP="00CB696F">
            <w:pPr>
              <w:rPr>
                <w:rFonts w:ascii="Arial" w:hAnsi="Arial" w:cs="Arial"/>
              </w:rPr>
            </w:pPr>
            <w:r w:rsidRPr="008B316F">
              <w:rPr>
                <w:rFonts w:ascii="Arial" w:hAnsi="Arial" w:cs="Arial"/>
              </w:rPr>
              <w:t>Durbin-Watson</w:t>
            </w:r>
          </w:p>
        </w:tc>
        <w:tc>
          <w:tcPr>
            <w:tcW w:w="1772" w:type="dxa"/>
          </w:tcPr>
          <w:p w14:paraId="026E9DAF" w14:textId="77777777" w:rsidR="00CB696F" w:rsidRPr="008B316F" w:rsidRDefault="00CB696F" w:rsidP="00CB696F">
            <w:pPr>
              <w:rPr>
                <w:rFonts w:ascii="Arial" w:hAnsi="Arial" w:cs="Arial"/>
              </w:rPr>
            </w:pPr>
            <w:r w:rsidRPr="008B316F">
              <w:rPr>
                <w:rFonts w:ascii="Arial" w:hAnsi="Arial" w:cs="Arial"/>
              </w:rPr>
              <w:t>1.834</w:t>
            </w:r>
          </w:p>
        </w:tc>
      </w:tr>
      <w:tr w:rsidR="00CB696F" w:rsidRPr="008B316F" w14:paraId="5E88423E" w14:textId="77777777" w:rsidTr="00CB696F">
        <w:tc>
          <w:tcPr>
            <w:tcW w:w="1771" w:type="dxa"/>
          </w:tcPr>
          <w:p w14:paraId="74262DC6" w14:textId="77777777" w:rsidR="00CB696F" w:rsidRPr="008B316F" w:rsidRDefault="00CB696F" w:rsidP="00CB696F">
            <w:pPr>
              <w:rPr>
                <w:rFonts w:ascii="Arial" w:hAnsi="Arial" w:cs="Arial"/>
              </w:rPr>
            </w:pPr>
            <w:r w:rsidRPr="008B316F">
              <w:rPr>
                <w:rFonts w:ascii="Arial" w:hAnsi="Arial" w:cs="Arial"/>
              </w:rPr>
              <w:t>Prob (F-statistic)</w:t>
            </w:r>
          </w:p>
        </w:tc>
        <w:tc>
          <w:tcPr>
            <w:tcW w:w="1771" w:type="dxa"/>
          </w:tcPr>
          <w:p w14:paraId="77B706B4" w14:textId="77777777" w:rsidR="00CB696F" w:rsidRPr="008B316F" w:rsidRDefault="00CB696F" w:rsidP="00CB696F">
            <w:pPr>
              <w:rPr>
                <w:rFonts w:ascii="Arial" w:hAnsi="Arial" w:cs="Arial"/>
              </w:rPr>
            </w:pPr>
            <w:r w:rsidRPr="008B316F">
              <w:rPr>
                <w:rFonts w:ascii="Arial" w:hAnsi="Arial" w:cs="Arial"/>
              </w:rPr>
              <w:t>6.40e-32</w:t>
            </w:r>
          </w:p>
        </w:tc>
        <w:tc>
          <w:tcPr>
            <w:tcW w:w="1771" w:type="dxa"/>
          </w:tcPr>
          <w:p w14:paraId="4389184F" w14:textId="77777777" w:rsidR="00CB696F" w:rsidRPr="008B316F" w:rsidRDefault="00CB696F" w:rsidP="00CB696F">
            <w:pPr>
              <w:rPr>
                <w:rFonts w:ascii="Arial" w:hAnsi="Arial" w:cs="Arial"/>
              </w:rPr>
            </w:pPr>
          </w:p>
        </w:tc>
        <w:tc>
          <w:tcPr>
            <w:tcW w:w="1771" w:type="dxa"/>
          </w:tcPr>
          <w:p w14:paraId="7D765E58" w14:textId="77777777" w:rsidR="00CB696F" w:rsidRPr="008B316F" w:rsidRDefault="00CB696F" w:rsidP="00CB696F">
            <w:pPr>
              <w:rPr>
                <w:rFonts w:ascii="Arial" w:hAnsi="Arial" w:cs="Arial"/>
              </w:rPr>
            </w:pPr>
            <w:r w:rsidRPr="008B316F">
              <w:rPr>
                <w:rFonts w:ascii="Arial" w:hAnsi="Arial" w:cs="Arial"/>
              </w:rPr>
              <w:t>Jarque-Bera (JB)</w:t>
            </w:r>
          </w:p>
        </w:tc>
        <w:tc>
          <w:tcPr>
            <w:tcW w:w="1772" w:type="dxa"/>
          </w:tcPr>
          <w:p w14:paraId="410E5965" w14:textId="77777777" w:rsidR="00CB696F" w:rsidRPr="008B316F" w:rsidRDefault="00CB696F" w:rsidP="00CB696F">
            <w:pPr>
              <w:rPr>
                <w:rFonts w:ascii="Arial" w:hAnsi="Arial" w:cs="Arial"/>
              </w:rPr>
            </w:pPr>
            <w:r w:rsidRPr="008B316F">
              <w:rPr>
                <w:rFonts w:ascii="Arial" w:hAnsi="Arial" w:cs="Arial"/>
              </w:rPr>
              <w:t>16.355</w:t>
            </w:r>
          </w:p>
        </w:tc>
      </w:tr>
      <w:tr w:rsidR="00CB696F" w:rsidRPr="008B316F" w14:paraId="50805F04" w14:textId="77777777" w:rsidTr="00CB696F">
        <w:tc>
          <w:tcPr>
            <w:tcW w:w="1771" w:type="dxa"/>
          </w:tcPr>
          <w:p w14:paraId="2C623A76" w14:textId="77777777" w:rsidR="00CB696F" w:rsidRPr="008B316F" w:rsidRDefault="00CB696F" w:rsidP="00CB696F">
            <w:pPr>
              <w:rPr>
                <w:rFonts w:ascii="Arial" w:hAnsi="Arial" w:cs="Arial"/>
              </w:rPr>
            </w:pPr>
            <w:r w:rsidRPr="008B316F">
              <w:rPr>
                <w:rFonts w:ascii="Arial" w:hAnsi="Arial" w:cs="Arial"/>
              </w:rPr>
              <w:t>Log-Likelihood</w:t>
            </w:r>
          </w:p>
        </w:tc>
        <w:tc>
          <w:tcPr>
            <w:tcW w:w="1771" w:type="dxa"/>
          </w:tcPr>
          <w:p w14:paraId="4F6996F6" w14:textId="77777777" w:rsidR="00CB696F" w:rsidRPr="008B316F" w:rsidRDefault="00CB696F" w:rsidP="00CB696F">
            <w:pPr>
              <w:rPr>
                <w:rFonts w:ascii="Arial" w:hAnsi="Arial" w:cs="Arial"/>
              </w:rPr>
            </w:pPr>
            <w:r w:rsidRPr="008B316F">
              <w:rPr>
                <w:rFonts w:ascii="Arial" w:hAnsi="Arial" w:cs="Arial"/>
              </w:rPr>
              <w:t>-110.54</w:t>
            </w:r>
          </w:p>
        </w:tc>
        <w:tc>
          <w:tcPr>
            <w:tcW w:w="1771" w:type="dxa"/>
          </w:tcPr>
          <w:p w14:paraId="20D129E5" w14:textId="77777777" w:rsidR="00CB696F" w:rsidRPr="008B316F" w:rsidRDefault="00CB696F" w:rsidP="00CB696F">
            <w:pPr>
              <w:rPr>
                <w:rFonts w:ascii="Arial" w:hAnsi="Arial" w:cs="Arial"/>
              </w:rPr>
            </w:pPr>
          </w:p>
        </w:tc>
        <w:tc>
          <w:tcPr>
            <w:tcW w:w="1771" w:type="dxa"/>
          </w:tcPr>
          <w:p w14:paraId="1340F775" w14:textId="77777777" w:rsidR="00CB696F" w:rsidRPr="008B316F" w:rsidRDefault="00CB696F" w:rsidP="00CB696F">
            <w:pPr>
              <w:rPr>
                <w:rFonts w:ascii="Arial" w:hAnsi="Arial" w:cs="Arial"/>
              </w:rPr>
            </w:pPr>
            <w:r w:rsidRPr="008B316F">
              <w:rPr>
                <w:rFonts w:ascii="Arial" w:hAnsi="Arial" w:cs="Arial"/>
              </w:rPr>
              <w:t>Prob (JB)</w:t>
            </w:r>
          </w:p>
        </w:tc>
        <w:tc>
          <w:tcPr>
            <w:tcW w:w="1772" w:type="dxa"/>
          </w:tcPr>
          <w:p w14:paraId="3E61FEFF" w14:textId="77777777" w:rsidR="00CB696F" w:rsidRPr="008B316F" w:rsidRDefault="00CB696F" w:rsidP="00CB696F">
            <w:pPr>
              <w:rPr>
                <w:rFonts w:ascii="Arial" w:hAnsi="Arial" w:cs="Arial"/>
              </w:rPr>
            </w:pPr>
            <w:r w:rsidRPr="008B316F">
              <w:rPr>
                <w:rFonts w:ascii="Arial" w:hAnsi="Arial" w:cs="Arial"/>
              </w:rPr>
              <w:t>0.000284</w:t>
            </w:r>
          </w:p>
        </w:tc>
      </w:tr>
      <w:tr w:rsidR="00CB696F" w:rsidRPr="008B316F" w14:paraId="433E2BC5" w14:textId="77777777" w:rsidTr="00CB696F">
        <w:tc>
          <w:tcPr>
            <w:tcW w:w="1771" w:type="dxa"/>
          </w:tcPr>
          <w:p w14:paraId="67CA093F" w14:textId="77777777" w:rsidR="00CB696F" w:rsidRPr="008B316F" w:rsidRDefault="00CB696F" w:rsidP="00CB696F">
            <w:pPr>
              <w:rPr>
                <w:rFonts w:ascii="Arial" w:hAnsi="Arial" w:cs="Arial"/>
              </w:rPr>
            </w:pPr>
            <w:r w:rsidRPr="008B316F">
              <w:rPr>
                <w:rFonts w:ascii="Arial" w:hAnsi="Arial" w:cs="Arial"/>
              </w:rPr>
              <w:t>Omnibus</w:t>
            </w:r>
          </w:p>
        </w:tc>
        <w:tc>
          <w:tcPr>
            <w:tcW w:w="1771" w:type="dxa"/>
          </w:tcPr>
          <w:p w14:paraId="4CD1AC33" w14:textId="77777777" w:rsidR="00CB696F" w:rsidRPr="008B316F" w:rsidRDefault="00CB696F" w:rsidP="00CB696F">
            <w:pPr>
              <w:rPr>
                <w:rFonts w:ascii="Arial" w:hAnsi="Arial" w:cs="Arial"/>
              </w:rPr>
            </w:pPr>
            <w:r w:rsidRPr="008B316F">
              <w:rPr>
                <w:rFonts w:ascii="Arial" w:hAnsi="Arial" w:cs="Arial"/>
              </w:rPr>
              <w:t>12.582</w:t>
            </w:r>
          </w:p>
        </w:tc>
        <w:tc>
          <w:tcPr>
            <w:tcW w:w="1771" w:type="dxa"/>
          </w:tcPr>
          <w:p w14:paraId="22C7F31A" w14:textId="77777777" w:rsidR="00CB696F" w:rsidRPr="008B316F" w:rsidRDefault="00CB696F" w:rsidP="00CB696F">
            <w:pPr>
              <w:rPr>
                <w:rFonts w:ascii="Arial" w:hAnsi="Arial" w:cs="Arial"/>
              </w:rPr>
            </w:pPr>
          </w:p>
        </w:tc>
        <w:tc>
          <w:tcPr>
            <w:tcW w:w="1771" w:type="dxa"/>
          </w:tcPr>
          <w:p w14:paraId="6BC5E65D" w14:textId="77777777" w:rsidR="00CB696F" w:rsidRPr="008B316F" w:rsidRDefault="00CB696F" w:rsidP="00CB696F">
            <w:pPr>
              <w:rPr>
                <w:rFonts w:ascii="Arial" w:hAnsi="Arial" w:cs="Arial"/>
              </w:rPr>
            </w:pPr>
            <w:r w:rsidRPr="008B316F">
              <w:rPr>
                <w:rFonts w:ascii="Arial" w:hAnsi="Arial" w:cs="Arial"/>
              </w:rPr>
              <w:t>Skew</w:t>
            </w:r>
          </w:p>
        </w:tc>
        <w:tc>
          <w:tcPr>
            <w:tcW w:w="1772" w:type="dxa"/>
          </w:tcPr>
          <w:p w14:paraId="22236749" w14:textId="77777777" w:rsidR="00CB696F" w:rsidRPr="008B316F" w:rsidRDefault="00CB696F" w:rsidP="00CB696F">
            <w:pPr>
              <w:rPr>
                <w:rFonts w:ascii="Arial" w:hAnsi="Arial" w:cs="Arial"/>
              </w:rPr>
            </w:pPr>
            <w:r w:rsidRPr="008B316F">
              <w:rPr>
                <w:rFonts w:ascii="Arial" w:hAnsi="Arial" w:cs="Arial"/>
              </w:rPr>
              <w:t>-0.645</w:t>
            </w:r>
          </w:p>
        </w:tc>
      </w:tr>
      <w:tr w:rsidR="00CB696F" w:rsidRPr="008B316F" w14:paraId="46ACEA76" w14:textId="77777777" w:rsidTr="00CB696F">
        <w:tc>
          <w:tcPr>
            <w:tcW w:w="1771" w:type="dxa"/>
          </w:tcPr>
          <w:p w14:paraId="4321ECA6" w14:textId="77777777" w:rsidR="00CB696F" w:rsidRPr="008B316F" w:rsidRDefault="00CB696F" w:rsidP="00CB696F">
            <w:pPr>
              <w:rPr>
                <w:rFonts w:ascii="Arial" w:hAnsi="Arial" w:cs="Arial"/>
              </w:rPr>
            </w:pPr>
            <w:r w:rsidRPr="008B316F">
              <w:rPr>
                <w:rFonts w:ascii="Arial" w:hAnsi="Arial" w:cs="Arial"/>
              </w:rPr>
              <w:t>Prob (Omnibus)</w:t>
            </w:r>
          </w:p>
        </w:tc>
        <w:tc>
          <w:tcPr>
            <w:tcW w:w="1771" w:type="dxa"/>
          </w:tcPr>
          <w:p w14:paraId="07806C1B" w14:textId="77777777" w:rsidR="00CB696F" w:rsidRPr="008B316F" w:rsidRDefault="00CB696F" w:rsidP="00CB696F">
            <w:pPr>
              <w:rPr>
                <w:rFonts w:ascii="Arial" w:hAnsi="Arial" w:cs="Arial"/>
              </w:rPr>
            </w:pPr>
            <w:r w:rsidRPr="008B316F">
              <w:rPr>
                <w:rFonts w:ascii="Arial" w:hAnsi="Arial" w:cs="Arial"/>
              </w:rPr>
              <w:t>0.003</w:t>
            </w:r>
          </w:p>
        </w:tc>
        <w:tc>
          <w:tcPr>
            <w:tcW w:w="1771" w:type="dxa"/>
          </w:tcPr>
          <w:p w14:paraId="64C00C71" w14:textId="77777777" w:rsidR="00CB696F" w:rsidRPr="008B316F" w:rsidRDefault="00CB696F" w:rsidP="00CB696F">
            <w:pPr>
              <w:rPr>
                <w:rFonts w:ascii="Arial" w:hAnsi="Arial" w:cs="Arial"/>
              </w:rPr>
            </w:pPr>
          </w:p>
        </w:tc>
        <w:tc>
          <w:tcPr>
            <w:tcW w:w="1771" w:type="dxa"/>
          </w:tcPr>
          <w:p w14:paraId="36AA3394" w14:textId="77777777" w:rsidR="00CB696F" w:rsidRPr="008B316F" w:rsidRDefault="00CB696F" w:rsidP="00CB696F">
            <w:pPr>
              <w:rPr>
                <w:rFonts w:ascii="Arial" w:hAnsi="Arial" w:cs="Arial"/>
              </w:rPr>
            </w:pPr>
            <w:r w:rsidRPr="008B316F">
              <w:rPr>
                <w:rFonts w:ascii="Arial" w:hAnsi="Arial" w:cs="Arial"/>
              </w:rPr>
              <w:t>Kurtosis</w:t>
            </w:r>
          </w:p>
        </w:tc>
        <w:tc>
          <w:tcPr>
            <w:tcW w:w="1772" w:type="dxa"/>
          </w:tcPr>
          <w:p w14:paraId="3A897727" w14:textId="77777777" w:rsidR="00CB696F" w:rsidRPr="008B316F" w:rsidRDefault="00CB696F" w:rsidP="00CB696F">
            <w:pPr>
              <w:rPr>
                <w:rFonts w:ascii="Arial" w:hAnsi="Arial" w:cs="Arial"/>
              </w:rPr>
            </w:pPr>
            <w:r w:rsidRPr="008B316F">
              <w:rPr>
                <w:rFonts w:ascii="Arial" w:hAnsi="Arial" w:cs="Arial"/>
              </w:rPr>
              <w:t>4.342</w:t>
            </w:r>
          </w:p>
        </w:tc>
      </w:tr>
    </w:tbl>
    <w:p w14:paraId="72AB7BCB" w14:textId="77777777" w:rsidR="00CB696F" w:rsidRPr="00EB2CAE" w:rsidRDefault="00CB696F" w:rsidP="00CB696F">
      <w:pPr>
        <w:rPr>
          <w:rFonts w:ascii="Times New Roman" w:hAnsi="Times New Roman"/>
          <w:b/>
          <w:sz w:val="24"/>
          <w:szCs w:val="24"/>
        </w:rPr>
      </w:pPr>
    </w:p>
    <w:p w14:paraId="37B90D2A" w14:textId="77777777" w:rsidR="00CB696F" w:rsidRPr="008B316F" w:rsidRDefault="00CB696F" w:rsidP="00CB696F">
      <w:pPr>
        <w:rPr>
          <w:rFonts w:ascii="Arial" w:hAnsi="Arial" w:cs="Arial"/>
          <w:b/>
        </w:rPr>
      </w:pPr>
      <w:r w:rsidRPr="008B316F">
        <w:rPr>
          <w:rFonts w:ascii="Arial" w:hAnsi="Arial" w:cs="Arial"/>
          <w:b/>
        </w:rPr>
        <w:t>Table 3:</w:t>
      </w:r>
      <w:r w:rsidRPr="008B316F">
        <w:rPr>
          <w:rFonts w:ascii="Arial" w:hAnsi="Arial" w:cs="Arial"/>
        </w:rPr>
        <w:t xml:space="preserve"> </w:t>
      </w:r>
      <w:r w:rsidRPr="008B316F">
        <w:rPr>
          <w:rFonts w:ascii="Arial" w:hAnsi="Arial" w:cs="Arial"/>
          <w:b/>
        </w:rPr>
        <w:t>Parameter Estimate of PAR (1) Model for TB Infection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12"/>
        <w:gridCol w:w="1652"/>
        <w:gridCol w:w="1681"/>
        <w:gridCol w:w="1678"/>
      </w:tblGrid>
      <w:tr w:rsidR="00CB696F" w:rsidRPr="008B316F" w14:paraId="78874089" w14:textId="77777777" w:rsidTr="00CB696F">
        <w:tc>
          <w:tcPr>
            <w:tcW w:w="1771" w:type="dxa"/>
            <w:tcBorders>
              <w:top w:val="single" w:sz="4" w:space="0" w:color="auto"/>
              <w:bottom w:val="single" w:sz="4" w:space="0" w:color="auto"/>
            </w:tcBorders>
          </w:tcPr>
          <w:p w14:paraId="513AC5D2" w14:textId="77777777" w:rsidR="00CB696F" w:rsidRPr="008B316F" w:rsidRDefault="00CB696F" w:rsidP="00CB696F">
            <w:pPr>
              <w:rPr>
                <w:rFonts w:ascii="Arial" w:hAnsi="Arial" w:cs="Arial"/>
                <w:b/>
              </w:rPr>
            </w:pPr>
            <w:r w:rsidRPr="008B316F">
              <w:rPr>
                <w:rFonts w:ascii="Arial" w:hAnsi="Arial" w:cs="Arial"/>
                <w:b/>
              </w:rPr>
              <w:t xml:space="preserve">Variable </w:t>
            </w:r>
          </w:p>
        </w:tc>
        <w:tc>
          <w:tcPr>
            <w:tcW w:w="1771" w:type="dxa"/>
            <w:tcBorders>
              <w:top w:val="single" w:sz="4" w:space="0" w:color="auto"/>
              <w:bottom w:val="single" w:sz="4" w:space="0" w:color="auto"/>
            </w:tcBorders>
          </w:tcPr>
          <w:p w14:paraId="56C3E0A8" w14:textId="77777777" w:rsidR="00CB696F" w:rsidRPr="008B316F" w:rsidRDefault="00CB696F" w:rsidP="00CB696F">
            <w:pPr>
              <w:rPr>
                <w:rFonts w:ascii="Arial" w:hAnsi="Arial" w:cs="Arial"/>
                <w:b/>
              </w:rPr>
            </w:pPr>
            <w:r w:rsidRPr="008B316F">
              <w:rPr>
                <w:rFonts w:ascii="Arial" w:hAnsi="Arial" w:cs="Arial"/>
                <w:b/>
              </w:rPr>
              <w:t xml:space="preserve">Coefficient </w:t>
            </w:r>
          </w:p>
        </w:tc>
        <w:tc>
          <w:tcPr>
            <w:tcW w:w="1771" w:type="dxa"/>
            <w:tcBorders>
              <w:top w:val="single" w:sz="4" w:space="0" w:color="auto"/>
              <w:bottom w:val="single" w:sz="4" w:space="0" w:color="auto"/>
            </w:tcBorders>
          </w:tcPr>
          <w:p w14:paraId="338E5EEE" w14:textId="77777777" w:rsidR="00CB696F" w:rsidRPr="008B316F" w:rsidRDefault="00CB696F" w:rsidP="00CB696F">
            <w:pPr>
              <w:rPr>
                <w:rFonts w:ascii="Arial" w:hAnsi="Arial" w:cs="Arial"/>
                <w:b/>
              </w:rPr>
            </w:pPr>
            <w:r w:rsidRPr="008B316F">
              <w:rPr>
                <w:rFonts w:ascii="Arial" w:hAnsi="Arial" w:cs="Arial"/>
                <w:b/>
              </w:rPr>
              <w:t xml:space="preserve">Std. error </w:t>
            </w:r>
          </w:p>
        </w:tc>
        <w:tc>
          <w:tcPr>
            <w:tcW w:w="1771" w:type="dxa"/>
            <w:tcBorders>
              <w:top w:val="single" w:sz="4" w:space="0" w:color="auto"/>
              <w:bottom w:val="single" w:sz="4" w:space="0" w:color="auto"/>
            </w:tcBorders>
          </w:tcPr>
          <w:p w14:paraId="77DC9864" w14:textId="77777777" w:rsidR="00CB696F" w:rsidRPr="008B316F" w:rsidRDefault="00CB696F" w:rsidP="00CB696F">
            <w:pPr>
              <w:rPr>
                <w:rFonts w:ascii="Arial" w:hAnsi="Arial" w:cs="Arial"/>
                <w:b/>
              </w:rPr>
            </w:pPr>
            <w:r w:rsidRPr="008B316F">
              <w:rPr>
                <w:rFonts w:ascii="Arial" w:hAnsi="Arial" w:cs="Arial"/>
                <w:b/>
              </w:rPr>
              <w:t xml:space="preserve">t-statistic </w:t>
            </w:r>
          </w:p>
        </w:tc>
        <w:tc>
          <w:tcPr>
            <w:tcW w:w="1772" w:type="dxa"/>
            <w:tcBorders>
              <w:top w:val="single" w:sz="4" w:space="0" w:color="auto"/>
              <w:bottom w:val="single" w:sz="4" w:space="0" w:color="auto"/>
            </w:tcBorders>
          </w:tcPr>
          <w:p w14:paraId="64CF1C8D" w14:textId="77777777" w:rsidR="00CB696F" w:rsidRPr="008B316F" w:rsidRDefault="00CB696F" w:rsidP="00CB696F">
            <w:pPr>
              <w:rPr>
                <w:rFonts w:ascii="Arial" w:hAnsi="Arial" w:cs="Arial"/>
                <w:b/>
              </w:rPr>
            </w:pPr>
            <w:r w:rsidRPr="008B316F">
              <w:rPr>
                <w:rFonts w:ascii="Arial" w:hAnsi="Arial" w:cs="Arial"/>
                <w:b/>
              </w:rPr>
              <w:t>P&gt;|t|</w:t>
            </w:r>
          </w:p>
        </w:tc>
      </w:tr>
      <w:tr w:rsidR="00CB696F" w:rsidRPr="008B316F" w14:paraId="54300C57" w14:textId="77777777" w:rsidTr="00CB696F">
        <w:tc>
          <w:tcPr>
            <w:tcW w:w="1771" w:type="dxa"/>
            <w:tcBorders>
              <w:top w:val="single" w:sz="4" w:space="0" w:color="auto"/>
            </w:tcBorders>
          </w:tcPr>
          <w:p w14:paraId="77C3B683" w14:textId="77777777" w:rsidR="00CB696F" w:rsidRPr="008B316F" w:rsidRDefault="00CB696F" w:rsidP="00CB696F">
            <w:pPr>
              <w:rPr>
                <w:rFonts w:ascii="Arial" w:hAnsi="Arial" w:cs="Arial"/>
              </w:rPr>
            </w:pPr>
            <w:r w:rsidRPr="008B316F">
              <w:rPr>
                <w:rFonts w:ascii="Arial" w:hAnsi="Arial" w:cs="Arial"/>
              </w:rPr>
              <w:t xml:space="preserve"> Constant </w:t>
            </w:r>
          </w:p>
        </w:tc>
        <w:tc>
          <w:tcPr>
            <w:tcW w:w="1771" w:type="dxa"/>
            <w:tcBorders>
              <w:top w:val="single" w:sz="4" w:space="0" w:color="auto"/>
            </w:tcBorders>
          </w:tcPr>
          <w:p w14:paraId="2A3DAB6A" w14:textId="77777777" w:rsidR="00CB696F" w:rsidRPr="008B316F" w:rsidRDefault="00CB696F" w:rsidP="00CB696F">
            <w:pPr>
              <w:rPr>
                <w:rFonts w:ascii="Arial" w:hAnsi="Arial" w:cs="Arial"/>
              </w:rPr>
            </w:pPr>
            <w:r w:rsidRPr="008B316F">
              <w:rPr>
                <w:rFonts w:ascii="Arial" w:hAnsi="Arial" w:cs="Arial"/>
              </w:rPr>
              <w:t>0.1783</w:t>
            </w:r>
          </w:p>
        </w:tc>
        <w:tc>
          <w:tcPr>
            <w:tcW w:w="1771" w:type="dxa"/>
            <w:tcBorders>
              <w:top w:val="single" w:sz="4" w:space="0" w:color="auto"/>
            </w:tcBorders>
          </w:tcPr>
          <w:p w14:paraId="1AE5C3AC" w14:textId="77777777" w:rsidR="00CB696F" w:rsidRPr="008B316F" w:rsidRDefault="00CB696F" w:rsidP="00CB696F">
            <w:pPr>
              <w:rPr>
                <w:rFonts w:ascii="Arial" w:hAnsi="Arial" w:cs="Arial"/>
              </w:rPr>
            </w:pPr>
            <w:r w:rsidRPr="008B316F">
              <w:rPr>
                <w:rFonts w:ascii="Arial" w:hAnsi="Arial" w:cs="Arial"/>
              </w:rPr>
              <w:t>0.107</w:t>
            </w:r>
          </w:p>
        </w:tc>
        <w:tc>
          <w:tcPr>
            <w:tcW w:w="1771" w:type="dxa"/>
            <w:tcBorders>
              <w:top w:val="single" w:sz="4" w:space="0" w:color="auto"/>
            </w:tcBorders>
          </w:tcPr>
          <w:p w14:paraId="7B905FDE" w14:textId="77777777" w:rsidR="00CB696F" w:rsidRPr="008B316F" w:rsidRDefault="00CB696F" w:rsidP="00CB696F">
            <w:pPr>
              <w:rPr>
                <w:rFonts w:ascii="Arial" w:hAnsi="Arial" w:cs="Arial"/>
              </w:rPr>
            </w:pPr>
            <w:r w:rsidRPr="008B316F">
              <w:rPr>
                <w:rFonts w:ascii="Arial" w:hAnsi="Arial" w:cs="Arial"/>
              </w:rPr>
              <w:t>1.666</w:t>
            </w:r>
          </w:p>
        </w:tc>
        <w:tc>
          <w:tcPr>
            <w:tcW w:w="1772" w:type="dxa"/>
            <w:tcBorders>
              <w:top w:val="single" w:sz="4" w:space="0" w:color="auto"/>
            </w:tcBorders>
          </w:tcPr>
          <w:p w14:paraId="6CBAC54D" w14:textId="77777777" w:rsidR="00CB696F" w:rsidRPr="008B316F" w:rsidRDefault="00CB696F" w:rsidP="00CB696F">
            <w:pPr>
              <w:rPr>
                <w:rFonts w:ascii="Arial" w:hAnsi="Arial" w:cs="Arial"/>
              </w:rPr>
            </w:pPr>
            <w:r w:rsidRPr="008B316F">
              <w:rPr>
                <w:rFonts w:ascii="Arial" w:hAnsi="Arial" w:cs="Arial"/>
              </w:rPr>
              <w:t>0.077</w:t>
            </w:r>
          </w:p>
        </w:tc>
      </w:tr>
      <w:tr w:rsidR="00CB696F" w:rsidRPr="008B316F" w14:paraId="0B5AA3B5" w14:textId="77777777" w:rsidTr="00CB696F">
        <w:tc>
          <w:tcPr>
            <w:tcW w:w="1771" w:type="dxa"/>
          </w:tcPr>
          <w:p w14:paraId="525638B3" w14:textId="77777777" w:rsidR="00CB696F" w:rsidRPr="008B316F" w:rsidRDefault="00CB696F" w:rsidP="00CB696F">
            <w:pPr>
              <w:rPr>
                <w:rFonts w:ascii="Arial" w:hAnsi="Arial" w:cs="Arial"/>
              </w:rPr>
            </w:pPr>
            <m:oMathPara>
              <m:oMath>
                <m:r>
                  <w:rPr>
                    <w:rFonts w:ascii="Arial" w:hAnsi="Cambria Math" w:cs="Arial"/>
                  </w:rPr>
                  <m:t>α</m:t>
                </m:r>
              </m:oMath>
            </m:oMathPara>
          </w:p>
        </w:tc>
        <w:tc>
          <w:tcPr>
            <w:tcW w:w="1771" w:type="dxa"/>
          </w:tcPr>
          <w:p w14:paraId="50CA15B9" w14:textId="77777777" w:rsidR="00CB696F" w:rsidRPr="008B316F" w:rsidRDefault="00CB696F" w:rsidP="00CB696F">
            <w:pPr>
              <w:rPr>
                <w:rFonts w:ascii="Arial" w:hAnsi="Arial" w:cs="Arial"/>
              </w:rPr>
            </w:pPr>
            <w:r w:rsidRPr="008B316F">
              <w:rPr>
                <w:rFonts w:ascii="Arial" w:hAnsi="Arial" w:cs="Arial"/>
              </w:rPr>
              <w:t>0.7036</w:t>
            </w:r>
          </w:p>
        </w:tc>
        <w:tc>
          <w:tcPr>
            <w:tcW w:w="1771" w:type="dxa"/>
          </w:tcPr>
          <w:p w14:paraId="73B04D38" w14:textId="77777777" w:rsidR="00CB696F" w:rsidRPr="008B316F" w:rsidRDefault="00CB696F" w:rsidP="00CB696F">
            <w:pPr>
              <w:rPr>
                <w:rFonts w:ascii="Arial" w:hAnsi="Arial" w:cs="Arial"/>
              </w:rPr>
            </w:pPr>
            <w:r w:rsidRPr="008B316F">
              <w:rPr>
                <w:rFonts w:ascii="Arial" w:hAnsi="Arial" w:cs="Arial"/>
              </w:rPr>
              <w:t>0.048</w:t>
            </w:r>
          </w:p>
        </w:tc>
        <w:tc>
          <w:tcPr>
            <w:tcW w:w="1771" w:type="dxa"/>
          </w:tcPr>
          <w:p w14:paraId="4D8F5694" w14:textId="77777777" w:rsidR="00CB696F" w:rsidRPr="008B316F" w:rsidRDefault="00CB696F" w:rsidP="00CB696F">
            <w:pPr>
              <w:rPr>
                <w:rFonts w:ascii="Arial" w:hAnsi="Arial" w:cs="Arial"/>
              </w:rPr>
            </w:pPr>
            <w:r w:rsidRPr="008B316F">
              <w:rPr>
                <w:rFonts w:ascii="Arial" w:hAnsi="Arial" w:cs="Arial"/>
              </w:rPr>
              <w:t>14.658</w:t>
            </w:r>
          </w:p>
        </w:tc>
        <w:tc>
          <w:tcPr>
            <w:tcW w:w="1772" w:type="dxa"/>
          </w:tcPr>
          <w:p w14:paraId="0EF941B6"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622E981E" w14:textId="77777777" w:rsidTr="00CB696F">
        <w:tc>
          <w:tcPr>
            <w:tcW w:w="1771" w:type="dxa"/>
          </w:tcPr>
          <w:p w14:paraId="2F472043" w14:textId="77777777" w:rsidR="00CB696F" w:rsidRPr="008B316F" w:rsidRDefault="00CB696F" w:rsidP="00CB696F">
            <w:pPr>
              <w:rPr>
                <w:rFonts w:ascii="Arial" w:hAnsi="Arial" w:cs="Arial"/>
              </w:rPr>
            </w:pPr>
            <m:oMathPara>
              <m:oMath>
                <m:r>
                  <w:rPr>
                    <w:rFonts w:ascii="Arial" w:hAnsi="Cambria Math" w:cs="Arial"/>
                  </w:rPr>
                  <m:t>γ</m:t>
                </m:r>
              </m:oMath>
            </m:oMathPara>
          </w:p>
        </w:tc>
        <w:tc>
          <w:tcPr>
            <w:tcW w:w="1771" w:type="dxa"/>
          </w:tcPr>
          <w:p w14:paraId="56AD6515" w14:textId="77777777" w:rsidR="00CB696F" w:rsidRPr="008B316F" w:rsidRDefault="00CB696F" w:rsidP="00CB696F">
            <w:pPr>
              <w:rPr>
                <w:rFonts w:ascii="Arial" w:hAnsi="Arial" w:cs="Arial"/>
              </w:rPr>
            </w:pPr>
            <w:r w:rsidRPr="008B316F">
              <w:rPr>
                <w:rFonts w:ascii="Arial" w:hAnsi="Arial" w:cs="Arial"/>
              </w:rPr>
              <w:t>0.0122</w:t>
            </w:r>
          </w:p>
        </w:tc>
        <w:tc>
          <w:tcPr>
            <w:tcW w:w="1771" w:type="dxa"/>
          </w:tcPr>
          <w:p w14:paraId="550BC00D" w14:textId="77777777" w:rsidR="00CB696F" w:rsidRPr="008B316F" w:rsidRDefault="00CB696F" w:rsidP="00CB696F">
            <w:pPr>
              <w:rPr>
                <w:rFonts w:ascii="Arial" w:hAnsi="Arial" w:cs="Arial"/>
              </w:rPr>
            </w:pPr>
            <w:r w:rsidRPr="008B316F">
              <w:rPr>
                <w:rFonts w:ascii="Arial" w:hAnsi="Arial" w:cs="Arial"/>
              </w:rPr>
              <w:t>0.004</w:t>
            </w:r>
          </w:p>
        </w:tc>
        <w:tc>
          <w:tcPr>
            <w:tcW w:w="1771" w:type="dxa"/>
          </w:tcPr>
          <w:p w14:paraId="3ED3A25E" w14:textId="77777777" w:rsidR="00CB696F" w:rsidRPr="008B316F" w:rsidRDefault="00CB696F" w:rsidP="00CB696F">
            <w:pPr>
              <w:rPr>
                <w:rFonts w:ascii="Arial" w:hAnsi="Arial" w:cs="Arial"/>
              </w:rPr>
            </w:pPr>
            <w:r w:rsidRPr="008B316F">
              <w:rPr>
                <w:rFonts w:ascii="Arial" w:hAnsi="Arial" w:cs="Arial"/>
              </w:rPr>
              <w:t>3.050</w:t>
            </w:r>
          </w:p>
        </w:tc>
        <w:tc>
          <w:tcPr>
            <w:tcW w:w="1772" w:type="dxa"/>
          </w:tcPr>
          <w:p w14:paraId="5808BC59" w14:textId="77777777" w:rsidR="00CB696F" w:rsidRPr="008B316F" w:rsidRDefault="00CB696F" w:rsidP="00CB696F">
            <w:pPr>
              <w:rPr>
                <w:rFonts w:ascii="Arial" w:hAnsi="Arial" w:cs="Arial"/>
              </w:rPr>
            </w:pPr>
            <w:r w:rsidRPr="008B316F">
              <w:rPr>
                <w:rFonts w:ascii="Arial" w:hAnsi="Arial" w:cs="Arial"/>
              </w:rPr>
              <w:t>0.002</w:t>
            </w:r>
          </w:p>
        </w:tc>
      </w:tr>
      <w:tr w:rsidR="00CB696F" w:rsidRPr="008B316F" w14:paraId="5D9F4C0B" w14:textId="77777777" w:rsidTr="00CB696F">
        <w:tc>
          <w:tcPr>
            <w:tcW w:w="1771" w:type="dxa"/>
          </w:tcPr>
          <w:p w14:paraId="308EA56B" w14:textId="77777777" w:rsidR="00CB696F" w:rsidRPr="008B316F" w:rsidRDefault="00530C5D" w:rsidP="00CB696F">
            <w:pPr>
              <w:rPr>
                <w:rFonts w:ascii="Arial" w:hAnsi="Arial" w:cs="Arial"/>
              </w:rPr>
            </w:pPr>
            <m:oMathPara>
              <m:oMath>
                <m:sSup>
                  <m:sSupPr>
                    <m:ctrlPr>
                      <w:rPr>
                        <w:rFonts w:ascii="Arial" w:hAnsi="Arial" w:cs="Arial"/>
                        <w:i/>
                      </w:rPr>
                    </m:ctrlPr>
                  </m:sSupPr>
                  <m:e>
                    <m:r>
                      <w:rPr>
                        <w:rFonts w:ascii="Arial" w:hAnsi="Cambria Math" w:cs="Arial"/>
                      </w:rPr>
                      <m:t>σ</m:t>
                    </m:r>
                  </m:e>
                  <m:sup>
                    <m:r>
                      <w:rPr>
                        <w:rFonts w:ascii="Arial" w:hAnsi="Arial" w:cs="Arial"/>
                      </w:rPr>
                      <m:t>2</m:t>
                    </m:r>
                  </m:sup>
                </m:sSup>
              </m:oMath>
            </m:oMathPara>
          </w:p>
        </w:tc>
        <w:tc>
          <w:tcPr>
            <w:tcW w:w="1771" w:type="dxa"/>
          </w:tcPr>
          <w:p w14:paraId="6B6CD0A3" w14:textId="77777777" w:rsidR="00CB696F" w:rsidRPr="008B316F" w:rsidRDefault="00CB696F" w:rsidP="00CB696F">
            <w:pPr>
              <w:rPr>
                <w:rFonts w:ascii="Arial" w:hAnsi="Arial" w:cs="Arial"/>
              </w:rPr>
            </w:pPr>
            <w:r w:rsidRPr="008B316F">
              <w:rPr>
                <w:rFonts w:ascii="Arial" w:hAnsi="Arial" w:cs="Arial"/>
              </w:rPr>
              <w:t>0.1247</w:t>
            </w:r>
          </w:p>
        </w:tc>
        <w:tc>
          <w:tcPr>
            <w:tcW w:w="1771" w:type="dxa"/>
          </w:tcPr>
          <w:p w14:paraId="488CE417" w14:textId="77777777" w:rsidR="00CB696F" w:rsidRPr="008B316F" w:rsidRDefault="00CB696F" w:rsidP="00CB696F">
            <w:pPr>
              <w:rPr>
                <w:rFonts w:ascii="Arial" w:hAnsi="Arial" w:cs="Arial"/>
              </w:rPr>
            </w:pPr>
            <w:r w:rsidRPr="008B316F">
              <w:rPr>
                <w:rFonts w:ascii="Arial" w:hAnsi="Arial" w:cs="Arial"/>
              </w:rPr>
              <w:t>0.024</w:t>
            </w:r>
          </w:p>
        </w:tc>
        <w:tc>
          <w:tcPr>
            <w:tcW w:w="1771" w:type="dxa"/>
          </w:tcPr>
          <w:p w14:paraId="60172F54" w14:textId="77777777" w:rsidR="00CB696F" w:rsidRPr="008B316F" w:rsidRDefault="00CB696F" w:rsidP="00CB696F">
            <w:pPr>
              <w:rPr>
                <w:rFonts w:ascii="Arial" w:hAnsi="Arial" w:cs="Arial"/>
              </w:rPr>
            </w:pPr>
            <w:r w:rsidRPr="008B316F">
              <w:rPr>
                <w:rFonts w:ascii="Arial" w:hAnsi="Arial" w:cs="Arial"/>
              </w:rPr>
              <w:t>5.196</w:t>
            </w:r>
          </w:p>
        </w:tc>
        <w:tc>
          <w:tcPr>
            <w:tcW w:w="1772" w:type="dxa"/>
          </w:tcPr>
          <w:p w14:paraId="747F95B6"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0F1F13B4" w14:textId="77777777" w:rsidTr="00CB696F">
        <w:tc>
          <w:tcPr>
            <w:tcW w:w="1771" w:type="dxa"/>
          </w:tcPr>
          <w:p w14:paraId="4335359C" w14:textId="77777777" w:rsidR="00CB696F" w:rsidRPr="008B316F" w:rsidRDefault="00CB696F" w:rsidP="00CB696F">
            <w:pPr>
              <w:rPr>
                <w:rFonts w:ascii="Arial" w:hAnsi="Arial" w:cs="Arial"/>
              </w:rPr>
            </w:pPr>
            <w:r w:rsidRPr="008B316F">
              <w:rPr>
                <w:rFonts w:ascii="Arial" w:hAnsi="Arial" w:cs="Arial"/>
              </w:rPr>
              <w:t xml:space="preserve">R-Squared </w:t>
            </w:r>
          </w:p>
        </w:tc>
        <w:tc>
          <w:tcPr>
            <w:tcW w:w="1771" w:type="dxa"/>
          </w:tcPr>
          <w:p w14:paraId="6B5685EC" w14:textId="77777777" w:rsidR="00CB696F" w:rsidRPr="008B316F" w:rsidRDefault="00CB696F" w:rsidP="00CB696F">
            <w:pPr>
              <w:rPr>
                <w:rFonts w:ascii="Arial" w:hAnsi="Arial" w:cs="Arial"/>
              </w:rPr>
            </w:pPr>
            <w:r w:rsidRPr="008B316F">
              <w:rPr>
                <w:rFonts w:ascii="Arial" w:hAnsi="Arial" w:cs="Arial"/>
              </w:rPr>
              <w:t>0.794</w:t>
            </w:r>
          </w:p>
        </w:tc>
        <w:tc>
          <w:tcPr>
            <w:tcW w:w="1771" w:type="dxa"/>
          </w:tcPr>
          <w:p w14:paraId="715CB048" w14:textId="77777777" w:rsidR="00CB696F" w:rsidRPr="008B316F" w:rsidRDefault="00CB696F" w:rsidP="00CB696F">
            <w:pPr>
              <w:rPr>
                <w:rFonts w:ascii="Arial" w:hAnsi="Arial" w:cs="Arial"/>
              </w:rPr>
            </w:pPr>
          </w:p>
        </w:tc>
        <w:tc>
          <w:tcPr>
            <w:tcW w:w="1771" w:type="dxa"/>
          </w:tcPr>
          <w:p w14:paraId="0BE3BC9C" w14:textId="77777777" w:rsidR="00CB696F" w:rsidRPr="008B316F" w:rsidRDefault="00CB696F" w:rsidP="00CB696F">
            <w:pPr>
              <w:rPr>
                <w:rFonts w:ascii="Arial" w:hAnsi="Arial" w:cs="Arial"/>
              </w:rPr>
            </w:pPr>
            <w:r w:rsidRPr="008B316F">
              <w:rPr>
                <w:rFonts w:ascii="Arial" w:hAnsi="Arial" w:cs="Arial"/>
              </w:rPr>
              <w:t>AIC</w:t>
            </w:r>
          </w:p>
        </w:tc>
        <w:tc>
          <w:tcPr>
            <w:tcW w:w="1772" w:type="dxa"/>
          </w:tcPr>
          <w:p w14:paraId="3AC7694A" w14:textId="77777777" w:rsidR="00CB696F" w:rsidRPr="008B316F" w:rsidRDefault="00CB696F" w:rsidP="00CB696F">
            <w:pPr>
              <w:rPr>
                <w:rFonts w:ascii="Arial" w:hAnsi="Arial" w:cs="Arial"/>
              </w:rPr>
            </w:pPr>
            <w:r w:rsidRPr="008B316F">
              <w:rPr>
                <w:rFonts w:ascii="Arial" w:hAnsi="Arial" w:cs="Arial"/>
              </w:rPr>
              <w:t>237.4</w:t>
            </w:r>
          </w:p>
        </w:tc>
      </w:tr>
      <w:tr w:rsidR="00CB696F" w:rsidRPr="008B316F" w14:paraId="216F3325" w14:textId="77777777" w:rsidTr="00CB696F">
        <w:tc>
          <w:tcPr>
            <w:tcW w:w="1771" w:type="dxa"/>
          </w:tcPr>
          <w:p w14:paraId="36438F5F" w14:textId="77777777" w:rsidR="00CB696F" w:rsidRPr="008B316F" w:rsidRDefault="00CB696F" w:rsidP="00CB696F">
            <w:pPr>
              <w:rPr>
                <w:rFonts w:ascii="Arial" w:hAnsi="Arial" w:cs="Arial"/>
              </w:rPr>
            </w:pPr>
            <w:r w:rsidRPr="008B316F">
              <w:rPr>
                <w:rFonts w:ascii="Arial" w:hAnsi="Arial" w:cs="Arial"/>
              </w:rPr>
              <w:t xml:space="preserve">Adj. R-Squared </w:t>
            </w:r>
          </w:p>
        </w:tc>
        <w:tc>
          <w:tcPr>
            <w:tcW w:w="1771" w:type="dxa"/>
          </w:tcPr>
          <w:p w14:paraId="58E00514" w14:textId="77777777" w:rsidR="00CB696F" w:rsidRPr="008B316F" w:rsidRDefault="00CB696F" w:rsidP="00CB696F">
            <w:pPr>
              <w:rPr>
                <w:rFonts w:ascii="Arial" w:hAnsi="Arial" w:cs="Arial"/>
              </w:rPr>
            </w:pPr>
            <w:r w:rsidRPr="008B316F">
              <w:rPr>
                <w:rFonts w:ascii="Arial" w:hAnsi="Arial" w:cs="Arial"/>
              </w:rPr>
              <w:t>0.788</w:t>
            </w:r>
          </w:p>
        </w:tc>
        <w:tc>
          <w:tcPr>
            <w:tcW w:w="1771" w:type="dxa"/>
          </w:tcPr>
          <w:p w14:paraId="252FBABE" w14:textId="77777777" w:rsidR="00CB696F" w:rsidRPr="008B316F" w:rsidRDefault="00CB696F" w:rsidP="00CB696F">
            <w:pPr>
              <w:rPr>
                <w:rFonts w:ascii="Arial" w:hAnsi="Arial" w:cs="Arial"/>
              </w:rPr>
            </w:pPr>
          </w:p>
        </w:tc>
        <w:tc>
          <w:tcPr>
            <w:tcW w:w="1771" w:type="dxa"/>
          </w:tcPr>
          <w:p w14:paraId="331BC2C5" w14:textId="77777777" w:rsidR="00CB696F" w:rsidRPr="008B316F" w:rsidRDefault="00CB696F" w:rsidP="00CB696F">
            <w:pPr>
              <w:rPr>
                <w:rFonts w:ascii="Arial" w:hAnsi="Arial" w:cs="Arial"/>
              </w:rPr>
            </w:pPr>
            <w:r w:rsidRPr="008B316F">
              <w:rPr>
                <w:rFonts w:ascii="Arial" w:hAnsi="Arial" w:cs="Arial"/>
              </w:rPr>
              <w:t>BIC</w:t>
            </w:r>
          </w:p>
        </w:tc>
        <w:tc>
          <w:tcPr>
            <w:tcW w:w="1772" w:type="dxa"/>
          </w:tcPr>
          <w:p w14:paraId="4B0BDECD" w14:textId="77777777" w:rsidR="00CB696F" w:rsidRPr="008B316F" w:rsidRDefault="00CB696F" w:rsidP="00CB696F">
            <w:pPr>
              <w:rPr>
                <w:rFonts w:ascii="Arial" w:hAnsi="Arial" w:cs="Arial"/>
              </w:rPr>
            </w:pPr>
            <w:r w:rsidRPr="008B316F">
              <w:rPr>
                <w:rFonts w:ascii="Arial" w:hAnsi="Arial" w:cs="Arial"/>
              </w:rPr>
              <w:t>246.5</w:t>
            </w:r>
          </w:p>
        </w:tc>
      </w:tr>
      <w:tr w:rsidR="00CB696F" w:rsidRPr="008B316F" w14:paraId="2268BD67" w14:textId="77777777" w:rsidTr="00CB696F">
        <w:tc>
          <w:tcPr>
            <w:tcW w:w="1771" w:type="dxa"/>
          </w:tcPr>
          <w:p w14:paraId="4209CFA8" w14:textId="77777777" w:rsidR="00CB696F" w:rsidRPr="008B316F" w:rsidRDefault="00CB696F" w:rsidP="00CB696F">
            <w:pPr>
              <w:rPr>
                <w:rFonts w:ascii="Arial" w:hAnsi="Arial" w:cs="Arial"/>
              </w:rPr>
            </w:pPr>
            <w:r w:rsidRPr="008B316F">
              <w:rPr>
                <w:rFonts w:ascii="Arial" w:hAnsi="Arial" w:cs="Arial"/>
              </w:rPr>
              <w:lastRenderedPageBreak/>
              <w:t xml:space="preserve">F-Statistic </w:t>
            </w:r>
          </w:p>
        </w:tc>
        <w:tc>
          <w:tcPr>
            <w:tcW w:w="1771" w:type="dxa"/>
          </w:tcPr>
          <w:p w14:paraId="0D70493C" w14:textId="77777777" w:rsidR="00CB696F" w:rsidRPr="008B316F" w:rsidRDefault="00CB696F" w:rsidP="00CB696F">
            <w:pPr>
              <w:rPr>
                <w:rFonts w:ascii="Arial" w:hAnsi="Arial" w:cs="Arial"/>
              </w:rPr>
            </w:pPr>
            <w:r w:rsidRPr="008B316F">
              <w:rPr>
                <w:rFonts w:ascii="Arial" w:hAnsi="Arial" w:cs="Arial"/>
              </w:rPr>
              <w:t>181.4</w:t>
            </w:r>
          </w:p>
        </w:tc>
        <w:tc>
          <w:tcPr>
            <w:tcW w:w="1771" w:type="dxa"/>
          </w:tcPr>
          <w:p w14:paraId="27B6372C" w14:textId="77777777" w:rsidR="00CB696F" w:rsidRPr="008B316F" w:rsidRDefault="00CB696F" w:rsidP="00CB696F">
            <w:pPr>
              <w:rPr>
                <w:rFonts w:ascii="Arial" w:hAnsi="Arial" w:cs="Arial"/>
              </w:rPr>
            </w:pPr>
          </w:p>
        </w:tc>
        <w:tc>
          <w:tcPr>
            <w:tcW w:w="1771" w:type="dxa"/>
          </w:tcPr>
          <w:p w14:paraId="146F6B8D" w14:textId="77777777" w:rsidR="00CB696F" w:rsidRPr="008B316F" w:rsidRDefault="00CB696F" w:rsidP="00CB696F">
            <w:pPr>
              <w:rPr>
                <w:rFonts w:ascii="Arial" w:hAnsi="Arial" w:cs="Arial"/>
              </w:rPr>
            </w:pPr>
            <w:r w:rsidRPr="008B316F">
              <w:rPr>
                <w:rFonts w:ascii="Arial" w:hAnsi="Arial" w:cs="Arial"/>
              </w:rPr>
              <w:t>Durbin-Watson</w:t>
            </w:r>
          </w:p>
        </w:tc>
        <w:tc>
          <w:tcPr>
            <w:tcW w:w="1772" w:type="dxa"/>
          </w:tcPr>
          <w:p w14:paraId="117DCE87" w14:textId="77777777" w:rsidR="00CB696F" w:rsidRPr="008B316F" w:rsidRDefault="00CB696F" w:rsidP="00CB696F">
            <w:pPr>
              <w:rPr>
                <w:rFonts w:ascii="Arial" w:hAnsi="Arial" w:cs="Arial"/>
              </w:rPr>
            </w:pPr>
            <w:r w:rsidRPr="008B316F">
              <w:rPr>
                <w:rFonts w:ascii="Arial" w:hAnsi="Arial" w:cs="Arial"/>
              </w:rPr>
              <w:t>1.882</w:t>
            </w:r>
          </w:p>
        </w:tc>
      </w:tr>
      <w:tr w:rsidR="00CB696F" w:rsidRPr="008B316F" w14:paraId="7E666473" w14:textId="77777777" w:rsidTr="00CB696F">
        <w:tc>
          <w:tcPr>
            <w:tcW w:w="1771" w:type="dxa"/>
          </w:tcPr>
          <w:p w14:paraId="2736E047" w14:textId="77777777" w:rsidR="00CB696F" w:rsidRPr="008B316F" w:rsidRDefault="00CB696F" w:rsidP="00CB696F">
            <w:pPr>
              <w:rPr>
                <w:rFonts w:ascii="Arial" w:hAnsi="Arial" w:cs="Arial"/>
              </w:rPr>
            </w:pPr>
            <w:r w:rsidRPr="008B316F">
              <w:rPr>
                <w:rFonts w:ascii="Arial" w:hAnsi="Arial" w:cs="Arial"/>
              </w:rPr>
              <w:t>Prob (F-statistic)</w:t>
            </w:r>
          </w:p>
        </w:tc>
        <w:tc>
          <w:tcPr>
            <w:tcW w:w="1771" w:type="dxa"/>
          </w:tcPr>
          <w:p w14:paraId="7F46BEAF" w14:textId="77777777" w:rsidR="00CB696F" w:rsidRPr="008B316F" w:rsidRDefault="00CB696F" w:rsidP="00CB696F">
            <w:pPr>
              <w:rPr>
                <w:rFonts w:ascii="Arial" w:hAnsi="Arial" w:cs="Arial"/>
              </w:rPr>
            </w:pPr>
            <w:r w:rsidRPr="008B316F">
              <w:rPr>
                <w:rFonts w:ascii="Arial" w:hAnsi="Arial" w:cs="Arial"/>
              </w:rPr>
              <w:t>1.26e-28</w:t>
            </w:r>
          </w:p>
        </w:tc>
        <w:tc>
          <w:tcPr>
            <w:tcW w:w="1771" w:type="dxa"/>
          </w:tcPr>
          <w:p w14:paraId="580E36EF" w14:textId="77777777" w:rsidR="00CB696F" w:rsidRPr="008B316F" w:rsidRDefault="00CB696F" w:rsidP="00CB696F">
            <w:pPr>
              <w:rPr>
                <w:rFonts w:ascii="Arial" w:hAnsi="Arial" w:cs="Arial"/>
              </w:rPr>
            </w:pPr>
          </w:p>
        </w:tc>
        <w:tc>
          <w:tcPr>
            <w:tcW w:w="1771" w:type="dxa"/>
          </w:tcPr>
          <w:p w14:paraId="345E564D" w14:textId="77777777" w:rsidR="00CB696F" w:rsidRPr="008B316F" w:rsidRDefault="00CB696F" w:rsidP="00CB696F">
            <w:pPr>
              <w:rPr>
                <w:rFonts w:ascii="Arial" w:hAnsi="Arial" w:cs="Arial"/>
              </w:rPr>
            </w:pPr>
            <w:r w:rsidRPr="008B316F">
              <w:rPr>
                <w:rFonts w:ascii="Arial" w:hAnsi="Arial" w:cs="Arial"/>
              </w:rPr>
              <w:t>Jarque-Bera (JB)</w:t>
            </w:r>
          </w:p>
        </w:tc>
        <w:tc>
          <w:tcPr>
            <w:tcW w:w="1772" w:type="dxa"/>
          </w:tcPr>
          <w:p w14:paraId="22219BE5" w14:textId="77777777" w:rsidR="00CB696F" w:rsidRPr="008B316F" w:rsidRDefault="00CB696F" w:rsidP="00CB696F">
            <w:pPr>
              <w:rPr>
                <w:rFonts w:ascii="Arial" w:hAnsi="Arial" w:cs="Arial"/>
              </w:rPr>
            </w:pPr>
            <w:r w:rsidRPr="008B316F">
              <w:rPr>
                <w:rFonts w:ascii="Arial" w:hAnsi="Arial" w:cs="Arial"/>
              </w:rPr>
              <w:t>10.779</w:t>
            </w:r>
          </w:p>
        </w:tc>
      </w:tr>
      <w:tr w:rsidR="00CB696F" w:rsidRPr="008B316F" w14:paraId="230CF549" w14:textId="77777777" w:rsidTr="00CB696F">
        <w:tc>
          <w:tcPr>
            <w:tcW w:w="1771" w:type="dxa"/>
          </w:tcPr>
          <w:p w14:paraId="39287BD3" w14:textId="77777777" w:rsidR="00CB696F" w:rsidRPr="008B316F" w:rsidRDefault="00CB696F" w:rsidP="00CB696F">
            <w:pPr>
              <w:rPr>
                <w:rFonts w:ascii="Arial" w:hAnsi="Arial" w:cs="Arial"/>
              </w:rPr>
            </w:pPr>
            <w:r w:rsidRPr="008B316F">
              <w:rPr>
                <w:rFonts w:ascii="Arial" w:hAnsi="Arial" w:cs="Arial"/>
              </w:rPr>
              <w:t>Log-Likelihood</w:t>
            </w:r>
          </w:p>
        </w:tc>
        <w:tc>
          <w:tcPr>
            <w:tcW w:w="1771" w:type="dxa"/>
          </w:tcPr>
          <w:p w14:paraId="612324CB" w14:textId="77777777" w:rsidR="00CB696F" w:rsidRPr="008B316F" w:rsidRDefault="00CB696F" w:rsidP="00CB696F">
            <w:pPr>
              <w:rPr>
                <w:rFonts w:ascii="Arial" w:hAnsi="Arial" w:cs="Arial"/>
              </w:rPr>
            </w:pPr>
            <w:r w:rsidRPr="008B316F">
              <w:rPr>
                <w:rFonts w:ascii="Arial" w:hAnsi="Arial" w:cs="Arial"/>
              </w:rPr>
              <w:t>-116.33</w:t>
            </w:r>
          </w:p>
        </w:tc>
        <w:tc>
          <w:tcPr>
            <w:tcW w:w="1771" w:type="dxa"/>
          </w:tcPr>
          <w:p w14:paraId="1C47631A" w14:textId="77777777" w:rsidR="00CB696F" w:rsidRPr="008B316F" w:rsidRDefault="00CB696F" w:rsidP="00CB696F">
            <w:pPr>
              <w:rPr>
                <w:rFonts w:ascii="Arial" w:hAnsi="Arial" w:cs="Arial"/>
              </w:rPr>
            </w:pPr>
          </w:p>
        </w:tc>
        <w:tc>
          <w:tcPr>
            <w:tcW w:w="1771" w:type="dxa"/>
          </w:tcPr>
          <w:p w14:paraId="79B1B0BD" w14:textId="77777777" w:rsidR="00CB696F" w:rsidRPr="008B316F" w:rsidRDefault="00CB696F" w:rsidP="00CB696F">
            <w:pPr>
              <w:rPr>
                <w:rFonts w:ascii="Arial" w:hAnsi="Arial" w:cs="Arial"/>
              </w:rPr>
            </w:pPr>
            <w:r w:rsidRPr="008B316F">
              <w:rPr>
                <w:rFonts w:ascii="Arial" w:hAnsi="Arial" w:cs="Arial"/>
              </w:rPr>
              <w:t>Prob (JB)</w:t>
            </w:r>
          </w:p>
        </w:tc>
        <w:tc>
          <w:tcPr>
            <w:tcW w:w="1772" w:type="dxa"/>
          </w:tcPr>
          <w:p w14:paraId="30D629C3" w14:textId="77777777" w:rsidR="00CB696F" w:rsidRPr="008B316F" w:rsidRDefault="00CB696F" w:rsidP="00CB696F">
            <w:pPr>
              <w:rPr>
                <w:rFonts w:ascii="Arial" w:hAnsi="Arial" w:cs="Arial"/>
              </w:rPr>
            </w:pPr>
            <w:r w:rsidRPr="008B316F">
              <w:rPr>
                <w:rFonts w:ascii="Arial" w:hAnsi="Arial" w:cs="Arial"/>
              </w:rPr>
              <w:t>0.00446</w:t>
            </w:r>
          </w:p>
        </w:tc>
      </w:tr>
      <w:tr w:rsidR="00CB696F" w:rsidRPr="008B316F" w14:paraId="1422934C" w14:textId="77777777" w:rsidTr="00CB696F">
        <w:tc>
          <w:tcPr>
            <w:tcW w:w="1771" w:type="dxa"/>
          </w:tcPr>
          <w:p w14:paraId="432AA405" w14:textId="77777777" w:rsidR="00CB696F" w:rsidRPr="008B316F" w:rsidRDefault="00CB696F" w:rsidP="00CB696F">
            <w:pPr>
              <w:rPr>
                <w:rFonts w:ascii="Arial" w:hAnsi="Arial" w:cs="Arial"/>
              </w:rPr>
            </w:pPr>
            <w:r w:rsidRPr="008B316F">
              <w:rPr>
                <w:rFonts w:ascii="Arial" w:hAnsi="Arial" w:cs="Arial"/>
              </w:rPr>
              <w:t>Omnibus</w:t>
            </w:r>
          </w:p>
        </w:tc>
        <w:tc>
          <w:tcPr>
            <w:tcW w:w="1771" w:type="dxa"/>
          </w:tcPr>
          <w:p w14:paraId="55E33DFD" w14:textId="77777777" w:rsidR="00CB696F" w:rsidRPr="008B316F" w:rsidRDefault="00CB696F" w:rsidP="00CB696F">
            <w:pPr>
              <w:rPr>
                <w:rFonts w:ascii="Arial" w:hAnsi="Arial" w:cs="Arial"/>
              </w:rPr>
            </w:pPr>
            <w:r w:rsidRPr="008B316F">
              <w:rPr>
                <w:rFonts w:ascii="Arial" w:hAnsi="Arial" w:cs="Arial"/>
              </w:rPr>
              <w:t>8.745</w:t>
            </w:r>
          </w:p>
        </w:tc>
        <w:tc>
          <w:tcPr>
            <w:tcW w:w="1771" w:type="dxa"/>
          </w:tcPr>
          <w:p w14:paraId="09CDFB84" w14:textId="77777777" w:rsidR="00CB696F" w:rsidRPr="008B316F" w:rsidRDefault="00CB696F" w:rsidP="00CB696F">
            <w:pPr>
              <w:rPr>
                <w:rFonts w:ascii="Arial" w:hAnsi="Arial" w:cs="Arial"/>
              </w:rPr>
            </w:pPr>
          </w:p>
        </w:tc>
        <w:tc>
          <w:tcPr>
            <w:tcW w:w="1771" w:type="dxa"/>
          </w:tcPr>
          <w:p w14:paraId="3E3699F2" w14:textId="77777777" w:rsidR="00CB696F" w:rsidRPr="008B316F" w:rsidRDefault="00CB696F" w:rsidP="00CB696F">
            <w:pPr>
              <w:rPr>
                <w:rFonts w:ascii="Arial" w:hAnsi="Arial" w:cs="Arial"/>
              </w:rPr>
            </w:pPr>
            <w:r w:rsidRPr="008B316F">
              <w:rPr>
                <w:rFonts w:ascii="Arial" w:hAnsi="Arial" w:cs="Arial"/>
              </w:rPr>
              <w:t>Skew</w:t>
            </w:r>
          </w:p>
        </w:tc>
        <w:tc>
          <w:tcPr>
            <w:tcW w:w="1772" w:type="dxa"/>
          </w:tcPr>
          <w:p w14:paraId="4FBCAC15" w14:textId="77777777" w:rsidR="00CB696F" w:rsidRPr="008B316F" w:rsidRDefault="00CB696F" w:rsidP="00CB696F">
            <w:pPr>
              <w:rPr>
                <w:rFonts w:ascii="Arial" w:hAnsi="Arial" w:cs="Arial"/>
              </w:rPr>
            </w:pPr>
            <w:r w:rsidRPr="008B316F">
              <w:rPr>
                <w:rFonts w:ascii="Arial" w:hAnsi="Arial" w:cs="Arial"/>
              </w:rPr>
              <w:t>-0.568</w:t>
            </w:r>
          </w:p>
        </w:tc>
      </w:tr>
      <w:tr w:rsidR="00CB696F" w:rsidRPr="008B316F" w14:paraId="50A14815" w14:textId="77777777" w:rsidTr="00CB696F">
        <w:tc>
          <w:tcPr>
            <w:tcW w:w="1771" w:type="dxa"/>
          </w:tcPr>
          <w:p w14:paraId="0D799325" w14:textId="77777777" w:rsidR="00CB696F" w:rsidRPr="008B316F" w:rsidRDefault="00CB696F" w:rsidP="00CB696F">
            <w:pPr>
              <w:rPr>
                <w:rFonts w:ascii="Arial" w:hAnsi="Arial" w:cs="Arial"/>
              </w:rPr>
            </w:pPr>
            <w:r w:rsidRPr="008B316F">
              <w:rPr>
                <w:rFonts w:ascii="Arial" w:hAnsi="Arial" w:cs="Arial"/>
              </w:rPr>
              <w:t>Prob (Omnibus)</w:t>
            </w:r>
          </w:p>
        </w:tc>
        <w:tc>
          <w:tcPr>
            <w:tcW w:w="1771" w:type="dxa"/>
          </w:tcPr>
          <w:p w14:paraId="0C0E9F54" w14:textId="77777777" w:rsidR="00CB696F" w:rsidRPr="008B316F" w:rsidRDefault="00CB696F" w:rsidP="00CB696F">
            <w:pPr>
              <w:rPr>
                <w:rFonts w:ascii="Arial" w:hAnsi="Arial" w:cs="Arial"/>
              </w:rPr>
            </w:pPr>
            <w:r w:rsidRPr="008B316F">
              <w:rPr>
                <w:rFonts w:ascii="Arial" w:hAnsi="Arial" w:cs="Arial"/>
              </w:rPr>
              <w:t>0.012</w:t>
            </w:r>
          </w:p>
        </w:tc>
        <w:tc>
          <w:tcPr>
            <w:tcW w:w="1771" w:type="dxa"/>
          </w:tcPr>
          <w:p w14:paraId="2803056D" w14:textId="77777777" w:rsidR="00CB696F" w:rsidRPr="008B316F" w:rsidRDefault="00CB696F" w:rsidP="00CB696F">
            <w:pPr>
              <w:rPr>
                <w:rFonts w:ascii="Arial" w:hAnsi="Arial" w:cs="Arial"/>
              </w:rPr>
            </w:pPr>
          </w:p>
        </w:tc>
        <w:tc>
          <w:tcPr>
            <w:tcW w:w="1771" w:type="dxa"/>
          </w:tcPr>
          <w:p w14:paraId="16F3EB03" w14:textId="77777777" w:rsidR="00CB696F" w:rsidRPr="008B316F" w:rsidRDefault="00CB696F" w:rsidP="00CB696F">
            <w:pPr>
              <w:rPr>
                <w:rFonts w:ascii="Arial" w:hAnsi="Arial" w:cs="Arial"/>
              </w:rPr>
            </w:pPr>
            <w:r w:rsidRPr="008B316F">
              <w:rPr>
                <w:rFonts w:ascii="Arial" w:hAnsi="Arial" w:cs="Arial"/>
              </w:rPr>
              <w:t>Kurtosis</w:t>
            </w:r>
          </w:p>
        </w:tc>
        <w:tc>
          <w:tcPr>
            <w:tcW w:w="1772" w:type="dxa"/>
          </w:tcPr>
          <w:p w14:paraId="268B7F59" w14:textId="77777777" w:rsidR="00CB696F" w:rsidRPr="008B316F" w:rsidRDefault="00CB696F" w:rsidP="00CB696F">
            <w:pPr>
              <w:rPr>
                <w:rFonts w:ascii="Arial" w:hAnsi="Arial" w:cs="Arial"/>
              </w:rPr>
            </w:pPr>
            <w:r w:rsidRPr="008B316F">
              <w:rPr>
                <w:rFonts w:ascii="Arial" w:hAnsi="Arial" w:cs="Arial"/>
              </w:rPr>
              <w:t>4.172</w:t>
            </w:r>
          </w:p>
        </w:tc>
      </w:tr>
    </w:tbl>
    <w:p w14:paraId="565723CC" w14:textId="77777777" w:rsidR="00CB696F" w:rsidRPr="00EB2CAE" w:rsidRDefault="00CB696F" w:rsidP="00CB696F">
      <w:pPr>
        <w:rPr>
          <w:rFonts w:ascii="Times New Roman" w:hAnsi="Times New Roman"/>
          <w:b/>
          <w:sz w:val="24"/>
          <w:szCs w:val="24"/>
        </w:rPr>
      </w:pPr>
    </w:p>
    <w:p w14:paraId="68051E9A" w14:textId="77777777" w:rsidR="00CB696F" w:rsidRPr="008B316F" w:rsidRDefault="00CB696F" w:rsidP="00CB696F">
      <w:pPr>
        <w:rPr>
          <w:rFonts w:ascii="Arial" w:hAnsi="Arial" w:cs="Arial"/>
        </w:rPr>
      </w:pPr>
      <w:r w:rsidRPr="008B316F">
        <w:rPr>
          <w:rFonts w:ascii="Arial" w:hAnsi="Arial" w:cs="Arial"/>
          <w:b/>
        </w:rPr>
        <w:t>Table 4:</w:t>
      </w:r>
      <w:r w:rsidRPr="008B316F">
        <w:rPr>
          <w:rFonts w:ascii="Arial" w:hAnsi="Arial" w:cs="Arial"/>
        </w:rPr>
        <w:t xml:space="preserve"> </w:t>
      </w:r>
      <w:r w:rsidRPr="008B316F">
        <w:rPr>
          <w:rFonts w:ascii="Arial" w:hAnsi="Arial" w:cs="Arial"/>
          <w:b/>
        </w:rPr>
        <w:t xml:space="preserve">Parameter Estimate of </w:t>
      </w:r>
      <w:proofErr w:type="gramStart"/>
      <w:r w:rsidRPr="008B316F">
        <w:rPr>
          <w:rFonts w:ascii="Arial" w:hAnsi="Arial" w:cs="Arial"/>
          <w:b/>
        </w:rPr>
        <w:t>PAR(</w:t>
      </w:r>
      <w:proofErr w:type="gramEnd"/>
      <w:r w:rsidRPr="008B316F">
        <w:rPr>
          <w:rFonts w:ascii="Arial" w:hAnsi="Arial" w:cs="Arial"/>
          <w:b/>
        </w:rPr>
        <w:t>1) Model for VHP Infection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738"/>
        <w:gridCol w:w="1185"/>
        <w:gridCol w:w="2039"/>
        <w:gridCol w:w="1320"/>
      </w:tblGrid>
      <w:tr w:rsidR="00CB696F" w:rsidRPr="008B316F" w14:paraId="6A445904" w14:textId="77777777" w:rsidTr="00CB696F">
        <w:tc>
          <w:tcPr>
            <w:tcW w:w="2268" w:type="dxa"/>
            <w:tcBorders>
              <w:top w:val="single" w:sz="4" w:space="0" w:color="auto"/>
              <w:bottom w:val="single" w:sz="4" w:space="0" w:color="auto"/>
            </w:tcBorders>
          </w:tcPr>
          <w:p w14:paraId="2773DD74" w14:textId="77777777" w:rsidR="00CB696F" w:rsidRPr="008B316F" w:rsidRDefault="00CB696F" w:rsidP="00CB696F">
            <w:pPr>
              <w:rPr>
                <w:rFonts w:ascii="Arial" w:hAnsi="Arial" w:cs="Arial"/>
                <w:b/>
              </w:rPr>
            </w:pPr>
            <w:r w:rsidRPr="008B316F">
              <w:rPr>
                <w:rFonts w:ascii="Arial" w:hAnsi="Arial" w:cs="Arial"/>
                <w:b/>
              </w:rPr>
              <w:t xml:space="preserve">Variable </w:t>
            </w:r>
          </w:p>
        </w:tc>
        <w:tc>
          <w:tcPr>
            <w:tcW w:w="1800" w:type="dxa"/>
            <w:tcBorders>
              <w:top w:val="single" w:sz="4" w:space="0" w:color="auto"/>
              <w:bottom w:val="single" w:sz="4" w:space="0" w:color="auto"/>
            </w:tcBorders>
          </w:tcPr>
          <w:p w14:paraId="23036703" w14:textId="77777777" w:rsidR="00CB696F" w:rsidRPr="008B316F" w:rsidRDefault="00CB696F" w:rsidP="00CB696F">
            <w:pPr>
              <w:rPr>
                <w:rFonts w:ascii="Arial" w:hAnsi="Arial" w:cs="Arial"/>
                <w:b/>
              </w:rPr>
            </w:pPr>
            <w:r w:rsidRPr="008B316F">
              <w:rPr>
                <w:rFonts w:ascii="Arial" w:hAnsi="Arial" w:cs="Arial"/>
                <w:b/>
              </w:rPr>
              <w:t xml:space="preserve">Coefficient </w:t>
            </w:r>
          </w:p>
        </w:tc>
        <w:tc>
          <w:tcPr>
            <w:tcW w:w="1245" w:type="dxa"/>
            <w:tcBorders>
              <w:top w:val="single" w:sz="4" w:space="0" w:color="auto"/>
              <w:bottom w:val="single" w:sz="4" w:space="0" w:color="auto"/>
            </w:tcBorders>
          </w:tcPr>
          <w:p w14:paraId="54939696" w14:textId="77777777" w:rsidR="00CB696F" w:rsidRPr="008B316F" w:rsidRDefault="00CB696F" w:rsidP="00CB696F">
            <w:pPr>
              <w:rPr>
                <w:rFonts w:ascii="Arial" w:hAnsi="Arial" w:cs="Arial"/>
                <w:b/>
              </w:rPr>
            </w:pPr>
            <w:r w:rsidRPr="008B316F">
              <w:rPr>
                <w:rFonts w:ascii="Arial" w:hAnsi="Arial" w:cs="Arial"/>
                <w:b/>
              </w:rPr>
              <w:t xml:space="preserve">Std. error </w:t>
            </w:r>
          </w:p>
        </w:tc>
        <w:tc>
          <w:tcPr>
            <w:tcW w:w="2175" w:type="dxa"/>
            <w:tcBorders>
              <w:top w:val="single" w:sz="4" w:space="0" w:color="auto"/>
              <w:bottom w:val="single" w:sz="4" w:space="0" w:color="auto"/>
            </w:tcBorders>
          </w:tcPr>
          <w:p w14:paraId="3D04D0AF" w14:textId="77777777" w:rsidR="00CB696F" w:rsidRPr="008B316F" w:rsidRDefault="00CB696F" w:rsidP="00CB696F">
            <w:pPr>
              <w:rPr>
                <w:rFonts w:ascii="Arial" w:hAnsi="Arial" w:cs="Arial"/>
                <w:b/>
              </w:rPr>
            </w:pPr>
            <w:r w:rsidRPr="008B316F">
              <w:rPr>
                <w:rFonts w:ascii="Arial" w:hAnsi="Arial" w:cs="Arial"/>
                <w:b/>
              </w:rPr>
              <w:t xml:space="preserve">t-statistic </w:t>
            </w:r>
          </w:p>
        </w:tc>
        <w:tc>
          <w:tcPr>
            <w:tcW w:w="1368" w:type="dxa"/>
            <w:tcBorders>
              <w:top w:val="single" w:sz="4" w:space="0" w:color="auto"/>
              <w:bottom w:val="single" w:sz="4" w:space="0" w:color="auto"/>
            </w:tcBorders>
          </w:tcPr>
          <w:p w14:paraId="7CC69B64" w14:textId="77777777" w:rsidR="00CB696F" w:rsidRPr="008B316F" w:rsidRDefault="00CB696F" w:rsidP="00CB696F">
            <w:pPr>
              <w:rPr>
                <w:rFonts w:ascii="Arial" w:hAnsi="Arial" w:cs="Arial"/>
                <w:b/>
              </w:rPr>
            </w:pPr>
            <w:r w:rsidRPr="008B316F">
              <w:rPr>
                <w:rFonts w:ascii="Arial" w:hAnsi="Arial" w:cs="Arial"/>
                <w:b/>
              </w:rPr>
              <w:t>P&gt;|t|</w:t>
            </w:r>
          </w:p>
        </w:tc>
      </w:tr>
      <w:tr w:rsidR="00CB696F" w:rsidRPr="008B316F" w14:paraId="7A82474F" w14:textId="77777777" w:rsidTr="00CB696F">
        <w:tc>
          <w:tcPr>
            <w:tcW w:w="2268" w:type="dxa"/>
            <w:tcBorders>
              <w:top w:val="single" w:sz="4" w:space="0" w:color="auto"/>
            </w:tcBorders>
          </w:tcPr>
          <w:p w14:paraId="5B17DADF" w14:textId="77777777" w:rsidR="00CB696F" w:rsidRPr="008B316F" w:rsidRDefault="00CB696F" w:rsidP="00CB696F">
            <w:pPr>
              <w:rPr>
                <w:rFonts w:ascii="Arial" w:hAnsi="Arial" w:cs="Arial"/>
              </w:rPr>
            </w:pPr>
            <w:r w:rsidRPr="008B316F">
              <w:rPr>
                <w:rFonts w:ascii="Arial" w:hAnsi="Arial" w:cs="Arial"/>
              </w:rPr>
              <w:t xml:space="preserve"> Constant </w:t>
            </w:r>
          </w:p>
        </w:tc>
        <w:tc>
          <w:tcPr>
            <w:tcW w:w="1800" w:type="dxa"/>
            <w:tcBorders>
              <w:top w:val="single" w:sz="4" w:space="0" w:color="auto"/>
            </w:tcBorders>
          </w:tcPr>
          <w:p w14:paraId="3D3496D8" w14:textId="77777777" w:rsidR="00CB696F" w:rsidRPr="008B316F" w:rsidRDefault="00CB696F" w:rsidP="00CB696F">
            <w:pPr>
              <w:rPr>
                <w:rFonts w:ascii="Arial" w:hAnsi="Arial" w:cs="Arial"/>
              </w:rPr>
            </w:pPr>
            <w:r w:rsidRPr="008B316F">
              <w:rPr>
                <w:rFonts w:ascii="Arial" w:hAnsi="Arial" w:cs="Arial"/>
              </w:rPr>
              <w:t>0.2197</w:t>
            </w:r>
          </w:p>
        </w:tc>
        <w:tc>
          <w:tcPr>
            <w:tcW w:w="1245" w:type="dxa"/>
            <w:tcBorders>
              <w:top w:val="single" w:sz="4" w:space="0" w:color="auto"/>
            </w:tcBorders>
          </w:tcPr>
          <w:p w14:paraId="258BC3A6" w14:textId="77777777" w:rsidR="00CB696F" w:rsidRPr="008B316F" w:rsidRDefault="00CB696F" w:rsidP="00CB696F">
            <w:pPr>
              <w:rPr>
                <w:rFonts w:ascii="Arial" w:hAnsi="Arial" w:cs="Arial"/>
              </w:rPr>
            </w:pPr>
            <w:r w:rsidRPr="008B316F">
              <w:rPr>
                <w:rFonts w:ascii="Arial" w:hAnsi="Arial" w:cs="Arial"/>
              </w:rPr>
              <w:t>0.103</w:t>
            </w:r>
          </w:p>
        </w:tc>
        <w:tc>
          <w:tcPr>
            <w:tcW w:w="2175" w:type="dxa"/>
            <w:tcBorders>
              <w:top w:val="single" w:sz="4" w:space="0" w:color="auto"/>
            </w:tcBorders>
          </w:tcPr>
          <w:p w14:paraId="7DDD6F59" w14:textId="77777777" w:rsidR="00CB696F" w:rsidRPr="008B316F" w:rsidRDefault="00CB696F" w:rsidP="00CB696F">
            <w:pPr>
              <w:rPr>
                <w:rFonts w:ascii="Arial" w:hAnsi="Arial" w:cs="Arial"/>
              </w:rPr>
            </w:pPr>
            <w:r w:rsidRPr="008B316F">
              <w:rPr>
                <w:rFonts w:ascii="Arial" w:hAnsi="Arial" w:cs="Arial"/>
              </w:rPr>
              <w:t>2.133</w:t>
            </w:r>
          </w:p>
        </w:tc>
        <w:tc>
          <w:tcPr>
            <w:tcW w:w="1368" w:type="dxa"/>
            <w:tcBorders>
              <w:top w:val="single" w:sz="4" w:space="0" w:color="auto"/>
            </w:tcBorders>
          </w:tcPr>
          <w:p w14:paraId="3305A471" w14:textId="77777777" w:rsidR="00CB696F" w:rsidRPr="008B316F" w:rsidRDefault="00CB696F" w:rsidP="00CB696F">
            <w:pPr>
              <w:rPr>
                <w:rFonts w:ascii="Arial" w:hAnsi="Arial" w:cs="Arial"/>
              </w:rPr>
            </w:pPr>
            <w:r w:rsidRPr="008B316F">
              <w:rPr>
                <w:rFonts w:ascii="Arial" w:hAnsi="Arial" w:cs="Arial"/>
              </w:rPr>
              <w:t>0.032</w:t>
            </w:r>
          </w:p>
        </w:tc>
      </w:tr>
      <w:tr w:rsidR="00CB696F" w:rsidRPr="008B316F" w14:paraId="07F79703" w14:textId="77777777" w:rsidTr="00CB696F">
        <w:tc>
          <w:tcPr>
            <w:tcW w:w="2268" w:type="dxa"/>
          </w:tcPr>
          <w:p w14:paraId="72F68DBE" w14:textId="77777777" w:rsidR="00CB696F" w:rsidRPr="008B316F" w:rsidRDefault="00CB696F" w:rsidP="00CB696F">
            <w:pPr>
              <w:rPr>
                <w:rFonts w:ascii="Arial" w:hAnsi="Arial" w:cs="Arial"/>
              </w:rPr>
            </w:pPr>
            <m:oMathPara>
              <m:oMath>
                <m:r>
                  <w:rPr>
                    <w:rFonts w:ascii="Cambria Math" w:hAnsi="Cambria Math" w:cs="Arial"/>
                  </w:rPr>
                  <m:t>α</m:t>
                </m:r>
              </m:oMath>
            </m:oMathPara>
          </w:p>
        </w:tc>
        <w:tc>
          <w:tcPr>
            <w:tcW w:w="1800" w:type="dxa"/>
          </w:tcPr>
          <w:p w14:paraId="77A8AF86" w14:textId="77777777" w:rsidR="00CB696F" w:rsidRPr="008B316F" w:rsidRDefault="00CB696F" w:rsidP="00CB696F">
            <w:pPr>
              <w:rPr>
                <w:rFonts w:ascii="Arial" w:hAnsi="Arial" w:cs="Arial"/>
              </w:rPr>
            </w:pPr>
            <w:r w:rsidRPr="008B316F">
              <w:rPr>
                <w:rFonts w:ascii="Arial" w:hAnsi="Arial" w:cs="Arial"/>
              </w:rPr>
              <w:t>0.6718</w:t>
            </w:r>
          </w:p>
        </w:tc>
        <w:tc>
          <w:tcPr>
            <w:tcW w:w="1245" w:type="dxa"/>
          </w:tcPr>
          <w:p w14:paraId="1D62B17A" w14:textId="77777777" w:rsidR="00CB696F" w:rsidRPr="008B316F" w:rsidRDefault="00CB696F" w:rsidP="00CB696F">
            <w:pPr>
              <w:rPr>
                <w:rFonts w:ascii="Arial" w:hAnsi="Arial" w:cs="Arial"/>
              </w:rPr>
            </w:pPr>
            <w:r w:rsidRPr="008B316F">
              <w:rPr>
                <w:rFonts w:ascii="Arial" w:hAnsi="Arial" w:cs="Arial"/>
              </w:rPr>
              <w:t>0.049</w:t>
            </w:r>
          </w:p>
        </w:tc>
        <w:tc>
          <w:tcPr>
            <w:tcW w:w="2175" w:type="dxa"/>
          </w:tcPr>
          <w:p w14:paraId="6E3F4A4B" w14:textId="77777777" w:rsidR="00CB696F" w:rsidRPr="008B316F" w:rsidRDefault="00CB696F" w:rsidP="00CB696F">
            <w:pPr>
              <w:rPr>
                <w:rFonts w:ascii="Arial" w:hAnsi="Arial" w:cs="Arial"/>
              </w:rPr>
            </w:pPr>
            <w:r w:rsidRPr="008B316F">
              <w:rPr>
                <w:rFonts w:ascii="Arial" w:hAnsi="Arial" w:cs="Arial"/>
              </w:rPr>
              <w:t>13.710</w:t>
            </w:r>
          </w:p>
        </w:tc>
        <w:tc>
          <w:tcPr>
            <w:tcW w:w="1368" w:type="dxa"/>
          </w:tcPr>
          <w:p w14:paraId="0D120933"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099B20FE" w14:textId="77777777" w:rsidTr="00CB696F">
        <w:tc>
          <w:tcPr>
            <w:tcW w:w="2268" w:type="dxa"/>
          </w:tcPr>
          <w:p w14:paraId="40690B62" w14:textId="77777777" w:rsidR="00CB696F" w:rsidRPr="008B316F" w:rsidRDefault="00CB696F" w:rsidP="00CB696F">
            <w:pPr>
              <w:rPr>
                <w:rFonts w:ascii="Arial" w:hAnsi="Arial" w:cs="Arial"/>
              </w:rPr>
            </w:pPr>
            <m:oMathPara>
              <m:oMath>
                <m:r>
                  <w:rPr>
                    <w:rFonts w:ascii="Cambria Math" w:hAnsi="Cambria Math" w:cs="Arial"/>
                  </w:rPr>
                  <m:t>γ</m:t>
                </m:r>
              </m:oMath>
            </m:oMathPara>
          </w:p>
        </w:tc>
        <w:tc>
          <w:tcPr>
            <w:tcW w:w="1800" w:type="dxa"/>
          </w:tcPr>
          <w:p w14:paraId="18E67869" w14:textId="77777777" w:rsidR="00CB696F" w:rsidRPr="008B316F" w:rsidRDefault="00CB696F" w:rsidP="00CB696F">
            <w:pPr>
              <w:rPr>
                <w:rFonts w:ascii="Arial" w:hAnsi="Arial" w:cs="Arial"/>
              </w:rPr>
            </w:pPr>
            <w:r w:rsidRPr="008B316F">
              <w:rPr>
                <w:rFonts w:ascii="Arial" w:hAnsi="Arial" w:cs="Arial"/>
              </w:rPr>
              <w:t>0.1208</w:t>
            </w:r>
          </w:p>
        </w:tc>
        <w:tc>
          <w:tcPr>
            <w:tcW w:w="1245" w:type="dxa"/>
          </w:tcPr>
          <w:p w14:paraId="5CA60466" w14:textId="77777777" w:rsidR="00CB696F" w:rsidRPr="008B316F" w:rsidRDefault="00CB696F" w:rsidP="00CB696F">
            <w:pPr>
              <w:rPr>
                <w:rFonts w:ascii="Arial" w:hAnsi="Arial" w:cs="Arial"/>
              </w:rPr>
            </w:pPr>
            <w:r w:rsidRPr="008B316F">
              <w:rPr>
                <w:rFonts w:ascii="Arial" w:hAnsi="Arial" w:cs="Arial"/>
              </w:rPr>
              <w:t>0.005</w:t>
            </w:r>
          </w:p>
        </w:tc>
        <w:tc>
          <w:tcPr>
            <w:tcW w:w="2175" w:type="dxa"/>
          </w:tcPr>
          <w:p w14:paraId="680395FE" w14:textId="77777777" w:rsidR="00CB696F" w:rsidRPr="008B316F" w:rsidRDefault="00CB696F" w:rsidP="00CB696F">
            <w:pPr>
              <w:rPr>
                <w:rFonts w:ascii="Arial" w:hAnsi="Arial" w:cs="Arial"/>
              </w:rPr>
            </w:pPr>
            <w:r w:rsidRPr="008B316F">
              <w:rPr>
                <w:rFonts w:ascii="Arial" w:hAnsi="Arial" w:cs="Arial"/>
              </w:rPr>
              <w:t>24.160</w:t>
            </w:r>
          </w:p>
        </w:tc>
        <w:tc>
          <w:tcPr>
            <w:tcW w:w="1368" w:type="dxa"/>
          </w:tcPr>
          <w:p w14:paraId="6C9E226A"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228CC9AB" w14:textId="77777777" w:rsidTr="00CB696F">
        <w:tc>
          <w:tcPr>
            <w:tcW w:w="2268" w:type="dxa"/>
          </w:tcPr>
          <w:p w14:paraId="1F4D53B8" w14:textId="77777777" w:rsidR="00CB696F" w:rsidRPr="008B316F" w:rsidRDefault="00530C5D" w:rsidP="00CB696F">
            <w:pPr>
              <w:rPr>
                <w:rFonts w:ascii="Arial" w:hAnsi="Arial" w:cs="Arial"/>
              </w:rPr>
            </w:pPr>
            <m:oMathPara>
              <m:oMath>
                <m:sSup>
                  <m:sSupPr>
                    <m:ctrlPr>
                      <w:rPr>
                        <w:rFonts w:ascii="Cambria Math" w:hAnsi="Arial" w:cs="Arial"/>
                        <w:i/>
                      </w:rPr>
                    </m:ctrlPr>
                  </m:sSupPr>
                  <m:e>
                    <m:r>
                      <w:rPr>
                        <w:rFonts w:ascii="Cambria Math" w:hAnsi="Cambria Math" w:cs="Arial"/>
                      </w:rPr>
                      <m:t>σ</m:t>
                    </m:r>
                  </m:e>
                  <m:sup>
                    <m:r>
                      <w:rPr>
                        <w:rFonts w:ascii="Cambria Math" w:hAnsi="Arial" w:cs="Arial"/>
                      </w:rPr>
                      <m:t>2</m:t>
                    </m:r>
                  </m:sup>
                </m:sSup>
              </m:oMath>
            </m:oMathPara>
          </w:p>
        </w:tc>
        <w:tc>
          <w:tcPr>
            <w:tcW w:w="1800" w:type="dxa"/>
          </w:tcPr>
          <w:p w14:paraId="74916A18" w14:textId="77777777" w:rsidR="00CB696F" w:rsidRPr="008B316F" w:rsidRDefault="00CB696F" w:rsidP="00CB696F">
            <w:pPr>
              <w:rPr>
                <w:rFonts w:ascii="Arial" w:hAnsi="Arial" w:cs="Arial"/>
              </w:rPr>
            </w:pPr>
            <w:r w:rsidRPr="008B316F">
              <w:rPr>
                <w:rFonts w:ascii="Arial" w:hAnsi="Arial" w:cs="Arial"/>
              </w:rPr>
              <w:t>0.0984</w:t>
            </w:r>
          </w:p>
        </w:tc>
        <w:tc>
          <w:tcPr>
            <w:tcW w:w="1245" w:type="dxa"/>
          </w:tcPr>
          <w:p w14:paraId="09A01A07" w14:textId="77777777" w:rsidR="00CB696F" w:rsidRPr="008B316F" w:rsidRDefault="00CB696F" w:rsidP="00CB696F">
            <w:pPr>
              <w:rPr>
                <w:rFonts w:ascii="Arial" w:hAnsi="Arial" w:cs="Arial"/>
              </w:rPr>
            </w:pPr>
            <w:r w:rsidRPr="008B316F">
              <w:rPr>
                <w:rFonts w:ascii="Arial" w:hAnsi="Arial" w:cs="Arial"/>
              </w:rPr>
              <w:t>0.023</w:t>
            </w:r>
          </w:p>
        </w:tc>
        <w:tc>
          <w:tcPr>
            <w:tcW w:w="2175" w:type="dxa"/>
          </w:tcPr>
          <w:p w14:paraId="5E132308" w14:textId="77777777" w:rsidR="00CB696F" w:rsidRPr="008B316F" w:rsidRDefault="00CB696F" w:rsidP="00CB696F">
            <w:pPr>
              <w:rPr>
                <w:rFonts w:ascii="Arial" w:hAnsi="Arial" w:cs="Arial"/>
              </w:rPr>
            </w:pPr>
            <w:r w:rsidRPr="008B316F">
              <w:rPr>
                <w:rFonts w:ascii="Arial" w:hAnsi="Arial" w:cs="Arial"/>
              </w:rPr>
              <w:t>4.278</w:t>
            </w:r>
          </w:p>
        </w:tc>
        <w:tc>
          <w:tcPr>
            <w:tcW w:w="1368" w:type="dxa"/>
          </w:tcPr>
          <w:p w14:paraId="1F33D55B" w14:textId="77777777" w:rsidR="00CB696F" w:rsidRPr="008B316F" w:rsidRDefault="00CB696F" w:rsidP="00CB696F">
            <w:pPr>
              <w:rPr>
                <w:rFonts w:ascii="Arial" w:hAnsi="Arial" w:cs="Arial"/>
              </w:rPr>
            </w:pPr>
            <w:r w:rsidRPr="008B316F">
              <w:rPr>
                <w:rFonts w:ascii="Arial" w:hAnsi="Arial" w:cs="Arial"/>
              </w:rPr>
              <w:t>0.000</w:t>
            </w:r>
          </w:p>
        </w:tc>
      </w:tr>
      <w:tr w:rsidR="00CB696F" w:rsidRPr="008B316F" w14:paraId="407AEA01" w14:textId="77777777" w:rsidTr="00CB696F">
        <w:tc>
          <w:tcPr>
            <w:tcW w:w="2268" w:type="dxa"/>
          </w:tcPr>
          <w:p w14:paraId="0E217526" w14:textId="77777777" w:rsidR="00CB696F" w:rsidRPr="008B316F" w:rsidRDefault="00CB696F" w:rsidP="00CB696F">
            <w:pPr>
              <w:rPr>
                <w:rFonts w:ascii="Arial" w:hAnsi="Arial" w:cs="Arial"/>
              </w:rPr>
            </w:pPr>
            <w:r w:rsidRPr="008B316F">
              <w:rPr>
                <w:rFonts w:ascii="Arial" w:hAnsi="Arial" w:cs="Arial"/>
              </w:rPr>
              <w:t xml:space="preserve">R-Squared </w:t>
            </w:r>
          </w:p>
        </w:tc>
        <w:tc>
          <w:tcPr>
            <w:tcW w:w="1800" w:type="dxa"/>
          </w:tcPr>
          <w:p w14:paraId="3497E5FB" w14:textId="77777777" w:rsidR="00CB696F" w:rsidRPr="008B316F" w:rsidRDefault="00CB696F" w:rsidP="00CB696F">
            <w:pPr>
              <w:rPr>
                <w:rFonts w:ascii="Arial" w:hAnsi="Arial" w:cs="Arial"/>
              </w:rPr>
            </w:pPr>
            <w:r w:rsidRPr="008B316F">
              <w:rPr>
                <w:rFonts w:ascii="Arial" w:hAnsi="Arial" w:cs="Arial"/>
              </w:rPr>
              <w:t>0.820</w:t>
            </w:r>
          </w:p>
        </w:tc>
        <w:tc>
          <w:tcPr>
            <w:tcW w:w="1245" w:type="dxa"/>
          </w:tcPr>
          <w:p w14:paraId="425EAA58" w14:textId="77777777" w:rsidR="00CB696F" w:rsidRPr="008B316F" w:rsidRDefault="00CB696F" w:rsidP="00CB696F">
            <w:pPr>
              <w:rPr>
                <w:rFonts w:ascii="Arial" w:hAnsi="Arial" w:cs="Arial"/>
              </w:rPr>
            </w:pPr>
          </w:p>
        </w:tc>
        <w:tc>
          <w:tcPr>
            <w:tcW w:w="2175" w:type="dxa"/>
          </w:tcPr>
          <w:p w14:paraId="44B9DBD8" w14:textId="77777777" w:rsidR="00CB696F" w:rsidRPr="008B316F" w:rsidRDefault="00CB696F" w:rsidP="00CB696F">
            <w:pPr>
              <w:rPr>
                <w:rFonts w:ascii="Arial" w:hAnsi="Arial" w:cs="Arial"/>
              </w:rPr>
            </w:pPr>
            <w:r w:rsidRPr="008B316F">
              <w:rPr>
                <w:rFonts w:ascii="Arial" w:hAnsi="Arial" w:cs="Arial"/>
              </w:rPr>
              <w:t>AIC</w:t>
            </w:r>
          </w:p>
        </w:tc>
        <w:tc>
          <w:tcPr>
            <w:tcW w:w="1368" w:type="dxa"/>
          </w:tcPr>
          <w:p w14:paraId="2933BA32" w14:textId="77777777" w:rsidR="00CB696F" w:rsidRPr="008B316F" w:rsidRDefault="00CB696F" w:rsidP="00CB696F">
            <w:pPr>
              <w:rPr>
                <w:rFonts w:ascii="Arial" w:hAnsi="Arial" w:cs="Arial"/>
              </w:rPr>
            </w:pPr>
            <w:r w:rsidRPr="008B316F">
              <w:rPr>
                <w:rFonts w:ascii="Arial" w:hAnsi="Arial" w:cs="Arial"/>
              </w:rPr>
              <w:t>232.7</w:t>
            </w:r>
          </w:p>
        </w:tc>
      </w:tr>
      <w:tr w:rsidR="00CB696F" w:rsidRPr="008B316F" w14:paraId="3479B258" w14:textId="77777777" w:rsidTr="00CB696F">
        <w:tc>
          <w:tcPr>
            <w:tcW w:w="2268" w:type="dxa"/>
          </w:tcPr>
          <w:p w14:paraId="466FFA09" w14:textId="77777777" w:rsidR="00CB696F" w:rsidRPr="008B316F" w:rsidRDefault="00CB696F" w:rsidP="00CB696F">
            <w:pPr>
              <w:rPr>
                <w:rFonts w:ascii="Arial" w:hAnsi="Arial" w:cs="Arial"/>
              </w:rPr>
            </w:pPr>
            <w:r w:rsidRPr="008B316F">
              <w:rPr>
                <w:rFonts w:ascii="Arial" w:hAnsi="Arial" w:cs="Arial"/>
              </w:rPr>
              <w:t xml:space="preserve">Adj. R-Squared </w:t>
            </w:r>
          </w:p>
        </w:tc>
        <w:tc>
          <w:tcPr>
            <w:tcW w:w="1800" w:type="dxa"/>
          </w:tcPr>
          <w:p w14:paraId="50D804A9" w14:textId="77777777" w:rsidR="00CB696F" w:rsidRPr="008B316F" w:rsidRDefault="00CB696F" w:rsidP="00CB696F">
            <w:pPr>
              <w:rPr>
                <w:rFonts w:ascii="Arial" w:hAnsi="Arial" w:cs="Arial"/>
              </w:rPr>
            </w:pPr>
            <w:r w:rsidRPr="008B316F">
              <w:rPr>
                <w:rFonts w:ascii="Arial" w:hAnsi="Arial" w:cs="Arial"/>
              </w:rPr>
              <w:t>0.808</w:t>
            </w:r>
          </w:p>
        </w:tc>
        <w:tc>
          <w:tcPr>
            <w:tcW w:w="1245" w:type="dxa"/>
          </w:tcPr>
          <w:p w14:paraId="0A3795A0" w14:textId="77777777" w:rsidR="00CB696F" w:rsidRPr="008B316F" w:rsidRDefault="00CB696F" w:rsidP="00CB696F">
            <w:pPr>
              <w:rPr>
                <w:rFonts w:ascii="Arial" w:hAnsi="Arial" w:cs="Arial"/>
              </w:rPr>
            </w:pPr>
          </w:p>
        </w:tc>
        <w:tc>
          <w:tcPr>
            <w:tcW w:w="2175" w:type="dxa"/>
          </w:tcPr>
          <w:p w14:paraId="1173C084" w14:textId="77777777" w:rsidR="00CB696F" w:rsidRPr="008B316F" w:rsidRDefault="00CB696F" w:rsidP="00CB696F">
            <w:pPr>
              <w:rPr>
                <w:rFonts w:ascii="Arial" w:hAnsi="Arial" w:cs="Arial"/>
              </w:rPr>
            </w:pPr>
            <w:r w:rsidRPr="008B316F">
              <w:rPr>
                <w:rFonts w:ascii="Arial" w:hAnsi="Arial" w:cs="Arial"/>
              </w:rPr>
              <w:t>BIC</w:t>
            </w:r>
          </w:p>
        </w:tc>
        <w:tc>
          <w:tcPr>
            <w:tcW w:w="1368" w:type="dxa"/>
          </w:tcPr>
          <w:p w14:paraId="20AD53EF" w14:textId="77777777" w:rsidR="00CB696F" w:rsidRPr="008B316F" w:rsidRDefault="00CB696F" w:rsidP="00CB696F">
            <w:pPr>
              <w:rPr>
                <w:rFonts w:ascii="Arial" w:hAnsi="Arial" w:cs="Arial"/>
              </w:rPr>
            </w:pPr>
            <w:r w:rsidRPr="008B316F">
              <w:rPr>
                <w:rFonts w:ascii="Arial" w:hAnsi="Arial" w:cs="Arial"/>
              </w:rPr>
              <w:t>242.3</w:t>
            </w:r>
          </w:p>
        </w:tc>
      </w:tr>
      <w:tr w:rsidR="00CB696F" w:rsidRPr="008B316F" w14:paraId="3385C128" w14:textId="77777777" w:rsidTr="00CB696F">
        <w:tc>
          <w:tcPr>
            <w:tcW w:w="2268" w:type="dxa"/>
          </w:tcPr>
          <w:p w14:paraId="3BBBAE7D" w14:textId="77777777" w:rsidR="00CB696F" w:rsidRPr="008B316F" w:rsidRDefault="00CB696F" w:rsidP="00CB696F">
            <w:pPr>
              <w:rPr>
                <w:rFonts w:ascii="Arial" w:hAnsi="Arial" w:cs="Arial"/>
              </w:rPr>
            </w:pPr>
            <w:r w:rsidRPr="008B316F">
              <w:rPr>
                <w:rFonts w:ascii="Arial" w:hAnsi="Arial" w:cs="Arial"/>
              </w:rPr>
              <w:t xml:space="preserve">F-Statistic </w:t>
            </w:r>
          </w:p>
        </w:tc>
        <w:tc>
          <w:tcPr>
            <w:tcW w:w="1800" w:type="dxa"/>
          </w:tcPr>
          <w:p w14:paraId="2A21C70E" w14:textId="77777777" w:rsidR="00CB696F" w:rsidRPr="008B316F" w:rsidRDefault="00CB696F" w:rsidP="00CB696F">
            <w:pPr>
              <w:rPr>
                <w:rFonts w:ascii="Arial" w:hAnsi="Arial" w:cs="Arial"/>
              </w:rPr>
            </w:pPr>
            <w:r w:rsidRPr="008B316F">
              <w:rPr>
                <w:rFonts w:ascii="Arial" w:hAnsi="Arial" w:cs="Arial"/>
              </w:rPr>
              <w:t>197.4</w:t>
            </w:r>
          </w:p>
        </w:tc>
        <w:tc>
          <w:tcPr>
            <w:tcW w:w="1245" w:type="dxa"/>
          </w:tcPr>
          <w:p w14:paraId="6CDE2F29" w14:textId="77777777" w:rsidR="00CB696F" w:rsidRPr="008B316F" w:rsidRDefault="00CB696F" w:rsidP="00CB696F">
            <w:pPr>
              <w:rPr>
                <w:rFonts w:ascii="Arial" w:hAnsi="Arial" w:cs="Arial"/>
              </w:rPr>
            </w:pPr>
          </w:p>
        </w:tc>
        <w:tc>
          <w:tcPr>
            <w:tcW w:w="2175" w:type="dxa"/>
          </w:tcPr>
          <w:p w14:paraId="22C43840" w14:textId="77777777" w:rsidR="00CB696F" w:rsidRPr="008B316F" w:rsidRDefault="00CB696F" w:rsidP="00CB696F">
            <w:pPr>
              <w:rPr>
                <w:rFonts w:ascii="Arial" w:hAnsi="Arial" w:cs="Arial"/>
              </w:rPr>
            </w:pPr>
            <w:r w:rsidRPr="008B316F">
              <w:rPr>
                <w:rFonts w:ascii="Arial" w:hAnsi="Arial" w:cs="Arial"/>
              </w:rPr>
              <w:t>Durbin-Watson</w:t>
            </w:r>
          </w:p>
        </w:tc>
        <w:tc>
          <w:tcPr>
            <w:tcW w:w="1368" w:type="dxa"/>
          </w:tcPr>
          <w:p w14:paraId="5CAEA892" w14:textId="77777777" w:rsidR="00CB696F" w:rsidRPr="008B316F" w:rsidRDefault="00CB696F" w:rsidP="00CB696F">
            <w:pPr>
              <w:rPr>
                <w:rFonts w:ascii="Arial" w:hAnsi="Arial" w:cs="Arial"/>
              </w:rPr>
            </w:pPr>
            <w:r w:rsidRPr="008B316F">
              <w:rPr>
                <w:rFonts w:ascii="Arial" w:hAnsi="Arial" w:cs="Arial"/>
              </w:rPr>
              <w:t>1.912</w:t>
            </w:r>
          </w:p>
        </w:tc>
      </w:tr>
      <w:tr w:rsidR="00CB696F" w:rsidRPr="008B316F" w14:paraId="4C88068E" w14:textId="77777777" w:rsidTr="00CB696F">
        <w:tc>
          <w:tcPr>
            <w:tcW w:w="2268" w:type="dxa"/>
          </w:tcPr>
          <w:p w14:paraId="2D4FE663" w14:textId="77777777" w:rsidR="00CB696F" w:rsidRPr="008B316F" w:rsidRDefault="00CB696F" w:rsidP="00CB696F">
            <w:pPr>
              <w:rPr>
                <w:rFonts w:ascii="Arial" w:hAnsi="Arial" w:cs="Arial"/>
              </w:rPr>
            </w:pPr>
            <w:r w:rsidRPr="008B316F">
              <w:rPr>
                <w:rFonts w:ascii="Arial" w:hAnsi="Arial" w:cs="Arial"/>
              </w:rPr>
              <w:t>Prob (F-statistic)</w:t>
            </w:r>
          </w:p>
        </w:tc>
        <w:tc>
          <w:tcPr>
            <w:tcW w:w="1800" w:type="dxa"/>
          </w:tcPr>
          <w:p w14:paraId="6D46290C" w14:textId="77777777" w:rsidR="00CB696F" w:rsidRPr="008B316F" w:rsidRDefault="00CB696F" w:rsidP="00CB696F">
            <w:pPr>
              <w:rPr>
                <w:rFonts w:ascii="Arial" w:hAnsi="Arial" w:cs="Arial"/>
              </w:rPr>
            </w:pPr>
            <w:r w:rsidRPr="008B316F">
              <w:rPr>
                <w:rFonts w:ascii="Arial" w:hAnsi="Arial" w:cs="Arial"/>
              </w:rPr>
              <w:t>3.77e-30</w:t>
            </w:r>
          </w:p>
        </w:tc>
        <w:tc>
          <w:tcPr>
            <w:tcW w:w="1245" w:type="dxa"/>
          </w:tcPr>
          <w:p w14:paraId="37A19D55" w14:textId="77777777" w:rsidR="00CB696F" w:rsidRPr="008B316F" w:rsidRDefault="00CB696F" w:rsidP="00CB696F">
            <w:pPr>
              <w:rPr>
                <w:rFonts w:ascii="Arial" w:hAnsi="Arial" w:cs="Arial"/>
              </w:rPr>
            </w:pPr>
          </w:p>
        </w:tc>
        <w:tc>
          <w:tcPr>
            <w:tcW w:w="2175" w:type="dxa"/>
          </w:tcPr>
          <w:p w14:paraId="4E1D95FA" w14:textId="77777777" w:rsidR="00CB696F" w:rsidRPr="008B316F" w:rsidRDefault="00CB696F" w:rsidP="00CB696F">
            <w:pPr>
              <w:rPr>
                <w:rFonts w:ascii="Arial" w:hAnsi="Arial" w:cs="Arial"/>
              </w:rPr>
            </w:pPr>
            <w:r w:rsidRPr="008B316F">
              <w:rPr>
                <w:rFonts w:ascii="Arial" w:hAnsi="Arial" w:cs="Arial"/>
              </w:rPr>
              <w:t>Jarque-Bera (JB)</w:t>
            </w:r>
          </w:p>
        </w:tc>
        <w:tc>
          <w:tcPr>
            <w:tcW w:w="1368" w:type="dxa"/>
          </w:tcPr>
          <w:p w14:paraId="600F7854" w14:textId="77777777" w:rsidR="00CB696F" w:rsidRPr="008B316F" w:rsidRDefault="00CB696F" w:rsidP="00CB696F">
            <w:pPr>
              <w:rPr>
                <w:rFonts w:ascii="Arial" w:hAnsi="Arial" w:cs="Arial"/>
              </w:rPr>
            </w:pPr>
            <w:r w:rsidRPr="008B316F">
              <w:rPr>
                <w:rFonts w:ascii="Arial" w:hAnsi="Arial" w:cs="Arial"/>
              </w:rPr>
              <w:t>11.864</w:t>
            </w:r>
          </w:p>
        </w:tc>
      </w:tr>
      <w:tr w:rsidR="00CB696F" w:rsidRPr="008B316F" w14:paraId="7D3DA55E" w14:textId="77777777" w:rsidTr="00CB696F">
        <w:tc>
          <w:tcPr>
            <w:tcW w:w="2268" w:type="dxa"/>
          </w:tcPr>
          <w:p w14:paraId="19705FD6" w14:textId="77777777" w:rsidR="00CB696F" w:rsidRPr="008B316F" w:rsidRDefault="00CB696F" w:rsidP="00CB696F">
            <w:pPr>
              <w:rPr>
                <w:rFonts w:ascii="Arial" w:hAnsi="Arial" w:cs="Arial"/>
              </w:rPr>
            </w:pPr>
            <w:r w:rsidRPr="008B316F">
              <w:rPr>
                <w:rFonts w:ascii="Arial" w:hAnsi="Arial" w:cs="Arial"/>
              </w:rPr>
              <w:t>Log-Likelihood</w:t>
            </w:r>
          </w:p>
        </w:tc>
        <w:tc>
          <w:tcPr>
            <w:tcW w:w="1800" w:type="dxa"/>
          </w:tcPr>
          <w:p w14:paraId="07195DF3" w14:textId="77777777" w:rsidR="00CB696F" w:rsidRPr="008B316F" w:rsidRDefault="00CB696F" w:rsidP="00CB696F">
            <w:pPr>
              <w:rPr>
                <w:rFonts w:ascii="Arial" w:hAnsi="Arial" w:cs="Arial"/>
              </w:rPr>
            </w:pPr>
            <w:r w:rsidRPr="008B316F">
              <w:rPr>
                <w:rFonts w:ascii="Arial" w:hAnsi="Arial" w:cs="Arial"/>
              </w:rPr>
              <w:t>-113.58</w:t>
            </w:r>
          </w:p>
        </w:tc>
        <w:tc>
          <w:tcPr>
            <w:tcW w:w="1245" w:type="dxa"/>
          </w:tcPr>
          <w:p w14:paraId="7335F882" w14:textId="77777777" w:rsidR="00CB696F" w:rsidRPr="008B316F" w:rsidRDefault="00CB696F" w:rsidP="00CB696F">
            <w:pPr>
              <w:rPr>
                <w:rFonts w:ascii="Arial" w:hAnsi="Arial" w:cs="Arial"/>
              </w:rPr>
            </w:pPr>
          </w:p>
        </w:tc>
        <w:tc>
          <w:tcPr>
            <w:tcW w:w="2175" w:type="dxa"/>
          </w:tcPr>
          <w:p w14:paraId="788B8D22" w14:textId="77777777" w:rsidR="00CB696F" w:rsidRPr="008B316F" w:rsidRDefault="00CB696F" w:rsidP="00CB696F">
            <w:pPr>
              <w:rPr>
                <w:rFonts w:ascii="Arial" w:hAnsi="Arial" w:cs="Arial"/>
              </w:rPr>
            </w:pPr>
            <w:r w:rsidRPr="008B316F">
              <w:rPr>
                <w:rFonts w:ascii="Arial" w:hAnsi="Arial" w:cs="Arial"/>
              </w:rPr>
              <w:t>Prob (JB)</w:t>
            </w:r>
          </w:p>
        </w:tc>
        <w:tc>
          <w:tcPr>
            <w:tcW w:w="1368" w:type="dxa"/>
          </w:tcPr>
          <w:p w14:paraId="1CB23F93" w14:textId="77777777" w:rsidR="00CB696F" w:rsidRPr="008B316F" w:rsidRDefault="00CB696F" w:rsidP="00CB696F">
            <w:pPr>
              <w:rPr>
                <w:rFonts w:ascii="Arial" w:hAnsi="Arial" w:cs="Arial"/>
              </w:rPr>
            </w:pPr>
            <w:r w:rsidRPr="008B316F">
              <w:rPr>
                <w:rFonts w:ascii="Arial" w:hAnsi="Arial" w:cs="Arial"/>
              </w:rPr>
              <w:t>0.00257</w:t>
            </w:r>
          </w:p>
        </w:tc>
      </w:tr>
      <w:tr w:rsidR="00CB696F" w:rsidRPr="008B316F" w14:paraId="46ECD52F" w14:textId="77777777" w:rsidTr="00CB696F">
        <w:tc>
          <w:tcPr>
            <w:tcW w:w="2268" w:type="dxa"/>
          </w:tcPr>
          <w:p w14:paraId="40FE057A" w14:textId="77777777" w:rsidR="00CB696F" w:rsidRPr="008B316F" w:rsidRDefault="00CB696F" w:rsidP="00CB696F">
            <w:pPr>
              <w:rPr>
                <w:rFonts w:ascii="Arial" w:hAnsi="Arial" w:cs="Arial"/>
              </w:rPr>
            </w:pPr>
            <w:r w:rsidRPr="008B316F">
              <w:rPr>
                <w:rFonts w:ascii="Arial" w:hAnsi="Arial" w:cs="Arial"/>
              </w:rPr>
              <w:t>Omnibus</w:t>
            </w:r>
          </w:p>
        </w:tc>
        <w:tc>
          <w:tcPr>
            <w:tcW w:w="1800" w:type="dxa"/>
          </w:tcPr>
          <w:p w14:paraId="6C24FCBF" w14:textId="77777777" w:rsidR="00CB696F" w:rsidRPr="008B316F" w:rsidRDefault="00CB696F" w:rsidP="00CB696F">
            <w:pPr>
              <w:rPr>
                <w:rFonts w:ascii="Arial" w:hAnsi="Arial" w:cs="Arial"/>
              </w:rPr>
            </w:pPr>
            <w:r w:rsidRPr="008B316F">
              <w:rPr>
                <w:rFonts w:ascii="Arial" w:hAnsi="Arial" w:cs="Arial"/>
              </w:rPr>
              <w:t>9.346</w:t>
            </w:r>
          </w:p>
        </w:tc>
        <w:tc>
          <w:tcPr>
            <w:tcW w:w="1245" w:type="dxa"/>
          </w:tcPr>
          <w:p w14:paraId="62012D03" w14:textId="77777777" w:rsidR="00CB696F" w:rsidRPr="008B316F" w:rsidRDefault="00CB696F" w:rsidP="00CB696F">
            <w:pPr>
              <w:rPr>
                <w:rFonts w:ascii="Arial" w:hAnsi="Arial" w:cs="Arial"/>
              </w:rPr>
            </w:pPr>
          </w:p>
        </w:tc>
        <w:tc>
          <w:tcPr>
            <w:tcW w:w="2175" w:type="dxa"/>
          </w:tcPr>
          <w:p w14:paraId="6228AF38" w14:textId="77777777" w:rsidR="00CB696F" w:rsidRPr="008B316F" w:rsidRDefault="00CB696F" w:rsidP="00CB696F">
            <w:pPr>
              <w:rPr>
                <w:rFonts w:ascii="Arial" w:hAnsi="Arial" w:cs="Arial"/>
              </w:rPr>
            </w:pPr>
            <w:r w:rsidRPr="008B316F">
              <w:rPr>
                <w:rFonts w:ascii="Arial" w:hAnsi="Arial" w:cs="Arial"/>
              </w:rPr>
              <w:t>Skew</w:t>
            </w:r>
          </w:p>
        </w:tc>
        <w:tc>
          <w:tcPr>
            <w:tcW w:w="1368" w:type="dxa"/>
          </w:tcPr>
          <w:p w14:paraId="4DD6DD19" w14:textId="77777777" w:rsidR="00CB696F" w:rsidRPr="008B316F" w:rsidRDefault="00CB696F" w:rsidP="00CB696F">
            <w:pPr>
              <w:rPr>
                <w:rFonts w:ascii="Arial" w:hAnsi="Arial" w:cs="Arial"/>
              </w:rPr>
            </w:pPr>
            <w:r w:rsidRPr="008B316F">
              <w:rPr>
                <w:rFonts w:ascii="Arial" w:hAnsi="Arial" w:cs="Arial"/>
              </w:rPr>
              <w:t>-0.589</w:t>
            </w:r>
          </w:p>
        </w:tc>
      </w:tr>
      <w:tr w:rsidR="00CB696F" w:rsidRPr="008B316F" w14:paraId="44593E09" w14:textId="77777777" w:rsidTr="00CB696F">
        <w:tc>
          <w:tcPr>
            <w:tcW w:w="2268" w:type="dxa"/>
          </w:tcPr>
          <w:p w14:paraId="06BB4265" w14:textId="77777777" w:rsidR="00CB696F" w:rsidRPr="008B316F" w:rsidRDefault="00CB696F" w:rsidP="00CB696F">
            <w:pPr>
              <w:rPr>
                <w:rFonts w:ascii="Arial" w:hAnsi="Arial" w:cs="Arial"/>
              </w:rPr>
            </w:pPr>
            <w:r w:rsidRPr="008B316F">
              <w:rPr>
                <w:rFonts w:ascii="Arial" w:hAnsi="Arial" w:cs="Arial"/>
              </w:rPr>
              <w:t>Prob (Omnibus)</w:t>
            </w:r>
          </w:p>
        </w:tc>
        <w:tc>
          <w:tcPr>
            <w:tcW w:w="1800" w:type="dxa"/>
          </w:tcPr>
          <w:p w14:paraId="58EED9C2" w14:textId="77777777" w:rsidR="00CB696F" w:rsidRPr="008B316F" w:rsidRDefault="00CB696F" w:rsidP="00CB696F">
            <w:pPr>
              <w:rPr>
                <w:rFonts w:ascii="Arial" w:hAnsi="Arial" w:cs="Arial"/>
              </w:rPr>
            </w:pPr>
            <w:r w:rsidRPr="008B316F">
              <w:rPr>
                <w:rFonts w:ascii="Arial" w:hAnsi="Arial" w:cs="Arial"/>
              </w:rPr>
              <w:t>0.011</w:t>
            </w:r>
          </w:p>
        </w:tc>
        <w:tc>
          <w:tcPr>
            <w:tcW w:w="1245" w:type="dxa"/>
          </w:tcPr>
          <w:p w14:paraId="5E24C2BD" w14:textId="77777777" w:rsidR="00CB696F" w:rsidRPr="008B316F" w:rsidRDefault="00CB696F" w:rsidP="00CB696F">
            <w:pPr>
              <w:rPr>
                <w:rFonts w:ascii="Arial" w:hAnsi="Arial" w:cs="Arial"/>
              </w:rPr>
            </w:pPr>
          </w:p>
        </w:tc>
        <w:tc>
          <w:tcPr>
            <w:tcW w:w="2175" w:type="dxa"/>
          </w:tcPr>
          <w:p w14:paraId="434FAFA4" w14:textId="77777777" w:rsidR="00CB696F" w:rsidRPr="008B316F" w:rsidRDefault="00CB696F" w:rsidP="00CB696F">
            <w:pPr>
              <w:rPr>
                <w:rFonts w:ascii="Arial" w:hAnsi="Arial" w:cs="Arial"/>
              </w:rPr>
            </w:pPr>
            <w:r w:rsidRPr="008B316F">
              <w:rPr>
                <w:rFonts w:ascii="Arial" w:hAnsi="Arial" w:cs="Arial"/>
              </w:rPr>
              <w:t>Kurtosis</w:t>
            </w:r>
          </w:p>
        </w:tc>
        <w:tc>
          <w:tcPr>
            <w:tcW w:w="1368" w:type="dxa"/>
          </w:tcPr>
          <w:p w14:paraId="6311FE64" w14:textId="77777777" w:rsidR="00CB696F" w:rsidRPr="008B316F" w:rsidRDefault="00CB696F" w:rsidP="00CB696F">
            <w:pPr>
              <w:rPr>
                <w:rFonts w:ascii="Arial" w:hAnsi="Arial" w:cs="Arial"/>
              </w:rPr>
            </w:pPr>
            <w:r w:rsidRPr="008B316F">
              <w:rPr>
                <w:rFonts w:ascii="Arial" w:hAnsi="Arial" w:cs="Arial"/>
              </w:rPr>
              <w:t>4.257</w:t>
            </w:r>
          </w:p>
        </w:tc>
      </w:tr>
    </w:tbl>
    <w:p w14:paraId="2EADB4D7" w14:textId="77777777"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From the results of the </w:t>
      </w:r>
      <w:r w:rsidRPr="008B316F">
        <w:rPr>
          <w:rFonts w:ascii="Arial" w:hAnsi="Arial" w:cs="Arial"/>
        </w:rPr>
        <w:t xml:space="preserve">parameter estimates of </w:t>
      </w:r>
      <w:proofErr w:type="gramStart"/>
      <w:r w:rsidRPr="008B316F">
        <w:rPr>
          <w:rFonts w:ascii="Arial" w:hAnsi="Arial" w:cs="Arial"/>
        </w:rPr>
        <w:t>PAR(</w:t>
      </w:r>
      <w:proofErr w:type="gramEnd"/>
      <w:r w:rsidRPr="008B316F">
        <w:rPr>
          <w:rFonts w:ascii="Arial" w:hAnsi="Arial" w:cs="Arial"/>
        </w:rPr>
        <w:t>1) models for HIV, 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 infection rates</w:t>
      </w:r>
      <w:r w:rsidRPr="008B316F">
        <w:rPr>
          <w:rFonts w:ascii="Arial" w:hAnsi="Arial" w:cs="Arial"/>
          <w:shd w:val="clear" w:color="auto" w:fill="FFFFFF"/>
        </w:rPr>
        <w:t xml:space="preserve"> reported in </w:t>
      </w:r>
      <w:r w:rsidRPr="008B316F">
        <w:rPr>
          <w:rFonts w:ascii="Arial" w:hAnsi="Arial" w:cs="Arial"/>
        </w:rPr>
        <w:t>Tables 2, 3 a</w:t>
      </w:r>
      <w:r w:rsidRPr="008B316F">
        <w:rPr>
          <w:rFonts w:ascii="Arial" w:hAnsi="Arial" w:cs="Arial"/>
          <w:shd w:val="clear" w:color="auto" w:fill="FFFFFF"/>
        </w:rPr>
        <w:t>n</w:t>
      </w:r>
      <w:r w:rsidRPr="008B316F">
        <w:rPr>
          <w:rFonts w:ascii="Arial" w:hAnsi="Arial" w:cs="Arial"/>
        </w:rPr>
        <w:t>d 4,</w:t>
      </w:r>
      <w:r w:rsidRPr="008B316F">
        <w:rPr>
          <w:rFonts w:ascii="Arial" w:hAnsi="Arial" w:cs="Arial"/>
          <w:b/>
          <w:shd w:val="clear" w:color="auto" w:fill="FFFFFF"/>
        </w:rPr>
        <w:t xml:space="preserve"> </w:t>
      </w:r>
      <w:r w:rsidRPr="008B316F">
        <w:rPr>
          <w:rFonts w:ascii="Arial" w:hAnsi="Arial" w:cs="Arial"/>
          <w:shd w:val="clear" w:color="auto" w:fill="FFFFFF"/>
        </w:rPr>
        <w:t>the intercepts of the models are the base levels of the HIV,</w:t>
      </w:r>
      <w:r w:rsidRPr="008B316F">
        <w:rPr>
          <w:rFonts w:ascii="Arial" w:hAnsi="Arial" w:cs="Arial"/>
        </w:rPr>
        <w:t xml:space="preserve"> 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when both the lagged infection rates (</w:t>
      </w:r>
      <m:oMath>
        <m:sSub>
          <m:sSubPr>
            <m:ctrlPr>
              <w:rPr>
                <w:rFonts w:ascii="Cambria Math" w:hAnsi="Arial"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t</m:t>
            </m:r>
            <m:r>
              <w:rPr>
                <w:rFonts w:ascii="Arial" w:hAnsi="Arial" w:cs="Arial"/>
                <w:shd w:val="clear" w:color="auto" w:fill="FFFFFF"/>
              </w:rPr>
              <m:t>-</m:t>
            </m:r>
            <m:r>
              <w:rPr>
                <w:rFonts w:ascii="Cambria Math" w:hAnsi="Arial" w:cs="Arial"/>
                <w:shd w:val="clear" w:color="auto" w:fill="FFFFFF"/>
              </w:rPr>
              <m:t>1</m:t>
            </m:r>
          </m:sub>
        </m:sSub>
      </m:oMath>
      <w:r w:rsidRPr="008B316F">
        <w:rPr>
          <w:rFonts w:ascii="Arial" w:hAnsi="Arial" w:cs="Arial"/>
          <w:shd w:val="clear" w:color="auto" w:fill="FFFFFF"/>
        </w:rPr>
        <w:t>) and time components (</w:t>
      </w:r>
      <m:oMath>
        <m:r>
          <w:rPr>
            <w:rFonts w:ascii="Cambria Math" w:hAnsi="Cambria Math" w:cs="Arial"/>
            <w:shd w:val="clear" w:color="auto" w:fill="FFFFFF"/>
          </w:rPr>
          <m:t>t</m:t>
        </m:r>
      </m:oMath>
      <w:r w:rsidRPr="008B316F">
        <w:rPr>
          <w:rFonts w:ascii="Arial" w:hAnsi="Arial" w:cs="Arial"/>
          <w:shd w:val="clear" w:color="auto" w:fill="FFFFFF"/>
        </w:rPr>
        <w:t xml:space="preserve">) are zero. It represents the constant parts of the infection rates that are not influenced by past infection rates or time trends. The baseline infection rates are 0.2507, 0.1783 and 0.2197 for </w:t>
      </w:r>
      <w:r w:rsidRPr="008B316F">
        <w:rPr>
          <w:rFonts w:ascii="Arial" w:hAnsi="Arial" w:cs="Arial"/>
        </w:rPr>
        <w:t>HIV, 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 respectively</w:t>
      </w:r>
      <w:r w:rsidRPr="008B316F">
        <w:rPr>
          <w:rFonts w:ascii="Arial" w:hAnsi="Arial" w:cs="Arial"/>
          <w:shd w:val="clear" w:color="auto" w:fill="FFFFFF"/>
        </w:rPr>
        <w:t xml:space="preserve"> when the lagged infection rates and times are zero. These values are positive and statistically significant and represent the starting levels of the infections without considering past infections or the passage of time.</w:t>
      </w:r>
    </w:p>
    <w:p w14:paraId="58FF6037" w14:textId="77777777"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The lagged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coefficients are </w:t>
      </w:r>
      <w:r w:rsidRPr="008B316F">
        <w:rPr>
          <w:rFonts w:ascii="Arial" w:hAnsi="Arial" w:cs="Arial"/>
        </w:rPr>
        <w:t>0.7362</w:t>
      </w:r>
      <w:r w:rsidRPr="008B316F">
        <w:rPr>
          <w:rFonts w:ascii="Arial" w:hAnsi="Arial" w:cs="Arial"/>
          <w:shd w:val="clear" w:color="auto" w:fill="FFFFFF"/>
        </w:rPr>
        <w:t>, 0.7036 and 0.6718 respectively</w:t>
      </w:r>
      <w:r w:rsidRPr="008B316F">
        <w:rPr>
          <w:rFonts w:ascii="Arial" w:hAnsi="Arial" w:cs="Arial"/>
        </w:rPr>
        <w:t>. T</w:t>
      </w:r>
      <w:r w:rsidRPr="008B316F">
        <w:rPr>
          <w:rFonts w:ascii="Arial" w:hAnsi="Arial" w:cs="Arial"/>
          <w:shd w:val="clear" w:color="auto" w:fill="FFFFFF"/>
        </w:rPr>
        <w:t xml:space="preserve">hese parameters are positive and statistically significant at 1% marginal significance levels and indicate the influence of the previous period’s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w:t>
      </w:r>
      <m:oMath>
        <m:sSub>
          <m:sSubPr>
            <m:ctrlPr>
              <w:rPr>
                <w:rFonts w:ascii="Cambria Math" w:hAnsi="Arial"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t</m:t>
            </m:r>
            <m:r>
              <w:rPr>
                <w:rFonts w:ascii="Arial" w:hAnsi="Arial" w:cs="Arial"/>
                <w:shd w:val="clear" w:color="auto" w:fill="FFFFFF"/>
              </w:rPr>
              <m:t>-</m:t>
            </m:r>
            <m:r>
              <w:rPr>
                <w:rFonts w:ascii="Cambria Math" w:hAnsi="Arial" w:cs="Arial"/>
                <w:shd w:val="clear" w:color="auto" w:fill="FFFFFF"/>
              </w:rPr>
              <m:t>1</m:t>
            </m:r>
          </m:sub>
        </m:sSub>
      </m:oMath>
      <w:r w:rsidRPr="008B316F">
        <w:rPr>
          <w:rFonts w:ascii="Arial" w:hAnsi="Arial" w:cs="Arial"/>
          <w:shd w:val="clear" w:color="auto" w:fill="FFFFFF"/>
        </w:rPr>
        <w:t>) on the current period’s infection rates (</w:t>
      </w:r>
      <m:oMath>
        <m:sSub>
          <m:sSubPr>
            <m:ctrlPr>
              <w:rPr>
                <w:rFonts w:ascii="Cambria Math" w:hAnsi="Arial" w:cs="Arial"/>
                <w:i/>
                <w:shd w:val="clear" w:color="auto" w:fill="FFFFFF"/>
              </w:rPr>
            </m:ctrlPr>
          </m:sSubPr>
          <m:e>
            <m:r>
              <w:rPr>
                <w:rFonts w:ascii="Cambria Math" w:hAnsi="Cambria Math" w:cs="Arial"/>
                <w:shd w:val="clear" w:color="auto" w:fill="FFFFFF"/>
              </w:rPr>
              <m:t>λ</m:t>
            </m:r>
          </m:e>
          <m:sub>
            <m:r>
              <w:rPr>
                <w:rFonts w:ascii="Cambria Math" w:hAnsi="Cambria Math" w:cs="Arial"/>
                <w:shd w:val="clear" w:color="auto" w:fill="FFFFFF"/>
              </w:rPr>
              <m:t>t</m:t>
            </m:r>
          </m:sub>
        </m:sSub>
      </m:oMath>
      <w:r w:rsidRPr="008B316F">
        <w:rPr>
          <w:rFonts w:ascii="Arial" w:hAnsi="Arial" w:cs="Arial"/>
          <w:shd w:val="clear" w:color="auto" w:fill="FFFFFF"/>
        </w:rPr>
        <w:t xml:space="preserve">). The coefficients of 0.7362, 0.7036 and 0.6718 for the respective infection rates suggest strong positive relationships, meaning that if the infection rates in the previous periods increase by one unit each, the current infection rates will increase by approximately 0.7362, 0.7036 and 0.6718 units respectively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while holding other factors constant. This shows persistence in the infection rates, where high rates tend to continue. Strong persistence effects in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infections is indicated, where an increase in the previous period’s infection rates lead to substantial increases in the current period’s rates. This highlights the importance of addressing past infection levels to control current and future infection rates.</w:t>
      </w:r>
    </w:p>
    <w:p w14:paraId="581AFC17" w14:textId="77777777"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Time component coefficients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are </w:t>
      </w:r>
      <w:r w:rsidRPr="008B316F">
        <w:rPr>
          <w:rFonts w:ascii="Arial" w:hAnsi="Arial" w:cs="Arial"/>
        </w:rPr>
        <w:t>0.0225</w:t>
      </w:r>
      <w:r w:rsidRPr="008B316F">
        <w:rPr>
          <w:rFonts w:ascii="Arial" w:hAnsi="Arial" w:cs="Arial"/>
          <w:shd w:val="clear" w:color="auto" w:fill="FFFFFF"/>
        </w:rPr>
        <w:t xml:space="preserve">, 0.0122 and 0.1208 respectively and statistically significant at the 1% significance levels. These coefficients represent the influence of time on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The values indicate positive trends over time, meaning that for each additional time period (i.e., each month), and the infection rates increase by 0.0225, 0.0122 and 0.1208 units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 respectively</w:t>
      </w:r>
      <w:r w:rsidRPr="008B316F">
        <w:rPr>
          <w:rFonts w:ascii="Arial" w:hAnsi="Arial" w:cs="Arial"/>
          <w:shd w:val="clear" w:color="auto" w:fill="FFFFFF"/>
        </w:rPr>
        <w:t xml:space="preserve"> while holding other factors constant. These captured the general trends in the infection rates due to factors not explicitly modeled, such as changes in population </w:t>
      </w:r>
      <w:proofErr w:type="spellStart"/>
      <w:r w:rsidRPr="008B316F">
        <w:rPr>
          <w:rFonts w:ascii="Arial" w:hAnsi="Arial" w:cs="Arial"/>
          <w:shd w:val="clear" w:color="auto" w:fill="FFFFFF"/>
        </w:rPr>
        <w:t>behaviour</w:t>
      </w:r>
      <w:proofErr w:type="spellEnd"/>
      <w:r w:rsidRPr="008B316F">
        <w:rPr>
          <w:rFonts w:ascii="Arial" w:hAnsi="Arial" w:cs="Arial"/>
          <w:shd w:val="clear" w:color="auto" w:fill="FFFFFF"/>
        </w:rPr>
        <w:t>, healthcare policies, or epidemic progression.</w:t>
      </w:r>
    </w:p>
    <w:p w14:paraId="1E45DD97" w14:textId="77777777"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lastRenderedPageBreak/>
        <w:t xml:space="preserve">These findings indicate positive time trends in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suggesting that infections are increasing over time. This could be due to various factors such as changes in disease transmission dynamics, effectiveness of interventions, or changes in population </w:t>
      </w:r>
      <w:proofErr w:type="spellStart"/>
      <w:r w:rsidRPr="008B316F">
        <w:rPr>
          <w:rFonts w:ascii="Arial" w:hAnsi="Arial" w:cs="Arial"/>
          <w:shd w:val="clear" w:color="auto" w:fill="FFFFFF"/>
        </w:rPr>
        <w:t>behaviour</w:t>
      </w:r>
      <w:proofErr w:type="spellEnd"/>
      <w:r w:rsidRPr="008B316F">
        <w:rPr>
          <w:rFonts w:ascii="Arial" w:hAnsi="Arial" w:cs="Arial"/>
          <w:shd w:val="clear" w:color="auto" w:fill="FFFFFF"/>
        </w:rPr>
        <w:t>.</w:t>
      </w:r>
    </w:p>
    <w:p w14:paraId="7952BE85" w14:textId="77777777"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The Error variances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are </w:t>
      </w:r>
      <m:oMath>
        <m:sSup>
          <m:sSupPr>
            <m:ctrlPr>
              <w:rPr>
                <w:rFonts w:ascii="Cambria Math" w:hAnsi="Arial" w:cs="Arial"/>
                <w:i/>
                <w:shd w:val="clear" w:color="auto" w:fill="FFFFFF"/>
              </w:rPr>
            </m:ctrlPr>
          </m:sSupPr>
          <m:e>
            <m:r>
              <w:rPr>
                <w:rFonts w:ascii="Cambria Math" w:hAnsi="Cambria Math" w:cs="Arial"/>
                <w:shd w:val="clear" w:color="auto" w:fill="FFFFFF"/>
              </w:rPr>
              <m:t>σ</m:t>
            </m:r>
          </m:e>
          <m:sup>
            <m:r>
              <w:rPr>
                <w:rFonts w:ascii="Cambria Math" w:hAnsi="Arial" w:cs="Arial"/>
                <w:shd w:val="clear" w:color="auto" w:fill="FFFFFF"/>
              </w:rPr>
              <m:t>2</m:t>
            </m:r>
          </m:sup>
        </m:sSup>
        <m:r>
          <w:rPr>
            <w:rFonts w:ascii="Cambria Math" w:hAnsi="Arial" w:cs="Arial"/>
            <w:shd w:val="clear" w:color="auto" w:fill="FFFFFF"/>
          </w:rPr>
          <m:t>=</m:t>
        </m:r>
        <m:r>
          <m:rPr>
            <m:sty m:val="p"/>
          </m:rPr>
          <w:rPr>
            <w:rFonts w:ascii="Cambria Math" w:hAnsi="Arial" w:cs="Arial"/>
          </w:rPr>
          <m:t>0.1046</m:t>
        </m:r>
      </m:oMath>
      <w:r w:rsidRPr="008B316F">
        <w:rPr>
          <w:rFonts w:ascii="Arial" w:hAnsi="Arial" w:cs="Arial"/>
          <w:shd w:val="clear" w:color="auto" w:fill="FFFFFF"/>
        </w:rPr>
        <w:t xml:space="preserve">, </w:t>
      </w:r>
      <m:oMath>
        <m:sSup>
          <m:sSupPr>
            <m:ctrlPr>
              <w:rPr>
                <w:rFonts w:ascii="Cambria Math" w:hAnsi="Arial" w:cs="Arial"/>
                <w:i/>
                <w:shd w:val="clear" w:color="auto" w:fill="FFFFFF"/>
              </w:rPr>
            </m:ctrlPr>
          </m:sSupPr>
          <m:e>
            <m:r>
              <w:rPr>
                <w:rFonts w:ascii="Cambria Math" w:hAnsi="Cambria Math" w:cs="Arial"/>
                <w:shd w:val="clear" w:color="auto" w:fill="FFFFFF"/>
              </w:rPr>
              <m:t>σ</m:t>
            </m:r>
          </m:e>
          <m:sup>
            <m:r>
              <w:rPr>
                <w:rFonts w:ascii="Cambria Math" w:hAnsi="Arial" w:cs="Arial"/>
                <w:shd w:val="clear" w:color="auto" w:fill="FFFFFF"/>
              </w:rPr>
              <m:t>2</m:t>
            </m:r>
          </m:sup>
        </m:sSup>
        <m:r>
          <w:rPr>
            <w:rFonts w:ascii="Cambria Math" w:hAnsi="Arial" w:cs="Arial"/>
            <w:shd w:val="clear" w:color="auto" w:fill="FFFFFF"/>
          </w:rPr>
          <m:t>=0.1247</m:t>
        </m:r>
      </m:oMath>
      <w:r w:rsidRPr="008B316F">
        <w:rPr>
          <w:rFonts w:ascii="Arial" w:hAnsi="Arial" w:cs="Arial"/>
          <w:shd w:val="clear" w:color="auto" w:fill="FFFFFF"/>
        </w:rPr>
        <w:t xml:space="preserve"> and </w:t>
      </w:r>
      <m:oMath>
        <m:sSup>
          <m:sSupPr>
            <m:ctrlPr>
              <w:rPr>
                <w:rFonts w:ascii="Cambria Math" w:hAnsi="Arial" w:cs="Arial"/>
                <w:i/>
                <w:shd w:val="clear" w:color="auto" w:fill="FFFFFF"/>
              </w:rPr>
            </m:ctrlPr>
          </m:sSupPr>
          <m:e>
            <m:r>
              <w:rPr>
                <w:rFonts w:ascii="Cambria Math" w:hAnsi="Cambria Math" w:cs="Arial"/>
                <w:shd w:val="clear" w:color="auto" w:fill="FFFFFF"/>
              </w:rPr>
              <m:t>σ</m:t>
            </m:r>
          </m:e>
          <m:sup>
            <m:r>
              <w:rPr>
                <w:rFonts w:ascii="Cambria Math" w:hAnsi="Arial" w:cs="Arial"/>
                <w:shd w:val="clear" w:color="auto" w:fill="FFFFFF"/>
              </w:rPr>
              <m:t>2</m:t>
            </m:r>
          </m:sup>
        </m:sSup>
        <m:r>
          <w:rPr>
            <w:rFonts w:ascii="Cambria Math" w:hAnsi="Arial" w:cs="Arial"/>
            <w:shd w:val="clear" w:color="auto" w:fill="FFFFFF"/>
          </w:rPr>
          <m:t>=0.0984</m:t>
        </m:r>
      </m:oMath>
      <w:r w:rsidRPr="008B316F">
        <w:rPr>
          <w:rFonts w:ascii="Arial" w:hAnsi="Arial" w:cs="Arial"/>
          <w:shd w:val="clear" w:color="auto" w:fill="FFFFFF"/>
        </w:rPr>
        <w:t xml:space="preserve"> respectively with marginal statically significance at 1% levels. These represent the variances of the error terms </w:t>
      </w:r>
      <m:oMath>
        <m:sSub>
          <m:sSubPr>
            <m:ctrlPr>
              <w:rPr>
                <w:rFonts w:ascii="Cambria Math" w:hAnsi="Arial"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t</m:t>
            </m:r>
          </m:sub>
        </m:sSub>
      </m:oMath>
      <w:r w:rsidRPr="008B316F">
        <w:rPr>
          <w:rFonts w:ascii="Arial" w:hAnsi="Arial" w:cs="Arial"/>
          <w:shd w:val="clear" w:color="auto" w:fill="FFFFFF"/>
        </w:rPr>
        <w:t>, which captured the variability in the infection rates that are not explained by the models. The respective values of 0.1046, 0.1247 and 0.0984 indicate the extent of this unexplained variability. The relatively low values suggest that the models explained significant portions of the variability in the infection rates, although some random fluctuations still remained.</w:t>
      </w:r>
    </w:p>
    <w:p w14:paraId="7663FE42" w14:textId="77777777"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The models captured most of the variability in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but there </w:t>
      </w:r>
      <w:proofErr w:type="gramStart"/>
      <w:r w:rsidRPr="008B316F">
        <w:rPr>
          <w:rFonts w:ascii="Arial" w:hAnsi="Arial" w:cs="Arial"/>
          <w:shd w:val="clear" w:color="auto" w:fill="FFFFFF"/>
        </w:rPr>
        <w:t>are</w:t>
      </w:r>
      <w:proofErr w:type="gramEnd"/>
      <w:r w:rsidRPr="008B316F">
        <w:rPr>
          <w:rFonts w:ascii="Arial" w:hAnsi="Arial" w:cs="Arial"/>
          <w:shd w:val="clear" w:color="auto" w:fill="FFFFFF"/>
        </w:rPr>
        <w:t xml:space="preserve"> still some random variability not explained by the models. These could be due to random fluctuations, measurement errors, or other unobserved factors.</w:t>
      </w:r>
    </w:p>
    <w:p w14:paraId="751E133F" w14:textId="77777777" w:rsidR="00CB696F" w:rsidRPr="008B316F" w:rsidRDefault="00CB696F" w:rsidP="00CB696F">
      <w:pPr>
        <w:jc w:val="both"/>
        <w:rPr>
          <w:rFonts w:ascii="Arial" w:hAnsi="Arial" w:cs="Arial"/>
          <w:b/>
          <w:shd w:val="clear" w:color="auto" w:fill="FFFFFF"/>
        </w:rPr>
      </w:pPr>
    </w:p>
    <w:p w14:paraId="1DD56009" w14:textId="77777777" w:rsidR="00CB696F" w:rsidRPr="008B316F" w:rsidRDefault="008B316F" w:rsidP="00CB696F">
      <w:pPr>
        <w:jc w:val="both"/>
        <w:rPr>
          <w:rFonts w:ascii="Arial" w:hAnsi="Arial" w:cs="Arial"/>
          <w:b/>
          <w:shd w:val="clear" w:color="auto" w:fill="FFFFFF"/>
        </w:rPr>
      </w:pPr>
      <w:r w:rsidRPr="008B316F">
        <w:rPr>
          <w:rFonts w:ascii="Arial" w:hAnsi="Arial" w:cs="Arial"/>
          <w:b/>
          <w:shd w:val="clear" w:color="auto" w:fill="FFFFFF"/>
        </w:rPr>
        <w:t>3</w:t>
      </w:r>
      <w:r w:rsidR="00CB696F" w:rsidRPr="008B316F">
        <w:rPr>
          <w:rFonts w:ascii="Arial" w:hAnsi="Arial" w:cs="Arial"/>
          <w:b/>
          <w:shd w:val="clear" w:color="auto" w:fill="FFFFFF"/>
        </w:rPr>
        <w:t>.5 Practical Implications of the PAR Models</w:t>
      </w:r>
    </w:p>
    <w:p w14:paraId="1DD1EE65" w14:textId="77777777" w:rsidR="00CB696F" w:rsidRPr="008B316F" w:rsidRDefault="00CB696F" w:rsidP="00CB696F">
      <w:pPr>
        <w:jc w:val="both"/>
        <w:rPr>
          <w:rFonts w:ascii="Arial" w:hAnsi="Arial" w:cs="Arial"/>
          <w:b/>
          <w:shd w:val="clear" w:color="auto" w:fill="FFFFFF"/>
        </w:rPr>
      </w:pPr>
      <w:r w:rsidRPr="008B316F">
        <w:rPr>
          <w:rFonts w:ascii="Arial" w:hAnsi="Arial" w:cs="Arial"/>
          <w:shd w:val="clear" w:color="auto" w:fill="FFFFFF"/>
        </w:rPr>
        <w:t xml:space="preserve">The strong persistence effects imply that efforts to reduce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need to be sustained over time. Short-term reductions may not be sufficient due to the high influence of past infection rates on current rates. The positive time trend suggests that monitoring the infection rates over time is crucial. Public health strategies need to account for this increasing trend and aim to reverse it.</w:t>
      </w:r>
    </w:p>
    <w:p w14:paraId="19B36A37" w14:textId="77777777" w:rsidR="00CB696F" w:rsidRPr="008B316F" w:rsidRDefault="008B316F" w:rsidP="00CB696F">
      <w:pPr>
        <w:spacing w:before="240"/>
        <w:jc w:val="both"/>
        <w:rPr>
          <w:rFonts w:ascii="Arial" w:hAnsi="Arial" w:cs="Arial"/>
          <w:b/>
        </w:rPr>
      </w:pPr>
      <w:r w:rsidRPr="008B316F">
        <w:rPr>
          <w:rFonts w:ascii="Arial" w:hAnsi="Arial" w:cs="Arial"/>
          <w:b/>
        </w:rPr>
        <w:t>3</w:t>
      </w:r>
      <w:r>
        <w:rPr>
          <w:rFonts w:ascii="Arial" w:hAnsi="Arial" w:cs="Arial"/>
          <w:b/>
        </w:rPr>
        <w:t>.6</w:t>
      </w:r>
      <w:r w:rsidR="00CB696F" w:rsidRPr="008B316F">
        <w:rPr>
          <w:rFonts w:ascii="Arial" w:hAnsi="Arial" w:cs="Arial"/>
          <w:b/>
        </w:rPr>
        <w:t xml:space="preserve"> Goodness-of-Fit Test</w:t>
      </w:r>
    </w:p>
    <w:p w14:paraId="12FE8B70" w14:textId="77777777" w:rsidR="00CB696F" w:rsidRPr="008B316F" w:rsidRDefault="00CB696F" w:rsidP="00CB696F">
      <w:pPr>
        <w:spacing w:before="240"/>
        <w:jc w:val="both"/>
        <w:rPr>
          <w:rFonts w:ascii="Arial" w:hAnsi="Arial" w:cs="Arial"/>
          <w:b/>
        </w:rPr>
      </w:pPr>
      <w:r w:rsidRPr="008B316F">
        <w:rPr>
          <w:rFonts w:ascii="Arial" w:hAnsi="Arial" w:cs="Arial"/>
          <w:shd w:val="clear" w:color="auto" w:fill="FFFFFF"/>
        </w:rPr>
        <w:t xml:space="preserve">The coefficient of determinations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models are 0.833, 0.788 and 0.808 respectively indicating that the models explained 83.3%, 78.8% and 80.8% of the variances in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data. The high percentages of explained variations indicate that the models fit the data well.</w:t>
      </w:r>
      <w:r w:rsidRPr="008B316F">
        <w:rPr>
          <w:rFonts w:ascii="Arial" w:hAnsi="Arial" w:cs="Arial"/>
          <w:b/>
        </w:rPr>
        <w:t xml:space="preserve"> </w:t>
      </w:r>
      <w:r w:rsidRPr="008B316F">
        <w:rPr>
          <w:rFonts w:ascii="Arial" w:hAnsi="Arial" w:cs="Arial"/>
          <w:shd w:val="clear" w:color="auto" w:fill="FFFFFF"/>
        </w:rPr>
        <w:t>The Akaike Information Criterion (AIC) and Bayesian Information Criterion (BIC) are also measures of model fit, with lower values indicating better fit for all the fitted models.</w:t>
      </w:r>
    </w:p>
    <w:p w14:paraId="4A37F7CB" w14:textId="77777777" w:rsidR="00CB696F" w:rsidRPr="008B316F" w:rsidRDefault="008B316F" w:rsidP="00CB696F">
      <w:pPr>
        <w:spacing w:before="240"/>
        <w:jc w:val="both"/>
        <w:rPr>
          <w:rFonts w:ascii="Arial" w:hAnsi="Arial" w:cs="Arial"/>
          <w:b/>
        </w:rPr>
      </w:pPr>
      <w:r w:rsidRPr="008B316F">
        <w:rPr>
          <w:rFonts w:ascii="Arial" w:hAnsi="Arial" w:cs="Arial"/>
          <w:b/>
        </w:rPr>
        <w:t>3</w:t>
      </w:r>
      <w:r>
        <w:rPr>
          <w:rFonts w:ascii="Arial" w:hAnsi="Arial" w:cs="Arial"/>
          <w:b/>
        </w:rPr>
        <w:t>.7</w:t>
      </w:r>
      <w:r w:rsidR="00CB696F" w:rsidRPr="008B316F">
        <w:rPr>
          <w:rFonts w:ascii="Arial" w:hAnsi="Arial" w:cs="Arial"/>
          <w:b/>
        </w:rPr>
        <w:t xml:space="preserve"> PAR Models Diagnosis </w:t>
      </w:r>
    </w:p>
    <w:p w14:paraId="6029F1BF" w14:textId="77777777" w:rsidR="00CB696F" w:rsidRPr="00EB2CAE" w:rsidRDefault="00CB696F" w:rsidP="00CB696F">
      <w:pPr>
        <w:spacing w:before="240"/>
        <w:jc w:val="both"/>
        <w:rPr>
          <w:rFonts w:ascii="Times New Roman" w:hAnsi="Times New Roman"/>
          <w:sz w:val="24"/>
          <w:szCs w:val="24"/>
          <w:shd w:val="clear" w:color="auto" w:fill="FFFFFF"/>
        </w:rPr>
      </w:pPr>
      <w:r w:rsidRPr="008B316F">
        <w:rPr>
          <w:rFonts w:ascii="Arial" w:hAnsi="Arial" w:cs="Arial"/>
          <w:shd w:val="clear" w:color="auto" w:fill="FFFFFF"/>
        </w:rPr>
        <w:t xml:space="preserve">The Omnibus test checks for skewness and kurtosis of residuals. A significant p-value suggests non-normality of residuals. All the p-values of the Omnibus test for the fitted models are statistically significant at 5% levels of significance indicating that the residuals of the fitted models are non-Gaussian. The Durbin-Watson statistic is a test for autocorrelation in residuals. A value close to 2 indicates no autocorrelation in the residuals. Durbin-Watson statistic values for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models are 1.834, 1.882 and 1.912 respectively, which are very close to 2 indicating the absence of serial correlations/autocorrelations in the residuals of the estimated models. These also show that the estimated models are non-spurious. The Jarque-Bera statistic is a test for normality of residuals. A significant p-value suggests non-normality. From all the estimated models, the Jarque-Bera statistic p-values are highly statistically significance at the 5% levels, indicating the non-</w:t>
      </w:r>
      <w:proofErr w:type="spellStart"/>
      <w:r w:rsidRPr="008B316F">
        <w:rPr>
          <w:rFonts w:ascii="Arial" w:hAnsi="Arial" w:cs="Arial"/>
          <w:shd w:val="clear" w:color="auto" w:fill="FFFFFF"/>
        </w:rPr>
        <w:t>Gaussianity</w:t>
      </w:r>
      <w:proofErr w:type="spellEnd"/>
      <w:r w:rsidRPr="008B316F">
        <w:rPr>
          <w:rFonts w:ascii="Arial" w:hAnsi="Arial" w:cs="Arial"/>
          <w:shd w:val="clear" w:color="auto" w:fill="FFFFFF"/>
        </w:rPr>
        <w:t xml:space="preserve"> of residuals.</w:t>
      </w:r>
    </w:p>
    <w:p w14:paraId="442C25C5" w14:textId="77777777" w:rsidR="00CB696F" w:rsidRPr="00EB2CAE" w:rsidRDefault="00CB696F" w:rsidP="00CB696F">
      <w:pPr>
        <w:jc w:val="both"/>
        <w:rPr>
          <w:rFonts w:ascii="Times New Roman" w:hAnsi="Times New Roman"/>
          <w:b/>
          <w:sz w:val="24"/>
          <w:szCs w:val="24"/>
        </w:rPr>
      </w:pPr>
    </w:p>
    <w:p w14:paraId="6CB1DA4B" w14:textId="77777777" w:rsidR="00CB696F" w:rsidRPr="008B316F" w:rsidRDefault="008B316F" w:rsidP="00CB696F">
      <w:pPr>
        <w:jc w:val="both"/>
        <w:rPr>
          <w:rFonts w:ascii="Arial" w:hAnsi="Arial" w:cs="Arial"/>
          <w:b/>
        </w:rPr>
      </w:pPr>
      <w:r w:rsidRPr="008B316F">
        <w:rPr>
          <w:rFonts w:ascii="Arial" w:hAnsi="Arial" w:cs="Arial"/>
          <w:b/>
        </w:rPr>
        <w:t>3</w:t>
      </w:r>
      <w:r>
        <w:rPr>
          <w:rFonts w:ascii="Arial" w:hAnsi="Arial" w:cs="Arial"/>
          <w:b/>
        </w:rPr>
        <w:t>.8</w:t>
      </w:r>
      <w:r w:rsidR="00CB696F" w:rsidRPr="008B316F">
        <w:rPr>
          <w:rFonts w:ascii="Arial" w:hAnsi="Arial" w:cs="Arial"/>
          <w:b/>
        </w:rPr>
        <w:t xml:space="preserve"> Parameter Estimates of Poisson Exponential Weighted Moving Average (PEWMA) Models</w:t>
      </w:r>
    </w:p>
    <w:p w14:paraId="7E106661" w14:textId="77777777" w:rsidR="00CB696F" w:rsidRPr="008B316F" w:rsidRDefault="00CB696F" w:rsidP="00CB696F">
      <w:pPr>
        <w:jc w:val="both"/>
        <w:rPr>
          <w:rFonts w:ascii="Arial" w:hAnsi="Arial" w:cs="Arial"/>
          <w:b/>
        </w:rPr>
      </w:pPr>
      <w:r w:rsidRPr="008B316F">
        <w:rPr>
          <w:rFonts w:ascii="Arial" w:hAnsi="Arial" w:cs="Arial"/>
          <w:b/>
        </w:rPr>
        <w:t xml:space="preserve"> </w:t>
      </w:r>
      <w:r w:rsidRPr="008B316F">
        <w:rPr>
          <w:rFonts w:ascii="Arial" w:hAnsi="Arial" w:cs="Arial"/>
        </w:rPr>
        <w:t xml:space="preserve">The Poisson Exponential Weighted Moving Average (PEWMA) model is used to analyze the dynamics of HIV, tuberculosis (TB), and viral hepatitis (VHP) by modeling their infection rates as count data over time. It captures the interdependencies between these diseases, </w:t>
      </w:r>
      <w:r w:rsidRPr="008B316F">
        <w:rPr>
          <w:rFonts w:ascii="Arial" w:hAnsi="Arial" w:cs="Arial"/>
        </w:rPr>
        <w:lastRenderedPageBreak/>
        <w:t xml:space="preserve">where increases in one infection (e.g., HIV) can influence the incidence of another (e.g., TB), reflecting common co-infection patterns. The model also incorporates the effect of time, accounting for trends in infection rates due to factors like changes in detection, </w:t>
      </w:r>
      <w:proofErr w:type="spellStart"/>
      <w:r w:rsidRPr="008B316F">
        <w:rPr>
          <w:rFonts w:ascii="Arial" w:hAnsi="Arial" w:cs="Arial"/>
        </w:rPr>
        <w:t>behaviour</w:t>
      </w:r>
      <w:proofErr w:type="spellEnd"/>
      <w:r w:rsidRPr="008B316F">
        <w:rPr>
          <w:rFonts w:ascii="Arial" w:hAnsi="Arial" w:cs="Arial"/>
        </w:rPr>
        <w:t>, or interventions. By estimating the relationships between these infections, the PEWMA model provides deep understanding of their evolving patterns, helping public health efforts to design more targeted and effective interventions. The parameter estimates of PEWMA</w:t>
      </w:r>
      <w:r w:rsidR="008B316F">
        <w:rPr>
          <w:rFonts w:ascii="Arial" w:hAnsi="Arial" w:cs="Arial"/>
        </w:rPr>
        <w:t xml:space="preserve"> models are presented in Table 5</w:t>
      </w:r>
      <w:r w:rsidRPr="008B316F">
        <w:rPr>
          <w:rFonts w:ascii="Arial" w:hAnsi="Arial" w:cs="Arial"/>
        </w:rPr>
        <w:t xml:space="preserve">. </w:t>
      </w:r>
    </w:p>
    <w:p w14:paraId="5634903F" w14:textId="77777777" w:rsidR="00CB696F" w:rsidRPr="008B316F" w:rsidRDefault="00CB696F" w:rsidP="008B316F">
      <w:pPr>
        <w:tabs>
          <w:tab w:val="left" w:pos="3150"/>
        </w:tabs>
        <w:jc w:val="both"/>
        <w:rPr>
          <w:rFonts w:ascii="Arial" w:hAnsi="Arial" w:cs="Arial"/>
          <w:b/>
        </w:rPr>
      </w:pPr>
      <w:r w:rsidRPr="008B316F">
        <w:rPr>
          <w:rFonts w:ascii="Arial" w:hAnsi="Arial" w:cs="Arial"/>
          <w:b/>
        </w:rPr>
        <w:t>Table 5:</w:t>
      </w:r>
      <w:r w:rsidRPr="008B316F">
        <w:rPr>
          <w:rFonts w:ascii="Arial" w:hAnsi="Arial" w:cs="Arial"/>
        </w:rPr>
        <w:t xml:space="preserve"> </w:t>
      </w:r>
      <w:r w:rsidRPr="008B316F">
        <w:rPr>
          <w:rFonts w:ascii="Arial" w:hAnsi="Arial" w:cs="Arial"/>
          <w:b/>
        </w:rPr>
        <w:t>Parameter Estimates of PEWMA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1284"/>
        <w:gridCol w:w="1145"/>
        <w:gridCol w:w="1145"/>
        <w:gridCol w:w="998"/>
        <w:gridCol w:w="1321"/>
        <w:gridCol w:w="1173"/>
      </w:tblGrid>
      <w:tr w:rsidR="00CB696F" w:rsidRPr="008B316F" w14:paraId="4DB34015" w14:textId="77777777" w:rsidTr="00CB696F">
        <w:tc>
          <w:tcPr>
            <w:tcW w:w="1389" w:type="dxa"/>
            <w:vMerge w:val="restart"/>
            <w:tcBorders>
              <w:top w:val="single" w:sz="4" w:space="0" w:color="auto"/>
              <w:bottom w:val="nil"/>
            </w:tcBorders>
          </w:tcPr>
          <w:p w14:paraId="398EA837" w14:textId="77777777" w:rsidR="00CB696F" w:rsidRPr="008B316F" w:rsidRDefault="00CB696F" w:rsidP="008B316F">
            <w:pPr>
              <w:jc w:val="both"/>
              <w:rPr>
                <w:rFonts w:ascii="Arial" w:hAnsi="Arial" w:cs="Arial"/>
                <w:b/>
              </w:rPr>
            </w:pPr>
            <w:r w:rsidRPr="008B316F">
              <w:rPr>
                <w:rFonts w:ascii="Arial" w:hAnsi="Arial" w:cs="Arial"/>
                <w:b/>
              </w:rPr>
              <w:t xml:space="preserve">Variable </w:t>
            </w:r>
          </w:p>
        </w:tc>
        <w:tc>
          <w:tcPr>
            <w:tcW w:w="1296" w:type="dxa"/>
            <w:vMerge w:val="restart"/>
            <w:tcBorders>
              <w:top w:val="single" w:sz="4" w:space="0" w:color="auto"/>
              <w:bottom w:val="nil"/>
            </w:tcBorders>
          </w:tcPr>
          <w:p w14:paraId="30D80BF7" w14:textId="77777777" w:rsidR="00CB696F" w:rsidRPr="008B316F" w:rsidRDefault="00CB696F" w:rsidP="008B316F">
            <w:pPr>
              <w:jc w:val="both"/>
              <w:rPr>
                <w:rFonts w:ascii="Arial" w:hAnsi="Arial" w:cs="Arial"/>
                <w:b/>
              </w:rPr>
            </w:pPr>
            <w:r w:rsidRPr="008B316F">
              <w:rPr>
                <w:rFonts w:ascii="Arial" w:hAnsi="Arial" w:cs="Arial"/>
                <w:b/>
              </w:rPr>
              <w:t xml:space="preserve">Coefficient </w:t>
            </w:r>
          </w:p>
        </w:tc>
        <w:tc>
          <w:tcPr>
            <w:tcW w:w="1261" w:type="dxa"/>
            <w:vMerge w:val="restart"/>
            <w:tcBorders>
              <w:top w:val="single" w:sz="4" w:space="0" w:color="auto"/>
              <w:bottom w:val="nil"/>
            </w:tcBorders>
          </w:tcPr>
          <w:p w14:paraId="6B4FCF3B" w14:textId="77777777" w:rsidR="00CB696F" w:rsidRPr="008B316F" w:rsidRDefault="00CB696F" w:rsidP="008B316F">
            <w:pPr>
              <w:jc w:val="both"/>
              <w:rPr>
                <w:rFonts w:ascii="Arial" w:hAnsi="Arial" w:cs="Arial"/>
                <w:b/>
              </w:rPr>
            </w:pPr>
            <w:r w:rsidRPr="008B316F">
              <w:rPr>
                <w:rFonts w:ascii="Arial" w:hAnsi="Arial" w:cs="Arial"/>
                <w:b/>
              </w:rPr>
              <w:t>Std. Error</w:t>
            </w:r>
          </w:p>
        </w:tc>
        <w:tc>
          <w:tcPr>
            <w:tcW w:w="1261" w:type="dxa"/>
            <w:vMerge w:val="restart"/>
            <w:tcBorders>
              <w:top w:val="single" w:sz="4" w:space="0" w:color="auto"/>
              <w:bottom w:val="nil"/>
            </w:tcBorders>
          </w:tcPr>
          <w:p w14:paraId="6FCDF5BA" w14:textId="77777777" w:rsidR="00CB696F" w:rsidRPr="008B316F" w:rsidRDefault="00CB696F" w:rsidP="008B316F">
            <w:pPr>
              <w:jc w:val="both"/>
              <w:rPr>
                <w:rFonts w:ascii="Arial" w:hAnsi="Arial" w:cs="Arial"/>
                <w:b/>
              </w:rPr>
            </w:pPr>
            <w:r w:rsidRPr="008B316F">
              <w:rPr>
                <w:rFonts w:ascii="Arial" w:hAnsi="Arial" w:cs="Arial"/>
                <w:b/>
              </w:rPr>
              <w:t>z-value</w:t>
            </w:r>
          </w:p>
        </w:tc>
        <w:tc>
          <w:tcPr>
            <w:tcW w:w="1058" w:type="dxa"/>
            <w:vMerge w:val="restart"/>
            <w:tcBorders>
              <w:top w:val="single" w:sz="4" w:space="0" w:color="auto"/>
              <w:bottom w:val="nil"/>
            </w:tcBorders>
          </w:tcPr>
          <w:p w14:paraId="4B58E4F8" w14:textId="77777777" w:rsidR="00CB696F" w:rsidRPr="008B316F" w:rsidRDefault="00CB696F" w:rsidP="008B316F">
            <w:pPr>
              <w:jc w:val="both"/>
              <w:rPr>
                <w:rFonts w:ascii="Arial" w:hAnsi="Arial" w:cs="Arial"/>
                <w:b/>
              </w:rPr>
            </w:pPr>
            <w:r w:rsidRPr="008B316F">
              <w:rPr>
                <w:rFonts w:ascii="Arial" w:hAnsi="Arial" w:cs="Arial"/>
                <w:b/>
              </w:rPr>
              <w:t>p-value</w:t>
            </w:r>
          </w:p>
        </w:tc>
        <w:tc>
          <w:tcPr>
            <w:tcW w:w="2718" w:type="dxa"/>
            <w:gridSpan w:val="2"/>
            <w:tcBorders>
              <w:top w:val="single" w:sz="4" w:space="0" w:color="auto"/>
              <w:bottom w:val="nil"/>
            </w:tcBorders>
          </w:tcPr>
          <w:p w14:paraId="2C54D670" w14:textId="77777777" w:rsidR="00CB696F" w:rsidRPr="008B316F" w:rsidRDefault="00CB696F" w:rsidP="008B316F">
            <w:pPr>
              <w:jc w:val="both"/>
              <w:rPr>
                <w:rFonts w:ascii="Arial" w:hAnsi="Arial" w:cs="Arial"/>
                <w:b/>
              </w:rPr>
            </w:pPr>
            <w:r w:rsidRPr="008B316F">
              <w:rPr>
                <w:rFonts w:ascii="Arial" w:hAnsi="Arial" w:cs="Arial"/>
                <w:b/>
              </w:rPr>
              <w:t xml:space="preserve">95% confidence interval </w:t>
            </w:r>
          </w:p>
        </w:tc>
      </w:tr>
      <w:tr w:rsidR="00CB696F" w:rsidRPr="008B316F" w14:paraId="5B900B08" w14:textId="77777777" w:rsidTr="00CB696F">
        <w:tc>
          <w:tcPr>
            <w:tcW w:w="1389" w:type="dxa"/>
            <w:vMerge/>
            <w:tcBorders>
              <w:top w:val="nil"/>
              <w:bottom w:val="single" w:sz="4" w:space="0" w:color="auto"/>
            </w:tcBorders>
          </w:tcPr>
          <w:p w14:paraId="70AE44B6" w14:textId="77777777" w:rsidR="00CB696F" w:rsidRPr="008B316F" w:rsidRDefault="00CB696F" w:rsidP="008B316F">
            <w:pPr>
              <w:jc w:val="both"/>
              <w:rPr>
                <w:rFonts w:ascii="Arial" w:hAnsi="Arial" w:cs="Arial"/>
                <w:b/>
              </w:rPr>
            </w:pPr>
          </w:p>
        </w:tc>
        <w:tc>
          <w:tcPr>
            <w:tcW w:w="1296" w:type="dxa"/>
            <w:vMerge/>
            <w:tcBorders>
              <w:top w:val="nil"/>
              <w:bottom w:val="single" w:sz="4" w:space="0" w:color="auto"/>
            </w:tcBorders>
          </w:tcPr>
          <w:p w14:paraId="688EE736" w14:textId="77777777" w:rsidR="00CB696F" w:rsidRPr="008B316F" w:rsidRDefault="00CB696F" w:rsidP="008B316F">
            <w:pPr>
              <w:jc w:val="both"/>
              <w:rPr>
                <w:rFonts w:ascii="Arial" w:hAnsi="Arial" w:cs="Arial"/>
                <w:b/>
              </w:rPr>
            </w:pPr>
          </w:p>
        </w:tc>
        <w:tc>
          <w:tcPr>
            <w:tcW w:w="1261" w:type="dxa"/>
            <w:vMerge/>
            <w:tcBorders>
              <w:top w:val="nil"/>
              <w:bottom w:val="single" w:sz="4" w:space="0" w:color="auto"/>
            </w:tcBorders>
          </w:tcPr>
          <w:p w14:paraId="4D48EE70" w14:textId="77777777" w:rsidR="00CB696F" w:rsidRPr="008B316F" w:rsidRDefault="00CB696F" w:rsidP="008B316F">
            <w:pPr>
              <w:jc w:val="both"/>
              <w:rPr>
                <w:rFonts w:ascii="Arial" w:hAnsi="Arial" w:cs="Arial"/>
                <w:b/>
              </w:rPr>
            </w:pPr>
          </w:p>
        </w:tc>
        <w:tc>
          <w:tcPr>
            <w:tcW w:w="1261" w:type="dxa"/>
            <w:vMerge/>
            <w:tcBorders>
              <w:top w:val="nil"/>
              <w:bottom w:val="single" w:sz="4" w:space="0" w:color="auto"/>
            </w:tcBorders>
          </w:tcPr>
          <w:p w14:paraId="01F02724" w14:textId="77777777" w:rsidR="00CB696F" w:rsidRPr="008B316F" w:rsidRDefault="00CB696F" w:rsidP="008B316F">
            <w:pPr>
              <w:jc w:val="both"/>
              <w:rPr>
                <w:rFonts w:ascii="Arial" w:hAnsi="Arial" w:cs="Arial"/>
                <w:b/>
              </w:rPr>
            </w:pPr>
          </w:p>
        </w:tc>
        <w:tc>
          <w:tcPr>
            <w:tcW w:w="1058" w:type="dxa"/>
            <w:vMerge/>
            <w:tcBorders>
              <w:top w:val="nil"/>
              <w:bottom w:val="single" w:sz="4" w:space="0" w:color="auto"/>
            </w:tcBorders>
          </w:tcPr>
          <w:p w14:paraId="751A4B7E" w14:textId="77777777" w:rsidR="00CB696F" w:rsidRPr="008B316F" w:rsidRDefault="00CB696F" w:rsidP="008B316F">
            <w:pPr>
              <w:jc w:val="both"/>
              <w:rPr>
                <w:rFonts w:ascii="Arial" w:hAnsi="Arial" w:cs="Arial"/>
                <w:b/>
              </w:rPr>
            </w:pPr>
          </w:p>
        </w:tc>
        <w:tc>
          <w:tcPr>
            <w:tcW w:w="1460" w:type="dxa"/>
            <w:tcBorders>
              <w:top w:val="nil"/>
              <w:bottom w:val="single" w:sz="4" w:space="0" w:color="auto"/>
            </w:tcBorders>
          </w:tcPr>
          <w:p w14:paraId="0CCF228E" w14:textId="77777777" w:rsidR="00CB696F" w:rsidRPr="008B316F" w:rsidRDefault="00CB696F" w:rsidP="008B316F">
            <w:pPr>
              <w:jc w:val="both"/>
              <w:rPr>
                <w:rFonts w:ascii="Arial" w:hAnsi="Arial" w:cs="Arial"/>
                <w:b/>
              </w:rPr>
            </w:pPr>
            <w:r w:rsidRPr="008B316F">
              <w:rPr>
                <w:rFonts w:ascii="Arial" w:hAnsi="Arial" w:cs="Arial"/>
                <w:b/>
              </w:rPr>
              <w:t xml:space="preserve">Lower </w:t>
            </w:r>
          </w:p>
        </w:tc>
        <w:tc>
          <w:tcPr>
            <w:tcW w:w="1258" w:type="dxa"/>
            <w:tcBorders>
              <w:top w:val="nil"/>
              <w:bottom w:val="single" w:sz="4" w:space="0" w:color="auto"/>
            </w:tcBorders>
          </w:tcPr>
          <w:p w14:paraId="016D5CDC" w14:textId="77777777" w:rsidR="00CB696F" w:rsidRPr="008B316F" w:rsidRDefault="00CB696F" w:rsidP="008B316F">
            <w:pPr>
              <w:jc w:val="both"/>
              <w:rPr>
                <w:rFonts w:ascii="Arial" w:hAnsi="Arial" w:cs="Arial"/>
                <w:b/>
              </w:rPr>
            </w:pPr>
            <w:r w:rsidRPr="008B316F">
              <w:rPr>
                <w:rFonts w:ascii="Arial" w:hAnsi="Arial" w:cs="Arial"/>
                <w:b/>
              </w:rPr>
              <w:t xml:space="preserve">Upper </w:t>
            </w:r>
          </w:p>
        </w:tc>
      </w:tr>
      <w:tr w:rsidR="00CB696F" w:rsidRPr="008B316F" w14:paraId="7AF50576" w14:textId="77777777" w:rsidTr="00CB696F">
        <w:tc>
          <w:tcPr>
            <w:tcW w:w="8983" w:type="dxa"/>
            <w:gridSpan w:val="7"/>
            <w:tcBorders>
              <w:top w:val="single" w:sz="4" w:space="0" w:color="auto"/>
            </w:tcBorders>
          </w:tcPr>
          <w:p w14:paraId="40042B11" w14:textId="77777777" w:rsidR="00CB696F" w:rsidRPr="008B316F" w:rsidRDefault="00CB696F" w:rsidP="008B316F">
            <w:pPr>
              <w:jc w:val="center"/>
              <w:rPr>
                <w:rFonts w:ascii="Arial" w:hAnsi="Arial" w:cs="Arial"/>
                <w:b/>
              </w:rPr>
            </w:pPr>
            <w:r w:rsidRPr="008B316F">
              <w:rPr>
                <w:rFonts w:ascii="Arial" w:hAnsi="Arial" w:cs="Arial"/>
                <w:b/>
              </w:rPr>
              <w:t>TB as a function of HIV and VHP</w:t>
            </w:r>
          </w:p>
        </w:tc>
      </w:tr>
      <w:tr w:rsidR="00CB696F" w:rsidRPr="008B316F" w14:paraId="4AEFAEE0" w14:textId="77777777" w:rsidTr="00CB696F">
        <w:tc>
          <w:tcPr>
            <w:tcW w:w="1389" w:type="dxa"/>
          </w:tcPr>
          <w:p w14:paraId="24DF7B5A" w14:textId="77777777" w:rsidR="00CB696F" w:rsidRPr="008B316F" w:rsidRDefault="00CB696F" w:rsidP="008B316F">
            <w:pPr>
              <w:jc w:val="both"/>
              <w:rPr>
                <w:rFonts w:ascii="Arial" w:hAnsi="Arial" w:cs="Arial"/>
              </w:rPr>
            </w:pPr>
            <w:r w:rsidRPr="008B316F">
              <w:rPr>
                <w:rFonts w:ascii="Arial" w:hAnsi="Arial" w:cs="Arial"/>
              </w:rPr>
              <w:t xml:space="preserve">Intercept </w:t>
            </w:r>
          </w:p>
        </w:tc>
        <w:tc>
          <w:tcPr>
            <w:tcW w:w="1296" w:type="dxa"/>
          </w:tcPr>
          <w:p w14:paraId="2C8BEC5C" w14:textId="77777777" w:rsidR="00CB696F" w:rsidRPr="008B316F" w:rsidRDefault="00CB696F" w:rsidP="008B316F">
            <w:pPr>
              <w:jc w:val="both"/>
              <w:rPr>
                <w:rFonts w:ascii="Arial" w:hAnsi="Arial" w:cs="Arial"/>
              </w:rPr>
            </w:pPr>
            <w:r w:rsidRPr="008B316F">
              <w:rPr>
                <w:rFonts w:ascii="Arial" w:hAnsi="Arial" w:cs="Arial"/>
              </w:rPr>
              <w:t>135.122</w:t>
            </w:r>
          </w:p>
        </w:tc>
        <w:tc>
          <w:tcPr>
            <w:tcW w:w="1261" w:type="dxa"/>
          </w:tcPr>
          <w:p w14:paraId="0EF755E6" w14:textId="77777777" w:rsidR="00CB696F" w:rsidRPr="008B316F" w:rsidRDefault="00CB696F" w:rsidP="008B316F">
            <w:pPr>
              <w:jc w:val="both"/>
              <w:rPr>
                <w:rFonts w:ascii="Arial" w:hAnsi="Arial" w:cs="Arial"/>
              </w:rPr>
            </w:pPr>
            <w:r w:rsidRPr="008B316F">
              <w:rPr>
                <w:rFonts w:ascii="Arial" w:hAnsi="Arial" w:cs="Arial"/>
              </w:rPr>
              <w:t>23.988</w:t>
            </w:r>
          </w:p>
        </w:tc>
        <w:tc>
          <w:tcPr>
            <w:tcW w:w="1261" w:type="dxa"/>
          </w:tcPr>
          <w:p w14:paraId="41A70F2D" w14:textId="77777777" w:rsidR="00CB696F" w:rsidRPr="008B316F" w:rsidRDefault="00CB696F" w:rsidP="008B316F">
            <w:pPr>
              <w:jc w:val="both"/>
              <w:rPr>
                <w:rFonts w:ascii="Arial" w:hAnsi="Arial" w:cs="Arial"/>
              </w:rPr>
            </w:pPr>
            <w:r w:rsidRPr="008B316F">
              <w:rPr>
                <w:rFonts w:ascii="Arial" w:hAnsi="Arial" w:cs="Arial"/>
              </w:rPr>
              <w:t>5.632</w:t>
            </w:r>
          </w:p>
        </w:tc>
        <w:tc>
          <w:tcPr>
            <w:tcW w:w="1058" w:type="dxa"/>
          </w:tcPr>
          <w:p w14:paraId="40FE1B26"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6F64468F" w14:textId="77777777" w:rsidR="00CB696F" w:rsidRPr="008B316F" w:rsidRDefault="00CB696F" w:rsidP="008B316F">
            <w:pPr>
              <w:jc w:val="both"/>
              <w:rPr>
                <w:rFonts w:ascii="Arial" w:hAnsi="Arial" w:cs="Arial"/>
              </w:rPr>
            </w:pPr>
            <w:r w:rsidRPr="008B316F">
              <w:rPr>
                <w:rFonts w:ascii="Arial" w:hAnsi="Arial" w:cs="Arial"/>
              </w:rPr>
              <w:t>88.106</w:t>
            </w:r>
          </w:p>
        </w:tc>
        <w:tc>
          <w:tcPr>
            <w:tcW w:w="1258" w:type="dxa"/>
          </w:tcPr>
          <w:p w14:paraId="74F3E045" w14:textId="77777777" w:rsidR="00CB696F" w:rsidRPr="008B316F" w:rsidRDefault="00CB696F" w:rsidP="008B316F">
            <w:pPr>
              <w:jc w:val="both"/>
              <w:rPr>
                <w:rFonts w:ascii="Arial" w:hAnsi="Arial" w:cs="Arial"/>
              </w:rPr>
            </w:pPr>
            <w:r w:rsidRPr="008B316F">
              <w:rPr>
                <w:rFonts w:ascii="Arial" w:hAnsi="Arial" w:cs="Arial"/>
              </w:rPr>
              <w:t>182.137</w:t>
            </w:r>
          </w:p>
        </w:tc>
      </w:tr>
      <w:tr w:rsidR="00CB696F" w:rsidRPr="008B316F" w14:paraId="0C7839C2" w14:textId="77777777" w:rsidTr="00CB696F">
        <w:tc>
          <w:tcPr>
            <w:tcW w:w="1389" w:type="dxa"/>
          </w:tcPr>
          <w:p w14:paraId="6814B24C" w14:textId="77777777" w:rsidR="00CB696F" w:rsidRPr="008B316F" w:rsidRDefault="00CB696F" w:rsidP="008B316F">
            <w:pPr>
              <w:jc w:val="both"/>
              <w:rPr>
                <w:rFonts w:ascii="Arial" w:hAnsi="Arial" w:cs="Arial"/>
              </w:rPr>
            </w:pPr>
            <w:r w:rsidRPr="008B316F">
              <w:rPr>
                <w:rFonts w:ascii="Arial" w:hAnsi="Arial" w:cs="Arial"/>
              </w:rPr>
              <w:t>HIV</w:t>
            </w:r>
          </w:p>
        </w:tc>
        <w:tc>
          <w:tcPr>
            <w:tcW w:w="1296" w:type="dxa"/>
          </w:tcPr>
          <w:p w14:paraId="7D08EF2A" w14:textId="77777777" w:rsidR="00CB696F" w:rsidRPr="008B316F" w:rsidRDefault="00CB696F" w:rsidP="008B316F">
            <w:pPr>
              <w:jc w:val="both"/>
              <w:rPr>
                <w:rFonts w:ascii="Arial" w:hAnsi="Arial" w:cs="Arial"/>
              </w:rPr>
            </w:pPr>
            <w:r w:rsidRPr="008B316F">
              <w:rPr>
                <w:rFonts w:ascii="Arial" w:hAnsi="Arial" w:cs="Arial"/>
              </w:rPr>
              <w:t>0.014</w:t>
            </w:r>
          </w:p>
        </w:tc>
        <w:tc>
          <w:tcPr>
            <w:tcW w:w="1261" w:type="dxa"/>
          </w:tcPr>
          <w:p w14:paraId="5ACC0B21" w14:textId="77777777" w:rsidR="00CB696F" w:rsidRPr="008B316F" w:rsidRDefault="00CB696F" w:rsidP="008B316F">
            <w:pPr>
              <w:jc w:val="both"/>
              <w:rPr>
                <w:rFonts w:ascii="Arial" w:hAnsi="Arial" w:cs="Arial"/>
              </w:rPr>
            </w:pPr>
            <w:r w:rsidRPr="008B316F">
              <w:rPr>
                <w:rFonts w:ascii="Arial" w:hAnsi="Arial" w:cs="Arial"/>
              </w:rPr>
              <w:t>0.005</w:t>
            </w:r>
          </w:p>
        </w:tc>
        <w:tc>
          <w:tcPr>
            <w:tcW w:w="1261" w:type="dxa"/>
          </w:tcPr>
          <w:p w14:paraId="60D3C7FA" w14:textId="77777777" w:rsidR="00CB696F" w:rsidRPr="008B316F" w:rsidRDefault="00CB696F" w:rsidP="008B316F">
            <w:pPr>
              <w:jc w:val="both"/>
              <w:rPr>
                <w:rFonts w:ascii="Arial" w:hAnsi="Arial" w:cs="Arial"/>
              </w:rPr>
            </w:pPr>
            <w:r w:rsidRPr="008B316F">
              <w:rPr>
                <w:rFonts w:ascii="Arial" w:hAnsi="Arial" w:cs="Arial"/>
              </w:rPr>
              <w:t>2.800</w:t>
            </w:r>
          </w:p>
        </w:tc>
        <w:tc>
          <w:tcPr>
            <w:tcW w:w="1058" w:type="dxa"/>
          </w:tcPr>
          <w:p w14:paraId="37ABBD9A" w14:textId="77777777" w:rsidR="00CB696F" w:rsidRPr="008B316F" w:rsidRDefault="00CB696F" w:rsidP="008B316F">
            <w:pPr>
              <w:jc w:val="both"/>
              <w:rPr>
                <w:rFonts w:ascii="Arial" w:hAnsi="Arial" w:cs="Arial"/>
              </w:rPr>
            </w:pPr>
            <w:r w:rsidRPr="008B316F">
              <w:rPr>
                <w:rFonts w:ascii="Arial" w:hAnsi="Arial" w:cs="Arial"/>
              </w:rPr>
              <w:t>0.005</w:t>
            </w:r>
          </w:p>
        </w:tc>
        <w:tc>
          <w:tcPr>
            <w:tcW w:w="1460" w:type="dxa"/>
          </w:tcPr>
          <w:p w14:paraId="5295997B" w14:textId="77777777" w:rsidR="00CB696F" w:rsidRPr="008B316F" w:rsidRDefault="00CB696F" w:rsidP="008B316F">
            <w:pPr>
              <w:jc w:val="both"/>
              <w:rPr>
                <w:rFonts w:ascii="Arial" w:hAnsi="Arial" w:cs="Arial"/>
              </w:rPr>
            </w:pPr>
            <w:r w:rsidRPr="008B316F">
              <w:rPr>
                <w:rFonts w:ascii="Arial" w:hAnsi="Arial" w:cs="Arial"/>
              </w:rPr>
              <w:t>0.004</w:t>
            </w:r>
          </w:p>
        </w:tc>
        <w:tc>
          <w:tcPr>
            <w:tcW w:w="1258" w:type="dxa"/>
          </w:tcPr>
          <w:p w14:paraId="502DEA09" w14:textId="77777777" w:rsidR="00CB696F" w:rsidRPr="008B316F" w:rsidRDefault="00CB696F" w:rsidP="008B316F">
            <w:pPr>
              <w:jc w:val="both"/>
              <w:rPr>
                <w:rFonts w:ascii="Arial" w:hAnsi="Arial" w:cs="Arial"/>
              </w:rPr>
            </w:pPr>
            <w:r w:rsidRPr="008B316F">
              <w:rPr>
                <w:rFonts w:ascii="Arial" w:hAnsi="Arial" w:cs="Arial"/>
              </w:rPr>
              <w:t>0.024</w:t>
            </w:r>
          </w:p>
        </w:tc>
      </w:tr>
      <w:tr w:rsidR="00CB696F" w:rsidRPr="008B316F" w14:paraId="3C15B568" w14:textId="77777777" w:rsidTr="00CB696F">
        <w:tc>
          <w:tcPr>
            <w:tcW w:w="1389" w:type="dxa"/>
          </w:tcPr>
          <w:p w14:paraId="7B4C7CD2" w14:textId="77777777" w:rsidR="00CB696F" w:rsidRPr="008B316F" w:rsidRDefault="00CB696F" w:rsidP="008B316F">
            <w:pPr>
              <w:jc w:val="both"/>
              <w:rPr>
                <w:rFonts w:ascii="Arial" w:hAnsi="Arial" w:cs="Arial"/>
              </w:rPr>
            </w:pPr>
            <w:r w:rsidRPr="008B316F">
              <w:rPr>
                <w:rFonts w:ascii="Arial" w:hAnsi="Arial" w:cs="Arial"/>
              </w:rPr>
              <w:t>VHP</w:t>
            </w:r>
          </w:p>
        </w:tc>
        <w:tc>
          <w:tcPr>
            <w:tcW w:w="1296" w:type="dxa"/>
          </w:tcPr>
          <w:p w14:paraId="405D9114" w14:textId="77777777" w:rsidR="00CB696F" w:rsidRPr="008B316F" w:rsidRDefault="00CB696F" w:rsidP="008B316F">
            <w:pPr>
              <w:jc w:val="both"/>
              <w:rPr>
                <w:rFonts w:ascii="Arial" w:hAnsi="Arial" w:cs="Arial"/>
              </w:rPr>
            </w:pPr>
            <w:r w:rsidRPr="008B316F">
              <w:rPr>
                <w:rFonts w:ascii="Arial" w:hAnsi="Arial" w:cs="Arial"/>
              </w:rPr>
              <w:t>0.008</w:t>
            </w:r>
          </w:p>
        </w:tc>
        <w:tc>
          <w:tcPr>
            <w:tcW w:w="1261" w:type="dxa"/>
          </w:tcPr>
          <w:p w14:paraId="609391CB" w14:textId="77777777" w:rsidR="00CB696F" w:rsidRPr="008B316F" w:rsidRDefault="00CB696F" w:rsidP="008B316F">
            <w:pPr>
              <w:jc w:val="both"/>
              <w:rPr>
                <w:rFonts w:ascii="Arial" w:hAnsi="Arial" w:cs="Arial"/>
              </w:rPr>
            </w:pPr>
            <w:r w:rsidRPr="008B316F">
              <w:rPr>
                <w:rFonts w:ascii="Arial" w:hAnsi="Arial" w:cs="Arial"/>
              </w:rPr>
              <w:t>0.004</w:t>
            </w:r>
          </w:p>
        </w:tc>
        <w:tc>
          <w:tcPr>
            <w:tcW w:w="1261" w:type="dxa"/>
          </w:tcPr>
          <w:p w14:paraId="184CF74F" w14:textId="77777777" w:rsidR="00CB696F" w:rsidRPr="008B316F" w:rsidRDefault="00CB696F" w:rsidP="008B316F">
            <w:pPr>
              <w:jc w:val="both"/>
              <w:rPr>
                <w:rFonts w:ascii="Arial" w:hAnsi="Arial" w:cs="Arial"/>
              </w:rPr>
            </w:pPr>
            <w:r w:rsidRPr="008B316F">
              <w:rPr>
                <w:rFonts w:ascii="Arial" w:hAnsi="Arial" w:cs="Arial"/>
              </w:rPr>
              <w:t>2.000</w:t>
            </w:r>
          </w:p>
        </w:tc>
        <w:tc>
          <w:tcPr>
            <w:tcW w:w="1058" w:type="dxa"/>
          </w:tcPr>
          <w:p w14:paraId="5BB84E04" w14:textId="77777777" w:rsidR="00CB696F" w:rsidRPr="008B316F" w:rsidRDefault="00CB696F" w:rsidP="008B316F">
            <w:pPr>
              <w:jc w:val="both"/>
              <w:rPr>
                <w:rFonts w:ascii="Arial" w:hAnsi="Arial" w:cs="Arial"/>
              </w:rPr>
            </w:pPr>
            <w:r w:rsidRPr="008B316F">
              <w:rPr>
                <w:rFonts w:ascii="Arial" w:hAnsi="Arial" w:cs="Arial"/>
              </w:rPr>
              <w:t>0.045</w:t>
            </w:r>
          </w:p>
        </w:tc>
        <w:tc>
          <w:tcPr>
            <w:tcW w:w="1460" w:type="dxa"/>
          </w:tcPr>
          <w:p w14:paraId="4895D1C2" w14:textId="77777777" w:rsidR="00CB696F" w:rsidRPr="008B316F" w:rsidRDefault="00CB696F" w:rsidP="008B316F">
            <w:pPr>
              <w:jc w:val="both"/>
              <w:rPr>
                <w:rFonts w:ascii="Arial" w:hAnsi="Arial" w:cs="Arial"/>
              </w:rPr>
            </w:pPr>
            <w:r w:rsidRPr="008B316F">
              <w:rPr>
                <w:rFonts w:ascii="Arial" w:hAnsi="Arial" w:cs="Arial"/>
              </w:rPr>
              <w:t>0.0001</w:t>
            </w:r>
          </w:p>
        </w:tc>
        <w:tc>
          <w:tcPr>
            <w:tcW w:w="1258" w:type="dxa"/>
          </w:tcPr>
          <w:p w14:paraId="369CE54E" w14:textId="77777777" w:rsidR="00CB696F" w:rsidRPr="008B316F" w:rsidRDefault="00CB696F" w:rsidP="008B316F">
            <w:pPr>
              <w:jc w:val="both"/>
              <w:rPr>
                <w:rFonts w:ascii="Arial" w:hAnsi="Arial" w:cs="Arial"/>
              </w:rPr>
            </w:pPr>
            <w:r w:rsidRPr="008B316F">
              <w:rPr>
                <w:rFonts w:ascii="Arial" w:hAnsi="Arial" w:cs="Arial"/>
              </w:rPr>
              <w:t>0.016</w:t>
            </w:r>
          </w:p>
        </w:tc>
      </w:tr>
      <w:tr w:rsidR="00CB696F" w:rsidRPr="008B316F" w14:paraId="3F57554B" w14:textId="77777777" w:rsidTr="00CB696F">
        <w:tc>
          <w:tcPr>
            <w:tcW w:w="1389" w:type="dxa"/>
          </w:tcPr>
          <w:p w14:paraId="27DD28FB" w14:textId="77777777" w:rsidR="00CB696F" w:rsidRPr="008B316F" w:rsidRDefault="00CB696F" w:rsidP="008B316F">
            <w:pPr>
              <w:jc w:val="both"/>
              <w:rPr>
                <w:rFonts w:ascii="Arial" w:hAnsi="Arial" w:cs="Arial"/>
              </w:rPr>
            </w:pPr>
            <w:r w:rsidRPr="008B316F">
              <w:rPr>
                <w:rFonts w:ascii="Arial" w:hAnsi="Arial" w:cs="Arial"/>
              </w:rPr>
              <w:t>Time</w:t>
            </w:r>
          </w:p>
        </w:tc>
        <w:tc>
          <w:tcPr>
            <w:tcW w:w="1296" w:type="dxa"/>
          </w:tcPr>
          <w:p w14:paraId="6A79E29F" w14:textId="77777777" w:rsidR="00CB696F" w:rsidRPr="008B316F" w:rsidRDefault="00CB696F" w:rsidP="008B316F">
            <w:pPr>
              <w:jc w:val="both"/>
              <w:rPr>
                <w:rFonts w:ascii="Arial" w:hAnsi="Arial" w:cs="Arial"/>
              </w:rPr>
            </w:pPr>
            <w:r w:rsidRPr="008B316F">
              <w:rPr>
                <w:rFonts w:ascii="Arial" w:hAnsi="Arial" w:cs="Arial"/>
              </w:rPr>
              <w:t>0.382</w:t>
            </w:r>
          </w:p>
        </w:tc>
        <w:tc>
          <w:tcPr>
            <w:tcW w:w="1261" w:type="dxa"/>
          </w:tcPr>
          <w:p w14:paraId="60F7EBDD" w14:textId="77777777" w:rsidR="00CB696F" w:rsidRPr="008B316F" w:rsidRDefault="00CB696F" w:rsidP="008B316F">
            <w:pPr>
              <w:jc w:val="both"/>
              <w:rPr>
                <w:rFonts w:ascii="Arial" w:hAnsi="Arial" w:cs="Arial"/>
              </w:rPr>
            </w:pPr>
            <w:r w:rsidRPr="008B316F">
              <w:rPr>
                <w:rFonts w:ascii="Arial" w:hAnsi="Arial" w:cs="Arial"/>
              </w:rPr>
              <w:t>0.064</w:t>
            </w:r>
          </w:p>
        </w:tc>
        <w:tc>
          <w:tcPr>
            <w:tcW w:w="1261" w:type="dxa"/>
          </w:tcPr>
          <w:p w14:paraId="22207207" w14:textId="77777777" w:rsidR="00CB696F" w:rsidRPr="008B316F" w:rsidRDefault="00CB696F" w:rsidP="008B316F">
            <w:pPr>
              <w:jc w:val="both"/>
              <w:rPr>
                <w:rFonts w:ascii="Arial" w:hAnsi="Arial" w:cs="Arial"/>
              </w:rPr>
            </w:pPr>
            <w:r w:rsidRPr="008B316F">
              <w:rPr>
                <w:rFonts w:ascii="Arial" w:hAnsi="Arial" w:cs="Arial"/>
              </w:rPr>
              <w:t>5.969</w:t>
            </w:r>
          </w:p>
        </w:tc>
        <w:tc>
          <w:tcPr>
            <w:tcW w:w="1058" w:type="dxa"/>
          </w:tcPr>
          <w:p w14:paraId="51C329DE"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472A13BF" w14:textId="77777777" w:rsidR="00CB696F" w:rsidRPr="008B316F" w:rsidRDefault="00CB696F" w:rsidP="008B316F">
            <w:pPr>
              <w:jc w:val="both"/>
              <w:rPr>
                <w:rFonts w:ascii="Arial" w:hAnsi="Arial" w:cs="Arial"/>
              </w:rPr>
            </w:pPr>
            <w:r w:rsidRPr="008B316F">
              <w:rPr>
                <w:rFonts w:ascii="Arial" w:hAnsi="Arial" w:cs="Arial"/>
              </w:rPr>
              <w:t>0.256</w:t>
            </w:r>
          </w:p>
        </w:tc>
        <w:tc>
          <w:tcPr>
            <w:tcW w:w="1258" w:type="dxa"/>
          </w:tcPr>
          <w:p w14:paraId="34446805" w14:textId="77777777" w:rsidR="00CB696F" w:rsidRPr="008B316F" w:rsidRDefault="00CB696F" w:rsidP="008B316F">
            <w:pPr>
              <w:jc w:val="both"/>
              <w:rPr>
                <w:rFonts w:ascii="Arial" w:hAnsi="Arial" w:cs="Arial"/>
              </w:rPr>
            </w:pPr>
            <w:r w:rsidRPr="008B316F">
              <w:rPr>
                <w:rFonts w:ascii="Arial" w:hAnsi="Arial" w:cs="Arial"/>
              </w:rPr>
              <w:t>0.508</w:t>
            </w:r>
          </w:p>
        </w:tc>
      </w:tr>
      <w:tr w:rsidR="00CB696F" w:rsidRPr="008B316F" w14:paraId="5E23AADE" w14:textId="77777777" w:rsidTr="00CB696F">
        <w:tc>
          <w:tcPr>
            <w:tcW w:w="1389" w:type="dxa"/>
          </w:tcPr>
          <w:p w14:paraId="146FF10B" w14:textId="77777777" w:rsidR="00CB696F" w:rsidRPr="008B316F" w:rsidRDefault="00CB696F" w:rsidP="008B316F">
            <w:pPr>
              <w:jc w:val="both"/>
              <w:rPr>
                <w:rFonts w:ascii="Arial" w:hAnsi="Arial" w:cs="Arial"/>
              </w:rPr>
            </w:pPr>
            <w:r w:rsidRPr="008B316F">
              <w:rPr>
                <w:rFonts w:ascii="Arial" w:hAnsi="Arial" w:cs="Arial"/>
              </w:rPr>
              <w:t>Deviance/df</w:t>
            </w:r>
          </w:p>
        </w:tc>
        <w:tc>
          <w:tcPr>
            <w:tcW w:w="1296" w:type="dxa"/>
          </w:tcPr>
          <w:p w14:paraId="257F01D3" w14:textId="77777777" w:rsidR="00CB696F" w:rsidRPr="008B316F" w:rsidRDefault="00CB696F" w:rsidP="008B316F">
            <w:pPr>
              <w:jc w:val="both"/>
              <w:rPr>
                <w:rFonts w:ascii="Arial" w:hAnsi="Arial" w:cs="Arial"/>
              </w:rPr>
            </w:pPr>
            <w:r w:rsidRPr="008B316F">
              <w:rPr>
                <w:rFonts w:ascii="Arial" w:hAnsi="Arial" w:cs="Arial"/>
              </w:rPr>
              <w:t>1.14</w:t>
            </w:r>
          </w:p>
        </w:tc>
        <w:tc>
          <w:tcPr>
            <w:tcW w:w="2522" w:type="dxa"/>
            <w:gridSpan w:val="2"/>
          </w:tcPr>
          <w:p w14:paraId="1475B26E" w14:textId="77777777" w:rsidR="00CB696F" w:rsidRPr="008B316F" w:rsidRDefault="00CB696F" w:rsidP="008B316F">
            <w:pPr>
              <w:jc w:val="both"/>
              <w:rPr>
                <w:rFonts w:ascii="Arial" w:hAnsi="Arial" w:cs="Arial"/>
              </w:rPr>
            </w:pPr>
            <w:r w:rsidRPr="008B316F">
              <w:rPr>
                <w:rFonts w:ascii="Arial" w:hAnsi="Arial" w:cs="Arial"/>
              </w:rPr>
              <w:t>Pseudo R² (McFadden)</w:t>
            </w:r>
          </w:p>
        </w:tc>
        <w:tc>
          <w:tcPr>
            <w:tcW w:w="1058" w:type="dxa"/>
          </w:tcPr>
          <w:p w14:paraId="024AD0F9" w14:textId="77777777" w:rsidR="00CB696F" w:rsidRPr="008B316F" w:rsidRDefault="00CB696F" w:rsidP="008B316F">
            <w:pPr>
              <w:jc w:val="both"/>
              <w:rPr>
                <w:rFonts w:ascii="Arial" w:hAnsi="Arial" w:cs="Arial"/>
              </w:rPr>
            </w:pPr>
            <w:r w:rsidRPr="008B316F">
              <w:rPr>
                <w:rFonts w:ascii="Arial" w:hAnsi="Arial" w:cs="Arial"/>
              </w:rPr>
              <w:t>0.41</w:t>
            </w:r>
          </w:p>
        </w:tc>
        <w:tc>
          <w:tcPr>
            <w:tcW w:w="1460" w:type="dxa"/>
          </w:tcPr>
          <w:p w14:paraId="0B3F9DFA" w14:textId="77777777" w:rsidR="00CB696F" w:rsidRPr="008B316F" w:rsidRDefault="00CB696F" w:rsidP="008B316F">
            <w:pPr>
              <w:jc w:val="both"/>
              <w:rPr>
                <w:rFonts w:ascii="Arial" w:hAnsi="Arial" w:cs="Arial"/>
              </w:rPr>
            </w:pPr>
          </w:p>
        </w:tc>
        <w:tc>
          <w:tcPr>
            <w:tcW w:w="1258" w:type="dxa"/>
          </w:tcPr>
          <w:p w14:paraId="229C382C" w14:textId="77777777" w:rsidR="00CB696F" w:rsidRPr="008B316F" w:rsidRDefault="00CB696F" w:rsidP="008B316F">
            <w:pPr>
              <w:jc w:val="both"/>
              <w:rPr>
                <w:rFonts w:ascii="Arial" w:hAnsi="Arial" w:cs="Arial"/>
              </w:rPr>
            </w:pPr>
          </w:p>
        </w:tc>
      </w:tr>
      <w:tr w:rsidR="00CB696F" w:rsidRPr="008B316F" w14:paraId="69FA8468" w14:textId="77777777" w:rsidTr="00CB696F">
        <w:tc>
          <w:tcPr>
            <w:tcW w:w="8983" w:type="dxa"/>
            <w:gridSpan w:val="7"/>
          </w:tcPr>
          <w:p w14:paraId="195EEEC4" w14:textId="77777777" w:rsidR="00CB696F" w:rsidRPr="008B316F" w:rsidRDefault="00CB696F" w:rsidP="008B316F">
            <w:pPr>
              <w:jc w:val="center"/>
              <w:rPr>
                <w:rFonts w:ascii="Arial" w:hAnsi="Arial" w:cs="Arial"/>
                <w:b/>
              </w:rPr>
            </w:pPr>
            <w:r w:rsidRPr="008B316F">
              <w:rPr>
                <w:rFonts w:ascii="Arial" w:hAnsi="Arial" w:cs="Arial"/>
                <w:b/>
              </w:rPr>
              <w:t>HIV as a function of TB and VHP</w:t>
            </w:r>
          </w:p>
        </w:tc>
      </w:tr>
      <w:tr w:rsidR="00CB696F" w:rsidRPr="008B316F" w14:paraId="21BC5F61" w14:textId="77777777" w:rsidTr="00CB696F">
        <w:tc>
          <w:tcPr>
            <w:tcW w:w="1389" w:type="dxa"/>
          </w:tcPr>
          <w:p w14:paraId="4AB67441" w14:textId="77777777" w:rsidR="00CB696F" w:rsidRPr="008B316F" w:rsidRDefault="00CB696F" w:rsidP="008B316F">
            <w:pPr>
              <w:jc w:val="both"/>
              <w:rPr>
                <w:rFonts w:ascii="Arial" w:hAnsi="Arial" w:cs="Arial"/>
              </w:rPr>
            </w:pPr>
            <w:r w:rsidRPr="008B316F">
              <w:rPr>
                <w:rFonts w:ascii="Arial" w:hAnsi="Arial" w:cs="Arial"/>
              </w:rPr>
              <w:t xml:space="preserve">Intercept </w:t>
            </w:r>
          </w:p>
        </w:tc>
        <w:tc>
          <w:tcPr>
            <w:tcW w:w="1296" w:type="dxa"/>
          </w:tcPr>
          <w:p w14:paraId="5496BFB9" w14:textId="77777777" w:rsidR="00CB696F" w:rsidRPr="008B316F" w:rsidRDefault="00CB696F" w:rsidP="008B316F">
            <w:pPr>
              <w:jc w:val="both"/>
              <w:rPr>
                <w:rFonts w:ascii="Arial" w:hAnsi="Arial" w:cs="Arial"/>
              </w:rPr>
            </w:pPr>
            <w:r w:rsidRPr="008B316F">
              <w:rPr>
                <w:rFonts w:ascii="Arial" w:hAnsi="Arial" w:cs="Arial"/>
              </w:rPr>
              <w:t>142.983</w:t>
            </w:r>
          </w:p>
        </w:tc>
        <w:tc>
          <w:tcPr>
            <w:tcW w:w="1261" w:type="dxa"/>
          </w:tcPr>
          <w:p w14:paraId="3645FB71" w14:textId="77777777" w:rsidR="00CB696F" w:rsidRPr="008B316F" w:rsidRDefault="00CB696F" w:rsidP="008B316F">
            <w:pPr>
              <w:jc w:val="both"/>
              <w:rPr>
                <w:rFonts w:ascii="Arial" w:hAnsi="Arial" w:cs="Arial"/>
              </w:rPr>
            </w:pPr>
            <w:r w:rsidRPr="008B316F">
              <w:rPr>
                <w:rFonts w:ascii="Arial" w:hAnsi="Arial" w:cs="Arial"/>
              </w:rPr>
              <w:t>30.201</w:t>
            </w:r>
          </w:p>
        </w:tc>
        <w:tc>
          <w:tcPr>
            <w:tcW w:w="1261" w:type="dxa"/>
          </w:tcPr>
          <w:p w14:paraId="35CBF2B8" w14:textId="77777777" w:rsidR="00CB696F" w:rsidRPr="008B316F" w:rsidRDefault="00CB696F" w:rsidP="008B316F">
            <w:pPr>
              <w:jc w:val="both"/>
              <w:rPr>
                <w:rFonts w:ascii="Arial" w:hAnsi="Arial" w:cs="Arial"/>
              </w:rPr>
            </w:pPr>
            <w:r w:rsidRPr="008B316F">
              <w:rPr>
                <w:rFonts w:ascii="Arial" w:hAnsi="Arial" w:cs="Arial"/>
              </w:rPr>
              <w:t>4.735</w:t>
            </w:r>
          </w:p>
        </w:tc>
        <w:tc>
          <w:tcPr>
            <w:tcW w:w="1058" w:type="dxa"/>
          </w:tcPr>
          <w:p w14:paraId="6C2B606C"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571EF86F" w14:textId="77777777" w:rsidR="00CB696F" w:rsidRPr="008B316F" w:rsidRDefault="00CB696F" w:rsidP="008B316F">
            <w:pPr>
              <w:jc w:val="both"/>
              <w:rPr>
                <w:rFonts w:ascii="Arial" w:hAnsi="Arial" w:cs="Arial"/>
              </w:rPr>
            </w:pPr>
            <w:r w:rsidRPr="008B316F">
              <w:rPr>
                <w:rFonts w:ascii="Arial" w:hAnsi="Arial" w:cs="Arial"/>
              </w:rPr>
              <w:t>83.790</w:t>
            </w:r>
          </w:p>
        </w:tc>
        <w:tc>
          <w:tcPr>
            <w:tcW w:w="1258" w:type="dxa"/>
          </w:tcPr>
          <w:p w14:paraId="5A2D9510" w14:textId="77777777" w:rsidR="00CB696F" w:rsidRPr="008B316F" w:rsidRDefault="00CB696F" w:rsidP="008B316F">
            <w:pPr>
              <w:jc w:val="both"/>
              <w:rPr>
                <w:rFonts w:ascii="Arial" w:hAnsi="Arial" w:cs="Arial"/>
              </w:rPr>
            </w:pPr>
            <w:r w:rsidRPr="008B316F">
              <w:rPr>
                <w:rFonts w:ascii="Arial" w:hAnsi="Arial" w:cs="Arial"/>
              </w:rPr>
              <w:t>202.175</w:t>
            </w:r>
          </w:p>
        </w:tc>
      </w:tr>
      <w:tr w:rsidR="00CB696F" w:rsidRPr="008B316F" w14:paraId="55E15A76" w14:textId="77777777" w:rsidTr="00CB696F">
        <w:tc>
          <w:tcPr>
            <w:tcW w:w="1389" w:type="dxa"/>
          </w:tcPr>
          <w:p w14:paraId="52A3DA8A" w14:textId="77777777" w:rsidR="00CB696F" w:rsidRPr="008B316F" w:rsidRDefault="00CB696F" w:rsidP="008B316F">
            <w:pPr>
              <w:jc w:val="both"/>
              <w:rPr>
                <w:rFonts w:ascii="Arial" w:hAnsi="Arial" w:cs="Arial"/>
              </w:rPr>
            </w:pPr>
            <w:r w:rsidRPr="008B316F">
              <w:rPr>
                <w:rFonts w:ascii="Arial" w:hAnsi="Arial" w:cs="Arial"/>
              </w:rPr>
              <w:t>HIV</w:t>
            </w:r>
          </w:p>
        </w:tc>
        <w:tc>
          <w:tcPr>
            <w:tcW w:w="1296" w:type="dxa"/>
          </w:tcPr>
          <w:p w14:paraId="7303B2DA" w14:textId="77777777" w:rsidR="00CB696F" w:rsidRPr="008B316F" w:rsidRDefault="00CB696F" w:rsidP="008B316F">
            <w:pPr>
              <w:jc w:val="both"/>
              <w:rPr>
                <w:rFonts w:ascii="Arial" w:hAnsi="Arial" w:cs="Arial"/>
              </w:rPr>
            </w:pPr>
            <w:r w:rsidRPr="008B316F">
              <w:rPr>
                <w:rFonts w:ascii="Arial" w:hAnsi="Arial" w:cs="Arial"/>
              </w:rPr>
              <w:t>0.765</w:t>
            </w:r>
          </w:p>
        </w:tc>
        <w:tc>
          <w:tcPr>
            <w:tcW w:w="1261" w:type="dxa"/>
          </w:tcPr>
          <w:p w14:paraId="6FF1436A" w14:textId="77777777" w:rsidR="00CB696F" w:rsidRPr="008B316F" w:rsidRDefault="00CB696F" w:rsidP="008B316F">
            <w:pPr>
              <w:jc w:val="both"/>
              <w:rPr>
                <w:rFonts w:ascii="Arial" w:hAnsi="Arial" w:cs="Arial"/>
              </w:rPr>
            </w:pPr>
            <w:r w:rsidRPr="008B316F">
              <w:rPr>
                <w:rFonts w:ascii="Arial" w:hAnsi="Arial" w:cs="Arial"/>
              </w:rPr>
              <w:t>0.174</w:t>
            </w:r>
          </w:p>
        </w:tc>
        <w:tc>
          <w:tcPr>
            <w:tcW w:w="1261" w:type="dxa"/>
          </w:tcPr>
          <w:p w14:paraId="15B41AD8" w14:textId="77777777" w:rsidR="00CB696F" w:rsidRPr="008B316F" w:rsidRDefault="00CB696F" w:rsidP="008B316F">
            <w:pPr>
              <w:jc w:val="both"/>
              <w:rPr>
                <w:rFonts w:ascii="Arial" w:hAnsi="Arial" w:cs="Arial"/>
              </w:rPr>
            </w:pPr>
            <w:r w:rsidRPr="008B316F">
              <w:rPr>
                <w:rFonts w:ascii="Arial" w:hAnsi="Arial" w:cs="Arial"/>
              </w:rPr>
              <w:t>4.397</w:t>
            </w:r>
          </w:p>
        </w:tc>
        <w:tc>
          <w:tcPr>
            <w:tcW w:w="1058" w:type="dxa"/>
          </w:tcPr>
          <w:p w14:paraId="39768226"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126BAFB1" w14:textId="77777777" w:rsidR="00CB696F" w:rsidRPr="008B316F" w:rsidRDefault="00CB696F" w:rsidP="008B316F">
            <w:pPr>
              <w:jc w:val="both"/>
              <w:rPr>
                <w:rFonts w:ascii="Arial" w:hAnsi="Arial" w:cs="Arial"/>
              </w:rPr>
            </w:pPr>
            <w:r w:rsidRPr="008B316F">
              <w:rPr>
                <w:rFonts w:ascii="Arial" w:hAnsi="Arial" w:cs="Arial"/>
              </w:rPr>
              <w:t>0.424</w:t>
            </w:r>
          </w:p>
        </w:tc>
        <w:tc>
          <w:tcPr>
            <w:tcW w:w="1258" w:type="dxa"/>
          </w:tcPr>
          <w:p w14:paraId="483FE281" w14:textId="77777777" w:rsidR="00CB696F" w:rsidRPr="008B316F" w:rsidRDefault="00CB696F" w:rsidP="008B316F">
            <w:pPr>
              <w:jc w:val="both"/>
              <w:rPr>
                <w:rFonts w:ascii="Arial" w:hAnsi="Arial" w:cs="Arial"/>
              </w:rPr>
            </w:pPr>
            <w:r w:rsidRPr="008B316F">
              <w:rPr>
                <w:rFonts w:ascii="Arial" w:hAnsi="Arial" w:cs="Arial"/>
              </w:rPr>
              <w:t>1.107</w:t>
            </w:r>
          </w:p>
        </w:tc>
      </w:tr>
      <w:tr w:rsidR="00CB696F" w:rsidRPr="008B316F" w14:paraId="30934349" w14:textId="77777777" w:rsidTr="00CB696F">
        <w:tc>
          <w:tcPr>
            <w:tcW w:w="1389" w:type="dxa"/>
          </w:tcPr>
          <w:p w14:paraId="4158346A" w14:textId="77777777" w:rsidR="00CB696F" w:rsidRPr="008B316F" w:rsidRDefault="00CB696F" w:rsidP="008B316F">
            <w:pPr>
              <w:jc w:val="both"/>
              <w:rPr>
                <w:rFonts w:ascii="Arial" w:hAnsi="Arial" w:cs="Arial"/>
              </w:rPr>
            </w:pPr>
            <w:r w:rsidRPr="008B316F">
              <w:rPr>
                <w:rFonts w:ascii="Arial" w:hAnsi="Arial" w:cs="Arial"/>
              </w:rPr>
              <w:t>VHP</w:t>
            </w:r>
          </w:p>
        </w:tc>
        <w:tc>
          <w:tcPr>
            <w:tcW w:w="1296" w:type="dxa"/>
          </w:tcPr>
          <w:p w14:paraId="6FDF8E49" w14:textId="77777777" w:rsidR="00CB696F" w:rsidRPr="008B316F" w:rsidRDefault="00CB696F" w:rsidP="008B316F">
            <w:pPr>
              <w:jc w:val="both"/>
              <w:rPr>
                <w:rFonts w:ascii="Arial" w:hAnsi="Arial" w:cs="Arial"/>
              </w:rPr>
            </w:pPr>
            <w:r w:rsidRPr="008B316F">
              <w:rPr>
                <w:rFonts w:ascii="Arial" w:hAnsi="Arial" w:cs="Arial"/>
              </w:rPr>
              <w:t>0.022</w:t>
            </w:r>
          </w:p>
        </w:tc>
        <w:tc>
          <w:tcPr>
            <w:tcW w:w="1261" w:type="dxa"/>
          </w:tcPr>
          <w:p w14:paraId="6E62872B" w14:textId="77777777" w:rsidR="00CB696F" w:rsidRPr="008B316F" w:rsidRDefault="00CB696F" w:rsidP="008B316F">
            <w:pPr>
              <w:jc w:val="both"/>
              <w:rPr>
                <w:rFonts w:ascii="Arial" w:hAnsi="Arial" w:cs="Arial"/>
              </w:rPr>
            </w:pPr>
            <w:r w:rsidRPr="008B316F">
              <w:rPr>
                <w:rFonts w:ascii="Arial" w:hAnsi="Arial" w:cs="Arial"/>
              </w:rPr>
              <w:t>0.008</w:t>
            </w:r>
          </w:p>
        </w:tc>
        <w:tc>
          <w:tcPr>
            <w:tcW w:w="1261" w:type="dxa"/>
          </w:tcPr>
          <w:p w14:paraId="54E8782D" w14:textId="77777777" w:rsidR="00CB696F" w:rsidRPr="008B316F" w:rsidRDefault="00CB696F" w:rsidP="008B316F">
            <w:pPr>
              <w:jc w:val="both"/>
              <w:rPr>
                <w:rFonts w:ascii="Arial" w:hAnsi="Arial" w:cs="Arial"/>
              </w:rPr>
            </w:pPr>
            <w:r w:rsidRPr="008B316F">
              <w:rPr>
                <w:rFonts w:ascii="Arial" w:hAnsi="Arial" w:cs="Arial"/>
              </w:rPr>
              <w:t>2.750</w:t>
            </w:r>
          </w:p>
        </w:tc>
        <w:tc>
          <w:tcPr>
            <w:tcW w:w="1058" w:type="dxa"/>
          </w:tcPr>
          <w:p w14:paraId="7557446A" w14:textId="77777777" w:rsidR="00CB696F" w:rsidRPr="008B316F" w:rsidRDefault="00CB696F" w:rsidP="008B316F">
            <w:pPr>
              <w:jc w:val="both"/>
              <w:rPr>
                <w:rFonts w:ascii="Arial" w:hAnsi="Arial" w:cs="Arial"/>
              </w:rPr>
            </w:pPr>
            <w:r w:rsidRPr="008B316F">
              <w:rPr>
                <w:rFonts w:ascii="Arial" w:hAnsi="Arial" w:cs="Arial"/>
              </w:rPr>
              <w:t>0.006</w:t>
            </w:r>
          </w:p>
        </w:tc>
        <w:tc>
          <w:tcPr>
            <w:tcW w:w="1460" w:type="dxa"/>
          </w:tcPr>
          <w:p w14:paraId="2FE89031" w14:textId="77777777" w:rsidR="00CB696F" w:rsidRPr="008B316F" w:rsidRDefault="00CB696F" w:rsidP="008B316F">
            <w:pPr>
              <w:jc w:val="both"/>
              <w:rPr>
                <w:rFonts w:ascii="Arial" w:hAnsi="Arial" w:cs="Arial"/>
              </w:rPr>
            </w:pPr>
            <w:r w:rsidRPr="008B316F">
              <w:rPr>
                <w:rFonts w:ascii="Arial" w:hAnsi="Arial" w:cs="Arial"/>
              </w:rPr>
              <w:t>0.006</w:t>
            </w:r>
          </w:p>
        </w:tc>
        <w:tc>
          <w:tcPr>
            <w:tcW w:w="1258" w:type="dxa"/>
          </w:tcPr>
          <w:p w14:paraId="07F0810B" w14:textId="77777777" w:rsidR="00CB696F" w:rsidRPr="008B316F" w:rsidRDefault="00CB696F" w:rsidP="008B316F">
            <w:pPr>
              <w:jc w:val="both"/>
              <w:rPr>
                <w:rFonts w:ascii="Arial" w:hAnsi="Arial" w:cs="Arial"/>
              </w:rPr>
            </w:pPr>
            <w:r w:rsidRPr="008B316F">
              <w:rPr>
                <w:rFonts w:ascii="Arial" w:hAnsi="Arial" w:cs="Arial"/>
              </w:rPr>
              <w:t>0.038</w:t>
            </w:r>
          </w:p>
        </w:tc>
      </w:tr>
      <w:tr w:rsidR="00CB696F" w:rsidRPr="008B316F" w14:paraId="0DB49E07" w14:textId="77777777" w:rsidTr="00CB696F">
        <w:tc>
          <w:tcPr>
            <w:tcW w:w="1389" w:type="dxa"/>
          </w:tcPr>
          <w:p w14:paraId="1C891B84" w14:textId="77777777" w:rsidR="00CB696F" w:rsidRPr="008B316F" w:rsidRDefault="00CB696F" w:rsidP="008B316F">
            <w:pPr>
              <w:jc w:val="both"/>
              <w:rPr>
                <w:rFonts w:ascii="Arial" w:hAnsi="Arial" w:cs="Arial"/>
              </w:rPr>
            </w:pPr>
            <w:r w:rsidRPr="008B316F">
              <w:rPr>
                <w:rFonts w:ascii="Arial" w:hAnsi="Arial" w:cs="Arial"/>
              </w:rPr>
              <w:t>Time</w:t>
            </w:r>
          </w:p>
        </w:tc>
        <w:tc>
          <w:tcPr>
            <w:tcW w:w="1296" w:type="dxa"/>
          </w:tcPr>
          <w:p w14:paraId="52F1622E" w14:textId="77777777" w:rsidR="00CB696F" w:rsidRPr="008B316F" w:rsidRDefault="00CB696F" w:rsidP="008B316F">
            <w:pPr>
              <w:jc w:val="both"/>
              <w:rPr>
                <w:rFonts w:ascii="Arial" w:hAnsi="Arial" w:cs="Arial"/>
              </w:rPr>
            </w:pPr>
            <w:r w:rsidRPr="008B316F">
              <w:rPr>
                <w:rFonts w:ascii="Arial" w:hAnsi="Arial" w:cs="Arial"/>
              </w:rPr>
              <w:t>1.127</w:t>
            </w:r>
          </w:p>
        </w:tc>
        <w:tc>
          <w:tcPr>
            <w:tcW w:w="1261" w:type="dxa"/>
          </w:tcPr>
          <w:p w14:paraId="115066A4" w14:textId="77777777" w:rsidR="00CB696F" w:rsidRPr="008B316F" w:rsidRDefault="00CB696F" w:rsidP="008B316F">
            <w:pPr>
              <w:jc w:val="both"/>
              <w:rPr>
                <w:rFonts w:ascii="Arial" w:hAnsi="Arial" w:cs="Arial"/>
              </w:rPr>
            </w:pPr>
            <w:r w:rsidRPr="008B316F">
              <w:rPr>
                <w:rFonts w:ascii="Arial" w:hAnsi="Arial" w:cs="Arial"/>
              </w:rPr>
              <w:t>0.089</w:t>
            </w:r>
          </w:p>
        </w:tc>
        <w:tc>
          <w:tcPr>
            <w:tcW w:w="1261" w:type="dxa"/>
          </w:tcPr>
          <w:p w14:paraId="547E5295" w14:textId="77777777" w:rsidR="00CB696F" w:rsidRPr="008B316F" w:rsidRDefault="00CB696F" w:rsidP="008B316F">
            <w:pPr>
              <w:jc w:val="both"/>
              <w:rPr>
                <w:rFonts w:ascii="Arial" w:hAnsi="Arial" w:cs="Arial"/>
              </w:rPr>
            </w:pPr>
            <w:r w:rsidRPr="008B316F">
              <w:rPr>
                <w:rFonts w:ascii="Arial" w:hAnsi="Arial" w:cs="Arial"/>
              </w:rPr>
              <w:t>12.659</w:t>
            </w:r>
          </w:p>
        </w:tc>
        <w:tc>
          <w:tcPr>
            <w:tcW w:w="1058" w:type="dxa"/>
          </w:tcPr>
          <w:p w14:paraId="0D32F007"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762F0479" w14:textId="77777777" w:rsidR="00CB696F" w:rsidRPr="008B316F" w:rsidRDefault="00CB696F" w:rsidP="008B316F">
            <w:pPr>
              <w:jc w:val="both"/>
              <w:rPr>
                <w:rFonts w:ascii="Arial" w:hAnsi="Arial" w:cs="Arial"/>
              </w:rPr>
            </w:pPr>
            <w:r w:rsidRPr="008B316F">
              <w:rPr>
                <w:rFonts w:ascii="Arial" w:hAnsi="Arial" w:cs="Arial"/>
              </w:rPr>
              <w:t>0.953</w:t>
            </w:r>
          </w:p>
        </w:tc>
        <w:tc>
          <w:tcPr>
            <w:tcW w:w="1258" w:type="dxa"/>
          </w:tcPr>
          <w:p w14:paraId="04CB7E30" w14:textId="77777777" w:rsidR="00CB696F" w:rsidRPr="008B316F" w:rsidRDefault="00CB696F" w:rsidP="008B316F">
            <w:pPr>
              <w:jc w:val="both"/>
              <w:rPr>
                <w:rFonts w:ascii="Arial" w:hAnsi="Arial" w:cs="Arial"/>
              </w:rPr>
            </w:pPr>
            <w:r w:rsidRPr="008B316F">
              <w:rPr>
                <w:rFonts w:ascii="Arial" w:hAnsi="Arial" w:cs="Arial"/>
              </w:rPr>
              <w:t>1.301</w:t>
            </w:r>
          </w:p>
        </w:tc>
      </w:tr>
      <w:tr w:rsidR="00CB696F" w:rsidRPr="008B316F" w14:paraId="3AF839D4" w14:textId="77777777" w:rsidTr="00CB696F">
        <w:tc>
          <w:tcPr>
            <w:tcW w:w="1389" w:type="dxa"/>
          </w:tcPr>
          <w:p w14:paraId="651F3AEC" w14:textId="77777777" w:rsidR="00CB696F" w:rsidRPr="008B316F" w:rsidRDefault="00CB696F" w:rsidP="008B316F">
            <w:pPr>
              <w:jc w:val="both"/>
              <w:rPr>
                <w:rFonts w:ascii="Arial" w:hAnsi="Arial" w:cs="Arial"/>
              </w:rPr>
            </w:pPr>
            <w:r w:rsidRPr="008B316F">
              <w:rPr>
                <w:rFonts w:ascii="Arial" w:hAnsi="Arial" w:cs="Arial"/>
              </w:rPr>
              <w:t>Deviance/df</w:t>
            </w:r>
          </w:p>
        </w:tc>
        <w:tc>
          <w:tcPr>
            <w:tcW w:w="1296" w:type="dxa"/>
          </w:tcPr>
          <w:p w14:paraId="7A245B67" w14:textId="77777777" w:rsidR="00CB696F" w:rsidRPr="008B316F" w:rsidRDefault="00CB696F" w:rsidP="008B316F">
            <w:pPr>
              <w:jc w:val="both"/>
              <w:rPr>
                <w:rFonts w:ascii="Arial" w:hAnsi="Arial" w:cs="Arial"/>
              </w:rPr>
            </w:pPr>
            <w:r w:rsidRPr="008B316F">
              <w:rPr>
                <w:rFonts w:ascii="Arial" w:hAnsi="Arial" w:cs="Arial"/>
              </w:rPr>
              <w:t>1.06</w:t>
            </w:r>
          </w:p>
        </w:tc>
        <w:tc>
          <w:tcPr>
            <w:tcW w:w="2522" w:type="dxa"/>
            <w:gridSpan w:val="2"/>
          </w:tcPr>
          <w:p w14:paraId="5FD37F4B" w14:textId="77777777" w:rsidR="00CB696F" w:rsidRPr="008B316F" w:rsidRDefault="00CB696F" w:rsidP="008B316F">
            <w:pPr>
              <w:jc w:val="both"/>
              <w:rPr>
                <w:rFonts w:ascii="Arial" w:hAnsi="Arial" w:cs="Arial"/>
              </w:rPr>
            </w:pPr>
            <w:r w:rsidRPr="008B316F">
              <w:rPr>
                <w:rFonts w:ascii="Arial" w:hAnsi="Arial" w:cs="Arial"/>
              </w:rPr>
              <w:t>Pseudo R² (McFadden)</w:t>
            </w:r>
          </w:p>
        </w:tc>
        <w:tc>
          <w:tcPr>
            <w:tcW w:w="1058" w:type="dxa"/>
          </w:tcPr>
          <w:p w14:paraId="4FC74A45" w14:textId="77777777" w:rsidR="00CB696F" w:rsidRPr="008B316F" w:rsidRDefault="00CB696F" w:rsidP="008B316F">
            <w:pPr>
              <w:jc w:val="both"/>
              <w:rPr>
                <w:rFonts w:ascii="Arial" w:hAnsi="Arial" w:cs="Arial"/>
              </w:rPr>
            </w:pPr>
            <w:r w:rsidRPr="008B316F">
              <w:rPr>
                <w:rFonts w:ascii="Arial" w:hAnsi="Arial" w:cs="Arial"/>
              </w:rPr>
              <w:t>0.57</w:t>
            </w:r>
          </w:p>
        </w:tc>
        <w:tc>
          <w:tcPr>
            <w:tcW w:w="1460" w:type="dxa"/>
          </w:tcPr>
          <w:p w14:paraId="2B7913BB" w14:textId="77777777" w:rsidR="00CB696F" w:rsidRPr="008B316F" w:rsidRDefault="00CB696F" w:rsidP="008B316F">
            <w:pPr>
              <w:jc w:val="both"/>
              <w:rPr>
                <w:rFonts w:ascii="Arial" w:hAnsi="Arial" w:cs="Arial"/>
              </w:rPr>
            </w:pPr>
          </w:p>
        </w:tc>
        <w:tc>
          <w:tcPr>
            <w:tcW w:w="1258" w:type="dxa"/>
          </w:tcPr>
          <w:p w14:paraId="5EF6BE87" w14:textId="77777777" w:rsidR="00CB696F" w:rsidRPr="008B316F" w:rsidRDefault="00CB696F" w:rsidP="008B316F">
            <w:pPr>
              <w:jc w:val="both"/>
              <w:rPr>
                <w:rFonts w:ascii="Arial" w:hAnsi="Arial" w:cs="Arial"/>
              </w:rPr>
            </w:pPr>
          </w:p>
        </w:tc>
      </w:tr>
      <w:tr w:rsidR="00CB696F" w:rsidRPr="008B316F" w14:paraId="2EB1572A" w14:textId="77777777" w:rsidTr="00CB696F">
        <w:tc>
          <w:tcPr>
            <w:tcW w:w="8983" w:type="dxa"/>
            <w:gridSpan w:val="7"/>
          </w:tcPr>
          <w:p w14:paraId="5FCF4C5C" w14:textId="77777777" w:rsidR="00CB696F" w:rsidRPr="008B316F" w:rsidRDefault="00CB696F" w:rsidP="008B316F">
            <w:pPr>
              <w:jc w:val="center"/>
              <w:rPr>
                <w:rFonts w:ascii="Arial" w:hAnsi="Arial" w:cs="Arial"/>
                <w:b/>
              </w:rPr>
            </w:pPr>
            <w:r w:rsidRPr="008B316F">
              <w:rPr>
                <w:rFonts w:ascii="Arial" w:hAnsi="Arial" w:cs="Arial"/>
                <w:b/>
              </w:rPr>
              <w:t>VHP as a function of HIV and TB</w:t>
            </w:r>
          </w:p>
        </w:tc>
      </w:tr>
      <w:tr w:rsidR="00CB696F" w:rsidRPr="008B316F" w14:paraId="4FF16F11" w14:textId="77777777" w:rsidTr="00CB696F">
        <w:tc>
          <w:tcPr>
            <w:tcW w:w="1389" w:type="dxa"/>
          </w:tcPr>
          <w:p w14:paraId="6469B5C1" w14:textId="77777777" w:rsidR="00CB696F" w:rsidRPr="008B316F" w:rsidRDefault="00CB696F" w:rsidP="008B316F">
            <w:pPr>
              <w:jc w:val="both"/>
              <w:rPr>
                <w:rFonts w:ascii="Arial" w:hAnsi="Arial" w:cs="Arial"/>
              </w:rPr>
            </w:pPr>
            <w:r w:rsidRPr="008B316F">
              <w:rPr>
                <w:rFonts w:ascii="Arial" w:hAnsi="Arial" w:cs="Arial"/>
              </w:rPr>
              <w:t xml:space="preserve">Intercept </w:t>
            </w:r>
          </w:p>
        </w:tc>
        <w:tc>
          <w:tcPr>
            <w:tcW w:w="1296" w:type="dxa"/>
          </w:tcPr>
          <w:p w14:paraId="466EA29A" w14:textId="77777777" w:rsidR="00CB696F" w:rsidRPr="008B316F" w:rsidRDefault="00CB696F" w:rsidP="008B316F">
            <w:pPr>
              <w:jc w:val="both"/>
              <w:rPr>
                <w:rFonts w:ascii="Arial" w:hAnsi="Arial" w:cs="Arial"/>
              </w:rPr>
            </w:pPr>
            <w:r w:rsidRPr="008B316F">
              <w:rPr>
                <w:rFonts w:ascii="Arial" w:hAnsi="Arial" w:cs="Arial"/>
              </w:rPr>
              <w:t>252.111</w:t>
            </w:r>
          </w:p>
        </w:tc>
        <w:tc>
          <w:tcPr>
            <w:tcW w:w="1261" w:type="dxa"/>
          </w:tcPr>
          <w:p w14:paraId="1D60C098" w14:textId="77777777" w:rsidR="00CB696F" w:rsidRPr="008B316F" w:rsidRDefault="00CB696F" w:rsidP="008B316F">
            <w:pPr>
              <w:jc w:val="both"/>
              <w:rPr>
                <w:rFonts w:ascii="Arial" w:hAnsi="Arial" w:cs="Arial"/>
              </w:rPr>
            </w:pPr>
            <w:r w:rsidRPr="008B316F">
              <w:rPr>
                <w:rFonts w:ascii="Arial" w:hAnsi="Arial" w:cs="Arial"/>
              </w:rPr>
              <w:t>33.184</w:t>
            </w:r>
          </w:p>
        </w:tc>
        <w:tc>
          <w:tcPr>
            <w:tcW w:w="1261" w:type="dxa"/>
          </w:tcPr>
          <w:p w14:paraId="23C9481C" w14:textId="77777777" w:rsidR="00CB696F" w:rsidRPr="008B316F" w:rsidRDefault="00CB696F" w:rsidP="008B316F">
            <w:pPr>
              <w:jc w:val="both"/>
              <w:rPr>
                <w:rFonts w:ascii="Arial" w:hAnsi="Arial" w:cs="Arial"/>
              </w:rPr>
            </w:pPr>
            <w:r w:rsidRPr="008B316F">
              <w:rPr>
                <w:rFonts w:ascii="Arial" w:hAnsi="Arial" w:cs="Arial"/>
              </w:rPr>
              <w:t>7.598</w:t>
            </w:r>
          </w:p>
        </w:tc>
        <w:tc>
          <w:tcPr>
            <w:tcW w:w="1058" w:type="dxa"/>
          </w:tcPr>
          <w:p w14:paraId="7BE0192F"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5F33170F" w14:textId="77777777" w:rsidR="00CB696F" w:rsidRPr="008B316F" w:rsidRDefault="00CB696F" w:rsidP="008B316F">
            <w:pPr>
              <w:jc w:val="both"/>
              <w:rPr>
                <w:rFonts w:ascii="Arial" w:hAnsi="Arial" w:cs="Arial"/>
              </w:rPr>
            </w:pPr>
            <w:r w:rsidRPr="008B316F">
              <w:rPr>
                <w:rFonts w:ascii="Arial" w:hAnsi="Arial" w:cs="Arial"/>
              </w:rPr>
              <w:t>187.072</w:t>
            </w:r>
          </w:p>
        </w:tc>
        <w:tc>
          <w:tcPr>
            <w:tcW w:w="1258" w:type="dxa"/>
          </w:tcPr>
          <w:p w14:paraId="4608855F" w14:textId="77777777" w:rsidR="00CB696F" w:rsidRPr="008B316F" w:rsidRDefault="00CB696F" w:rsidP="008B316F">
            <w:pPr>
              <w:jc w:val="both"/>
              <w:rPr>
                <w:rFonts w:ascii="Arial" w:hAnsi="Arial" w:cs="Arial"/>
              </w:rPr>
            </w:pPr>
            <w:r w:rsidRPr="008B316F">
              <w:rPr>
                <w:rFonts w:ascii="Arial" w:hAnsi="Arial" w:cs="Arial"/>
              </w:rPr>
              <w:t>317.149</w:t>
            </w:r>
          </w:p>
        </w:tc>
      </w:tr>
      <w:tr w:rsidR="00CB696F" w:rsidRPr="008B316F" w14:paraId="05BB2935" w14:textId="77777777" w:rsidTr="00CB696F">
        <w:tc>
          <w:tcPr>
            <w:tcW w:w="1389" w:type="dxa"/>
          </w:tcPr>
          <w:p w14:paraId="7C3ECC0B" w14:textId="77777777" w:rsidR="00CB696F" w:rsidRPr="008B316F" w:rsidRDefault="00CB696F" w:rsidP="008B316F">
            <w:pPr>
              <w:jc w:val="both"/>
              <w:rPr>
                <w:rFonts w:ascii="Arial" w:hAnsi="Arial" w:cs="Arial"/>
              </w:rPr>
            </w:pPr>
            <w:r w:rsidRPr="008B316F">
              <w:rPr>
                <w:rFonts w:ascii="Arial" w:hAnsi="Arial" w:cs="Arial"/>
              </w:rPr>
              <w:t>HIV</w:t>
            </w:r>
          </w:p>
        </w:tc>
        <w:tc>
          <w:tcPr>
            <w:tcW w:w="1296" w:type="dxa"/>
          </w:tcPr>
          <w:p w14:paraId="1026BF48" w14:textId="77777777" w:rsidR="00CB696F" w:rsidRPr="008B316F" w:rsidRDefault="00CB696F" w:rsidP="008B316F">
            <w:pPr>
              <w:jc w:val="both"/>
              <w:rPr>
                <w:rFonts w:ascii="Arial" w:hAnsi="Arial" w:cs="Arial"/>
              </w:rPr>
            </w:pPr>
            <w:r w:rsidRPr="008B316F">
              <w:rPr>
                <w:rFonts w:ascii="Arial" w:hAnsi="Arial" w:cs="Arial"/>
              </w:rPr>
              <w:t>0.663</w:t>
            </w:r>
          </w:p>
        </w:tc>
        <w:tc>
          <w:tcPr>
            <w:tcW w:w="1261" w:type="dxa"/>
          </w:tcPr>
          <w:p w14:paraId="3984D53E" w14:textId="77777777" w:rsidR="00CB696F" w:rsidRPr="008B316F" w:rsidRDefault="00CB696F" w:rsidP="008B316F">
            <w:pPr>
              <w:jc w:val="both"/>
              <w:rPr>
                <w:rFonts w:ascii="Arial" w:hAnsi="Arial" w:cs="Arial"/>
              </w:rPr>
            </w:pPr>
            <w:r w:rsidRPr="008B316F">
              <w:rPr>
                <w:rFonts w:ascii="Arial" w:hAnsi="Arial" w:cs="Arial"/>
              </w:rPr>
              <w:t>0.093</w:t>
            </w:r>
          </w:p>
        </w:tc>
        <w:tc>
          <w:tcPr>
            <w:tcW w:w="1261" w:type="dxa"/>
          </w:tcPr>
          <w:p w14:paraId="37F58C2F" w14:textId="77777777" w:rsidR="00CB696F" w:rsidRPr="008B316F" w:rsidRDefault="00CB696F" w:rsidP="008B316F">
            <w:pPr>
              <w:jc w:val="both"/>
              <w:rPr>
                <w:rFonts w:ascii="Arial" w:hAnsi="Arial" w:cs="Arial"/>
              </w:rPr>
            </w:pPr>
            <w:r w:rsidRPr="008B316F">
              <w:rPr>
                <w:rFonts w:ascii="Arial" w:hAnsi="Arial" w:cs="Arial"/>
              </w:rPr>
              <w:t>7.129</w:t>
            </w:r>
          </w:p>
        </w:tc>
        <w:tc>
          <w:tcPr>
            <w:tcW w:w="1058" w:type="dxa"/>
          </w:tcPr>
          <w:p w14:paraId="620FA6B0"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0D7A8FF2" w14:textId="77777777" w:rsidR="00CB696F" w:rsidRPr="008B316F" w:rsidRDefault="00CB696F" w:rsidP="008B316F">
            <w:pPr>
              <w:jc w:val="both"/>
              <w:rPr>
                <w:rFonts w:ascii="Arial" w:hAnsi="Arial" w:cs="Arial"/>
              </w:rPr>
            </w:pPr>
            <w:r w:rsidRPr="008B316F">
              <w:rPr>
                <w:rFonts w:ascii="Arial" w:hAnsi="Arial" w:cs="Arial"/>
              </w:rPr>
              <w:t>0.481</w:t>
            </w:r>
          </w:p>
        </w:tc>
        <w:tc>
          <w:tcPr>
            <w:tcW w:w="1258" w:type="dxa"/>
          </w:tcPr>
          <w:p w14:paraId="31F100DF" w14:textId="77777777" w:rsidR="00CB696F" w:rsidRPr="008B316F" w:rsidRDefault="00CB696F" w:rsidP="008B316F">
            <w:pPr>
              <w:jc w:val="both"/>
              <w:rPr>
                <w:rFonts w:ascii="Arial" w:hAnsi="Arial" w:cs="Arial"/>
              </w:rPr>
            </w:pPr>
            <w:r w:rsidRPr="008B316F">
              <w:rPr>
                <w:rFonts w:ascii="Arial" w:hAnsi="Arial" w:cs="Arial"/>
              </w:rPr>
              <w:t>0.845</w:t>
            </w:r>
          </w:p>
        </w:tc>
      </w:tr>
      <w:tr w:rsidR="00CB696F" w:rsidRPr="008B316F" w14:paraId="496A2659" w14:textId="77777777" w:rsidTr="00CB696F">
        <w:tc>
          <w:tcPr>
            <w:tcW w:w="1389" w:type="dxa"/>
          </w:tcPr>
          <w:p w14:paraId="78288096" w14:textId="77777777" w:rsidR="00CB696F" w:rsidRPr="008B316F" w:rsidRDefault="00CB696F" w:rsidP="008B316F">
            <w:pPr>
              <w:jc w:val="both"/>
              <w:rPr>
                <w:rFonts w:ascii="Arial" w:hAnsi="Arial" w:cs="Arial"/>
              </w:rPr>
            </w:pPr>
            <w:r w:rsidRPr="008B316F">
              <w:rPr>
                <w:rFonts w:ascii="Arial" w:hAnsi="Arial" w:cs="Arial"/>
              </w:rPr>
              <w:t>VHP</w:t>
            </w:r>
          </w:p>
        </w:tc>
        <w:tc>
          <w:tcPr>
            <w:tcW w:w="1296" w:type="dxa"/>
          </w:tcPr>
          <w:p w14:paraId="44D9EC62" w14:textId="77777777" w:rsidR="00CB696F" w:rsidRPr="008B316F" w:rsidRDefault="00CB696F" w:rsidP="008B316F">
            <w:pPr>
              <w:jc w:val="both"/>
              <w:rPr>
                <w:rFonts w:ascii="Arial" w:hAnsi="Arial" w:cs="Arial"/>
              </w:rPr>
            </w:pPr>
            <w:r w:rsidRPr="008B316F">
              <w:rPr>
                <w:rFonts w:ascii="Arial" w:hAnsi="Arial" w:cs="Arial"/>
              </w:rPr>
              <w:t>0.198</w:t>
            </w:r>
          </w:p>
        </w:tc>
        <w:tc>
          <w:tcPr>
            <w:tcW w:w="1261" w:type="dxa"/>
          </w:tcPr>
          <w:p w14:paraId="774E4909" w14:textId="77777777" w:rsidR="00CB696F" w:rsidRPr="008B316F" w:rsidRDefault="00CB696F" w:rsidP="008B316F">
            <w:pPr>
              <w:jc w:val="both"/>
              <w:rPr>
                <w:rFonts w:ascii="Arial" w:hAnsi="Arial" w:cs="Arial"/>
              </w:rPr>
            </w:pPr>
            <w:r w:rsidRPr="008B316F">
              <w:rPr>
                <w:rFonts w:ascii="Arial" w:hAnsi="Arial" w:cs="Arial"/>
              </w:rPr>
              <w:t>0.066</w:t>
            </w:r>
          </w:p>
        </w:tc>
        <w:tc>
          <w:tcPr>
            <w:tcW w:w="1261" w:type="dxa"/>
          </w:tcPr>
          <w:p w14:paraId="1154CB85" w14:textId="77777777" w:rsidR="00CB696F" w:rsidRPr="008B316F" w:rsidRDefault="00CB696F" w:rsidP="008B316F">
            <w:pPr>
              <w:jc w:val="both"/>
              <w:rPr>
                <w:rFonts w:ascii="Arial" w:hAnsi="Arial" w:cs="Arial"/>
              </w:rPr>
            </w:pPr>
            <w:r w:rsidRPr="008B316F">
              <w:rPr>
                <w:rFonts w:ascii="Arial" w:hAnsi="Arial" w:cs="Arial"/>
              </w:rPr>
              <w:t>3.000</w:t>
            </w:r>
          </w:p>
        </w:tc>
        <w:tc>
          <w:tcPr>
            <w:tcW w:w="1058" w:type="dxa"/>
          </w:tcPr>
          <w:p w14:paraId="7D105A7F" w14:textId="77777777" w:rsidR="00CB696F" w:rsidRPr="008B316F" w:rsidRDefault="00CB696F" w:rsidP="008B316F">
            <w:pPr>
              <w:jc w:val="both"/>
              <w:rPr>
                <w:rFonts w:ascii="Arial" w:hAnsi="Arial" w:cs="Arial"/>
              </w:rPr>
            </w:pPr>
            <w:r w:rsidRPr="008B316F">
              <w:rPr>
                <w:rFonts w:ascii="Arial" w:hAnsi="Arial" w:cs="Arial"/>
              </w:rPr>
              <w:t>0.003</w:t>
            </w:r>
          </w:p>
        </w:tc>
        <w:tc>
          <w:tcPr>
            <w:tcW w:w="1460" w:type="dxa"/>
          </w:tcPr>
          <w:p w14:paraId="776CA847" w14:textId="77777777" w:rsidR="00CB696F" w:rsidRPr="008B316F" w:rsidRDefault="00CB696F" w:rsidP="008B316F">
            <w:pPr>
              <w:jc w:val="both"/>
              <w:rPr>
                <w:rFonts w:ascii="Arial" w:hAnsi="Arial" w:cs="Arial"/>
              </w:rPr>
            </w:pPr>
            <w:r w:rsidRPr="008B316F">
              <w:rPr>
                <w:rFonts w:ascii="Arial" w:hAnsi="Arial" w:cs="Arial"/>
              </w:rPr>
              <w:t>0.069</w:t>
            </w:r>
          </w:p>
        </w:tc>
        <w:tc>
          <w:tcPr>
            <w:tcW w:w="1258" w:type="dxa"/>
          </w:tcPr>
          <w:p w14:paraId="1E80AC99" w14:textId="77777777" w:rsidR="00CB696F" w:rsidRPr="008B316F" w:rsidRDefault="00CB696F" w:rsidP="008B316F">
            <w:pPr>
              <w:jc w:val="both"/>
              <w:rPr>
                <w:rFonts w:ascii="Arial" w:hAnsi="Arial" w:cs="Arial"/>
              </w:rPr>
            </w:pPr>
            <w:r w:rsidRPr="008B316F">
              <w:rPr>
                <w:rFonts w:ascii="Arial" w:hAnsi="Arial" w:cs="Arial"/>
              </w:rPr>
              <w:t>0.327</w:t>
            </w:r>
          </w:p>
        </w:tc>
      </w:tr>
      <w:tr w:rsidR="00CB696F" w:rsidRPr="008B316F" w14:paraId="5DCE51FD" w14:textId="77777777" w:rsidTr="00CB696F">
        <w:tc>
          <w:tcPr>
            <w:tcW w:w="1389" w:type="dxa"/>
          </w:tcPr>
          <w:p w14:paraId="084E0A17" w14:textId="77777777" w:rsidR="00CB696F" w:rsidRPr="008B316F" w:rsidRDefault="00CB696F" w:rsidP="008B316F">
            <w:pPr>
              <w:jc w:val="both"/>
              <w:rPr>
                <w:rFonts w:ascii="Arial" w:hAnsi="Arial" w:cs="Arial"/>
              </w:rPr>
            </w:pPr>
            <w:r w:rsidRPr="008B316F">
              <w:rPr>
                <w:rFonts w:ascii="Arial" w:hAnsi="Arial" w:cs="Arial"/>
              </w:rPr>
              <w:t>Time</w:t>
            </w:r>
          </w:p>
        </w:tc>
        <w:tc>
          <w:tcPr>
            <w:tcW w:w="1296" w:type="dxa"/>
          </w:tcPr>
          <w:p w14:paraId="34E5BB18" w14:textId="77777777" w:rsidR="00CB696F" w:rsidRPr="008B316F" w:rsidRDefault="00CB696F" w:rsidP="008B316F">
            <w:pPr>
              <w:jc w:val="both"/>
              <w:rPr>
                <w:rFonts w:ascii="Arial" w:hAnsi="Arial" w:cs="Arial"/>
              </w:rPr>
            </w:pPr>
            <w:r w:rsidRPr="008B316F">
              <w:rPr>
                <w:rFonts w:ascii="Arial" w:hAnsi="Arial" w:cs="Arial"/>
              </w:rPr>
              <w:t>1.854</w:t>
            </w:r>
          </w:p>
        </w:tc>
        <w:tc>
          <w:tcPr>
            <w:tcW w:w="1261" w:type="dxa"/>
          </w:tcPr>
          <w:p w14:paraId="6C475E09" w14:textId="77777777" w:rsidR="00CB696F" w:rsidRPr="008B316F" w:rsidRDefault="00CB696F" w:rsidP="008B316F">
            <w:pPr>
              <w:jc w:val="both"/>
              <w:rPr>
                <w:rFonts w:ascii="Arial" w:hAnsi="Arial" w:cs="Arial"/>
              </w:rPr>
            </w:pPr>
            <w:r w:rsidRPr="008B316F">
              <w:rPr>
                <w:rFonts w:ascii="Arial" w:hAnsi="Arial" w:cs="Arial"/>
              </w:rPr>
              <w:t>0.097</w:t>
            </w:r>
          </w:p>
        </w:tc>
        <w:tc>
          <w:tcPr>
            <w:tcW w:w="1261" w:type="dxa"/>
          </w:tcPr>
          <w:p w14:paraId="08EF62B4" w14:textId="77777777" w:rsidR="00CB696F" w:rsidRPr="008B316F" w:rsidRDefault="00CB696F" w:rsidP="008B316F">
            <w:pPr>
              <w:jc w:val="both"/>
              <w:rPr>
                <w:rFonts w:ascii="Arial" w:hAnsi="Arial" w:cs="Arial"/>
              </w:rPr>
            </w:pPr>
            <w:r w:rsidRPr="008B316F">
              <w:rPr>
                <w:rFonts w:ascii="Arial" w:hAnsi="Arial" w:cs="Arial"/>
              </w:rPr>
              <w:t>19.103</w:t>
            </w:r>
          </w:p>
        </w:tc>
        <w:tc>
          <w:tcPr>
            <w:tcW w:w="1058" w:type="dxa"/>
          </w:tcPr>
          <w:p w14:paraId="62AA485D" w14:textId="77777777" w:rsidR="00CB696F" w:rsidRPr="008B316F" w:rsidRDefault="00CB696F" w:rsidP="008B316F">
            <w:pPr>
              <w:jc w:val="both"/>
              <w:rPr>
                <w:rFonts w:ascii="Arial" w:hAnsi="Arial" w:cs="Arial"/>
              </w:rPr>
            </w:pPr>
            <w:r w:rsidRPr="008B316F">
              <w:rPr>
                <w:rFonts w:ascii="Arial" w:hAnsi="Arial" w:cs="Arial"/>
              </w:rPr>
              <w:t>&lt;0.001</w:t>
            </w:r>
          </w:p>
        </w:tc>
        <w:tc>
          <w:tcPr>
            <w:tcW w:w="1460" w:type="dxa"/>
          </w:tcPr>
          <w:p w14:paraId="39A701BC" w14:textId="77777777" w:rsidR="00CB696F" w:rsidRPr="008B316F" w:rsidRDefault="00CB696F" w:rsidP="008B316F">
            <w:pPr>
              <w:jc w:val="both"/>
              <w:rPr>
                <w:rFonts w:ascii="Arial" w:hAnsi="Arial" w:cs="Arial"/>
              </w:rPr>
            </w:pPr>
            <w:r w:rsidRPr="008B316F">
              <w:rPr>
                <w:rFonts w:ascii="Arial" w:hAnsi="Arial" w:cs="Arial"/>
              </w:rPr>
              <w:t>1.664</w:t>
            </w:r>
          </w:p>
        </w:tc>
        <w:tc>
          <w:tcPr>
            <w:tcW w:w="1258" w:type="dxa"/>
          </w:tcPr>
          <w:p w14:paraId="56FA5CFE" w14:textId="77777777" w:rsidR="00CB696F" w:rsidRPr="008B316F" w:rsidRDefault="00CB696F" w:rsidP="008B316F">
            <w:pPr>
              <w:jc w:val="both"/>
              <w:rPr>
                <w:rFonts w:ascii="Arial" w:hAnsi="Arial" w:cs="Arial"/>
              </w:rPr>
            </w:pPr>
            <w:r w:rsidRPr="008B316F">
              <w:rPr>
                <w:rFonts w:ascii="Arial" w:hAnsi="Arial" w:cs="Arial"/>
              </w:rPr>
              <w:t>2.044</w:t>
            </w:r>
          </w:p>
        </w:tc>
      </w:tr>
      <w:tr w:rsidR="00CB696F" w:rsidRPr="008B316F" w14:paraId="3D24C41C" w14:textId="77777777" w:rsidTr="00CB696F">
        <w:tc>
          <w:tcPr>
            <w:tcW w:w="1389" w:type="dxa"/>
          </w:tcPr>
          <w:p w14:paraId="4F2C4F52" w14:textId="77777777" w:rsidR="00CB696F" w:rsidRPr="008B316F" w:rsidRDefault="00CB696F" w:rsidP="008B316F">
            <w:pPr>
              <w:jc w:val="both"/>
              <w:rPr>
                <w:rFonts w:ascii="Arial" w:hAnsi="Arial" w:cs="Arial"/>
              </w:rPr>
            </w:pPr>
            <w:r w:rsidRPr="008B316F">
              <w:rPr>
                <w:rFonts w:ascii="Arial" w:hAnsi="Arial" w:cs="Arial"/>
              </w:rPr>
              <w:t>Deviance/df</w:t>
            </w:r>
          </w:p>
        </w:tc>
        <w:tc>
          <w:tcPr>
            <w:tcW w:w="1296" w:type="dxa"/>
          </w:tcPr>
          <w:p w14:paraId="71EBD2A7" w14:textId="77777777" w:rsidR="00CB696F" w:rsidRPr="008B316F" w:rsidRDefault="00CB696F" w:rsidP="008B316F">
            <w:pPr>
              <w:jc w:val="both"/>
              <w:rPr>
                <w:rFonts w:ascii="Arial" w:hAnsi="Arial" w:cs="Arial"/>
              </w:rPr>
            </w:pPr>
            <w:r w:rsidRPr="008B316F">
              <w:rPr>
                <w:rFonts w:ascii="Arial" w:hAnsi="Arial" w:cs="Arial"/>
              </w:rPr>
              <w:t>1.09</w:t>
            </w:r>
          </w:p>
        </w:tc>
        <w:tc>
          <w:tcPr>
            <w:tcW w:w="2522" w:type="dxa"/>
            <w:gridSpan w:val="2"/>
          </w:tcPr>
          <w:p w14:paraId="7EFD5703" w14:textId="77777777" w:rsidR="00CB696F" w:rsidRPr="008B316F" w:rsidRDefault="00CB696F" w:rsidP="008B316F">
            <w:pPr>
              <w:jc w:val="both"/>
              <w:rPr>
                <w:rFonts w:ascii="Arial" w:hAnsi="Arial" w:cs="Arial"/>
              </w:rPr>
            </w:pPr>
            <w:r w:rsidRPr="008B316F">
              <w:rPr>
                <w:rFonts w:ascii="Arial" w:hAnsi="Arial" w:cs="Arial"/>
              </w:rPr>
              <w:t>Pseudo R² (McFadden)</w:t>
            </w:r>
          </w:p>
        </w:tc>
        <w:tc>
          <w:tcPr>
            <w:tcW w:w="1058" w:type="dxa"/>
          </w:tcPr>
          <w:p w14:paraId="58000227" w14:textId="77777777" w:rsidR="00CB696F" w:rsidRPr="008B316F" w:rsidRDefault="00CB696F" w:rsidP="008B316F">
            <w:pPr>
              <w:jc w:val="both"/>
              <w:rPr>
                <w:rFonts w:ascii="Arial" w:hAnsi="Arial" w:cs="Arial"/>
              </w:rPr>
            </w:pPr>
            <w:r w:rsidRPr="008B316F">
              <w:rPr>
                <w:rFonts w:ascii="Arial" w:hAnsi="Arial" w:cs="Arial"/>
              </w:rPr>
              <w:t>0.63</w:t>
            </w:r>
          </w:p>
        </w:tc>
        <w:tc>
          <w:tcPr>
            <w:tcW w:w="1460" w:type="dxa"/>
          </w:tcPr>
          <w:p w14:paraId="135F79F2" w14:textId="77777777" w:rsidR="00CB696F" w:rsidRPr="008B316F" w:rsidRDefault="00CB696F" w:rsidP="008B316F">
            <w:pPr>
              <w:jc w:val="both"/>
              <w:rPr>
                <w:rFonts w:ascii="Arial" w:hAnsi="Arial" w:cs="Arial"/>
              </w:rPr>
            </w:pPr>
          </w:p>
        </w:tc>
        <w:tc>
          <w:tcPr>
            <w:tcW w:w="1258" w:type="dxa"/>
          </w:tcPr>
          <w:p w14:paraId="50D60258" w14:textId="77777777" w:rsidR="00CB696F" w:rsidRPr="008B316F" w:rsidRDefault="00CB696F" w:rsidP="008B316F">
            <w:pPr>
              <w:jc w:val="both"/>
              <w:rPr>
                <w:rFonts w:ascii="Arial" w:hAnsi="Arial" w:cs="Arial"/>
              </w:rPr>
            </w:pPr>
          </w:p>
        </w:tc>
      </w:tr>
    </w:tbl>
    <w:p w14:paraId="46842D5B" w14:textId="77777777"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PEWMA model re</w:t>
      </w:r>
      <w:r w:rsidR="008B316F">
        <w:rPr>
          <w:rFonts w:ascii="Arial" w:hAnsi="Arial" w:cs="Arial"/>
          <w:sz w:val="20"/>
          <w:szCs w:val="20"/>
        </w:rPr>
        <w:t>ported in upper panel of Table 5</w:t>
      </w:r>
      <w:r w:rsidRPr="00CB696F">
        <w:rPr>
          <w:rFonts w:ascii="Arial" w:hAnsi="Arial" w:cs="Arial"/>
          <w:sz w:val="20"/>
          <w:szCs w:val="20"/>
        </w:rPr>
        <w:t xml:space="preserve"> which examines tuberculosis (TB) as a function of HIV, viral hepatitis (VHP), and Time reveals that all predictors significantly contribute to explaining variations in TB incidence. The coefficient for HIV (0.014, p = 0.005) indicates that a one-unit increase in HIV cases is associated with a 1.4% increase in expected TB cases (</w:t>
      </w:r>
      <w:proofErr w:type="gramStart"/>
      <w:r w:rsidRPr="00CB696F">
        <w:rPr>
          <w:rFonts w:ascii="Arial" w:hAnsi="Arial" w:cs="Arial"/>
          <w:sz w:val="20"/>
          <w:szCs w:val="20"/>
        </w:rPr>
        <w:t>exp(</w:t>
      </w:r>
      <w:proofErr w:type="gramEnd"/>
      <w:r w:rsidRPr="00CB696F">
        <w:rPr>
          <w:rFonts w:ascii="Arial" w:hAnsi="Arial" w:cs="Arial"/>
          <w:sz w:val="20"/>
          <w:szCs w:val="20"/>
        </w:rPr>
        <w:t>0.014)≈1.014), holding other factors constant. This finding supports the well-established co-infection dynamics between HIV and TB, where HIV-induced immunosuppression increases susceptibility to TB disease. Similarly, the coefficient for VHP (0.008, p = 0.045) suggests that each additional viral hepatitis case is associated with a 0.8% increase in expected TB cases (</w:t>
      </w:r>
      <w:proofErr w:type="gramStart"/>
      <w:r w:rsidRPr="00CB696F">
        <w:rPr>
          <w:rFonts w:ascii="Arial" w:hAnsi="Arial" w:cs="Arial"/>
          <w:sz w:val="20"/>
          <w:szCs w:val="20"/>
        </w:rPr>
        <w:t>exp(</w:t>
      </w:r>
      <w:proofErr w:type="gramEnd"/>
      <w:r w:rsidRPr="00CB696F">
        <w:rPr>
          <w:rFonts w:ascii="Arial" w:hAnsi="Arial" w:cs="Arial"/>
          <w:sz w:val="20"/>
          <w:szCs w:val="20"/>
        </w:rPr>
        <w:t>0.008)≈1.008). This relationship may reflect shared social and biomedical determinants, such as injection drug use, liver compromise, or healthcare access issues that can affect both conditions, rather than a direct causal link.</w:t>
      </w:r>
    </w:p>
    <w:p w14:paraId="57CCC4F6" w14:textId="77777777"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Time variable exerts the most substantial effect on TB, with a coefficient of 0.382 (p &lt; 0.001), indicating a 46.5% increase in TB incidence per unit time (</w:t>
      </w:r>
      <w:proofErr w:type="gramStart"/>
      <w:r w:rsidRPr="00CB696F">
        <w:rPr>
          <w:rFonts w:ascii="Arial" w:hAnsi="Arial" w:cs="Arial"/>
          <w:sz w:val="20"/>
          <w:szCs w:val="20"/>
        </w:rPr>
        <w:t>exp(</w:t>
      </w:r>
      <w:proofErr w:type="gramEnd"/>
      <w:r w:rsidRPr="00CB696F">
        <w:rPr>
          <w:rFonts w:ascii="Arial" w:hAnsi="Arial" w:cs="Arial"/>
          <w:sz w:val="20"/>
          <w:szCs w:val="20"/>
        </w:rPr>
        <w:t xml:space="preserve">0.382)≈1.465), independent of HIV and VHP. This trend underscores a sustained rise in TB burden over the study period, which could reflect changes in detection practices, population mobility, or deteriorating living conditions. </w:t>
      </w:r>
    </w:p>
    <w:p w14:paraId="65AD0774" w14:textId="77777777" w:rsidR="00CB696F" w:rsidRPr="00CB696F" w:rsidRDefault="00CB696F" w:rsidP="00CB696F">
      <w:pPr>
        <w:pStyle w:val="NormalWeb"/>
        <w:spacing w:before="240" w:beforeAutospacing="0" w:after="0" w:afterAutospacing="0"/>
        <w:jc w:val="both"/>
        <w:rPr>
          <w:rFonts w:ascii="Arial" w:hAnsi="Arial" w:cs="Arial"/>
          <w:sz w:val="20"/>
          <w:szCs w:val="20"/>
        </w:rPr>
      </w:pPr>
      <w:r w:rsidRPr="00CB696F">
        <w:rPr>
          <w:rFonts w:ascii="Arial" w:hAnsi="Arial" w:cs="Arial"/>
          <w:sz w:val="20"/>
          <w:szCs w:val="20"/>
        </w:rPr>
        <w:t xml:space="preserve">The PEWMA model presented in middle panel of Table 6 estimates HIV incidence as a function of TB, Viral Hepatitis (VHP), and Time, with all predictors found to be statistically </w:t>
      </w:r>
      <w:r w:rsidRPr="00CB696F">
        <w:rPr>
          <w:rFonts w:ascii="Arial" w:hAnsi="Arial" w:cs="Arial"/>
          <w:sz w:val="20"/>
          <w:szCs w:val="20"/>
        </w:rPr>
        <w:lastRenderedPageBreak/>
        <w:t>significant at the 5% level. The coefficient for TB is 0.765 (p &lt; 0.001), indicating that for every one-unit increase in TB cases, the expected number of HIV cases increases by approximately 114.9% (</w:t>
      </w:r>
      <w:proofErr w:type="gramStart"/>
      <w:r w:rsidRPr="00CB696F">
        <w:rPr>
          <w:rFonts w:ascii="Arial" w:hAnsi="Arial" w:cs="Arial"/>
          <w:sz w:val="20"/>
          <w:szCs w:val="20"/>
        </w:rPr>
        <w:t>exp(</w:t>
      </w:r>
      <w:proofErr w:type="gramEnd"/>
      <w:r w:rsidRPr="00CB696F">
        <w:rPr>
          <w:rFonts w:ascii="Arial" w:hAnsi="Arial" w:cs="Arial"/>
          <w:sz w:val="20"/>
          <w:szCs w:val="20"/>
        </w:rPr>
        <w:t xml:space="preserve">0.765)≈2.149), holding other variables constant. This strong relationship underscores the well-documented </w:t>
      </w:r>
      <w:proofErr w:type="spellStart"/>
      <w:r w:rsidRPr="00CB696F">
        <w:rPr>
          <w:rFonts w:ascii="Arial" w:hAnsi="Arial" w:cs="Arial"/>
          <w:sz w:val="20"/>
          <w:szCs w:val="20"/>
        </w:rPr>
        <w:t>syndemic</w:t>
      </w:r>
      <w:proofErr w:type="spellEnd"/>
      <w:r w:rsidRPr="00CB696F">
        <w:rPr>
          <w:rFonts w:ascii="Arial" w:hAnsi="Arial" w:cs="Arial"/>
          <w:sz w:val="20"/>
          <w:szCs w:val="20"/>
        </w:rPr>
        <w:t xml:space="preserve"> between HIV and TB, where co-infection is common due to immune suppression in HIV-positive individuals and shared socio-structural risk factors such as poverty, overcrowding, and limited access to healthcare. The model also reveals a positive association between viral hepatitis and HIV, with a coefficient of 0.022 (p = 0.006), meaning each unit increase in VHP is associated with a 2.2% increase in expected HIV cases (</w:t>
      </w:r>
      <w:proofErr w:type="gramStart"/>
      <w:r w:rsidRPr="00CB696F">
        <w:rPr>
          <w:rFonts w:ascii="Arial" w:hAnsi="Arial" w:cs="Arial"/>
          <w:sz w:val="20"/>
          <w:szCs w:val="20"/>
        </w:rPr>
        <w:t>exp(</w:t>
      </w:r>
      <w:proofErr w:type="gramEnd"/>
      <w:r w:rsidRPr="00CB696F">
        <w:rPr>
          <w:rFonts w:ascii="Arial" w:hAnsi="Arial" w:cs="Arial"/>
          <w:sz w:val="20"/>
          <w:szCs w:val="20"/>
        </w:rPr>
        <w:t xml:space="preserve">0.022)≈1.022). This may reflect shared transmission pathways such as unsafe injections, sexual contact, or blood exposure highlighting the need for integrated surveillance and prevention strategies. </w:t>
      </w:r>
    </w:p>
    <w:p w14:paraId="3A03D12C" w14:textId="77777777" w:rsidR="00CB696F" w:rsidRPr="00CB696F" w:rsidRDefault="00CB696F" w:rsidP="00CB696F">
      <w:pPr>
        <w:pStyle w:val="NormalWeb"/>
        <w:spacing w:before="240" w:beforeAutospacing="0" w:after="0" w:afterAutospacing="0"/>
        <w:jc w:val="both"/>
        <w:rPr>
          <w:rFonts w:ascii="Arial" w:hAnsi="Arial" w:cs="Arial"/>
          <w:sz w:val="20"/>
          <w:szCs w:val="20"/>
        </w:rPr>
      </w:pPr>
      <w:r w:rsidRPr="00CB696F">
        <w:rPr>
          <w:rFonts w:ascii="Arial" w:hAnsi="Arial" w:cs="Arial"/>
          <w:sz w:val="20"/>
          <w:szCs w:val="20"/>
        </w:rPr>
        <w:t>The Time variable exhibits the most pronounced effect, with a coefficient of 1.127 (p &lt; 0.001), implying that HIV incidence rises by approximately 208.6% per unit time (</w:t>
      </w:r>
      <w:proofErr w:type="gramStart"/>
      <w:r w:rsidRPr="00CB696F">
        <w:rPr>
          <w:rFonts w:ascii="Arial" w:hAnsi="Arial" w:cs="Arial"/>
          <w:sz w:val="20"/>
          <w:szCs w:val="20"/>
        </w:rPr>
        <w:t>exp(</w:t>
      </w:r>
      <w:proofErr w:type="gramEnd"/>
      <w:r w:rsidRPr="00CB696F">
        <w:rPr>
          <w:rFonts w:ascii="Arial" w:hAnsi="Arial" w:cs="Arial"/>
          <w:sz w:val="20"/>
          <w:szCs w:val="20"/>
        </w:rPr>
        <w:t xml:space="preserve">1.127)≈3.086), independent of TB and VHP. This suggests a substantial upward trend in HIV burden over the study period, possibly driven by changing sexual </w:t>
      </w:r>
      <w:proofErr w:type="spellStart"/>
      <w:r w:rsidRPr="00CB696F">
        <w:rPr>
          <w:rFonts w:ascii="Arial" w:hAnsi="Arial" w:cs="Arial"/>
          <w:sz w:val="20"/>
          <w:szCs w:val="20"/>
        </w:rPr>
        <w:t>behaviours</w:t>
      </w:r>
      <w:proofErr w:type="spellEnd"/>
      <w:r w:rsidRPr="00CB696F">
        <w:rPr>
          <w:rFonts w:ascii="Arial" w:hAnsi="Arial" w:cs="Arial"/>
          <w:sz w:val="20"/>
          <w:szCs w:val="20"/>
        </w:rPr>
        <w:t xml:space="preserve">, increased urbanization, or improved case detection through expanded testing efforts. </w:t>
      </w:r>
    </w:p>
    <w:p w14:paraId="3F7C4B44" w14:textId="77777777"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PEWMA model in lower panel of Table 6 estimates Viral Hepatitis (VHP) as a function of HIV, TB, and Time, with all predictors showing statistical significance at the 5% level. The coefficient for HIV is 0.663 (p &lt; 0.001), indicating that a one-unit increase in HIV cases is associated with a 94.1% increase in expected VHP cases (</w:t>
      </w:r>
      <w:proofErr w:type="gramStart"/>
      <w:r w:rsidRPr="00CB696F">
        <w:rPr>
          <w:rFonts w:ascii="Arial" w:hAnsi="Arial" w:cs="Arial"/>
          <w:sz w:val="20"/>
          <w:szCs w:val="20"/>
        </w:rPr>
        <w:t>exp(</w:t>
      </w:r>
      <w:proofErr w:type="gramEnd"/>
      <w:r w:rsidRPr="00CB696F">
        <w:rPr>
          <w:rFonts w:ascii="Arial" w:hAnsi="Arial" w:cs="Arial"/>
          <w:sz w:val="20"/>
          <w:szCs w:val="20"/>
        </w:rPr>
        <w:t>0.663)≈1.941), assuming other variables remain constant. This substantial effect suggests a close epidemiological link between HIV and viral hepatitis, possibly due to shared transmission routes such as unsafe injections, blood transfusions, or unprotected sex. Similarly, the coefficient for TB is 0.198 (p = 0.003), meaning that a one-unit increase in TB cases corresponds to a 21.9% increase in expected VHP cases (</w:t>
      </w:r>
      <w:proofErr w:type="gramStart"/>
      <w:r w:rsidRPr="00CB696F">
        <w:rPr>
          <w:rFonts w:ascii="Arial" w:hAnsi="Arial" w:cs="Arial"/>
          <w:sz w:val="20"/>
          <w:szCs w:val="20"/>
        </w:rPr>
        <w:t>exp(</w:t>
      </w:r>
      <w:proofErr w:type="gramEnd"/>
      <w:r w:rsidRPr="00CB696F">
        <w:rPr>
          <w:rFonts w:ascii="Arial" w:hAnsi="Arial" w:cs="Arial"/>
          <w:sz w:val="20"/>
          <w:szCs w:val="20"/>
        </w:rPr>
        <w:t>0.198)≈1.219). This association may reflect overlapping risk factors or co-infection patterns, especially among vulnerable populations such as people who inject drugs or those with compromised immunity.</w:t>
      </w:r>
    </w:p>
    <w:p w14:paraId="1E605815" w14:textId="77777777"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Time variable has the highest coefficient at 1.854 (p &lt; 0.001), suggesting that VHP cases increase by approximately 536.9% per unit time (</w:t>
      </w:r>
      <w:proofErr w:type="gramStart"/>
      <w:r w:rsidRPr="00CB696F">
        <w:rPr>
          <w:rFonts w:ascii="Arial" w:hAnsi="Arial" w:cs="Arial"/>
          <w:sz w:val="20"/>
          <w:szCs w:val="20"/>
        </w:rPr>
        <w:t>exp(</w:t>
      </w:r>
      <w:proofErr w:type="gramEnd"/>
      <w:r w:rsidRPr="00CB696F">
        <w:rPr>
          <w:rFonts w:ascii="Arial" w:hAnsi="Arial" w:cs="Arial"/>
          <w:sz w:val="20"/>
          <w:szCs w:val="20"/>
        </w:rPr>
        <w:t>1.854)≈6.369), independently of HIV and TB. This sharp upward trend may reflect increased surveillance, improved diagnostic capacity, or a rising burden of viral hepatitis due to socio-</w:t>
      </w:r>
      <w:proofErr w:type="spellStart"/>
      <w:r w:rsidRPr="00CB696F">
        <w:rPr>
          <w:rFonts w:ascii="Arial" w:hAnsi="Arial" w:cs="Arial"/>
          <w:sz w:val="20"/>
          <w:szCs w:val="20"/>
        </w:rPr>
        <w:t>behavioural</w:t>
      </w:r>
      <w:proofErr w:type="spellEnd"/>
      <w:r w:rsidRPr="00CB696F">
        <w:rPr>
          <w:rFonts w:ascii="Arial" w:hAnsi="Arial" w:cs="Arial"/>
          <w:sz w:val="20"/>
          <w:szCs w:val="20"/>
        </w:rPr>
        <w:t xml:space="preserve"> and environmental dynamics. </w:t>
      </w:r>
    </w:p>
    <w:p w14:paraId="711FD213" w14:textId="77777777"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Taken together, these models underscore a synergistic and time-sensitive relationship among HIV, TB, and viral hepatitis, where increases in one condition are significantly associated with rises in the others. The strong influence of time across all models points to a growing burden and/or enhanced detection of these diseases over the years. These findings support the need for integrated surveillance, co-management, and prevention strategies targeting all three infections, with a special focus on strengthening temporal tracking, early detection, and health system responsiveness.</w:t>
      </w:r>
    </w:p>
    <w:p w14:paraId="6CCB28CC" w14:textId="77777777"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From a model diagnostics perspective, the deviance/df ratios of 1.14, 1.06 and 1.09 for the three models respectively suggest minimal over-dispersions and good fits, while the McFadden Pseudo R² of 0.41, 0.57 and 0.63 for the three respective models indicate strong explanatory powers, which are notable for time series count data. In sum, the findings highlight the intertwined epidemiological pathways among HIV, viral hepatitis, and TB, with time capturing a significant upward trajectory. These insights stress the importance of integrated disease surveillance and targeted public health interventions to curb HIV, VHP and TB transmission in the context of overlapping infections.</w:t>
      </w:r>
    </w:p>
    <w:p w14:paraId="48E90ABA" w14:textId="77777777" w:rsidR="00B74453" w:rsidRPr="00FB3A86" w:rsidRDefault="00B74453" w:rsidP="00B74453">
      <w:pPr>
        <w:pStyle w:val="Body"/>
        <w:spacing w:after="0"/>
        <w:rPr>
          <w:rFonts w:ascii="Arial" w:hAnsi="Arial" w:cs="Arial"/>
        </w:rPr>
      </w:pPr>
    </w:p>
    <w:p w14:paraId="2F4D5BB6" w14:textId="77777777" w:rsidR="00B74453" w:rsidRDefault="00B74453" w:rsidP="00B7445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5C41C4D" w14:textId="77777777" w:rsidR="00207D4F" w:rsidRPr="00207D4F" w:rsidRDefault="00207D4F" w:rsidP="00207D4F">
      <w:pPr>
        <w:spacing w:before="100" w:beforeAutospacing="1"/>
        <w:jc w:val="both"/>
        <w:rPr>
          <w:rFonts w:ascii="Arial" w:hAnsi="Arial" w:cs="Arial"/>
        </w:rPr>
      </w:pPr>
      <w:r w:rsidRPr="00207D4F">
        <w:rPr>
          <w:rFonts w:ascii="Arial" w:hAnsi="Arial" w:cs="Arial"/>
        </w:rPr>
        <w:t>This study investigated the prevalence and dynamics of three major infectious diseases: Human Immunodeficiency Virus (HIV), Tuberculosis (TB), and Viral Hepatitis (VHP) among farmers in Benue State, Nigeria, using Poisson Autoregressive (</w:t>
      </w:r>
      <w:proofErr w:type="gramStart"/>
      <w:r w:rsidRPr="00207D4F">
        <w:rPr>
          <w:rFonts w:ascii="Arial" w:hAnsi="Arial" w:cs="Arial"/>
        </w:rPr>
        <w:t>PAR(</w:t>
      </w:r>
      <w:proofErr w:type="gramEnd"/>
      <w:r w:rsidRPr="00207D4F">
        <w:rPr>
          <w:rFonts w:ascii="Arial" w:hAnsi="Arial" w:cs="Arial"/>
        </w:rPr>
        <w:t>1)) and Poisson Exponential Weighted Moving Average (PEWMA) models. The analysis utilized monthly secondary data from January 2010 to December 2022 on serologically confirmed infection cases. Through the application of summary statistics, time plots, bar graphs, and advanced time series models, the study revealed a consistent upward trend in infection rates across the three diseases. Notably, all three infections showed peak occurrences between 2017 and 2019, with the lowest rates recorded in 2010, suggesting possible shared temporal dynamics or interconnected epidemiological drivers.</w:t>
      </w:r>
    </w:p>
    <w:p w14:paraId="0F7E7EE2" w14:textId="77777777" w:rsidR="00207D4F" w:rsidRPr="00207D4F" w:rsidRDefault="00207D4F" w:rsidP="00207D4F">
      <w:pPr>
        <w:spacing w:before="100" w:beforeAutospacing="1"/>
        <w:jc w:val="both"/>
        <w:rPr>
          <w:rFonts w:ascii="Arial" w:hAnsi="Arial" w:cs="Arial"/>
        </w:rPr>
      </w:pPr>
      <w:r w:rsidRPr="00207D4F">
        <w:rPr>
          <w:rFonts w:ascii="Arial" w:hAnsi="Arial" w:cs="Arial"/>
        </w:rPr>
        <w:t xml:space="preserve">The </w:t>
      </w:r>
      <w:proofErr w:type="gramStart"/>
      <w:r w:rsidRPr="00207D4F">
        <w:rPr>
          <w:rFonts w:ascii="Arial" w:hAnsi="Arial" w:cs="Arial"/>
        </w:rPr>
        <w:t>PAR(</w:t>
      </w:r>
      <w:proofErr w:type="gramEnd"/>
      <w:r w:rsidRPr="00207D4F">
        <w:rPr>
          <w:rFonts w:ascii="Arial" w:hAnsi="Arial" w:cs="Arial"/>
        </w:rPr>
        <w:t>1) model results showed strong autoregressive properties in the infection data, indicating that past infection rates significantly influenced current trends. The estimated monthly increases in infection rates were 2.25% for HIV, 1.22% for TB, and 12.08% for VHP, with coefficients of determination suggesting excellent model fit, 83.3% for HIV, 78.8% for TB, and 80.8% for VHP. Similarly, the PEWMA model provided more understanding of co-infection dynamics, particularly the associations between HIV and TB, and between VHP and both HIV and TB. These findings underscore the complex, interconnected nature of infectious disease transmission among rural populations, especially within high-risk groups such as farmers who may experience barriers to health services, health education, and early detection.</w:t>
      </w:r>
    </w:p>
    <w:p w14:paraId="02D64D77" w14:textId="77777777" w:rsidR="00207D4F" w:rsidRPr="00207D4F" w:rsidRDefault="00207D4F" w:rsidP="00207D4F">
      <w:pPr>
        <w:spacing w:before="100" w:beforeAutospacing="1"/>
        <w:jc w:val="both"/>
        <w:rPr>
          <w:rFonts w:ascii="Arial" w:hAnsi="Arial" w:cs="Arial"/>
        </w:rPr>
      </w:pPr>
      <w:r w:rsidRPr="00207D4F">
        <w:rPr>
          <w:rFonts w:ascii="Arial" w:hAnsi="Arial" w:cs="Arial"/>
        </w:rPr>
        <w:t>Overall, the study concludes that the increasing trends of HIV, TB, and VHP infections among farmers in Benue State necessitate targeted public health interventions and sustained surveillance. The non-normality of the infection data also points to the need for more robust modeling approaches in disease surveillance systems. Finally, the results advocate for integrated, multi-disease control strategies, with special emphasis on co-infection management and the importance of longitudinal data analysis for policy formulation and implementation.</w:t>
      </w:r>
    </w:p>
    <w:p w14:paraId="72668BE5" w14:textId="77777777" w:rsidR="00207D4F" w:rsidRDefault="00207D4F" w:rsidP="00B74453">
      <w:pPr>
        <w:pStyle w:val="AcknHead"/>
        <w:spacing w:after="0"/>
        <w:jc w:val="both"/>
        <w:rPr>
          <w:rFonts w:ascii="Arial" w:hAnsi="Arial" w:cs="Arial"/>
        </w:rPr>
      </w:pPr>
    </w:p>
    <w:p w14:paraId="6311BCD7" w14:textId="77777777" w:rsidR="00B74453" w:rsidRPr="00786D36" w:rsidRDefault="00B74453" w:rsidP="00B74453">
      <w:pPr>
        <w:pStyle w:val="ReferHead"/>
        <w:spacing w:after="0"/>
        <w:jc w:val="both"/>
        <w:rPr>
          <w:rFonts w:ascii="Arial" w:hAnsi="Arial" w:cs="Arial"/>
          <w:bCs/>
        </w:rPr>
      </w:pPr>
      <w:r w:rsidRPr="00786D36">
        <w:rPr>
          <w:rFonts w:ascii="Arial" w:hAnsi="Arial" w:cs="Arial"/>
          <w:bCs/>
        </w:rPr>
        <w:t>Competing interests</w:t>
      </w:r>
    </w:p>
    <w:p w14:paraId="3A865D32" w14:textId="77777777" w:rsidR="00B74453" w:rsidRPr="00786D36" w:rsidRDefault="00B74453" w:rsidP="00B74453">
      <w:pPr>
        <w:pStyle w:val="ReferHead"/>
        <w:spacing w:after="0"/>
        <w:jc w:val="both"/>
        <w:rPr>
          <w:rFonts w:ascii="Arial" w:hAnsi="Arial" w:cs="Arial"/>
        </w:rPr>
      </w:pPr>
    </w:p>
    <w:p w14:paraId="4FB21FE1" w14:textId="77777777" w:rsidR="00DC12A7" w:rsidRPr="00212230" w:rsidRDefault="00DC12A7" w:rsidP="00DC12A7">
      <w:pPr>
        <w:pStyle w:val="ReferHead"/>
        <w:spacing w:after="0"/>
        <w:jc w:val="both"/>
        <w:rPr>
          <w:rFonts w:ascii="Arial" w:hAnsi="Arial" w:cs="Arial"/>
          <w:b w:val="0"/>
          <w:caps w:val="0"/>
          <w:sz w:val="20"/>
        </w:rPr>
      </w:pPr>
      <w:r w:rsidRPr="00212230">
        <w:rPr>
          <w:rFonts w:ascii="Arial" w:hAnsi="Arial" w:cs="Arial"/>
          <w:b w:val="0"/>
          <w:caps w:val="0"/>
          <w:sz w:val="20"/>
        </w:rPr>
        <w:t>Authors have declared tha</w:t>
      </w:r>
      <w:r>
        <w:rPr>
          <w:rFonts w:ascii="Arial" w:hAnsi="Arial" w:cs="Arial"/>
          <w:b w:val="0"/>
          <w:caps w:val="0"/>
          <w:sz w:val="20"/>
        </w:rPr>
        <w:t>t no competing interests exist</w:t>
      </w:r>
      <w:r w:rsidRPr="00212230">
        <w:rPr>
          <w:rFonts w:ascii="Arial" w:hAnsi="Arial" w:cs="Arial"/>
          <w:b w:val="0"/>
          <w:caps w:val="0"/>
          <w:sz w:val="20"/>
        </w:rPr>
        <w:t>.</w:t>
      </w:r>
    </w:p>
    <w:p w14:paraId="7F7DD6F9" w14:textId="77777777" w:rsidR="00B74453" w:rsidRDefault="00B74453" w:rsidP="00B74453">
      <w:pPr>
        <w:pStyle w:val="ReferHead"/>
        <w:spacing w:after="0"/>
        <w:jc w:val="both"/>
        <w:rPr>
          <w:rFonts w:ascii="Arial" w:hAnsi="Arial" w:cs="Arial"/>
          <w:b w:val="0"/>
          <w:caps w:val="0"/>
          <w:sz w:val="20"/>
        </w:rPr>
      </w:pPr>
    </w:p>
    <w:p w14:paraId="43BE271D" w14:textId="77777777" w:rsidR="00B74453" w:rsidRDefault="00B74453" w:rsidP="00B74453">
      <w:pPr>
        <w:pStyle w:val="ReferHead"/>
        <w:spacing w:after="0"/>
        <w:jc w:val="both"/>
        <w:rPr>
          <w:rFonts w:ascii="Arial" w:hAnsi="Arial" w:cs="Arial"/>
          <w:b w:val="0"/>
          <w:caps w:val="0"/>
          <w:sz w:val="20"/>
        </w:rPr>
      </w:pPr>
    </w:p>
    <w:p w14:paraId="70EF6F6E" w14:textId="14D64DE0" w:rsidR="00B74453" w:rsidRDefault="00B74453" w:rsidP="00B74453">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C92BE61" w14:textId="77777777" w:rsidR="00B74453" w:rsidRPr="002B685A" w:rsidRDefault="00B74453" w:rsidP="00B74453">
      <w:pPr>
        <w:pStyle w:val="ReferHead"/>
        <w:spacing w:after="0"/>
        <w:jc w:val="both"/>
        <w:rPr>
          <w:rFonts w:ascii="Arial" w:hAnsi="Arial" w:cs="Arial"/>
          <w:bCs/>
        </w:rPr>
      </w:pPr>
    </w:p>
    <w:p w14:paraId="149E6CFA" w14:textId="77777777" w:rsidR="00DC12A7" w:rsidRDefault="00DC12A7" w:rsidP="00DC12A7">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consent from the patients.</w:t>
      </w:r>
    </w:p>
    <w:p w14:paraId="1CC76F37" w14:textId="77777777" w:rsidR="00B74453" w:rsidRDefault="00B74453" w:rsidP="00B74453">
      <w:pPr>
        <w:pStyle w:val="ReferHead"/>
        <w:spacing w:after="0"/>
        <w:jc w:val="both"/>
        <w:rPr>
          <w:rFonts w:ascii="Arial" w:hAnsi="Arial" w:cs="Arial"/>
          <w:b w:val="0"/>
          <w:caps w:val="0"/>
          <w:sz w:val="20"/>
        </w:rPr>
      </w:pPr>
    </w:p>
    <w:p w14:paraId="2A0253E5" w14:textId="2C756EFA" w:rsidR="00B74453" w:rsidRDefault="00B74453" w:rsidP="00B74453">
      <w:pPr>
        <w:pStyle w:val="ReferHead"/>
        <w:spacing w:after="0"/>
        <w:jc w:val="both"/>
        <w:rPr>
          <w:rFonts w:ascii="Arial" w:hAnsi="Arial" w:cs="Arial"/>
          <w:bCs/>
        </w:rPr>
      </w:pPr>
      <w:r>
        <w:rPr>
          <w:rFonts w:ascii="Arial" w:hAnsi="Arial" w:cs="Arial"/>
          <w:bCs/>
        </w:rPr>
        <w:t xml:space="preserve">Ethical approval </w:t>
      </w:r>
    </w:p>
    <w:p w14:paraId="36593389" w14:textId="77777777" w:rsidR="00B74453" w:rsidRPr="002B685A" w:rsidRDefault="00B74453" w:rsidP="00B74453">
      <w:pPr>
        <w:pStyle w:val="ReferHead"/>
        <w:spacing w:after="0"/>
        <w:jc w:val="both"/>
        <w:rPr>
          <w:rFonts w:ascii="Arial" w:hAnsi="Arial" w:cs="Arial"/>
          <w:bCs/>
        </w:rPr>
      </w:pPr>
    </w:p>
    <w:p w14:paraId="171AE337" w14:textId="77777777" w:rsidR="00DC12A7" w:rsidRDefault="00DC12A7" w:rsidP="00DC12A7">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ethical approval from any committee.</w:t>
      </w:r>
    </w:p>
    <w:p w14:paraId="7D8B83A7" w14:textId="77777777" w:rsidR="00B74453" w:rsidRDefault="00B74453" w:rsidP="00B74453">
      <w:pPr>
        <w:pStyle w:val="ReferHead"/>
        <w:spacing w:after="0"/>
        <w:jc w:val="both"/>
        <w:rPr>
          <w:rFonts w:ascii="Arial" w:hAnsi="Arial" w:cs="Arial"/>
          <w:b w:val="0"/>
          <w:caps w:val="0"/>
          <w:sz w:val="20"/>
        </w:rPr>
      </w:pPr>
    </w:p>
    <w:p w14:paraId="6C46933A" w14:textId="77777777" w:rsidR="00B74453" w:rsidRDefault="00B74453" w:rsidP="00B74453">
      <w:pPr>
        <w:pStyle w:val="ReferHead"/>
        <w:spacing w:after="0"/>
        <w:jc w:val="both"/>
        <w:rPr>
          <w:rFonts w:ascii="Arial" w:hAnsi="Arial" w:cs="Arial"/>
        </w:rPr>
      </w:pPr>
      <w:r w:rsidRPr="00FB3A86">
        <w:rPr>
          <w:rFonts w:ascii="Arial" w:hAnsi="Arial" w:cs="Arial"/>
        </w:rPr>
        <w:t>References</w:t>
      </w:r>
    </w:p>
    <w:p w14:paraId="6A8B181F" w14:textId="77777777" w:rsidR="00B74453" w:rsidRPr="00FB3A86" w:rsidRDefault="00B74453" w:rsidP="00B74453">
      <w:pPr>
        <w:pStyle w:val="ReferHead"/>
        <w:spacing w:after="0"/>
        <w:jc w:val="both"/>
        <w:rPr>
          <w:rFonts w:ascii="Arial" w:hAnsi="Arial" w:cs="Arial"/>
        </w:rPr>
      </w:pPr>
    </w:p>
    <w:p w14:paraId="7529476F" w14:textId="77777777" w:rsidR="00ED5D11" w:rsidRPr="00ED5D11" w:rsidRDefault="00ED5D11" w:rsidP="00ED5D11">
      <w:pPr>
        <w:ind w:left="720" w:hanging="720"/>
        <w:jc w:val="both"/>
        <w:rPr>
          <w:rFonts w:ascii="Arial" w:hAnsi="Arial" w:cs="Arial"/>
        </w:rPr>
      </w:pPr>
      <w:proofErr w:type="spellStart"/>
      <w:r w:rsidRPr="00ED5D11">
        <w:rPr>
          <w:rFonts w:ascii="Arial" w:hAnsi="Arial" w:cs="Arial"/>
        </w:rPr>
        <w:t>Adenomon</w:t>
      </w:r>
      <w:proofErr w:type="spellEnd"/>
      <w:r w:rsidRPr="00ED5D11">
        <w:rPr>
          <w:rFonts w:ascii="Arial" w:hAnsi="Arial" w:cs="Arial"/>
        </w:rPr>
        <w:t xml:space="preserve">, M. O., &amp; Fagbemi, E. T. (2019). Application of Poisson autoregressive and Poisson exponential weighted moving average models on the prevalence of some </w:t>
      </w:r>
      <w:r w:rsidRPr="00ED5D11">
        <w:rPr>
          <w:rFonts w:ascii="Arial" w:hAnsi="Arial" w:cs="Arial"/>
        </w:rPr>
        <w:lastRenderedPageBreak/>
        <w:t>infectious diseases in Jos, Nigeria. Available at: https://www.researchgate.net/publication/336896424</w:t>
      </w:r>
    </w:p>
    <w:p w14:paraId="4BA655EC" w14:textId="77777777" w:rsidR="00ED5D11" w:rsidRPr="00ED5D11" w:rsidRDefault="00ED5D11" w:rsidP="00ED5D11">
      <w:pPr>
        <w:ind w:left="720" w:hanging="720"/>
        <w:jc w:val="both"/>
        <w:rPr>
          <w:rFonts w:ascii="Arial" w:hAnsi="Arial" w:cs="Arial"/>
        </w:rPr>
      </w:pPr>
      <w:proofErr w:type="spellStart"/>
      <w:r w:rsidRPr="00ED5D11">
        <w:rPr>
          <w:rFonts w:ascii="Arial" w:hAnsi="Arial" w:cs="Arial"/>
        </w:rPr>
        <w:t>Adigwe</w:t>
      </w:r>
      <w:proofErr w:type="spellEnd"/>
      <w:r w:rsidRPr="00ED5D11">
        <w:rPr>
          <w:rFonts w:ascii="Arial" w:hAnsi="Arial" w:cs="Arial"/>
        </w:rPr>
        <w:t xml:space="preserve">, O. P., Okeke, M. C., &amp; Udo, E. S. (2020). Awareness and vaccination status of hepatitis B among rural dwellers in Benue State, Nigeria. </w:t>
      </w:r>
      <w:r w:rsidRPr="00ED5D11">
        <w:rPr>
          <w:rFonts w:ascii="Arial" w:hAnsi="Arial" w:cs="Arial"/>
          <w:i/>
          <w:iCs/>
        </w:rPr>
        <w:t>Nigerian Journal of Public Health</w:t>
      </w:r>
      <w:r w:rsidRPr="00ED5D11">
        <w:rPr>
          <w:rFonts w:ascii="Arial" w:hAnsi="Arial" w:cs="Arial"/>
        </w:rPr>
        <w:t>, 4(1), 15-22.</w:t>
      </w:r>
    </w:p>
    <w:p w14:paraId="473B2E74" w14:textId="77777777" w:rsidR="00ED5D11" w:rsidRPr="00ED5D11" w:rsidRDefault="00ED5D11" w:rsidP="00ED5D11">
      <w:pPr>
        <w:ind w:left="720" w:hanging="720"/>
        <w:jc w:val="both"/>
        <w:rPr>
          <w:rFonts w:ascii="Arial" w:hAnsi="Arial" w:cs="Arial"/>
        </w:rPr>
      </w:pPr>
      <w:proofErr w:type="spellStart"/>
      <w:r w:rsidRPr="00ED5D11">
        <w:rPr>
          <w:rFonts w:ascii="Arial" w:hAnsi="Arial" w:cs="Arial"/>
        </w:rPr>
        <w:t>Agbede</w:t>
      </w:r>
      <w:proofErr w:type="spellEnd"/>
      <w:r w:rsidRPr="00ED5D11">
        <w:rPr>
          <w:rFonts w:ascii="Arial" w:hAnsi="Arial" w:cs="Arial"/>
        </w:rPr>
        <w:t xml:space="preserve">, M. O., Adewuyi, O. E., &amp; </w:t>
      </w:r>
      <w:proofErr w:type="spellStart"/>
      <w:r w:rsidRPr="00ED5D11">
        <w:rPr>
          <w:rFonts w:ascii="Arial" w:hAnsi="Arial" w:cs="Arial"/>
        </w:rPr>
        <w:t>Jombo</w:t>
      </w:r>
      <w:proofErr w:type="spellEnd"/>
      <w:r w:rsidRPr="00ED5D11">
        <w:rPr>
          <w:rFonts w:ascii="Arial" w:hAnsi="Arial" w:cs="Arial"/>
        </w:rPr>
        <w:t xml:space="preserve">, G. T. (2023). Time series modeling of Hepatitis C virus prevalence in Middle Belt Nigeria. </w:t>
      </w:r>
      <w:r w:rsidRPr="00ED5D11">
        <w:rPr>
          <w:rFonts w:ascii="Arial" w:hAnsi="Arial" w:cs="Arial"/>
          <w:i/>
          <w:iCs/>
        </w:rPr>
        <w:t>Journal of Infectious Disease Modelling</w:t>
      </w:r>
      <w:r w:rsidRPr="00ED5D11">
        <w:rPr>
          <w:rFonts w:ascii="Arial" w:hAnsi="Arial" w:cs="Arial"/>
        </w:rPr>
        <w:t xml:space="preserve">, 7(2), 101-110. </w:t>
      </w:r>
    </w:p>
    <w:p w14:paraId="4471EB50" w14:textId="77777777" w:rsidR="00ED5D11" w:rsidRPr="00ED5D11" w:rsidRDefault="00ED5D11" w:rsidP="00ED5D11">
      <w:pPr>
        <w:ind w:left="720" w:hanging="720"/>
        <w:jc w:val="both"/>
        <w:rPr>
          <w:rFonts w:ascii="Arial" w:hAnsi="Arial" w:cs="Arial"/>
        </w:rPr>
      </w:pPr>
      <w:r w:rsidRPr="00ED5D11">
        <w:rPr>
          <w:rFonts w:ascii="Arial" w:hAnsi="Arial" w:cs="Arial"/>
        </w:rPr>
        <w:t xml:space="preserve">Akinyemi, J. O., Adepoju, K. A., &amp; </w:t>
      </w:r>
      <w:proofErr w:type="spellStart"/>
      <w:r w:rsidRPr="00ED5D11">
        <w:rPr>
          <w:rFonts w:ascii="Arial" w:hAnsi="Arial" w:cs="Arial"/>
        </w:rPr>
        <w:t>Awolude</w:t>
      </w:r>
      <w:proofErr w:type="spellEnd"/>
      <w:r w:rsidRPr="00ED5D11">
        <w:rPr>
          <w:rFonts w:ascii="Arial" w:hAnsi="Arial" w:cs="Arial"/>
        </w:rPr>
        <w:t xml:space="preserve">, O. A. (2020). Modeling the dynamics of HIV/AIDS epidemic in Nigeria using compartmental and Poisson time series approaches. </w:t>
      </w:r>
      <w:r w:rsidRPr="00ED5D11">
        <w:rPr>
          <w:rFonts w:ascii="Arial" w:hAnsi="Arial" w:cs="Arial"/>
          <w:i/>
          <w:iCs/>
        </w:rPr>
        <w:t>PLOS ONE</w:t>
      </w:r>
      <w:r w:rsidRPr="00ED5D11">
        <w:rPr>
          <w:rFonts w:ascii="Arial" w:hAnsi="Arial" w:cs="Arial"/>
        </w:rPr>
        <w:t xml:space="preserve">, 15(9), e0239075. </w:t>
      </w:r>
    </w:p>
    <w:p w14:paraId="615D275D" w14:textId="77777777" w:rsidR="00ED5D11" w:rsidRPr="00ED5D11" w:rsidRDefault="00ED5D11" w:rsidP="00ED5D11">
      <w:pPr>
        <w:ind w:left="720" w:hanging="720"/>
        <w:jc w:val="both"/>
        <w:rPr>
          <w:rFonts w:ascii="Arial" w:hAnsi="Arial" w:cs="Arial"/>
        </w:rPr>
      </w:pPr>
      <w:r w:rsidRPr="00ED5D11">
        <w:rPr>
          <w:rFonts w:ascii="Arial" w:hAnsi="Arial" w:cs="Arial"/>
        </w:rPr>
        <w:t xml:space="preserve">Awoyemi, T. T., Olatunji, O. A., &amp; Idowu, B. O. (2021). Predictive analysis of tuberculosis incidence using Poisson time series model in Nigeria. </w:t>
      </w:r>
      <w:r w:rsidRPr="00ED5D11">
        <w:rPr>
          <w:rFonts w:ascii="Arial" w:hAnsi="Arial" w:cs="Arial"/>
          <w:i/>
          <w:iCs/>
        </w:rPr>
        <w:t>International Journal of Environmental Research and Public Health</w:t>
      </w:r>
      <w:r w:rsidRPr="00ED5D11">
        <w:rPr>
          <w:rFonts w:ascii="Arial" w:hAnsi="Arial" w:cs="Arial"/>
        </w:rPr>
        <w:t>, 18(8), 4190-4199.</w:t>
      </w:r>
    </w:p>
    <w:p w14:paraId="4DBC09AE" w14:textId="77777777" w:rsidR="00ED5D11" w:rsidRPr="00ED5D11" w:rsidRDefault="00ED5D11" w:rsidP="00ED5D11">
      <w:pPr>
        <w:ind w:left="720" w:hanging="720"/>
        <w:jc w:val="both"/>
        <w:rPr>
          <w:rFonts w:ascii="Arial" w:hAnsi="Arial" w:cs="Arial"/>
        </w:rPr>
      </w:pPr>
      <w:r w:rsidRPr="00ED5D11">
        <w:rPr>
          <w:rFonts w:ascii="Arial" w:hAnsi="Arial" w:cs="Arial"/>
        </w:rPr>
        <w:t xml:space="preserve">Bello, M. Y., Ede, A. O., &amp; Uche, C. (2022). Comparative study of statistical models for forecasting infectious disease outbreaks in West Africa. </w:t>
      </w:r>
      <w:r w:rsidRPr="00ED5D11">
        <w:rPr>
          <w:rFonts w:ascii="Arial" w:hAnsi="Arial" w:cs="Arial"/>
          <w:i/>
          <w:iCs/>
        </w:rPr>
        <w:t>African Journal of Biostatistics</w:t>
      </w:r>
      <w:r w:rsidRPr="00ED5D11">
        <w:rPr>
          <w:rFonts w:ascii="Arial" w:hAnsi="Arial" w:cs="Arial"/>
        </w:rPr>
        <w:t>, 12(1), 33-48.</w:t>
      </w:r>
    </w:p>
    <w:p w14:paraId="41CC2B75" w14:textId="77777777" w:rsidR="00ED5D11" w:rsidRPr="00ED5D11" w:rsidRDefault="00ED5D11" w:rsidP="00ED5D11">
      <w:pPr>
        <w:ind w:left="720" w:hanging="720"/>
        <w:jc w:val="both"/>
        <w:rPr>
          <w:rFonts w:ascii="Arial" w:hAnsi="Arial" w:cs="Arial"/>
        </w:rPr>
      </w:pPr>
      <w:r w:rsidRPr="00ED5D11">
        <w:rPr>
          <w:rFonts w:ascii="Arial" w:hAnsi="Arial" w:cs="Arial"/>
        </w:rPr>
        <w:t xml:space="preserve">Chen, L., Wang, X., &amp; Zhao, H. (2021). Modeling </w:t>
      </w:r>
      <w:proofErr w:type="spellStart"/>
      <w:r w:rsidRPr="00ED5D11">
        <w:rPr>
          <w:rFonts w:ascii="Arial" w:hAnsi="Arial" w:cs="Arial"/>
        </w:rPr>
        <w:t>overdispersed</w:t>
      </w:r>
      <w:proofErr w:type="spellEnd"/>
      <w:r w:rsidRPr="00ED5D11">
        <w:rPr>
          <w:rFonts w:ascii="Arial" w:hAnsi="Arial" w:cs="Arial"/>
        </w:rPr>
        <w:t xml:space="preserve"> infectious disease data with Poisson exponential weighted moving average control charts. </w:t>
      </w:r>
      <w:r w:rsidRPr="00ED5D11">
        <w:rPr>
          <w:rFonts w:ascii="Arial" w:hAnsi="Arial" w:cs="Arial"/>
          <w:i/>
          <w:iCs/>
        </w:rPr>
        <w:t>Statistical Methods in Medical Research</w:t>
      </w:r>
      <w:r w:rsidRPr="00ED5D11">
        <w:rPr>
          <w:rFonts w:ascii="Arial" w:hAnsi="Arial" w:cs="Arial"/>
        </w:rPr>
        <w:t>, 30(3), 812-828.</w:t>
      </w:r>
    </w:p>
    <w:p w14:paraId="50ABF9C6" w14:textId="77777777" w:rsidR="00ED5D11" w:rsidRPr="00ED5D11" w:rsidRDefault="00ED5D11" w:rsidP="00ED5D11">
      <w:pPr>
        <w:ind w:left="720" w:hanging="720"/>
        <w:jc w:val="both"/>
        <w:rPr>
          <w:rFonts w:ascii="Arial" w:hAnsi="Arial" w:cs="Arial"/>
        </w:rPr>
      </w:pPr>
      <w:proofErr w:type="spellStart"/>
      <w:r w:rsidRPr="00ED5D11">
        <w:rPr>
          <w:rFonts w:ascii="Arial" w:hAnsi="Arial" w:cs="Arial"/>
        </w:rPr>
        <w:t>Egwuonwu</w:t>
      </w:r>
      <w:proofErr w:type="spellEnd"/>
      <w:r w:rsidRPr="00ED5D11">
        <w:rPr>
          <w:rFonts w:ascii="Arial" w:hAnsi="Arial" w:cs="Arial"/>
        </w:rPr>
        <w:t xml:space="preserve">, C. C., Eze, J. I., &amp; Nwachukwu, B. C. (2021). A time series approach to analyzing hepatitis B trends in Enugu State, Nigeria. </w:t>
      </w:r>
      <w:r w:rsidRPr="00ED5D11">
        <w:rPr>
          <w:rFonts w:ascii="Arial" w:hAnsi="Arial" w:cs="Arial"/>
          <w:i/>
          <w:iCs/>
        </w:rPr>
        <w:t>Tropical Medicine and Health</w:t>
      </w:r>
      <w:r w:rsidRPr="00ED5D11">
        <w:rPr>
          <w:rFonts w:ascii="Arial" w:hAnsi="Arial" w:cs="Arial"/>
        </w:rPr>
        <w:t>, 49(35), 118-129.</w:t>
      </w:r>
    </w:p>
    <w:p w14:paraId="709A0BB3" w14:textId="77777777" w:rsidR="00ED5D11" w:rsidRPr="00ED5D11" w:rsidRDefault="00ED5D11" w:rsidP="00ED5D11">
      <w:pPr>
        <w:ind w:left="720" w:hanging="720"/>
        <w:jc w:val="both"/>
        <w:rPr>
          <w:rFonts w:ascii="Arial" w:hAnsi="Arial" w:cs="Arial"/>
          <w:color w:val="0D0D0D"/>
          <w:shd w:val="clear" w:color="auto" w:fill="FFFFFF"/>
        </w:rPr>
      </w:pPr>
      <w:r w:rsidRPr="00ED5D11">
        <w:rPr>
          <w:rFonts w:ascii="Arial" w:hAnsi="Arial" w:cs="Arial"/>
          <w:color w:val="0D0D0D"/>
          <w:shd w:val="clear" w:color="auto" w:fill="FFFFFF"/>
        </w:rPr>
        <w:t xml:space="preserve">Enders, W. (2014). </w:t>
      </w:r>
      <w:r w:rsidRPr="00ED5D11">
        <w:rPr>
          <w:rFonts w:ascii="Arial" w:hAnsi="Arial" w:cs="Arial"/>
          <w:i/>
          <w:color w:val="0D0D0D"/>
          <w:shd w:val="clear" w:color="auto" w:fill="FFFFFF"/>
        </w:rPr>
        <w:t>Applied econometric time series.</w:t>
      </w:r>
      <w:r w:rsidRPr="00ED5D11">
        <w:rPr>
          <w:rFonts w:ascii="Arial" w:hAnsi="Arial" w:cs="Arial"/>
          <w:color w:val="0D0D0D"/>
          <w:shd w:val="clear" w:color="auto" w:fill="FFFFFF"/>
        </w:rPr>
        <w:t xml:space="preserve"> John Wiley &amp; Sons. ISBN: 978-1118808566.</w:t>
      </w:r>
    </w:p>
    <w:p w14:paraId="60BFCC02" w14:textId="77777777" w:rsidR="00ED5D11" w:rsidRPr="00ED5D11" w:rsidRDefault="00ED5D11" w:rsidP="00ED5D11">
      <w:pPr>
        <w:ind w:left="720" w:hanging="720"/>
        <w:jc w:val="both"/>
        <w:rPr>
          <w:rFonts w:ascii="Arial" w:hAnsi="Arial" w:cs="Arial"/>
        </w:rPr>
      </w:pPr>
      <w:r w:rsidRPr="00ED5D11">
        <w:rPr>
          <w:rFonts w:ascii="Arial" w:hAnsi="Arial" w:cs="Arial"/>
        </w:rPr>
        <w:t xml:space="preserve">Federal Ministry of Health Nigeria (2022). </w:t>
      </w:r>
      <w:r w:rsidRPr="00ED5D11">
        <w:rPr>
          <w:rFonts w:ascii="Arial" w:hAnsi="Arial" w:cs="Arial"/>
          <w:i/>
          <w:iCs/>
        </w:rPr>
        <w:t>National HIV, TB, and Viral Hepatitis Progress Report</w:t>
      </w:r>
      <w:r w:rsidRPr="00ED5D11">
        <w:rPr>
          <w:rFonts w:ascii="Arial" w:hAnsi="Arial" w:cs="Arial"/>
        </w:rPr>
        <w:t>.</w:t>
      </w:r>
    </w:p>
    <w:p w14:paraId="39025DD7" w14:textId="77777777" w:rsidR="00ED5D11" w:rsidRPr="00ED5D11" w:rsidRDefault="00ED5D11" w:rsidP="00ED5D11">
      <w:pPr>
        <w:ind w:left="720" w:hanging="720"/>
        <w:jc w:val="both"/>
        <w:rPr>
          <w:rFonts w:ascii="Arial" w:hAnsi="Arial" w:cs="Arial"/>
        </w:rPr>
      </w:pPr>
      <w:proofErr w:type="spellStart"/>
      <w:r w:rsidRPr="00ED5D11">
        <w:rPr>
          <w:rFonts w:ascii="Arial" w:hAnsi="Arial" w:cs="Arial"/>
        </w:rPr>
        <w:t>Fokianos</w:t>
      </w:r>
      <w:proofErr w:type="spellEnd"/>
      <w:r w:rsidRPr="00ED5D11">
        <w:rPr>
          <w:rFonts w:ascii="Arial" w:hAnsi="Arial" w:cs="Arial"/>
        </w:rPr>
        <w:t xml:space="preserve">, K., &amp; Fried, R. (2010). Interventions in INGARCH processes. </w:t>
      </w:r>
      <w:r w:rsidRPr="00ED5D11">
        <w:rPr>
          <w:rFonts w:ascii="Arial" w:hAnsi="Arial" w:cs="Arial"/>
          <w:i/>
          <w:iCs/>
        </w:rPr>
        <w:t>Journal of Time Series Analysis</w:t>
      </w:r>
      <w:r w:rsidRPr="00ED5D11">
        <w:rPr>
          <w:rFonts w:ascii="Arial" w:hAnsi="Arial" w:cs="Arial"/>
        </w:rPr>
        <w:t>, 31(3), 210-225.</w:t>
      </w:r>
    </w:p>
    <w:p w14:paraId="2AD6D746" w14:textId="77777777" w:rsidR="00ED5D11" w:rsidRPr="00ED5D11" w:rsidRDefault="00ED5D11" w:rsidP="00ED5D11">
      <w:pPr>
        <w:ind w:left="720" w:hanging="720"/>
        <w:jc w:val="both"/>
        <w:rPr>
          <w:rFonts w:ascii="Arial" w:hAnsi="Arial" w:cs="Arial"/>
          <w:color w:val="0D0D0D"/>
          <w:shd w:val="clear" w:color="auto" w:fill="FFFFFF"/>
        </w:rPr>
      </w:pPr>
      <w:r w:rsidRPr="00ED5D11">
        <w:rPr>
          <w:rFonts w:ascii="Arial" w:hAnsi="Arial" w:cs="Arial"/>
          <w:shd w:val="clear" w:color="auto" w:fill="FFFFFF"/>
        </w:rPr>
        <w:t>G</w:t>
      </w:r>
      <w:r w:rsidRPr="00ED5D11">
        <w:rPr>
          <w:rFonts w:ascii="Arial" w:hAnsi="Arial" w:cs="Arial"/>
          <w:color w:val="0D0D0D"/>
          <w:shd w:val="clear" w:color="auto" w:fill="FFFFFF"/>
        </w:rPr>
        <w:t xml:space="preserve">reene, W. H. (2012). </w:t>
      </w:r>
      <w:r w:rsidRPr="00ED5D11">
        <w:rPr>
          <w:rFonts w:ascii="Arial" w:hAnsi="Arial" w:cs="Arial"/>
          <w:i/>
          <w:color w:val="0D0D0D"/>
          <w:shd w:val="clear" w:color="auto" w:fill="FFFFFF"/>
        </w:rPr>
        <w:t>Econometric analysis</w:t>
      </w:r>
      <w:r w:rsidRPr="00ED5D11">
        <w:rPr>
          <w:rFonts w:ascii="Arial" w:hAnsi="Arial" w:cs="Arial"/>
          <w:color w:val="0D0D0D"/>
          <w:shd w:val="clear" w:color="auto" w:fill="FFFFFF"/>
        </w:rPr>
        <w:t>. Pearson Education. ISBN: 978-0131395381.</w:t>
      </w:r>
    </w:p>
    <w:p w14:paraId="0F0D6DED" w14:textId="77777777" w:rsidR="00ED5D11" w:rsidRPr="00ED5D11" w:rsidRDefault="00ED5D11" w:rsidP="00ED5D11">
      <w:pPr>
        <w:ind w:left="720" w:hanging="720"/>
        <w:jc w:val="both"/>
        <w:rPr>
          <w:rFonts w:ascii="Arial" w:hAnsi="Arial" w:cs="Arial"/>
        </w:rPr>
      </w:pPr>
      <w:r w:rsidRPr="00ED5D11">
        <w:rPr>
          <w:rFonts w:ascii="Arial" w:hAnsi="Arial" w:cs="Arial"/>
        </w:rPr>
        <w:t xml:space="preserve">Held, L., </w:t>
      </w:r>
      <w:proofErr w:type="spellStart"/>
      <w:r w:rsidRPr="00ED5D11">
        <w:rPr>
          <w:rFonts w:ascii="Arial" w:hAnsi="Arial" w:cs="Arial"/>
        </w:rPr>
        <w:t>Höhle</w:t>
      </w:r>
      <w:proofErr w:type="spellEnd"/>
      <w:r w:rsidRPr="00ED5D11">
        <w:rPr>
          <w:rFonts w:ascii="Arial" w:hAnsi="Arial" w:cs="Arial"/>
        </w:rPr>
        <w:t xml:space="preserve">, M., &amp; Hofmann, M. (2005). A statistical framework for the analysis of multivariate infectious disease surveillance counts. </w:t>
      </w:r>
      <w:r w:rsidRPr="00ED5D11">
        <w:rPr>
          <w:rFonts w:ascii="Arial" w:hAnsi="Arial" w:cs="Arial"/>
          <w:i/>
          <w:iCs/>
        </w:rPr>
        <w:t>Statistical Modelling</w:t>
      </w:r>
      <w:r w:rsidRPr="00ED5D11">
        <w:rPr>
          <w:rFonts w:ascii="Arial" w:hAnsi="Arial" w:cs="Arial"/>
        </w:rPr>
        <w:t>, 5(3), 187-199.</w:t>
      </w:r>
    </w:p>
    <w:p w14:paraId="113EDA3E" w14:textId="77777777" w:rsidR="00ED5D11" w:rsidRPr="00ED5D11" w:rsidRDefault="00ED5D11" w:rsidP="00ED5D11">
      <w:pPr>
        <w:ind w:left="720" w:hanging="720"/>
        <w:jc w:val="both"/>
        <w:rPr>
          <w:rFonts w:ascii="Arial" w:hAnsi="Arial" w:cs="Arial"/>
        </w:rPr>
      </w:pPr>
      <w:r w:rsidRPr="00ED5D11">
        <w:rPr>
          <w:rFonts w:ascii="Arial" w:hAnsi="Arial" w:cs="Arial"/>
        </w:rPr>
        <w:t xml:space="preserve">Jung, R., Kukuk, M., &amp; Liesenfeld, R. (2005). Time series of count data: modeling, estimation and diagnostics. </w:t>
      </w:r>
      <w:r w:rsidRPr="00ED5D11">
        <w:rPr>
          <w:rFonts w:ascii="Arial" w:hAnsi="Arial" w:cs="Arial"/>
          <w:i/>
          <w:iCs/>
        </w:rPr>
        <w:t>Computational Statistics &amp; Data Analysis</w:t>
      </w:r>
      <w:r w:rsidRPr="00ED5D11">
        <w:rPr>
          <w:rFonts w:ascii="Arial" w:hAnsi="Arial" w:cs="Arial"/>
        </w:rPr>
        <w:t>, 51(2), 2350-2364.</w:t>
      </w:r>
    </w:p>
    <w:p w14:paraId="33473864" w14:textId="77777777" w:rsidR="00ED5D11" w:rsidRPr="00ED5D11" w:rsidRDefault="00ED5D11" w:rsidP="00ED5D11">
      <w:pPr>
        <w:ind w:left="720" w:hanging="720"/>
        <w:jc w:val="both"/>
        <w:rPr>
          <w:rFonts w:ascii="Arial" w:hAnsi="Arial" w:cs="Arial"/>
        </w:rPr>
      </w:pPr>
      <w:r w:rsidRPr="00ED5D11">
        <w:rPr>
          <w:rFonts w:ascii="Arial" w:hAnsi="Arial" w:cs="Arial"/>
        </w:rPr>
        <w:t xml:space="preserve">Kiggundu, A. T., Kasaija, J. P., &amp; Nansubuga, B. K. (2021). Tuberculosis and HIV co-infection: Risk factors and mortality in Uganda. </w:t>
      </w:r>
      <w:r w:rsidRPr="00ED5D11">
        <w:rPr>
          <w:rFonts w:ascii="Arial" w:hAnsi="Arial" w:cs="Arial"/>
          <w:i/>
          <w:iCs/>
        </w:rPr>
        <w:t>East African Health Research Journal</w:t>
      </w:r>
      <w:r w:rsidRPr="00ED5D11">
        <w:rPr>
          <w:rFonts w:ascii="Arial" w:hAnsi="Arial" w:cs="Arial"/>
        </w:rPr>
        <w:t xml:space="preserve">, 5(2), 140-148. </w:t>
      </w:r>
    </w:p>
    <w:p w14:paraId="4E4B3330" w14:textId="77777777" w:rsidR="00ED5D11" w:rsidRPr="00ED5D11" w:rsidRDefault="00ED5D11" w:rsidP="00ED5D11">
      <w:pPr>
        <w:ind w:left="720" w:hanging="720"/>
        <w:jc w:val="both"/>
        <w:rPr>
          <w:rFonts w:ascii="Arial" w:hAnsi="Arial" w:cs="Arial"/>
        </w:rPr>
      </w:pPr>
      <w:r w:rsidRPr="00ED5D11">
        <w:rPr>
          <w:rFonts w:ascii="Arial" w:hAnsi="Arial" w:cs="Arial"/>
        </w:rPr>
        <w:t xml:space="preserve">Li, Q., Li, J., &amp; Peng, R. D. (2022). Early detection of infectious disease outbreaks using exponential weighted moving average models. </w:t>
      </w:r>
      <w:r w:rsidRPr="00ED5D11">
        <w:rPr>
          <w:rFonts w:ascii="Arial" w:hAnsi="Arial" w:cs="Arial"/>
          <w:i/>
          <w:iCs/>
        </w:rPr>
        <w:t>Journal of Data Science in Public Health</w:t>
      </w:r>
      <w:r w:rsidRPr="00ED5D11">
        <w:rPr>
          <w:rFonts w:ascii="Arial" w:hAnsi="Arial" w:cs="Arial"/>
        </w:rPr>
        <w:t>, 3(1), 18-29.</w:t>
      </w:r>
    </w:p>
    <w:p w14:paraId="35F790A1" w14:textId="77777777" w:rsidR="00ED5D11" w:rsidRPr="00ED5D11" w:rsidRDefault="00ED5D11" w:rsidP="00ED5D11">
      <w:pPr>
        <w:ind w:left="720" w:hanging="720"/>
        <w:jc w:val="both"/>
        <w:rPr>
          <w:rFonts w:ascii="Arial" w:hAnsi="Arial" w:cs="Arial"/>
          <w:color w:val="0D0D0D"/>
          <w:shd w:val="clear" w:color="auto" w:fill="FFFFFF"/>
        </w:rPr>
      </w:pPr>
      <w:r w:rsidRPr="00ED5D11">
        <w:rPr>
          <w:rFonts w:ascii="Arial" w:hAnsi="Arial" w:cs="Arial"/>
        </w:rPr>
        <w:t xml:space="preserve">McFadden, D. (1974). Conditional logit analysis of qualitative choice behavior. In P. </w:t>
      </w:r>
      <w:proofErr w:type="spellStart"/>
      <w:r w:rsidRPr="00ED5D11">
        <w:rPr>
          <w:rFonts w:ascii="Arial" w:hAnsi="Arial" w:cs="Arial"/>
        </w:rPr>
        <w:t>Zarembka</w:t>
      </w:r>
      <w:proofErr w:type="spellEnd"/>
      <w:r w:rsidRPr="00ED5D11">
        <w:rPr>
          <w:rFonts w:ascii="Arial" w:hAnsi="Arial" w:cs="Arial"/>
        </w:rPr>
        <w:t xml:space="preserve"> (Ed.), </w:t>
      </w:r>
      <w:r w:rsidRPr="00ED5D11">
        <w:rPr>
          <w:rStyle w:val="Emphasis"/>
          <w:rFonts w:ascii="Arial" w:hAnsi="Arial" w:cs="Arial"/>
        </w:rPr>
        <w:t>Frontiers in Econometrics</w:t>
      </w:r>
      <w:r w:rsidRPr="00ED5D11">
        <w:rPr>
          <w:rFonts w:ascii="Arial" w:hAnsi="Arial" w:cs="Arial"/>
        </w:rPr>
        <w:t xml:space="preserve"> (pp. 105-142). New York: Academic Press.</w:t>
      </w:r>
    </w:p>
    <w:p w14:paraId="7574424F" w14:textId="77777777" w:rsidR="00ED5D11" w:rsidRPr="00ED5D11" w:rsidRDefault="00ED5D11" w:rsidP="00ED5D11">
      <w:pPr>
        <w:ind w:left="720" w:hanging="720"/>
        <w:jc w:val="both"/>
        <w:rPr>
          <w:rFonts w:ascii="Arial" w:hAnsi="Arial" w:cs="Arial"/>
        </w:rPr>
      </w:pPr>
      <w:r w:rsidRPr="00ED5D11">
        <w:rPr>
          <w:rFonts w:ascii="Arial" w:hAnsi="Arial" w:cs="Arial"/>
        </w:rPr>
        <w:t xml:space="preserve">Musa, H. A., Yelwa, Y., &amp; Goni, B. (2019). Seasonal patterns and trend analysis of tuberculosis in North-Central Nigeria. </w:t>
      </w:r>
      <w:r w:rsidRPr="00ED5D11">
        <w:rPr>
          <w:rFonts w:ascii="Arial" w:hAnsi="Arial" w:cs="Arial"/>
          <w:i/>
          <w:iCs/>
        </w:rPr>
        <w:t>Annals of African Medicine</w:t>
      </w:r>
      <w:r w:rsidRPr="00ED5D11">
        <w:rPr>
          <w:rFonts w:ascii="Arial" w:hAnsi="Arial" w:cs="Arial"/>
        </w:rPr>
        <w:t xml:space="preserve">, 18(2), 90-96. </w:t>
      </w:r>
    </w:p>
    <w:p w14:paraId="0820B807" w14:textId="77777777" w:rsidR="00ED5D11" w:rsidRPr="00ED5D11" w:rsidRDefault="00ED5D11" w:rsidP="00ED5D11">
      <w:pPr>
        <w:ind w:left="720" w:hanging="720"/>
        <w:jc w:val="both"/>
        <w:rPr>
          <w:rFonts w:ascii="Arial" w:hAnsi="Arial" w:cs="Arial"/>
        </w:rPr>
      </w:pPr>
      <w:r w:rsidRPr="00ED5D11">
        <w:rPr>
          <w:rFonts w:ascii="Arial" w:hAnsi="Arial" w:cs="Arial"/>
        </w:rPr>
        <w:t xml:space="preserve">Nwoke, B. E. B., Orji, M. C., &amp; Uche, L. N. (2020). Prevalence of hepatitis B virus co-infection among HIV patients in Southeastern Nigeria. </w:t>
      </w:r>
      <w:r w:rsidRPr="00ED5D11">
        <w:rPr>
          <w:rFonts w:ascii="Arial" w:hAnsi="Arial" w:cs="Arial"/>
          <w:i/>
          <w:iCs/>
        </w:rPr>
        <w:t>Nigerian Journal of Clinical Practice</w:t>
      </w:r>
      <w:r w:rsidRPr="00ED5D11">
        <w:rPr>
          <w:rFonts w:ascii="Arial" w:hAnsi="Arial" w:cs="Arial"/>
        </w:rPr>
        <w:t xml:space="preserve">, 23(3), 412-417. </w:t>
      </w:r>
    </w:p>
    <w:p w14:paraId="6A40AA99" w14:textId="77777777" w:rsidR="00ED5D11" w:rsidRPr="00ED5D11" w:rsidRDefault="00ED5D11" w:rsidP="00ED5D11">
      <w:pPr>
        <w:ind w:left="720" w:hanging="720"/>
        <w:jc w:val="both"/>
        <w:rPr>
          <w:rFonts w:ascii="Arial" w:hAnsi="Arial" w:cs="Arial"/>
        </w:rPr>
      </w:pPr>
      <w:r w:rsidRPr="00ED5D11">
        <w:rPr>
          <w:rFonts w:ascii="Arial" w:hAnsi="Arial" w:cs="Arial"/>
        </w:rPr>
        <w:t xml:space="preserve">Okafor, C. C., Obasi, E. C., &amp; Ibe, A. N. (2022). Spatiotemporal dynamics of HIV and TB infections using ARIMA and Bayesian hierarchical models. </w:t>
      </w:r>
      <w:r w:rsidRPr="00ED5D11">
        <w:rPr>
          <w:rFonts w:ascii="Arial" w:hAnsi="Arial" w:cs="Arial"/>
          <w:i/>
          <w:iCs/>
        </w:rPr>
        <w:t>Nigerian Journal of Statistics</w:t>
      </w:r>
      <w:r w:rsidRPr="00ED5D11">
        <w:rPr>
          <w:rFonts w:ascii="Arial" w:hAnsi="Arial" w:cs="Arial"/>
        </w:rPr>
        <w:t>, 38(1), 25-44.</w:t>
      </w:r>
    </w:p>
    <w:p w14:paraId="4DDDA96A" w14:textId="77777777" w:rsidR="00ED5D11" w:rsidRPr="00ED5D11" w:rsidRDefault="00ED5D11" w:rsidP="00ED5D11">
      <w:pPr>
        <w:ind w:left="720" w:hanging="720"/>
        <w:jc w:val="both"/>
        <w:rPr>
          <w:rFonts w:ascii="Arial" w:hAnsi="Arial" w:cs="Arial"/>
        </w:rPr>
      </w:pPr>
      <w:proofErr w:type="spellStart"/>
      <w:r w:rsidRPr="00ED5D11">
        <w:rPr>
          <w:rFonts w:ascii="Arial" w:hAnsi="Arial" w:cs="Arial"/>
        </w:rPr>
        <w:lastRenderedPageBreak/>
        <w:t>Onwuliri</w:t>
      </w:r>
      <w:proofErr w:type="spellEnd"/>
      <w:r w:rsidRPr="00ED5D11">
        <w:rPr>
          <w:rFonts w:ascii="Arial" w:hAnsi="Arial" w:cs="Arial"/>
        </w:rPr>
        <w:t xml:space="preserve">, V. A., Ogunyemi, A. O., &amp; Terna, A. A. (2021). Geographic distribution and spatial clustering of HIV cases in Benue State, Nigeria. </w:t>
      </w:r>
      <w:r w:rsidRPr="00ED5D11">
        <w:rPr>
          <w:rFonts w:ascii="Arial" w:hAnsi="Arial" w:cs="Arial"/>
          <w:i/>
          <w:iCs/>
        </w:rPr>
        <w:t>African Population Studies</w:t>
      </w:r>
      <w:r w:rsidRPr="00ED5D11">
        <w:rPr>
          <w:rFonts w:ascii="Arial" w:hAnsi="Arial" w:cs="Arial"/>
        </w:rPr>
        <w:t xml:space="preserve">, 35(1), 66-77. </w:t>
      </w:r>
    </w:p>
    <w:p w14:paraId="4BB92EAF" w14:textId="77777777" w:rsidR="00ED5D11" w:rsidRPr="00ED5D11" w:rsidRDefault="00ED5D11" w:rsidP="00ED5D11">
      <w:pPr>
        <w:ind w:left="720" w:hanging="720"/>
        <w:jc w:val="both"/>
        <w:rPr>
          <w:rFonts w:ascii="Arial" w:hAnsi="Arial" w:cs="Arial"/>
        </w:rPr>
      </w:pPr>
      <w:r w:rsidRPr="00ED5D11">
        <w:rPr>
          <w:rFonts w:ascii="Arial" w:hAnsi="Arial" w:cs="Arial"/>
        </w:rPr>
        <w:t xml:space="preserve">Owolabi, A. A., Okezie, U. O., &amp; Babajide, D. O. (2020). Poisson time series modeling of tuberculosis in Nigeria. </w:t>
      </w:r>
      <w:r w:rsidRPr="00ED5D11">
        <w:rPr>
          <w:rFonts w:ascii="Arial" w:hAnsi="Arial" w:cs="Arial"/>
          <w:i/>
          <w:iCs/>
        </w:rPr>
        <w:t>International Journal of Statistics and Applications</w:t>
      </w:r>
      <w:r w:rsidRPr="00ED5D11">
        <w:rPr>
          <w:rFonts w:ascii="Arial" w:hAnsi="Arial" w:cs="Arial"/>
        </w:rPr>
        <w:t>, 10(2), 25-31</w:t>
      </w:r>
    </w:p>
    <w:p w14:paraId="1A40CDFD" w14:textId="77777777" w:rsidR="00ED5D11" w:rsidRPr="00ED5D11" w:rsidRDefault="00ED5D11" w:rsidP="00ED5D11">
      <w:pPr>
        <w:ind w:left="720" w:hanging="720"/>
        <w:jc w:val="both"/>
        <w:rPr>
          <w:rFonts w:ascii="Arial" w:hAnsi="Arial" w:cs="Arial"/>
          <w:shd w:val="clear" w:color="auto" w:fill="FFFFFF"/>
        </w:rPr>
      </w:pPr>
      <w:r w:rsidRPr="00ED5D11">
        <w:rPr>
          <w:rFonts w:ascii="Arial" w:hAnsi="Arial" w:cs="Arial"/>
          <w:color w:val="0D0D0D"/>
          <w:shd w:val="clear" w:color="auto" w:fill="FFFFFF"/>
        </w:rPr>
        <w:t xml:space="preserve">Tsay, R. S. (2014). </w:t>
      </w:r>
      <w:r w:rsidRPr="00ED5D11">
        <w:rPr>
          <w:rFonts w:ascii="Arial" w:hAnsi="Arial" w:cs="Arial"/>
          <w:i/>
          <w:color w:val="0D0D0D"/>
          <w:shd w:val="clear" w:color="auto" w:fill="FFFFFF"/>
        </w:rPr>
        <w:t>Analysis of Financial Time Series.</w:t>
      </w:r>
      <w:r w:rsidRPr="00ED5D11">
        <w:rPr>
          <w:rFonts w:ascii="Arial" w:hAnsi="Arial" w:cs="Arial"/>
          <w:color w:val="0D0D0D"/>
          <w:shd w:val="clear" w:color="auto" w:fill="FFFFFF"/>
        </w:rPr>
        <w:t xml:space="preserve"> John Wiley &amp; Sons. ISBN: 978-1118617908.</w:t>
      </w:r>
    </w:p>
    <w:p w14:paraId="432B114A" w14:textId="77777777" w:rsidR="00ED5D11" w:rsidRPr="00ED5D11" w:rsidRDefault="00ED5D11" w:rsidP="00ED5D11">
      <w:pPr>
        <w:ind w:left="720" w:hanging="720"/>
        <w:jc w:val="both"/>
        <w:rPr>
          <w:rFonts w:ascii="Arial" w:hAnsi="Arial" w:cs="Arial"/>
        </w:rPr>
      </w:pPr>
      <w:r w:rsidRPr="00ED5D11">
        <w:rPr>
          <w:rFonts w:ascii="Arial" w:hAnsi="Arial" w:cs="Arial"/>
        </w:rPr>
        <w:t xml:space="preserve">World Health Organization (2023). </w:t>
      </w:r>
      <w:r w:rsidRPr="00ED5D11">
        <w:rPr>
          <w:rFonts w:ascii="Arial" w:hAnsi="Arial" w:cs="Arial"/>
          <w:i/>
          <w:iCs/>
        </w:rPr>
        <w:t>Global Tuberculosis Report</w:t>
      </w:r>
      <w:r w:rsidRPr="00ED5D11">
        <w:rPr>
          <w:rFonts w:ascii="Arial" w:hAnsi="Arial" w:cs="Arial"/>
        </w:rPr>
        <w:t xml:space="preserve"> and </w:t>
      </w:r>
      <w:r w:rsidRPr="00ED5D11">
        <w:rPr>
          <w:rFonts w:ascii="Arial" w:hAnsi="Arial" w:cs="Arial"/>
          <w:i/>
          <w:iCs/>
        </w:rPr>
        <w:t>HIV/AIDS Surveillance Reports</w:t>
      </w:r>
      <w:r w:rsidRPr="00ED5D11">
        <w:rPr>
          <w:rFonts w:ascii="Arial" w:hAnsi="Arial" w:cs="Arial"/>
        </w:rPr>
        <w:t>.</w:t>
      </w:r>
    </w:p>
    <w:p w14:paraId="66432E6E" w14:textId="77777777" w:rsidR="00ED5D11" w:rsidRPr="00ED5D11" w:rsidRDefault="00ED5D11" w:rsidP="00ED5D11">
      <w:pPr>
        <w:ind w:left="720" w:hanging="720"/>
        <w:jc w:val="both"/>
        <w:rPr>
          <w:rFonts w:ascii="Arial" w:hAnsi="Arial" w:cs="Arial"/>
        </w:rPr>
      </w:pPr>
      <w:r w:rsidRPr="00ED5D11">
        <w:rPr>
          <w:rFonts w:ascii="Arial" w:hAnsi="Arial" w:cs="Arial"/>
        </w:rPr>
        <w:t xml:space="preserve">WHO (2022). </w:t>
      </w:r>
      <w:r w:rsidRPr="00ED5D11">
        <w:rPr>
          <w:rFonts w:ascii="Arial" w:hAnsi="Arial" w:cs="Arial"/>
          <w:i/>
          <w:iCs/>
        </w:rPr>
        <w:t>Global Hepatitis Report</w:t>
      </w:r>
      <w:r w:rsidRPr="00ED5D11">
        <w:rPr>
          <w:rFonts w:ascii="Arial" w:hAnsi="Arial" w:cs="Arial"/>
        </w:rPr>
        <w:t>.</w:t>
      </w:r>
    </w:p>
    <w:p w14:paraId="3A59170A" w14:textId="77777777" w:rsidR="00ED5D11" w:rsidRPr="00ED5D11" w:rsidRDefault="00ED5D11" w:rsidP="00ED5D11">
      <w:pPr>
        <w:ind w:left="720" w:hanging="720"/>
        <w:jc w:val="both"/>
        <w:rPr>
          <w:rFonts w:ascii="Arial" w:hAnsi="Arial" w:cs="Arial"/>
        </w:rPr>
      </w:pPr>
      <w:r w:rsidRPr="00ED5D11">
        <w:rPr>
          <w:rFonts w:ascii="Arial" w:hAnsi="Arial" w:cs="Arial"/>
        </w:rPr>
        <w:t xml:space="preserve">Xi, X., Parikh, U. M., &amp; </w:t>
      </w:r>
      <w:proofErr w:type="spellStart"/>
      <w:r w:rsidRPr="00ED5D11">
        <w:rPr>
          <w:rFonts w:ascii="Arial" w:hAnsi="Arial" w:cs="Arial"/>
        </w:rPr>
        <w:t>Kagaayi</w:t>
      </w:r>
      <w:proofErr w:type="spellEnd"/>
      <w:r w:rsidRPr="00ED5D11">
        <w:rPr>
          <w:rFonts w:ascii="Arial" w:hAnsi="Arial" w:cs="Arial"/>
        </w:rPr>
        <w:t xml:space="preserve">, J. (2021). Tracing HIV transmission sources using molecular epidemiology in Uganda. </w:t>
      </w:r>
      <w:r w:rsidRPr="00ED5D11">
        <w:rPr>
          <w:rFonts w:ascii="Arial" w:hAnsi="Arial" w:cs="Arial"/>
          <w:i/>
          <w:iCs/>
        </w:rPr>
        <w:t>The Lancet HIV</w:t>
      </w:r>
      <w:r w:rsidRPr="00ED5D11">
        <w:rPr>
          <w:rFonts w:ascii="Arial" w:hAnsi="Arial" w:cs="Arial"/>
        </w:rPr>
        <w:t>, 8(6), e339-e347</w:t>
      </w:r>
    </w:p>
    <w:p w14:paraId="06D5B5C0" w14:textId="77777777" w:rsidR="00B74453" w:rsidRPr="00ED5D11" w:rsidRDefault="00B74453" w:rsidP="00ED5D11">
      <w:pPr>
        <w:pStyle w:val="Body"/>
        <w:spacing w:after="0"/>
        <w:rPr>
          <w:rFonts w:ascii="Arial" w:hAnsi="Arial" w:cs="Arial"/>
        </w:rPr>
      </w:pPr>
    </w:p>
    <w:sectPr w:rsidR="00B74453" w:rsidRPr="00ED5D11" w:rsidSect="00307A0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2904E" w14:textId="77777777" w:rsidR="00530C5D" w:rsidRDefault="00530C5D" w:rsidP="00ED5D11">
      <w:pPr>
        <w:pStyle w:val="Affiliation"/>
        <w:spacing w:after="0" w:line="240" w:lineRule="auto"/>
      </w:pPr>
      <w:r>
        <w:separator/>
      </w:r>
    </w:p>
  </w:endnote>
  <w:endnote w:type="continuationSeparator" w:id="0">
    <w:p w14:paraId="5B4D1D5D" w14:textId="77777777" w:rsidR="00530C5D" w:rsidRDefault="00530C5D" w:rsidP="00ED5D11">
      <w:pPr>
        <w:pStyle w:val="Affiliation"/>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C60A" w14:textId="77777777" w:rsidR="006F7196" w:rsidRDefault="006F7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497219"/>
      <w:docPartObj>
        <w:docPartGallery w:val="Page Numbers (Bottom of Page)"/>
        <w:docPartUnique/>
      </w:docPartObj>
    </w:sdtPr>
    <w:sdtEndPr/>
    <w:sdtContent>
      <w:p w14:paraId="165CA160" w14:textId="77777777" w:rsidR="00ED5D11" w:rsidRDefault="00ED5D11">
        <w:pPr>
          <w:pStyle w:val="Footer"/>
          <w:jc w:val="center"/>
        </w:pPr>
        <w:r w:rsidRPr="00ED5D11">
          <w:rPr>
            <w:rFonts w:ascii="Arial" w:hAnsi="Arial" w:cs="Arial"/>
          </w:rPr>
          <w:fldChar w:fldCharType="begin"/>
        </w:r>
        <w:r w:rsidRPr="00ED5D11">
          <w:rPr>
            <w:rFonts w:ascii="Arial" w:hAnsi="Arial" w:cs="Arial"/>
          </w:rPr>
          <w:instrText xml:space="preserve"> PAGE   \* MERGEFORMAT </w:instrText>
        </w:r>
        <w:r w:rsidRPr="00ED5D11">
          <w:rPr>
            <w:rFonts w:ascii="Arial" w:hAnsi="Arial" w:cs="Arial"/>
          </w:rPr>
          <w:fldChar w:fldCharType="separate"/>
        </w:r>
        <w:r w:rsidR="005C048E">
          <w:rPr>
            <w:rFonts w:ascii="Arial" w:hAnsi="Arial" w:cs="Arial"/>
            <w:noProof/>
          </w:rPr>
          <w:t>17</w:t>
        </w:r>
        <w:r w:rsidRPr="00ED5D11">
          <w:rPr>
            <w:rFonts w:ascii="Arial" w:hAnsi="Arial" w:cs="Arial"/>
          </w:rPr>
          <w:fldChar w:fldCharType="end"/>
        </w:r>
      </w:p>
    </w:sdtContent>
  </w:sdt>
  <w:p w14:paraId="7AA7A58E" w14:textId="77777777" w:rsidR="00CB696F" w:rsidRPr="00C37E61" w:rsidRDefault="00CB696F" w:rsidP="00B7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A31E" w14:textId="77777777" w:rsidR="006F7196" w:rsidRDefault="006F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06B4B" w14:textId="77777777" w:rsidR="00530C5D" w:rsidRDefault="00530C5D" w:rsidP="00ED5D11">
      <w:pPr>
        <w:pStyle w:val="Affiliation"/>
        <w:spacing w:after="0" w:line="240" w:lineRule="auto"/>
      </w:pPr>
      <w:r>
        <w:separator/>
      </w:r>
    </w:p>
  </w:footnote>
  <w:footnote w:type="continuationSeparator" w:id="0">
    <w:p w14:paraId="19B90F4A" w14:textId="77777777" w:rsidR="00530C5D" w:rsidRDefault="00530C5D" w:rsidP="00ED5D11">
      <w:pPr>
        <w:pStyle w:val="Affiliation"/>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8C7CD" w14:textId="408992AD" w:rsidR="006F7196" w:rsidRDefault="006F7196">
    <w:pPr>
      <w:pStyle w:val="Header"/>
    </w:pPr>
    <w:r>
      <w:rPr>
        <w:noProof/>
      </w:rPr>
      <w:pict w14:anchorId="1BDE7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53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0720" w14:textId="5E9EB405" w:rsidR="006F7196" w:rsidRDefault="006F7196">
    <w:pPr>
      <w:pStyle w:val="Header"/>
    </w:pPr>
    <w:r>
      <w:rPr>
        <w:noProof/>
      </w:rPr>
      <w:pict w14:anchorId="34B35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53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7E33" w14:textId="1FDDC41E" w:rsidR="006F7196" w:rsidRDefault="006F7196">
    <w:pPr>
      <w:pStyle w:val="Header"/>
    </w:pPr>
    <w:r>
      <w:rPr>
        <w:noProof/>
      </w:rPr>
      <w:pict w14:anchorId="33DC2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539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CDD"/>
    <w:multiLevelType w:val="hybridMultilevel"/>
    <w:tmpl w:val="E422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453"/>
    <w:rsid w:val="00005AC1"/>
    <w:rsid w:val="00207D4F"/>
    <w:rsid w:val="00307A00"/>
    <w:rsid w:val="00354586"/>
    <w:rsid w:val="00530C5D"/>
    <w:rsid w:val="005C048E"/>
    <w:rsid w:val="006A5ECF"/>
    <w:rsid w:val="006F7196"/>
    <w:rsid w:val="007C2EAB"/>
    <w:rsid w:val="008603F4"/>
    <w:rsid w:val="008B316F"/>
    <w:rsid w:val="00935894"/>
    <w:rsid w:val="009C3032"/>
    <w:rsid w:val="00A6343D"/>
    <w:rsid w:val="00AB2F18"/>
    <w:rsid w:val="00AC7DC6"/>
    <w:rsid w:val="00B52B55"/>
    <w:rsid w:val="00B74453"/>
    <w:rsid w:val="00B927BC"/>
    <w:rsid w:val="00C80D1B"/>
    <w:rsid w:val="00CB696F"/>
    <w:rsid w:val="00CF7C2A"/>
    <w:rsid w:val="00D66389"/>
    <w:rsid w:val="00DC12A7"/>
    <w:rsid w:val="00E66978"/>
    <w:rsid w:val="00ED5D11"/>
    <w:rsid w:val="00FD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9FA9BA"/>
  <w15:docId w15:val="{5E161EC7-F3FD-4992-A327-EDF620A7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45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74453"/>
    <w:pPr>
      <w:spacing w:line="280" w:lineRule="exact"/>
      <w:jc w:val="right"/>
    </w:pPr>
    <w:rPr>
      <w:b/>
      <w:sz w:val="24"/>
    </w:rPr>
  </w:style>
  <w:style w:type="paragraph" w:customStyle="1" w:styleId="Affiliation">
    <w:name w:val="Affiliation"/>
    <w:basedOn w:val="Normal"/>
    <w:rsid w:val="00B74453"/>
    <w:pPr>
      <w:spacing w:after="240" w:line="240" w:lineRule="exact"/>
      <w:jc w:val="right"/>
    </w:pPr>
  </w:style>
  <w:style w:type="paragraph" w:customStyle="1" w:styleId="Body">
    <w:name w:val="Body"/>
    <w:basedOn w:val="Normal"/>
    <w:rsid w:val="00B74453"/>
    <w:pPr>
      <w:spacing w:after="240"/>
      <w:jc w:val="both"/>
    </w:pPr>
  </w:style>
  <w:style w:type="paragraph" w:customStyle="1" w:styleId="AbstHead">
    <w:name w:val="Abst Head"/>
    <w:basedOn w:val="Normal"/>
    <w:rsid w:val="00B74453"/>
    <w:pPr>
      <w:keepNext/>
      <w:spacing w:after="240"/>
    </w:pPr>
    <w:rPr>
      <w:b/>
      <w:caps/>
      <w:sz w:val="22"/>
    </w:rPr>
  </w:style>
  <w:style w:type="paragraph" w:customStyle="1" w:styleId="ConcHead">
    <w:name w:val="Conc Head"/>
    <w:basedOn w:val="Normal"/>
    <w:rsid w:val="00B74453"/>
    <w:pPr>
      <w:keepNext/>
      <w:spacing w:after="240"/>
    </w:pPr>
    <w:rPr>
      <w:b/>
      <w:caps/>
      <w:sz w:val="22"/>
    </w:rPr>
  </w:style>
  <w:style w:type="paragraph" w:customStyle="1" w:styleId="AcknHead">
    <w:name w:val="Ackn Head"/>
    <w:basedOn w:val="Normal"/>
    <w:rsid w:val="00B74453"/>
    <w:pPr>
      <w:keepNext/>
      <w:spacing w:after="240"/>
    </w:pPr>
    <w:rPr>
      <w:b/>
      <w:caps/>
      <w:sz w:val="22"/>
    </w:rPr>
  </w:style>
  <w:style w:type="paragraph" w:customStyle="1" w:styleId="ReferHead">
    <w:name w:val="Refer Head"/>
    <w:basedOn w:val="Normal"/>
    <w:rsid w:val="00B74453"/>
    <w:pPr>
      <w:keepNext/>
      <w:spacing w:after="240"/>
    </w:pPr>
    <w:rPr>
      <w:b/>
      <w:caps/>
      <w:sz w:val="22"/>
    </w:rPr>
  </w:style>
  <w:style w:type="paragraph" w:customStyle="1" w:styleId="DefAcrHead">
    <w:name w:val="DefAcrHead"/>
    <w:basedOn w:val="Normal"/>
    <w:rsid w:val="00B74453"/>
    <w:pPr>
      <w:keepNext/>
      <w:spacing w:after="240"/>
    </w:pPr>
    <w:rPr>
      <w:b/>
      <w:caps/>
      <w:sz w:val="22"/>
    </w:rPr>
  </w:style>
  <w:style w:type="paragraph" w:customStyle="1" w:styleId="Copyright">
    <w:name w:val="Copyright"/>
    <w:basedOn w:val="Normal"/>
    <w:rsid w:val="00B74453"/>
    <w:pPr>
      <w:spacing w:after="960" w:line="200" w:lineRule="exact"/>
    </w:pPr>
    <w:rPr>
      <w:sz w:val="16"/>
    </w:rPr>
  </w:style>
  <w:style w:type="paragraph" w:styleId="Title">
    <w:name w:val="Title"/>
    <w:basedOn w:val="Normal"/>
    <w:link w:val="TitleChar"/>
    <w:qFormat/>
    <w:rsid w:val="00B74453"/>
    <w:pPr>
      <w:spacing w:after="360"/>
      <w:jc w:val="right"/>
    </w:pPr>
    <w:rPr>
      <w:b/>
      <w:kern w:val="28"/>
      <w:sz w:val="36"/>
    </w:rPr>
  </w:style>
  <w:style w:type="character" w:customStyle="1" w:styleId="TitleChar">
    <w:name w:val="Title Char"/>
    <w:basedOn w:val="DefaultParagraphFont"/>
    <w:link w:val="Title"/>
    <w:rsid w:val="00B74453"/>
    <w:rPr>
      <w:rFonts w:ascii="Helvetica" w:eastAsia="Times New Roman" w:hAnsi="Helvetica" w:cs="Times New Roman"/>
      <w:b/>
      <w:kern w:val="28"/>
      <w:sz w:val="36"/>
      <w:szCs w:val="20"/>
    </w:rPr>
  </w:style>
  <w:style w:type="paragraph" w:customStyle="1" w:styleId="Reference">
    <w:name w:val="Reference"/>
    <w:basedOn w:val="Body"/>
    <w:rsid w:val="00B74453"/>
    <w:pPr>
      <w:numPr>
        <w:numId w:val="1"/>
      </w:numPr>
      <w:spacing w:after="0" w:line="240" w:lineRule="exact"/>
    </w:pPr>
  </w:style>
  <w:style w:type="paragraph" w:customStyle="1" w:styleId="Head1">
    <w:name w:val="Head1"/>
    <w:basedOn w:val="Normal"/>
    <w:rsid w:val="00B74453"/>
    <w:pPr>
      <w:keepNext/>
      <w:spacing w:after="240"/>
    </w:pPr>
    <w:rPr>
      <w:b/>
      <w:caps/>
      <w:sz w:val="22"/>
    </w:rPr>
  </w:style>
  <w:style w:type="paragraph" w:customStyle="1" w:styleId="Appendix">
    <w:name w:val="Appendix"/>
    <w:basedOn w:val="Normal"/>
    <w:rsid w:val="00B74453"/>
    <w:pPr>
      <w:keepNext/>
      <w:spacing w:after="240"/>
    </w:pPr>
    <w:rPr>
      <w:b/>
      <w:caps/>
      <w:sz w:val="22"/>
    </w:rPr>
  </w:style>
  <w:style w:type="paragraph" w:styleId="Footer">
    <w:name w:val="footer"/>
    <w:basedOn w:val="Normal"/>
    <w:link w:val="FooterChar"/>
    <w:uiPriority w:val="99"/>
    <w:rsid w:val="00B74453"/>
    <w:pPr>
      <w:tabs>
        <w:tab w:val="center" w:pos="4320"/>
        <w:tab w:val="right" w:pos="8640"/>
      </w:tabs>
    </w:pPr>
  </w:style>
  <w:style w:type="character" w:customStyle="1" w:styleId="FooterChar">
    <w:name w:val="Footer Char"/>
    <w:basedOn w:val="DefaultParagraphFont"/>
    <w:link w:val="Footer"/>
    <w:uiPriority w:val="99"/>
    <w:rsid w:val="00B74453"/>
    <w:rPr>
      <w:rFonts w:ascii="Helvetica" w:eastAsia="Times New Roman" w:hAnsi="Helvetica" w:cs="Times New Roman"/>
      <w:sz w:val="20"/>
      <w:szCs w:val="20"/>
    </w:rPr>
  </w:style>
  <w:style w:type="paragraph" w:styleId="Header">
    <w:name w:val="header"/>
    <w:basedOn w:val="Normal"/>
    <w:link w:val="HeaderChar"/>
    <w:rsid w:val="00B74453"/>
    <w:pPr>
      <w:tabs>
        <w:tab w:val="center" w:pos="4320"/>
        <w:tab w:val="right" w:pos="8640"/>
      </w:tabs>
    </w:pPr>
  </w:style>
  <w:style w:type="character" w:customStyle="1" w:styleId="HeaderChar">
    <w:name w:val="Header Char"/>
    <w:basedOn w:val="DefaultParagraphFont"/>
    <w:link w:val="Header"/>
    <w:rsid w:val="00B74453"/>
    <w:rPr>
      <w:rFonts w:ascii="Helvetica" w:eastAsia="Times New Roman" w:hAnsi="Helvetica" w:cs="Times New Roman"/>
      <w:sz w:val="20"/>
      <w:szCs w:val="20"/>
    </w:rPr>
  </w:style>
  <w:style w:type="character" w:styleId="Hyperlink">
    <w:name w:val="Hyperlink"/>
    <w:basedOn w:val="DefaultParagraphFont"/>
    <w:rsid w:val="00B74453"/>
    <w:rPr>
      <w:color w:val="FF0080"/>
      <w:u w:val="single"/>
    </w:rPr>
  </w:style>
  <w:style w:type="paragraph" w:styleId="BodyText3">
    <w:name w:val="Body Text 3"/>
    <w:basedOn w:val="Normal"/>
    <w:link w:val="BodyText3Char"/>
    <w:rsid w:val="00B74453"/>
    <w:pPr>
      <w:spacing w:after="120"/>
    </w:pPr>
    <w:rPr>
      <w:sz w:val="16"/>
      <w:szCs w:val="16"/>
    </w:rPr>
  </w:style>
  <w:style w:type="character" w:customStyle="1" w:styleId="BodyText3Char">
    <w:name w:val="Body Text 3 Char"/>
    <w:basedOn w:val="DefaultParagraphFont"/>
    <w:link w:val="BodyText3"/>
    <w:rsid w:val="00B74453"/>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B74453"/>
  </w:style>
  <w:style w:type="paragraph" w:styleId="NormalWeb">
    <w:name w:val="Normal (Web)"/>
    <w:basedOn w:val="Normal"/>
    <w:uiPriority w:val="99"/>
    <w:unhideWhenUsed/>
    <w:rsid w:val="00B74453"/>
    <w:pPr>
      <w:spacing w:before="100" w:beforeAutospacing="1" w:after="100" w:afterAutospacing="1"/>
    </w:pPr>
    <w:rPr>
      <w:rFonts w:ascii="Times New Roman" w:hAnsi="Times New Roman"/>
      <w:sz w:val="24"/>
      <w:szCs w:val="24"/>
    </w:rPr>
  </w:style>
  <w:style w:type="paragraph" w:styleId="Subtitle">
    <w:name w:val="Subtitle"/>
    <w:basedOn w:val="Normal"/>
    <w:next w:val="Normal"/>
    <w:link w:val="SubtitleChar"/>
    <w:uiPriority w:val="11"/>
    <w:qFormat/>
    <w:rsid w:val="00B74453"/>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rPr>
  </w:style>
  <w:style w:type="character" w:customStyle="1" w:styleId="SubtitleChar">
    <w:name w:val="Subtitle Char"/>
    <w:basedOn w:val="DefaultParagraphFont"/>
    <w:link w:val="Subtitle"/>
    <w:uiPriority w:val="11"/>
    <w:rsid w:val="00B74453"/>
    <w:rPr>
      <w:rFonts w:eastAsiaTheme="minorEastAsia"/>
      <w:color w:val="5A5A5A" w:themeColor="text1" w:themeTint="A5"/>
      <w:spacing w:val="15"/>
      <w:kern w:val="2"/>
    </w:rPr>
  </w:style>
  <w:style w:type="paragraph" w:styleId="BalloonText">
    <w:name w:val="Balloon Text"/>
    <w:basedOn w:val="Normal"/>
    <w:link w:val="BalloonTextChar"/>
    <w:uiPriority w:val="99"/>
    <w:semiHidden/>
    <w:unhideWhenUsed/>
    <w:rsid w:val="00B74453"/>
    <w:rPr>
      <w:rFonts w:ascii="Tahoma" w:hAnsi="Tahoma" w:cs="Tahoma"/>
      <w:sz w:val="16"/>
      <w:szCs w:val="16"/>
    </w:rPr>
  </w:style>
  <w:style w:type="character" w:customStyle="1" w:styleId="BalloonTextChar">
    <w:name w:val="Balloon Text Char"/>
    <w:basedOn w:val="DefaultParagraphFont"/>
    <w:link w:val="BalloonText"/>
    <w:uiPriority w:val="99"/>
    <w:semiHidden/>
    <w:rsid w:val="00B74453"/>
    <w:rPr>
      <w:rFonts w:ascii="Tahoma" w:eastAsia="Times New Roman" w:hAnsi="Tahoma" w:cs="Tahoma"/>
      <w:sz w:val="16"/>
      <w:szCs w:val="16"/>
    </w:rPr>
  </w:style>
  <w:style w:type="table" w:styleId="TableGrid">
    <w:name w:val="Table Grid"/>
    <w:basedOn w:val="TableNormal"/>
    <w:uiPriority w:val="59"/>
    <w:rsid w:val="00CB69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D5D11"/>
    <w:rPr>
      <w:i/>
      <w:iCs/>
    </w:rPr>
  </w:style>
  <w:style w:type="character" w:styleId="UnresolvedMention">
    <w:name w:val="Unresolved Mention"/>
    <w:basedOn w:val="DefaultParagraphFont"/>
    <w:uiPriority w:val="99"/>
    <w:semiHidden/>
    <w:unhideWhenUsed/>
    <w:rsid w:val="00D6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KUHE\Desktop\DATA%20CURRENTLY\MTOMGA%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KUHE\Desktop\DATA%20CURRENTLY\MTOMG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KUHE\Desktop\DATA%20CURRENTLY\MTOMG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Sheet2!$B$1</c:f>
              <c:strCache>
                <c:ptCount val="1"/>
                <c:pt idx="0">
                  <c:v>HIV</c:v>
                </c:pt>
              </c:strCache>
            </c:strRef>
          </c:tx>
          <c:invertIfNegative val="0"/>
          <c:cat>
            <c:numLit>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Lit>
          </c:cat>
          <c:val>
            <c:numRef>
              <c:f>Sheet2!$B$2:$B$14</c:f>
              <c:numCache>
                <c:formatCode>General</c:formatCode>
                <c:ptCount val="13"/>
                <c:pt idx="0">
                  <c:v>3424</c:v>
                </c:pt>
                <c:pt idx="1">
                  <c:v>9509</c:v>
                </c:pt>
                <c:pt idx="2">
                  <c:v>11263</c:v>
                </c:pt>
                <c:pt idx="3">
                  <c:v>8287</c:v>
                </c:pt>
                <c:pt idx="4">
                  <c:v>9877</c:v>
                </c:pt>
                <c:pt idx="5">
                  <c:v>13190</c:v>
                </c:pt>
                <c:pt idx="6">
                  <c:v>12254</c:v>
                </c:pt>
                <c:pt idx="7">
                  <c:v>15120</c:v>
                </c:pt>
                <c:pt idx="8">
                  <c:v>14980</c:v>
                </c:pt>
                <c:pt idx="9">
                  <c:v>19653</c:v>
                </c:pt>
                <c:pt idx="10">
                  <c:v>13669</c:v>
                </c:pt>
                <c:pt idx="11">
                  <c:v>14137</c:v>
                </c:pt>
                <c:pt idx="12">
                  <c:v>14234</c:v>
                </c:pt>
              </c:numCache>
            </c:numRef>
          </c:val>
          <c:extLst>
            <c:ext xmlns:c16="http://schemas.microsoft.com/office/drawing/2014/chart" uri="{C3380CC4-5D6E-409C-BE32-E72D297353CC}">
              <c16:uniqueId val="{00000000-4FB4-4B63-A09C-38F25CE43D54}"/>
            </c:ext>
          </c:extLst>
        </c:ser>
        <c:dLbls>
          <c:showLegendKey val="0"/>
          <c:showVal val="0"/>
          <c:showCatName val="0"/>
          <c:showSerName val="0"/>
          <c:showPercent val="0"/>
          <c:showBubbleSize val="0"/>
        </c:dLbls>
        <c:gapWidth val="150"/>
        <c:shape val="box"/>
        <c:axId val="88379392"/>
        <c:axId val="88433024"/>
        <c:axId val="0"/>
      </c:bar3DChart>
      <c:catAx>
        <c:axId val="88379392"/>
        <c:scaling>
          <c:orientation val="minMax"/>
        </c:scaling>
        <c:delete val="0"/>
        <c:axPos val="b"/>
        <c:numFmt formatCode="General" sourceLinked="1"/>
        <c:majorTickMark val="out"/>
        <c:minorTickMark val="none"/>
        <c:tickLblPos val="nextTo"/>
        <c:crossAx val="88433024"/>
        <c:crosses val="autoZero"/>
        <c:auto val="1"/>
        <c:lblAlgn val="ctr"/>
        <c:lblOffset val="100"/>
        <c:noMultiLvlLbl val="0"/>
      </c:catAx>
      <c:valAx>
        <c:axId val="88433024"/>
        <c:scaling>
          <c:orientation val="minMax"/>
        </c:scaling>
        <c:delete val="0"/>
        <c:axPos val="l"/>
        <c:majorGridlines/>
        <c:numFmt formatCode="General" sourceLinked="1"/>
        <c:majorTickMark val="out"/>
        <c:minorTickMark val="none"/>
        <c:tickLblPos val="nextTo"/>
        <c:crossAx val="883793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Sheet2!$C$1</c:f>
              <c:strCache>
                <c:ptCount val="1"/>
                <c:pt idx="0">
                  <c:v>TB</c:v>
                </c:pt>
              </c:strCache>
            </c:strRef>
          </c:tx>
          <c:invertIfNegative val="0"/>
          <c:cat>
            <c:numLit>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Lit>
          </c:cat>
          <c:val>
            <c:numRef>
              <c:f>Sheet2!$C$2:$C$14</c:f>
              <c:numCache>
                <c:formatCode>General</c:formatCode>
                <c:ptCount val="13"/>
                <c:pt idx="0">
                  <c:v>1603</c:v>
                </c:pt>
                <c:pt idx="1">
                  <c:v>2019</c:v>
                </c:pt>
                <c:pt idx="2">
                  <c:v>2825</c:v>
                </c:pt>
                <c:pt idx="3">
                  <c:v>2581</c:v>
                </c:pt>
                <c:pt idx="4">
                  <c:v>4836</c:v>
                </c:pt>
                <c:pt idx="5">
                  <c:v>5841</c:v>
                </c:pt>
                <c:pt idx="6">
                  <c:v>5588</c:v>
                </c:pt>
                <c:pt idx="7">
                  <c:v>6960</c:v>
                </c:pt>
                <c:pt idx="8">
                  <c:v>7230</c:v>
                </c:pt>
                <c:pt idx="9">
                  <c:v>5698</c:v>
                </c:pt>
                <c:pt idx="10">
                  <c:v>4022</c:v>
                </c:pt>
                <c:pt idx="11">
                  <c:v>4099</c:v>
                </c:pt>
                <c:pt idx="12">
                  <c:v>4668</c:v>
                </c:pt>
              </c:numCache>
            </c:numRef>
          </c:val>
          <c:extLst>
            <c:ext xmlns:c16="http://schemas.microsoft.com/office/drawing/2014/chart" uri="{C3380CC4-5D6E-409C-BE32-E72D297353CC}">
              <c16:uniqueId val="{00000000-CB8A-401D-96A2-2453442CF977}"/>
            </c:ext>
          </c:extLst>
        </c:ser>
        <c:dLbls>
          <c:showLegendKey val="0"/>
          <c:showVal val="0"/>
          <c:showCatName val="0"/>
          <c:showSerName val="0"/>
          <c:showPercent val="0"/>
          <c:showBubbleSize val="0"/>
        </c:dLbls>
        <c:gapWidth val="150"/>
        <c:shape val="box"/>
        <c:axId val="94916992"/>
        <c:axId val="94990336"/>
        <c:axId val="0"/>
      </c:bar3DChart>
      <c:catAx>
        <c:axId val="94916992"/>
        <c:scaling>
          <c:orientation val="minMax"/>
        </c:scaling>
        <c:delete val="0"/>
        <c:axPos val="b"/>
        <c:numFmt formatCode="General" sourceLinked="1"/>
        <c:majorTickMark val="out"/>
        <c:minorTickMark val="none"/>
        <c:tickLblPos val="nextTo"/>
        <c:crossAx val="94990336"/>
        <c:crosses val="autoZero"/>
        <c:auto val="1"/>
        <c:lblAlgn val="ctr"/>
        <c:lblOffset val="100"/>
        <c:noMultiLvlLbl val="0"/>
      </c:catAx>
      <c:valAx>
        <c:axId val="94990336"/>
        <c:scaling>
          <c:orientation val="minMax"/>
        </c:scaling>
        <c:delete val="0"/>
        <c:axPos val="l"/>
        <c:majorGridlines/>
        <c:numFmt formatCode="General" sourceLinked="1"/>
        <c:majorTickMark val="out"/>
        <c:minorTickMark val="none"/>
        <c:tickLblPos val="nextTo"/>
        <c:crossAx val="949169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Sheet2!$D$1</c:f>
              <c:strCache>
                <c:ptCount val="1"/>
                <c:pt idx="0">
                  <c:v>VHP</c:v>
                </c:pt>
              </c:strCache>
            </c:strRef>
          </c:tx>
          <c:invertIfNegative val="0"/>
          <c:cat>
            <c:numLit>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Lit>
          </c:cat>
          <c:val>
            <c:numRef>
              <c:f>Sheet2!$D$2:$D$14</c:f>
              <c:numCache>
                <c:formatCode>General</c:formatCode>
                <c:ptCount val="13"/>
                <c:pt idx="0">
                  <c:v>4468</c:v>
                </c:pt>
                <c:pt idx="1">
                  <c:v>10553</c:v>
                </c:pt>
                <c:pt idx="2">
                  <c:v>12307</c:v>
                </c:pt>
                <c:pt idx="3">
                  <c:v>9331</c:v>
                </c:pt>
                <c:pt idx="4">
                  <c:v>10921</c:v>
                </c:pt>
                <c:pt idx="5">
                  <c:v>14234</c:v>
                </c:pt>
                <c:pt idx="6">
                  <c:v>13298</c:v>
                </c:pt>
                <c:pt idx="7">
                  <c:v>16164</c:v>
                </c:pt>
                <c:pt idx="8">
                  <c:v>16024</c:v>
                </c:pt>
                <c:pt idx="9">
                  <c:v>20679</c:v>
                </c:pt>
                <c:pt idx="10">
                  <c:v>14713</c:v>
                </c:pt>
                <c:pt idx="11">
                  <c:v>15181</c:v>
                </c:pt>
                <c:pt idx="12">
                  <c:v>15278</c:v>
                </c:pt>
              </c:numCache>
            </c:numRef>
          </c:val>
          <c:extLst>
            <c:ext xmlns:c16="http://schemas.microsoft.com/office/drawing/2014/chart" uri="{C3380CC4-5D6E-409C-BE32-E72D297353CC}">
              <c16:uniqueId val="{00000000-00B9-439D-9FB9-89F8A1CE1D7A}"/>
            </c:ext>
          </c:extLst>
        </c:ser>
        <c:dLbls>
          <c:showLegendKey val="0"/>
          <c:showVal val="0"/>
          <c:showCatName val="0"/>
          <c:showSerName val="0"/>
          <c:showPercent val="0"/>
          <c:showBubbleSize val="0"/>
        </c:dLbls>
        <c:gapWidth val="150"/>
        <c:shape val="box"/>
        <c:axId val="114340992"/>
        <c:axId val="131858816"/>
        <c:axId val="0"/>
      </c:bar3DChart>
      <c:catAx>
        <c:axId val="114340992"/>
        <c:scaling>
          <c:orientation val="minMax"/>
        </c:scaling>
        <c:delete val="0"/>
        <c:axPos val="b"/>
        <c:numFmt formatCode="General" sourceLinked="1"/>
        <c:majorTickMark val="out"/>
        <c:minorTickMark val="none"/>
        <c:tickLblPos val="nextTo"/>
        <c:crossAx val="131858816"/>
        <c:crosses val="autoZero"/>
        <c:auto val="1"/>
        <c:lblAlgn val="ctr"/>
        <c:lblOffset val="100"/>
        <c:noMultiLvlLbl val="0"/>
      </c:catAx>
      <c:valAx>
        <c:axId val="131858816"/>
        <c:scaling>
          <c:orientation val="minMax"/>
        </c:scaling>
        <c:delete val="0"/>
        <c:axPos val="l"/>
        <c:majorGridlines/>
        <c:numFmt formatCode="General" sourceLinked="1"/>
        <c:majorTickMark val="out"/>
        <c:minorTickMark val="none"/>
        <c:tickLblPos val="nextTo"/>
        <c:crossAx val="114340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1166</cp:lastModifiedBy>
  <cp:revision>18</cp:revision>
  <dcterms:created xsi:type="dcterms:W3CDTF">2026-03-27T03:30:00Z</dcterms:created>
  <dcterms:modified xsi:type="dcterms:W3CDTF">2026-03-28T12:33:00Z</dcterms:modified>
</cp:coreProperties>
</file>