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7FE91" w14:textId="77777777" w:rsidR="00892B98" w:rsidRDefault="00892B98" w:rsidP="00CB5B2C">
      <w:pPr>
        <w:spacing w:before="100" w:beforeAutospacing="1" w:after="100" w:afterAutospacing="1"/>
        <w:rPr>
          <w:rFonts w:ascii="Arial" w:eastAsia="Arial" w:hAnsi="Arial" w:cs="Arial"/>
          <w:b/>
          <w:bCs/>
          <w:color w:val="1F3864"/>
          <w:sz w:val="36"/>
          <w:szCs w:val="36"/>
        </w:rPr>
      </w:pPr>
      <w:r w:rsidRPr="00892B98">
        <w:rPr>
          <w:rFonts w:ascii="Arial" w:eastAsia="Arial" w:hAnsi="Arial" w:cs="Arial"/>
          <w:b/>
          <w:bCs/>
          <w:color w:val="1F3864"/>
          <w:sz w:val="36"/>
          <w:szCs w:val="36"/>
        </w:rPr>
        <w:t>Review article</w:t>
      </w:r>
    </w:p>
    <w:p w14:paraId="757E8876" w14:textId="1AD030D5" w:rsidR="00A41E53" w:rsidRDefault="009F05B9" w:rsidP="00CB5B2C">
      <w:pPr>
        <w:spacing w:before="100" w:beforeAutospacing="1" w:after="100" w:afterAutospacing="1"/>
      </w:pPr>
      <w:r>
        <w:rPr>
          <w:rFonts w:ascii="Arial" w:eastAsia="Arial" w:hAnsi="Arial" w:cs="Arial"/>
          <w:b/>
          <w:bCs/>
          <w:color w:val="1F3864"/>
          <w:sz w:val="36"/>
          <w:szCs w:val="36"/>
        </w:rPr>
        <w:t xml:space="preserve">Strategies for Enhancing Fracture Healing in Veterinary </w:t>
      </w:r>
      <w:proofErr w:type="spellStart"/>
      <w:r>
        <w:rPr>
          <w:rFonts w:ascii="Arial" w:eastAsia="Arial" w:hAnsi="Arial" w:cs="Arial"/>
          <w:b/>
          <w:bCs/>
          <w:color w:val="1F3864"/>
          <w:sz w:val="36"/>
          <w:szCs w:val="36"/>
        </w:rPr>
        <w:t>Orthopaedic</w:t>
      </w:r>
      <w:proofErr w:type="spellEnd"/>
      <w:r>
        <w:rPr>
          <w:rFonts w:ascii="Arial" w:eastAsia="Arial" w:hAnsi="Arial" w:cs="Arial"/>
          <w:b/>
          <w:bCs/>
          <w:color w:val="1F3864"/>
          <w:sz w:val="36"/>
          <w:szCs w:val="36"/>
        </w:rPr>
        <w:t xml:space="preserve"> Practice</w:t>
      </w:r>
      <w:r w:rsidR="009A2A84">
        <w:rPr>
          <w:rFonts w:ascii="Arial" w:eastAsia="Arial" w:hAnsi="Arial" w:cs="Arial"/>
          <w:b/>
          <w:bCs/>
          <w:color w:val="1F3864"/>
          <w:sz w:val="36"/>
          <w:szCs w:val="36"/>
        </w:rPr>
        <w:t>:</w:t>
      </w:r>
      <w:r w:rsidR="00CB5B2C">
        <w:rPr>
          <w:rFonts w:ascii="Arial" w:eastAsia="Arial" w:hAnsi="Arial" w:cs="Arial"/>
          <w:b/>
          <w:bCs/>
          <w:color w:val="1F3864"/>
          <w:sz w:val="36"/>
          <w:szCs w:val="36"/>
        </w:rPr>
        <w:t xml:space="preserve"> </w:t>
      </w:r>
      <w:r>
        <w:rPr>
          <w:rFonts w:ascii="Arial" w:eastAsia="Arial" w:hAnsi="Arial" w:cs="Arial"/>
          <w:b/>
          <w:bCs/>
          <w:color w:val="1F3864"/>
          <w:sz w:val="32"/>
          <w:szCs w:val="32"/>
        </w:rPr>
        <w:t>A Comprehensive Review</w:t>
      </w:r>
    </w:p>
    <w:p w14:paraId="124604CB" w14:textId="77777777" w:rsidR="00A41E53" w:rsidRDefault="00A41E53" w:rsidP="00CB5B2C">
      <w:pPr>
        <w:spacing w:before="100" w:beforeAutospacing="1" w:after="100" w:afterAutospacing="1"/>
      </w:pPr>
    </w:p>
    <w:p w14:paraId="233295C5" w14:textId="77777777" w:rsidR="00A41E53" w:rsidRDefault="009F05B9" w:rsidP="00CB5B2C">
      <w:pPr>
        <w:pStyle w:val="Heading1"/>
        <w:spacing w:before="100" w:beforeAutospacing="1" w:after="100" w:afterAutospacing="1"/>
      </w:pPr>
      <w:r>
        <w:t>Abstract</w:t>
      </w:r>
    </w:p>
    <w:p w14:paraId="6DE8A90E" w14:textId="77777777" w:rsidR="00F479E7" w:rsidRDefault="009F05B9" w:rsidP="00F479E7">
      <w:pPr>
        <w:spacing w:before="100" w:beforeAutospacing="1" w:after="100" w:afterAutospacing="1"/>
        <w:ind w:firstLine="720"/>
        <w:jc w:val="both"/>
      </w:pPr>
      <w:r>
        <w:t xml:space="preserve">Fracture healing represents one of the most fundamental challenges in veterinary </w:t>
      </w:r>
      <w:proofErr w:type="spellStart"/>
      <w:r>
        <w:t>orthopaedic</w:t>
      </w:r>
      <w:proofErr w:type="spellEnd"/>
      <w:r>
        <w:t xml:space="preserve"> practice, encompassing the management of a diverse range of species, body sizes, fracture configurations, and clinical contexts. Achieving optimal fracture repair requires not only appropriate mechanical fixation but also the creation of a </w:t>
      </w:r>
      <w:proofErr w:type="spellStart"/>
      <w:r>
        <w:t>favourable</w:t>
      </w:r>
      <w:proofErr w:type="spellEnd"/>
      <w:r>
        <w:t xml:space="preserve"> biological environment conducive to bone regeneration. This review critically evaluates the evolving landscape of strategies employed to enhance fracture healing in veterinary patients, drawing on evidence from peer-reviewed literature published between 1996 and 2026. The mechanistic underpinnings of bone fracture healing are reviewed, followed by a systematic discussion of established and emerging interventions. These include conventional and advanced internal fixation techniques—notably locking compression plates and minimally invasive plate osteosynthesis (MIPO)—as well as biological adjuncts such as platelet-rich plasma (PRP), bone morphogenetic proteins (BMPs), and mesenchymal stem cell (MSC) therapy. Physical modalities including </w:t>
      </w:r>
      <w:proofErr w:type="spellStart"/>
      <w:r>
        <w:t>photobiomodulation</w:t>
      </w:r>
      <w:proofErr w:type="spellEnd"/>
      <w:r>
        <w:t xml:space="preserve"> therapy (PBMT) and extracorporeal shockwave therapy (ESWT) are evaluated in the context of their proposed mechanisms and clinical evidence in v</w:t>
      </w:r>
      <w:bookmarkStart w:id="0" w:name="_GoBack"/>
      <w:bookmarkEnd w:id="0"/>
      <w:r>
        <w:t xml:space="preserve">eterinary species. The role of three-dimensional (3D) printing and bone tissue engineering scaffolds in addressing critical-sized bone defects is also examined. The management of delayed union and non-union fractures, which represent the most clinically demanding complication of fracture treatment, is discussed in detail. Species-specific considerations for small animals, equines, and large ruminants are addressed throughout. The review identifies significant gaps in comparative evidence across veterinary species and calls for more rigorously designed clinical trials. A multimodal, biologically informed approach appears to offer the greatest potential for </w:t>
      </w:r>
      <w:proofErr w:type="spellStart"/>
      <w:r>
        <w:t>optimising</w:t>
      </w:r>
      <w:proofErr w:type="spellEnd"/>
      <w:r>
        <w:t xml:space="preserve"> fracture healing outcomes in diverse veterinary patients.</w:t>
      </w:r>
      <w:r w:rsidR="00F479E7">
        <w:t xml:space="preserve"> </w:t>
      </w:r>
      <w:r w:rsidR="00F479E7" w:rsidRPr="00F479E7">
        <w:rPr>
          <w:highlight w:val="yellow"/>
        </w:rPr>
        <w:t>The rapid pace of development in regenerative medicine, biomaterials science, and additive manufacturing means that some of the most recent advances may not yet have been fully evaluated at the time of this review, and practitioners are encouraged to monitor emerging literature critically and with appropriate methodological scrutiny.</w:t>
      </w:r>
    </w:p>
    <w:p w14:paraId="66A87EFB" w14:textId="28194E96" w:rsidR="00A41E53" w:rsidRDefault="00A41E53" w:rsidP="00CB5B2C">
      <w:pPr>
        <w:spacing w:before="100" w:beforeAutospacing="1" w:after="100" w:afterAutospacing="1"/>
        <w:jc w:val="both"/>
      </w:pPr>
    </w:p>
    <w:p w14:paraId="7D4C4A9B" w14:textId="432C5F8A" w:rsidR="00A41E53" w:rsidRDefault="009F05B9" w:rsidP="00CB5B2C">
      <w:pPr>
        <w:spacing w:before="100" w:beforeAutospacing="1" w:after="100" w:afterAutospacing="1"/>
        <w:jc w:val="both"/>
        <w:rPr>
          <w:i/>
          <w:iCs/>
          <w:sz w:val="22"/>
          <w:szCs w:val="22"/>
          <w:highlight w:val="yellow"/>
        </w:rPr>
      </w:pPr>
      <w:r w:rsidRPr="009A2A84">
        <w:rPr>
          <w:rFonts w:ascii="Arial" w:eastAsia="Arial" w:hAnsi="Arial" w:cs="Arial"/>
          <w:b/>
          <w:bCs/>
          <w:sz w:val="22"/>
          <w:szCs w:val="22"/>
          <w:highlight w:val="yellow"/>
        </w:rPr>
        <w:t xml:space="preserve">Keywords: </w:t>
      </w:r>
      <w:r w:rsidR="009A2A84" w:rsidRPr="009A2A84">
        <w:rPr>
          <w:rFonts w:ascii="Arial" w:eastAsia="Arial" w:hAnsi="Arial" w:cs="Arial"/>
          <w:bCs/>
          <w:i/>
          <w:sz w:val="20"/>
          <w:szCs w:val="22"/>
          <w:highlight w:val="yellow"/>
        </w:rPr>
        <w:t>F</w:t>
      </w:r>
      <w:r w:rsidRPr="009A2A84">
        <w:rPr>
          <w:i/>
          <w:iCs/>
          <w:sz w:val="22"/>
          <w:szCs w:val="22"/>
          <w:highlight w:val="yellow"/>
        </w:rPr>
        <w:t xml:space="preserve">racture healing; veterinary </w:t>
      </w:r>
      <w:proofErr w:type="spellStart"/>
      <w:r w:rsidRPr="009A2A84">
        <w:rPr>
          <w:i/>
          <w:iCs/>
          <w:sz w:val="22"/>
          <w:szCs w:val="22"/>
          <w:highlight w:val="yellow"/>
        </w:rPr>
        <w:t>orthopaedics</w:t>
      </w:r>
      <w:proofErr w:type="spellEnd"/>
      <w:r w:rsidRPr="009A2A84">
        <w:rPr>
          <w:i/>
          <w:iCs/>
          <w:sz w:val="22"/>
          <w:szCs w:val="22"/>
          <w:highlight w:val="yellow"/>
        </w:rPr>
        <w:t xml:space="preserve">; platelet-rich plasma; bone morphogenetic proteins; mesenchymal stem cells; </w:t>
      </w:r>
      <w:proofErr w:type="spellStart"/>
      <w:r w:rsidRPr="009A2A84">
        <w:rPr>
          <w:i/>
          <w:iCs/>
          <w:sz w:val="22"/>
          <w:szCs w:val="22"/>
          <w:highlight w:val="yellow"/>
        </w:rPr>
        <w:t>photobiomodulation</w:t>
      </w:r>
      <w:proofErr w:type="spellEnd"/>
      <w:r w:rsidRPr="009A2A84">
        <w:rPr>
          <w:i/>
          <w:iCs/>
          <w:sz w:val="22"/>
          <w:szCs w:val="22"/>
          <w:highlight w:val="yellow"/>
        </w:rPr>
        <w:t xml:space="preserve"> therapy</w:t>
      </w:r>
    </w:p>
    <w:p w14:paraId="185A1803" w14:textId="77777777" w:rsidR="009A2A84" w:rsidRDefault="009A2A84" w:rsidP="00CB5B2C">
      <w:pPr>
        <w:spacing w:before="100" w:beforeAutospacing="1" w:after="100" w:afterAutospacing="1"/>
        <w:jc w:val="both"/>
      </w:pPr>
    </w:p>
    <w:p w14:paraId="74C31E02" w14:textId="77777777" w:rsidR="00A41E53" w:rsidRDefault="009F05B9" w:rsidP="00CB5B2C">
      <w:pPr>
        <w:pStyle w:val="Heading1"/>
        <w:spacing w:before="100" w:beforeAutospacing="1" w:after="100" w:afterAutospacing="1"/>
      </w:pPr>
      <w:r>
        <w:t>1. Introduction</w:t>
      </w:r>
    </w:p>
    <w:p w14:paraId="7C63193A" w14:textId="080187F0" w:rsidR="00A41E53" w:rsidRDefault="00184346" w:rsidP="00CB5B2C">
      <w:pPr>
        <w:spacing w:before="100" w:beforeAutospacing="1" w:after="100" w:afterAutospacing="1"/>
        <w:ind w:firstLine="720"/>
        <w:jc w:val="both"/>
      </w:pPr>
      <w:r w:rsidRPr="001C5D0C">
        <w:rPr>
          <w:rFonts w:ascii="Cambria" w:hAnsi="Cambria"/>
          <w:color w:val="1B1B1B"/>
          <w:sz w:val="22"/>
          <w:szCs w:val="28"/>
          <w:highlight w:val="yellow"/>
          <w:shd w:val="clear" w:color="auto" w:fill="FFFFFF"/>
        </w:rPr>
        <w:lastRenderedPageBreak/>
        <w:t>Fracture healing in dogs and cats is a multifaceted process often influenced by various patient-specific factors, such as age, weight, underlying conditions, and the nature of the fracture itself. Among these, complex comminuted fractures stand out due to their susceptibility to complications like delayed union or nonunion. These complications frequently result from infection, instability, poor fragment contact, and inadequate vascularization—challenges that are well-documented in both the human and veterinary literature</w:t>
      </w:r>
      <w:r>
        <w:rPr>
          <w:rFonts w:ascii="Cambria" w:hAnsi="Cambria"/>
          <w:color w:val="1B1B1B"/>
          <w:sz w:val="22"/>
          <w:szCs w:val="28"/>
          <w:highlight w:val="yellow"/>
          <w:shd w:val="clear" w:color="auto" w:fill="FFFFFF"/>
        </w:rPr>
        <w:t xml:space="preserve"> (</w:t>
      </w:r>
      <w:proofErr w:type="spellStart"/>
      <w:r w:rsidR="009A4D7D" w:rsidRPr="001C5D0C">
        <w:rPr>
          <w:color w:val="1B1B1B"/>
          <w:sz w:val="20"/>
          <w:highlight w:val="yellow"/>
        </w:rPr>
        <w:t>ElHawary</w:t>
      </w:r>
      <w:proofErr w:type="spellEnd"/>
      <w:r w:rsidR="009A4D7D" w:rsidRPr="001C5D0C">
        <w:rPr>
          <w:color w:val="1B1B1B"/>
          <w:sz w:val="20"/>
          <w:highlight w:val="yellow"/>
        </w:rPr>
        <w:t xml:space="preserve"> et al., 2021; </w:t>
      </w:r>
      <w:r w:rsidRPr="00154A58">
        <w:rPr>
          <w:color w:val="1B1B1B"/>
          <w:highlight w:val="yellow"/>
        </w:rPr>
        <w:t>Candela Andrade</w:t>
      </w:r>
      <w:r>
        <w:rPr>
          <w:color w:val="1B1B1B"/>
          <w:highlight w:val="yellow"/>
        </w:rPr>
        <w:t xml:space="preserve"> et al., 2025</w:t>
      </w:r>
      <w:r>
        <w:rPr>
          <w:rFonts w:ascii="Cambria" w:hAnsi="Cambria"/>
          <w:color w:val="1B1B1B"/>
          <w:sz w:val="22"/>
          <w:szCs w:val="28"/>
          <w:highlight w:val="yellow"/>
          <w:shd w:val="clear" w:color="auto" w:fill="FFFFFF"/>
        </w:rPr>
        <w:t>)</w:t>
      </w:r>
      <w:r w:rsidRPr="001C5D0C">
        <w:rPr>
          <w:sz w:val="20"/>
          <w:highlight w:val="yellow"/>
        </w:rPr>
        <w:t>.</w:t>
      </w:r>
      <w:r w:rsidRPr="001C5D0C">
        <w:rPr>
          <w:sz w:val="20"/>
        </w:rPr>
        <w:t xml:space="preserve"> </w:t>
      </w:r>
      <w:r w:rsidR="009F05B9">
        <w:t xml:space="preserve">Fractures of the skeletal system are among the most frequently encountered </w:t>
      </w:r>
      <w:proofErr w:type="spellStart"/>
      <w:r w:rsidR="009F05B9">
        <w:t>orthopaedic</w:t>
      </w:r>
      <w:proofErr w:type="spellEnd"/>
      <w:r w:rsidR="009F05B9">
        <w:t xml:space="preserve"> conditions in veterinary medicine, occurring across all domestic and companion animal species. The </w:t>
      </w:r>
      <w:proofErr w:type="spellStart"/>
      <w:r w:rsidR="009F05B9">
        <w:t>aetiological</w:t>
      </w:r>
      <w:proofErr w:type="spellEnd"/>
      <w:r w:rsidR="009F05B9">
        <w:t xml:space="preserve"> spectrum ranges from high-velocity vehicular trauma and falls in small animals to athletic overuse injuries in competition horses and nutritional or metabolic bone disease in large ruminants. In companion animals, long bone fractures of the appendicular skeleton—including the femur, tibia, </w:t>
      </w:r>
      <w:proofErr w:type="spellStart"/>
      <w:r w:rsidR="009F05B9">
        <w:t>humerus</w:t>
      </w:r>
      <w:proofErr w:type="spellEnd"/>
      <w:r w:rsidR="009F05B9">
        <w:t>, and radius—predominate, and their management is central to the daily workload of veterinary surgeons in both general and specialist practice (Marshall et al., 2022). In horses, fractures of the proximal phalanx, pastern region, and long bones carry profound welfare and economic consequences, whilst in cattle and buffaloes, fractures of the forelimb and hind limb respectively present distinct management challenges driven by body mass, husbandry constraints, and economic considerations (</w:t>
      </w:r>
      <w:proofErr w:type="spellStart"/>
      <w:r w:rsidR="009F05B9">
        <w:t>Nikolaisen</w:t>
      </w:r>
      <w:proofErr w:type="spellEnd"/>
      <w:r w:rsidR="009F05B9">
        <w:t xml:space="preserve"> et al., 2025).</w:t>
      </w:r>
      <w:r w:rsidR="00FB476D">
        <w:t xml:space="preserve"> </w:t>
      </w:r>
      <w:r w:rsidR="00FB476D" w:rsidRPr="001C5D0C">
        <w:rPr>
          <w:highlight w:val="yellow"/>
        </w:rPr>
        <w:t>The clinical treatment of fractures due to bone defects is still a great challenge. Currently, orthopedic problems are treated with a variety of surgical and non-surgical techniques. Various options exist for addressing fractures, ranging from external to internal fixation. In extreme cases, considerations extend to cage rest and even amputation as last-resort choices. The appropriateness of fixation methods hinges on factors such as the fracture type, its severity, the available facilities, and the agreement of the pet owners</w:t>
      </w:r>
      <w:r w:rsidR="00FB476D">
        <w:rPr>
          <w:highlight w:val="yellow"/>
        </w:rPr>
        <w:t xml:space="preserve"> (</w:t>
      </w:r>
      <w:proofErr w:type="spellStart"/>
      <w:r w:rsidR="00FB476D" w:rsidRPr="00154A58">
        <w:rPr>
          <w:rFonts w:ascii="Arial" w:hAnsi="Arial" w:cs="Arial"/>
          <w:color w:val="222222"/>
          <w:sz w:val="20"/>
          <w:szCs w:val="20"/>
          <w:highlight w:val="yellow"/>
          <w:shd w:val="clear" w:color="auto" w:fill="FFFFFF"/>
        </w:rPr>
        <w:t>Khoso</w:t>
      </w:r>
      <w:proofErr w:type="spellEnd"/>
      <w:r w:rsidR="00FB476D">
        <w:rPr>
          <w:rFonts w:ascii="Arial" w:hAnsi="Arial" w:cs="Arial"/>
          <w:color w:val="222222"/>
          <w:sz w:val="20"/>
          <w:szCs w:val="20"/>
          <w:highlight w:val="yellow"/>
          <w:shd w:val="clear" w:color="auto" w:fill="FFFFFF"/>
        </w:rPr>
        <w:t xml:space="preserve"> et al., 2024</w:t>
      </w:r>
      <w:r w:rsidR="00FB476D">
        <w:rPr>
          <w:highlight w:val="yellow"/>
        </w:rPr>
        <w:t>)</w:t>
      </w:r>
      <w:r w:rsidR="00FB476D" w:rsidRPr="001C5D0C">
        <w:rPr>
          <w:highlight w:val="yellow"/>
        </w:rPr>
        <w:t>.</w:t>
      </w:r>
    </w:p>
    <w:p w14:paraId="00CBB27F" w14:textId="77777777" w:rsidR="00A41E53" w:rsidRDefault="009F05B9" w:rsidP="00CB5B2C">
      <w:pPr>
        <w:spacing w:before="100" w:beforeAutospacing="1" w:after="100" w:afterAutospacing="1"/>
        <w:ind w:firstLine="720"/>
        <w:jc w:val="both"/>
      </w:pPr>
      <w:r>
        <w:t xml:space="preserve">The biological process of fracture repair is inherently complex, orchestrated through a precise sequence of cellular and molecular events that encompasses </w:t>
      </w:r>
      <w:proofErr w:type="spellStart"/>
      <w:r>
        <w:t>haematoma</w:t>
      </w:r>
      <w:proofErr w:type="spellEnd"/>
      <w:r>
        <w:t xml:space="preserve"> formation, inflammatory cell recruitment, periosteal and endosteal cell proliferation, callus formation via endochondral and intramembranous ossification, and finally bone </w:t>
      </w:r>
      <w:proofErr w:type="spellStart"/>
      <w:r>
        <w:t>remodelling</w:t>
      </w:r>
      <w:proofErr w:type="spellEnd"/>
      <w:r>
        <w:t xml:space="preserve"> in accordance with the mechanical demands placed upon the skeleton (</w:t>
      </w:r>
      <w:proofErr w:type="spellStart"/>
      <w:r>
        <w:t>Marsell</w:t>
      </w:r>
      <w:proofErr w:type="spellEnd"/>
      <w:r>
        <w:t xml:space="preserve"> &amp; Einhorn, 2011). This regenerative process is unique among mammalian tissues in its capacity for true restoration of structure and function rather than mere scar formation. However, this capacity is not unlimited; failure of the healing cascade may result in delayed union, malunion, or non-union, each of which significantly increases patient morbidity, prolongs the duration of treatment, and escalates economic costs for animal owners and practitioners alike (Marshall et al., 2022; Bowers &amp; </w:t>
      </w:r>
      <w:proofErr w:type="spellStart"/>
      <w:r>
        <w:t>Engiles</w:t>
      </w:r>
      <w:proofErr w:type="spellEnd"/>
      <w:r>
        <w:t>, 2024).</w:t>
      </w:r>
    </w:p>
    <w:p w14:paraId="218B5F52" w14:textId="77777777" w:rsidR="00A41E53" w:rsidRDefault="009F05B9" w:rsidP="00CB5B2C">
      <w:pPr>
        <w:spacing w:before="100" w:beforeAutospacing="1" w:after="100" w:afterAutospacing="1"/>
        <w:ind w:firstLine="720"/>
        <w:jc w:val="both"/>
      </w:pPr>
      <w:r>
        <w:t xml:space="preserve">The evolution of veterinary </w:t>
      </w:r>
      <w:proofErr w:type="spellStart"/>
      <w:r>
        <w:t>orthopaedics</w:t>
      </w:r>
      <w:proofErr w:type="spellEnd"/>
      <w:r>
        <w:t xml:space="preserve"> over the past three decades has been </w:t>
      </w:r>
      <w:proofErr w:type="spellStart"/>
      <w:r>
        <w:t>characterised</w:t>
      </w:r>
      <w:proofErr w:type="spellEnd"/>
      <w:r>
        <w:t xml:space="preserve"> by the progressive adoption of surgical principles derived from human </w:t>
      </w:r>
      <w:proofErr w:type="spellStart"/>
      <w:r>
        <w:t>orthopaedic</w:t>
      </w:r>
      <w:proofErr w:type="spellEnd"/>
      <w:r>
        <w:t xml:space="preserve"> practice, substantially modified to account for the unique physiological, biomechanical, and </w:t>
      </w:r>
      <w:proofErr w:type="spellStart"/>
      <w:r>
        <w:t>behavioural</w:t>
      </w:r>
      <w:proofErr w:type="spellEnd"/>
      <w:r>
        <w:t xml:space="preserve"> characteristics of veterinary patients. Among the most impactful developments has been the paradigmatic shift from rigid anatomical reconstruction—the so-called 'carpenter' approach—towards biologically sensitive </w:t>
      </w:r>
      <w:proofErr w:type="spellStart"/>
      <w:r>
        <w:t>stabilisation</w:t>
      </w:r>
      <w:proofErr w:type="spellEnd"/>
      <w:r>
        <w:t xml:space="preserve"> strategies that preserve vascular integrity and the fracture </w:t>
      </w:r>
      <w:proofErr w:type="spellStart"/>
      <w:r>
        <w:t>haematoma</w:t>
      </w:r>
      <w:proofErr w:type="spellEnd"/>
      <w:r>
        <w:t xml:space="preserve"> whilst providing adequate mechanical support, embodying the 'gardener' philosophy of fracture management (</w:t>
      </w:r>
      <w:proofErr w:type="spellStart"/>
      <w:r>
        <w:t>Pozzi</w:t>
      </w:r>
      <w:proofErr w:type="spellEnd"/>
      <w:r>
        <w:t xml:space="preserve"> et al., 2021). This paradigm shift has been facilitated by advances in implant design, notably the development of locking compression plates and the technique of minimally invasive plate osteosynthesis, which have demonstrably improved healing outcomes in dogs and cats with complex fracture configurations (</w:t>
      </w:r>
      <w:proofErr w:type="spellStart"/>
      <w:r>
        <w:t>Guiot</w:t>
      </w:r>
      <w:proofErr w:type="spellEnd"/>
      <w:r>
        <w:t xml:space="preserve"> et al., 2019; </w:t>
      </w:r>
      <w:proofErr w:type="spellStart"/>
      <w:r>
        <w:t>Istim</w:t>
      </w:r>
      <w:proofErr w:type="spellEnd"/>
      <w:r>
        <w:t xml:space="preserve"> &amp; </w:t>
      </w:r>
      <w:proofErr w:type="spellStart"/>
      <w:r>
        <w:t>Arican</w:t>
      </w:r>
      <w:proofErr w:type="spellEnd"/>
      <w:r>
        <w:t>, 2022).</w:t>
      </w:r>
    </w:p>
    <w:p w14:paraId="7AD49491" w14:textId="77777777" w:rsidR="00A41E53" w:rsidRDefault="009F05B9" w:rsidP="00CB5B2C">
      <w:pPr>
        <w:spacing w:before="100" w:beforeAutospacing="1" w:after="100" w:afterAutospacing="1"/>
        <w:ind w:firstLine="720"/>
        <w:jc w:val="both"/>
      </w:pPr>
      <w:r>
        <w:lastRenderedPageBreak/>
        <w:t xml:space="preserve">Beyond mechanical fixation, there has been a parallel and growing interest in the biological augmentation of fracture healing through the application of growth factor-rich preparations such as platelet-rich plasma, </w:t>
      </w:r>
      <w:proofErr w:type="spellStart"/>
      <w:r>
        <w:t>osteoinductive</w:t>
      </w:r>
      <w:proofErr w:type="spellEnd"/>
      <w:r>
        <w:t xml:space="preserve"> agents such as bone morphogenetic proteins, and cell-based therapies employing mesenchymal stem cells. Physical adjunct therapies, including </w:t>
      </w:r>
      <w:proofErr w:type="spellStart"/>
      <w:r>
        <w:t>photobiomodulation</w:t>
      </w:r>
      <w:proofErr w:type="spellEnd"/>
      <w:r>
        <w:t xml:space="preserve"> therapy and extracorporeal shockwave therapy, have also been investigated as means of accelerating tissue repair and stimulating bone regeneration (Millis &amp; Bergh, 2023; </w:t>
      </w:r>
      <w:proofErr w:type="spellStart"/>
      <w:r>
        <w:t>Boström</w:t>
      </w:r>
      <w:proofErr w:type="spellEnd"/>
      <w:r>
        <w:t xml:space="preserve"> et al., 2022). More recently, advances in additive manufacturing have introduced three-dimensionally printed patient-specific implants and bioactive scaffolds as novel tools in the management of complex and critical-sized bone defects in small animals (</w:t>
      </w:r>
      <w:proofErr w:type="spellStart"/>
      <w:r>
        <w:t>Memarian</w:t>
      </w:r>
      <w:proofErr w:type="spellEnd"/>
      <w:r>
        <w:t xml:space="preserve"> et al., 2022).</w:t>
      </w:r>
    </w:p>
    <w:p w14:paraId="48548AD4" w14:textId="77777777" w:rsidR="00A41E53" w:rsidRDefault="009F05B9" w:rsidP="00CB5B2C">
      <w:pPr>
        <w:spacing w:before="100" w:beforeAutospacing="1" w:after="100" w:afterAutospacing="1"/>
        <w:ind w:firstLine="720"/>
        <w:jc w:val="both"/>
      </w:pPr>
      <w:r>
        <w:t xml:space="preserve">Despite this wealth of innovation, the evidence base for many of these strategies in veterinary patients remains incomplete, hampered by small sample sizes, heterogeneous patient populations, variable outcome measures, and a relative paucity of </w:t>
      </w:r>
      <w:proofErr w:type="spellStart"/>
      <w:r>
        <w:t>randomised</w:t>
      </w:r>
      <w:proofErr w:type="spellEnd"/>
      <w:r>
        <w:t xml:space="preserve"> controlled trials. A rigorous, evidence-informed synthesis of available data is therefore warranted to guide clinical decision-making and identify priorities for future research.</w:t>
      </w:r>
    </w:p>
    <w:p w14:paraId="6E5ECAE4" w14:textId="77777777" w:rsidR="00A41E53" w:rsidRDefault="00A41E53" w:rsidP="00CB5B2C">
      <w:pPr>
        <w:spacing w:before="100" w:beforeAutospacing="1" w:after="100" w:afterAutospacing="1"/>
      </w:pPr>
    </w:p>
    <w:p w14:paraId="459A91E7" w14:textId="77777777" w:rsidR="00A41E53" w:rsidRDefault="009F05B9" w:rsidP="00CB5B2C">
      <w:pPr>
        <w:pStyle w:val="Heading2"/>
        <w:spacing w:before="100" w:beforeAutospacing="1" w:afterAutospacing="1"/>
      </w:pPr>
      <w:r>
        <w:t>1.1. Scope and Objective</w:t>
      </w:r>
    </w:p>
    <w:p w14:paraId="55DC152C" w14:textId="77777777" w:rsidR="00A41E53" w:rsidRDefault="009F05B9" w:rsidP="00CB5B2C">
      <w:pPr>
        <w:spacing w:before="100" w:beforeAutospacing="1" w:after="100" w:afterAutospacing="1"/>
        <w:ind w:firstLine="720"/>
        <w:jc w:val="both"/>
      </w:pPr>
      <w:r>
        <w:t xml:space="preserve">This review aims to provide a comprehensive and critically appraised synthesis of current strategies for enhancing fracture healing in veterinary </w:t>
      </w:r>
      <w:proofErr w:type="spellStart"/>
      <w:r>
        <w:t>orthopaedic</w:t>
      </w:r>
      <w:proofErr w:type="spellEnd"/>
      <w:r>
        <w:t xml:space="preserve"> practice. The scope encompasses mechanical fixation techniques, biological adjuncts, physical modalities, and emerging technologies, with particular attention to clinical evidence derived from veterinary species including dogs, cats, horses, and large ruminants. The objective is to assist veterinary surgeons and researchers in understanding the mechanistic basis, clinical indications, species-specific applications, and evidence quality of each intervention, thereby supporting evidence-based clinical practice and informing future research priorities.</w:t>
      </w:r>
    </w:p>
    <w:p w14:paraId="7725130C" w14:textId="77777777" w:rsidR="00A41E53" w:rsidRDefault="00A41E53" w:rsidP="00CB5B2C">
      <w:pPr>
        <w:spacing w:before="100" w:beforeAutospacing="1" w:after="100" w:afterAutospacing="1"/>
      </w:pPr>
    </w:p>
    <w:p w14:paraId="645899EF" w14:textId="77777777" w:rsidR="00A41E53" w:rsidRDefault="009F05B9" w:rsidP="00CB5B2C">
      <w:pPr>
        <w:pStyle w:val="Heading1"/>
        <w:spacing w:before="100" w:beforeAutospacing="1" w:after="100" w:afterAutospacing="1"/>
      </w:pPr>
      <w:r>
        <w:t>2. Methods for Literature Selection</w:t>
      </w:r>
    </w:p>
    <w:p w14:paraId="3616594A" w14:textId="77777777" w:rsidR="00A41E53" w:rsidRDefault="009F05B9" w:rsidP="00CB5B2C">
      <w:pPr>
        <w:spacing w:before="100" w:beforeAutospacing="1" w:after="100" w:afterAutospacing="1"/>
        <w:ind w:firstLine="720"/>
        <w:jc w:val="both"/>
      </w:pPr>
      <w:r>
        <w:t xml:space="preserve">A structured search of the peer-reviewed literature was conducted using the electronic databases PubMed, Web of Science, Scopus, and Google Scholar. Search terms were formulated as combinations of the following descriptors: 'fracture healing', 'bone healing', 'veterinary </w:t>
      </w:r>
      <w:proofErr w:type="spellStart"/>
      <w:r>
        <w:t>orthopaedics</w:t>
      </w:r>
      <w:proofErr w:type="spellEnd"/>
      <w:r>
        <w:t>', 'fracture fixation', 'locking compression plate', 'minimally invasive plate osteosynthesis', 'platelet-rich plasma', 'bone morphogenetic protein', 'mesenchymal stem cells', '</w:t>
      </w:r>
      <w:proofErr w:type="spellStart"/>
      <w:r>
        <w:t>photobiomodulation</w:t>
      </w:r>
      <w:proofErr w:type="spellEnd"/>
      <w:r>
        <w:t xml:space="preserve">', 'laser therapy', 'shockwave therapy', '3D printing', 'bone tissue engineering', 'non-union', 'delayed union', 'canine', 'feline', 'equine', 'bovine', and their synonyms. The search was restricted to publications available from January 1996 to March 2026. Inclusion criteria required that articles be published in peer-reviewed academic journals in the English language, with substantive relevance to fracture healing in veterinary species. Conference proceedings, theses, grey literature, and book chapters were excluded. Classic foundational references from reputed journals published before 1996 were selectively incorporated where they provided essential mechanistic context unavailable in more recent publications. A minimum of fifteen recent references from the period 1996 to 2026, sourced exclusively from reputed academic journals, were included in compliance with the review methodology. All references were verified for accuracy of metadata including author names, </w:t>
      </w:r>
      <w:r>
        <w:lastRenderedPageBreak/>
        <w:t>article titles, journal names, volume and page numbers, publication years, and digital object identifiers (DOIs).</w:t>
      </w:r>
    </w:p>
    <w:p w14:paraId="126C4234" w14:textId="77777777" w:rsidR="00A41E53" w:rsidRDefault="00A41E53" w:rsidP="00CB5B2C">
      <w:pPr>
        <w:spacing w:before="100" w:beforeAutospacing="1" w:after="100" w:afterAutospacing="1"/>
      </w:pPr>
    </w:p>
    <w:p w14:paraId="5E3481F5" w14:textId="77777777" w:rsidR="00A41E53" w:rsidRDefault="009F05B9" w:rsidP="00CB5B2C">
      <w:pPr>
        <w:pStyle w:val="Heading1"/>
        <w:spacing w:before="100" w:beforeAutospacing="1" w:after="100" w:afterAutospacing="1"/>
      </w:pPr>
      <w:r>
        <w:t>3. Biology of Bone Fracture Healing</w:t>
      </w:r>
    </w:p>
    <w:p w14:paraId="1F6A6F45" w14:textId="77777777" w:rsidR="00A41E53" w:rsidRDefault="009F05B9" w:rsidP="00CB5B2C">
      <w:pPr>
        <w:pStyle w:val="Heading2"/>
        <w:spacing w:before="100" w:beforeAutospacing="1" w:afterAutospacing="1"/>
      </w:pPr>
      <w:r>
        <w:t>3.1. Phases of Fracture Healing</w:t>
      </w:r>
    </w:p>
    <w:p w14:paraId="513B66AF" w14:textId="77777777" w:rsidR="00A41E53" w:rsidRDefault="009F05B9" w:rsidP="00CB5B2C">
      <w:pPr>
        <w:spacing w:before="100" w:beforeAutospacing="1" w:after="100" w:afterAutospacing="1"/>
        <w:ind w:firstLine="720"/>
        <w:jc w:val="both"/>
      </w:pPr>
      <w:r>
        <w:t>Bone possesses a remarkable and unique capacity for true regeneration—restoring its original architecture rather than producing fibrous scar tissue—provided the biological and mechanical conditions at the fracture site are conducive to repair. The process of fracture healing proceeds through a well-</w:t>
      </w:r>
      <w:proofErr w:type="spellStart"/>
      <w:r>
        <w:t>characterised</w:t>
      </w:r>
      <w:proofErr w:type="spellEnd"/>
      <w:r>
        <w:t xml:space="preserve"> cascade of overlapping but distinct phases, regulated through complex interactions between immune cells, vascular endothelium, periosteal progenitor cells, </w:t>
      </w:r>
      <w:proofErr w:type="spellStart"/>
      <w:r>
        <w:t>haematopoietic</w:t>
      </w:r>
      <w:proofErr w:type="spellEnd"/>
      <w:r>
        <w:t xml:space="preserve"> progenitors, and a plethora of </w:t>
      </w:r>
      <w:proofErr w:type="spellStart"/>
      <w:r>
        <w:t>signalling</w:t>
      </w:r>
      <w:proofErr w:type="spellEnd"/>
      <w:r>
        <w:t xml:space="preserve"> molecules including cytokines, growth factors, and morphogens (Einhorn, 1998; </w:t>
      </w:r>
      <w:proofErr w:type="spellStart"/>
      <w:r>
        <w:t>Marsell</w:t>
      </w:r>
      <w:proofErr w:type="spellEnd"/>
      <w:r>
        <w:t xml:space="preserve"> &amp; Einhorn, 2011).</w:t>
      </w:r>
    </w:p>
    <w:p w14:paraId="6EDF1F63" w14:textId="77777777" w:rsidR="00A41E53" w:rsidRDefault="009F05B9" w:rsidP="00CB5B2C">
      <w:pPr>
        <w:spacing w:before="100" w:beforeAutospacing="1" w:after="100" w:afterAutospacing="1"/>
        <w:ind w:firstLine="720"/>
        <w:jc w:val="both"/>
      </w:pPr>
      <w:r>
        <w:t xml:space="preserve">The initial phase commences immediately after fracture with the formation of a fracture </w:t>
      </w:r>
      <w:proofErr w:type="spellStart"/>
      <w:r>
        <w:t>haematoma</w:t>
      </w:r>
      <w:proofErr w:type="spellEnd"/>
      <w:r>
        <w:t xml:space="preserve"> derived from disrupted cortical and medullary blood vessels. Far from being an inert clot, the </w:t>
      </w:r>
      <w:proofErr w:type="spellStart"/>
      <w:r>
        <w:t>haematoma</w:t>
      </w:r>
      <w:proofErr w:type="spellEnd"/>
      <w:r>
        <w:t xml:space="preserve"> is an active biological substrate that releases a cascade of inflammatory mediators and growth factors—including transforming growth factor-beta (TGF-β), platelet-derived growth factor (PDGF), fibroblast growth factor (FGF), and vascular endothelial growth factor (VEGF)—that recruit and activate the cellular participants of repair. This pro-inflammatory microenvironment is critical for initiating periosteal and endosteal cell proliferation, and disruption of the </w:t>
      </w:r>
      <w:proofErr w:type="spellStart"/>
      <w:r>
        <w:t>haematoma</w:t>
      </w:r>
      <w:proofErr w:type="spellEnd"/>
      <w:r>
        <w:t xml:space="preserve"> at surgery—as occurs with conventional open anatomical reduction—is now well </w:t>
      </w:r>
      <w:proofErr w:type="spellStart"/>
      <w:r>
        <w:t>recognised</w:t>
      </w:r>
      <w:proofErr w:type="spellEnd"/>
      <w:r>
        <w:t xml:space="preserve"> as a significant impediment to biological healing (</w:t>
      </w:r>
      <w:proofErr w:type="spellStart"/>
      <w:r>
        <w:t>Marsell</w:t>
      </w:r>
      <w:proofErr w:type="spellEnd"/>
      <w:r>
        <w:t xml:space="preserve"> &amp; Einhorn, 2011). The reparative phase follows, during which periosteal cells and recruited mesenchymal progenitors proliferate and differentiate to form a soft callus composed initially of fibrous tissue and cartilage via endochondral ossification, and subsequently a hard callus of woven bone via intramembranous ossification at the periphery. The relative contribution of these two pathways depends upon the degree of interfragmentary movement: stable fixation with minimal gap promotes direct or primary bone healing through </w:t>
      </w:r>
      <w:proofErr w:type="spellStart"/>
      <w:r>
        <w:t>osteonal</w:t>
      </w:r>
      <w:proofErr w:type="spellEnd"/>
      <w:r>
        <w:t xml:space="preserve"> </w:t>
      </w:r>
      <w:proofErr w:type="spellStart"/>
      <w:r>
        <w:t>remodelling</w:t>
      </w:r>
      <w:proofErr w:type="spellEnd"/>
      <w:r>
        <w:t xml:space="preserve"> without callus formation, whereas elastic fixation with controlled micromotion promotes secondary healing through robust callus formation (Einhorn, 1998; Bowers &amp; </w:t>
      </w:r>
      <w:proofErr w:type="spellStart"/>
      <w:r>
        <w:t>Engiles</w:t>
      </w:r>
      <w:proofErr w:type="spellEnd"/>
      <w:r>
        <w:t xml:space="preserve">, 2024). The </w:t>
      </w:r>
      <w:proofErr w:type="spellStart"/>
      <w:r>
        <w:t>remodelling</w:t>
      </w:r>
      <w:proofErr w:type="spellEnd"/>
      <w:r>
        <w:t xml:space="preserve"> phase, which may extend for months to years, involves the gradual replacement of woven bone with lamellar bone along lines of mechanical stress, guided by the mechanosensory function of osteocytes and expressed through the coordinated activities of osteoclasts and osteoblasts.</w:t>
      </w:r>
    </w:p>
    <w:p w14:paraId="00C414AD" w14:textId="77777777" w:rsidR="00A41E53" w:rsidRDefault="009F05B9" w:rsidP="00CB5B2C">
      <w:pPr>
        <w:pStyle w:val="Heading2"/>
        <w:spacing w:before="100" w:beforeAutospacing="1" w:afterAutospacing="1"/>
      </w:pPr>
      <w:r>
        <w:t>3.2. Factors Influencing Fracture Healing in Veterinary Patients</w:t>
      </w:r>
    </w:p>
    <w:p w14:paraId="7D59E020" w14:textId="77777777" w:rsidR="00A41E53" w:rsidRDefault="009F05B9" w:rsidP="00CB5B2C">
      <w:pPr>
        <w:spacing w:before="100" w:beforeAutospacing="1" w:after="100" w:afterAutospacing="1"/>
        <w:ind w:firstLine="720"/>
        <w:jc w:val="both"/>
      </w:pPr>
      <w:r>
        <w:t xml:space="preserve">The rate and completeness of fracture healing in veterinary patients are influenced by a constellation of biological, mechanical, and patient-related factors. Biological factors include the age and systemic health of the patient, the degree of soft tissue injury and vascular disruption at the fracture site, the presence of infection, concurrent metabolic or endocrine disorders, and nutritional status. Immature animals, by virtue of their robust periosteal blood supply and abundant osteoprogenitor cell populations, heal fractures substantially faster than adult or geriatric counterparts (Bowers &amp; </w:t>
      </w:r>
      <w:proofErr w:type="spellStart"/>
      <w:r>
        <w:t>Engiles</w:t>
      </w:r>
      <w:proofErr w:type="spellEnd"/>
      <w:r>
        <w:t xml:space="preserve">, 2024). Fractures of cancellous bone, such as those of the metaphysis, typically heal more rapidly than </w:t>
      </w:r>
      <w:r>
        <w:lastRenderedPageBreak/>
        <w:t>diaphyseal cortical fractures due to the rich vascular supply and greater surface area available for cellular activity. Open fractures, contaminated wounds, and infections introduce additional biological impediments through the elaboration of proteolytic enzymes, inflammatory cytokines, and bacterial exotoxins that impair osteogenesis.</w:t>
      </w:r>
    </w:p>
    <w:p w14:paraId="7BF81D10" w14:textId="77777777" w:rsidR="00A41E53" w:rsidRDefault="009F05B9" w:rsidP="00CB5B2C">
      <w:pPr>
        <w:spacing w:before="100" w:beforeAutospacing="1" w:after="100" w:afterAutospacing="1"/>
        <w:ind w:firstLine="720"/>
        <w:jc w:val="both"/>
      </w:pPr>
      <w:r>
        <w:t xml:space="preserve">Mechanical factors of primary importance include the degree of interfragmentary strain at the fracture site and the adequacy of fixation stability. A relationship between interfragmentary strain and healing outcome has been established, with strains below approximately two per cent </w:t>
      </w:r>
      <w:proofErr w:type="spellStart"/>
      <w:r>
        <w:t>favouring</w:t>
      </w:r>
      <w:proofErr w:type="spellEnd"/>
      <w:r>
        <w:t xml:space="preserve"> primary healing, strains between two and ten per cent promoting secondary healing through callus formation, and strains exceeding ten per cent predisposing to non-union through the formation of fibrocartilage or fibrous tissue incapable of transitioning to bone (Bowers &amp; </w:t>
      </w:r>
      <w:proofErr w:type="spellStart"/>
      <w:r>
        <w:t>Engiles</w:t>
      </w:r>
      <w:proofErr w:type="spellEnd"/>
      <w:r>
        <w:t xml:space="preserve">, 2024). The veterinary surgeon must therefore select and apply fixation systems that generate appropriate mechanical environments at the fracture site, </w:t>
      </w:r>
      <w:proofErr w:type="gramStart"/>
      <w:r>
        <w:t>taking into account</w:t>
      </w:r>
      <w:proofErr w:type="gramEnd"/>
      <w:r>
        <w:t xml:space="preserve"> the patient's body weight, anticipated activity level, expected compliance with post-operative exercise restriction, and the unique biomechanical challenges posed by different anatomical locations. Cook et al. (2010) provided a foundational framework for </w:t>
      </w:r>
      <w:proofErr w:type="spellStart"/>
      <w:r>
        <w:t>standardising</w:t>
      </w:r>
      <w:proofErr w:type="spellEnd"/>
      <w:r>
        <w:t xml:space="preserve"> outcome reporting in veterinary </w:t>
      </w:r>
      <w:proofErr w:type="spellStart"/>
      <w:r>
        <w:t>orthopaedic</w:t>
      </w:r>
      <w:proofErr w:type="spellEnd"/>
      <w:r>
        <w:t xml:space="preserve"> studies, </w:t>
      </w:r>
      <w:proofErr w:type="spellStart"/>
      <w:r>
        <w:t>emphasising</w:t>
      </w:r>
      <w:proofErr w:type="spellEnd"/>
      <w:r>
        <w:t xml:space="preserve"> the importance of clearly defined endpoints for union, complications, and functional recovery, which has substantially improved the interpretability of the clinical evidence base in the field.</w:t>
      </w:r>
    </w:p>
    <w:p w14:paraId="787FFAB3" w14:textId="77777777" w:rsidR="00A41E53" w:rsidRDefault="00A41E53" w:rsidP="00CB5B2C">
      <w:pPr>
        <w:spacing w:before="100" w:beforeAutospacing="1" w:after="100" w:afterAutospacing="1"/>
      </w:pPr>
    </w:p>
    <w:p w14:paraId="60C1AA06" w14:textId="77777777" w:rsidR="00A41E53" w:rsidRDefault="009F05B9" w:rsidP="00CB5B2C">
      <w:pPr>
        <w:pStyle w:val="Heading1"/>
        <w:spacing w:before="100" w:beforeAutospacing="1" w:after="100" w:afterAutospacing="1"/>
      </w:pPr>
      <w:r>
        <w:t>4. Mechanical Strategies in Fracture Fixation</w:t>
      </w:r>
    </w:p>
    <w:p w14:paraId="00A491E8" w14:textId="77777777" w:rsidR="00A41E53" w:rsidRDefault="009F05B9" w:rsidP="00CB5B2C">
      <w:pPr>
        <w:pStyle w:val="Heading2"/>
        <w:spacing w:before="100" w:beforeAutospacing="1" w:afterAutospacing="1"/>
      </w:pPr>
      <w:r>
        <w:t>4.1. Principles of Biological Osteosynthesis</w:t>
      </w:r>
    </w:p>
    <w:p w14:paraId="447E3012" w14:textId="77777777" w:rsidR="00A41E53" w:rsidRDefault="009F05B9" w:rsidP="00CB5B2C">
      <w:pPr>
        <w:spacing w:before="100" w:beforeAutospacing="1" w:after="100" w:afterAutospacing="1"/>
        <w:ind w:firstLine="720"/>
        <w:jc w:val="both"/>
      </w:pPr>
      <w:r>
        <w:t xml:space="preserve">The philosophical shift from rigid anatomical reconstruction to biological osteosynthesis has been one of the most consequential conceptual advances in veterinary fracture management. Biological osteosynthesis </w:t>
      </w:r>
      <w:proofErr w:type="spellStart"/>
      <w:r>
        <w:t>prioritises</w:t>
      </w:r>
      <w:proofErr w:type="spellEnd"/>
      <w:r>
        <w:t xml:space="preserve"> the preservation of the local biological environment—particularly periosteal vascularity, the fracture </w:t>
      </w:r>
      <w:proofErr w:type="spellStart"/>
      <w:r>
        <w:t>haematoma</w:t>
      </w:r>
      <w:proofErr w:type="spellEnd"/>
      <w:r>
        <w:t xml:space="preserve">, and the soft tissue envelope—over the achievement of anatomical reduction. In highly comminuted fractures, where anatomical reconstruction is neither feasible nor biologically desirable, the surgeon adopts a bridging approach in which the principal proximal and distal fragments are aligned and </w:t>
      </w:r>
      <w:proofErr w:type="spellStart"/>
      <w:r>
        <w:t>stabilised</w:t>
      </w:r>
      <w:proofErr w:type="spellEnd"/>
      <w:r>
        <w:t xml:space="preserve"> whilst the intermediate fragments are left undisturbed, allowing them to </w:t>
      </w:r>
      <w:proofErr w:type="spellStart"/>
      <w:r>
        <w:t>revascularise</w:t>
      </w:r>
      <w:proofErr w:type="spellEnd"/>
      <w:r>
        <w:t xml:space="preserve"> and incorporate naturally into the healing callus (</w:t>
      </w:r>
      <w:proofErr w:type="spellStart"/>
      <w:r>
        <w:t>Pozzi</w:t>
      </w:r>
      <w:proofErr w:type="spellEnd"/>
      <w:r>
        <w:t xml:space="preserve"> et al., 2021). This approach, embodying the 'gardener' philosophy in contrast to the traditional 'carpenter' approach, has been associated with improved healing rates and reduced complications, particularly in complex diaphyseal fractures of the femur, tibia, </w:t>
      </w:r>
      <w:proofErr w:type="spellStart"/>
      <w:r>
        <w:t>humerus</w:t>
      </w:r>
      <w:proofErr w:type="spellEnd"/>
      <w:r>
        <w:t>, and radius in dogs and cats.</w:t>
      </w:r>
    </w:p>
    <w:p w14:paraId="3807049F" w14:textId="77777777" w:rsidR="00A41E53" w:rsidRDefault="009F05B9" w:rsidP="00CB5B2C">
      <w:pPr>
        <w:pStyle w:val="Heading2"/>
        <w:spacing w:before="100" w:beforeAutospacing="1" w:afterAutospacing="1"/>
      </w:pPr>
      <w:r>
        <w:t>4.2. Locking Compression Plates</w:t>
      </w:r>
    </w:p>
    <w:p w14:paraId="00492427" w14:textId="77777777" w:rsidR="00A41E53" w:rsidRDefault="009F05B9" w:rsidP="00CB5B2C">
      <w:pPr>
        <w:spacing w:before="100" w:beforeAutospacing="1" w:after="100" w:afterAutospacing="1"/>
        <w:ind w:firstLine="720"/>
        <w:jc w:val="both"/>
      </w:pPr>
      <w:r>
        <w:t xml:space="preserve">The introduction of locking compression plate systems into veterinary </w:t>
      </w:r>
      <w:proofErr w:type="spellStart"/>
      <w:r>
        <w:t>orthopaedics</w:t>
      </w:r>
      <w:proofErr w:type="spellEnd"/>
      <w:r>
        <w:t xml:space="preserve"> has been pivotal in enabling robust fixation of a wide range of fracture types whilst </w:t>
      </w:r>
      <w:proofErr w:type="spellStart"/>
      <w:r>
        <w:t>minimising</w:t>
      </w:r>
      <w:proofErr w:type="spellEnd"/>
      <w:r>
        <w:t xml:space="preserve"> damage to the periosteal blood supply. Unlike conventional compression plates, which rely on friction between the plate undersurface and the bone cortex for stability and thereby compress the periosteum and its vasculature, locking plates achieve stability through the threaded engagement of locking screws with the plate, converting the plate-screw construct into a fixed-angle internal fixator. This design feature eliminates dependence on </w:t>
      </w:r>
      <w:r>
        <w:lastRenderedPageBreak/>
        <w:t>bone-plate contact for primary stability, allowing the plate to function as an internal fixator that does not compress the periosteum, thereby preserving periosteal blood supply and facilitating biological healing (</w:t>
      </w:r>
      <w:proofErr w:type="spellStart"/>
      <w:r>
        <w:t>Pozzi</w:t>
      </w:r>
      <w:proofErr w:type="spellEnd"/>
      <w:r>
        <w:t xml:space="preserve"> et al., 2021). Furthermore, locking constructs exhibit enhanced resistance to cyclic fatigue and screw pull-out, making them particularly advantageous in osteoporotic bone, geriatric patients, and situations where limited bone stock is available for screw purchase.</w:t>
      </w:r>
    </w:p>
    <w:p w14:paraId="10FC9E39" w14:textId="77777777" w:rsidR="00A41E53" w:rsidRDefault="009F05B9" w:rsidP="00CB5B2C">
      <w:pPr>
        <w:spacing w:before="100" w:beforeAutospacing="1" w:after="100" w:afterAutospacing="1"/>
        <w:ind w:firstLine="720"/>
        <w:jc w:val="both"/>
      </w:pPr>
      <w:r>
        <w:t xml:space="preserve">Locking plates are suited to the management of diaphyseal, metaphyseal, and juxta-articular fractures across the appendicular skeleton in small animals, and their versatility has been further extended by the development of </w:t>
      </w:r>
      <w:proofErr w:type="spellStart"/>
      <w:r>
        <w:t>polyaxial</w:t>
      </w:r>
      <w:proofErr w:type="spellEnd"/>
      <w:r>
        <w:t xml:space="preserve"> locking systems that permit variable screw angulation to accommodate challenging or irregular anatomy. The clinical performance of locking plates in veterinary patients has been well documented, with studies demonstrating high rates of fracture union and satisfactory limb function across a variety of fracture configurations and anatomical sites, supporting their adoption as the internal fixation method of choice in a wide spectrum of veterinary fracture cases (</w:t>
      </w:r>
      <w:proofErr w:type="spellStart"/>
      <w:r>
        <w:t>Guiot</w:t>
      </w:r>
      <w:proofErr w:type="spellEnd"/>
      <w:r>
        <w:t xml:space="preserve"> et al., 2019).</w:t>
      </w:r>
    </w:p>
    <w:p w14:paraId="464EB112" w14:textId="77777777" w:rsidR="00A41E53" w:rsidRDefault="009F05B9" w:rsidP="00CB5B2C">
      <w:pPr>
        <w:pStyle w:val="Heading2"/>
        <w:spacing w:before="100" w:beforeAutospacing="1" w:afterAutospacing="1"/>
      </w:pPr>
      <w:r>
        <w:t>4.3. Minimally Invasive Plate Osteosynthesis</w:t>
      </w:r>
    </w:p>
    <w:p w14:paraId="53EBE8DE" w14:textId="77777777" w:rsidR="00A41E53" w:rsidRDefault="009F05B9" w:rsidP="00CB5B2C">
      <w:pPr>
        <w:spacing w:before="100" w:beforeAutospacing="1" w:after="100" w:afterAutospacing="1"/>
        <w:ind w:firstLine="720"/>
        <w:jc w:val="both"/>
      </w:pPr>
      <w:r>
        <w:t xml:space="preserve">Minimally invasive plate osteosynthesis represents the technical expression of the biological osteosynthesis philosophy, combining the mechanical advantages of plate fixation with the biological benefits of limited surgical dissection. In this technique, the plate is introduced through small incisions made remote from the fracture site and advanced through an </w:t>
      </w:r>
      <w:proofErr w:type="spellStart"/>
      <w:r>
        <w:t>epiperiosteal</w:t>
      </w:r>
      <w:proofErr w:type="spellEnd"/>
      <w:r>
        <w:t xml:space="preserve"> tunnel, with screws inserted through the insertion incisions or via additional stab incisions over selected plate holes. The fracture </w:t>
      </w:r>
      <w:proofErr w:type="spellStart"/>
      <w:r>
        <w:t>haematoma</w:t>
      </w:r>
      <w:proofErr w:type="spellEnd"/>
      <w:r>
        <w:t xml:space="preserve"> and periosteal soft tissue envelope remain entirely undisturbed, and the disruption of already-compromised local vascularity that accompanies conventional open reduction is avoided (</w:t>
      </w:r>
      <w:proofErr w:type="spellStart"/>
      <w:r>
        <w:t>Schmökel</w:t>
      </w:r>
      <w:proofErr w:type="spellEnd"/>
      <w:r>
        <w:t xml:space="preserve"> et al., 2007; </w:t>
      </w:r>
      <w:proofErr w:type="spellStart"/>
      <w:r>
        <w:t>Pozzi</w:t>
      </w:r>
      <w:proofErr w:type="spellEnd"/>
      <w:r>
        <w:t xml:space="preserve"> et al., 2021). The fracture </w:t>
      </w:r>
      <w:proofErr w:type="spellStart"/>
      <w:r>
        <w:t>haematoma</w:t>
      </w:r>
      <w:proofErr w:type="spellEnd"/>
      <w:r>
        <w:t xml:space="preserve"> is thus preserved as an active biological resource, maintaining its pro-osteogenic </w:t>
      </w:r>
      <w:proofErr w:type="spellStart"/>
      <w:r>
        <w:t>signalling</w:t>
      </w:r>
      <w:proofErr w:type="spellEnd"/>
      <w:r>
        <w:t xml:space="preserve"> capacity throughout the early reparative phase.</w:t>
      </w:r>
    </w:p>
    <w:p w14:paraId="1C517D31" w14:textId="77777777" w:rsidR="00A41E53" w:rsidRDefault="009F05B9" w:rsidP="00CB5B2C">
      <w:pPr>
        <w:spacing w:before="100" w:beforeAutospacing="1" w:after="100" w:afterAutospacing="1"/>
        <w:ind w:firstLine="720"/>
        <w:jc w:val="both"/>
      </w:pPr>
      <w:r>
        <w:t xml:space="preserve">The application of MIPO to tibial fractures in dogs and cats was among the earliest clinical descriptions of the technique in veterinary patients. </w:t>
      </w:r>
      <w:proofErr w:type="spellStart"/>
      <w:r>
        <w:t>Schmökel</w:t>
      </w:r>
      <w:proofErr w:type="spellEnd"/>
      <w:r>
        <w:t xml:space="preserve"> et al. (2007) reported a series of six dogs and four cats with tibial fractures treated by minimally invasive percutaneous plating, with all animals achieving union within 35 to 42 days and returning to full limb function by 90 days without major complications. The technique has since been systematically applied to fractures of the </w:t>
      </w:r>
      <w:proofErr w:type="spellStart"/>
      <w:r>
        <w:t>humerus</w:t>
      </w:r>
      <w:proofErr w:type="spellEnd"/>
      <w:r>
        <w:t xml:space="preserve">, radius and ulna, femur, and tibia in both dogs and cats. </w:t>
      </w:r>
      <w:proofErr w:type="spellStart"/>
      <w:r>
        <w:t>Guiot</w:t>
      </w:r>
      <w:proofErr w:type="spellEnd"/>
      <w:r>
        <w:t xml:space="preserve"> et al. (2019) reported outcomes in eleven dogs and four cats with humeral shaft fractures treated via a novel medial MIPO approach using a plate-rod construct, achieving healing at a mean of 36 days (range 20–69 days) in the twelve animals completing on-time follow-up, with no major complications recorded. </w:t>
      </w:r>
      <w:proofErr w:type="spellStart"/>
      <w:r>
        <w:t>Istim</w:t>
      </w:r>
      <w:proofErr w:type="spellEnd"/>
      <w:r>
        <w:t xml:space="preserve"> and </w:t>
      </w:r>
      <w:proofErr w:type="spellStart"/>
      <w:r>
        <w:t>Arican</w:t>
      </w:r>
      <w:proofErr w:type="spellEnd"/>
      <w:r>
        <w:t xml:space="preserve"> (2022) evaluated MIPO in ten dogs with tibial fractures, noting a 90 per cent complication-free healing rate and </w:t>
      </w:r>
      <w:proofErr w:type="spellStart"/>
      <w:r>
        <w:t>emphasising</w:t>
      </w:r>
      <w:proofErr w:type="spellEnd"/>
      <w:r>
        <w:t xml:space="preserve"> the importance of careful case selection, including fracture classification, reduction quality, and surgeon experience, as prerequisites for successful application. The utility of MIPO in achieving and maintaining adequate reduction has been further enhanced by dedicated instrumentation systems; Townsend and Lewis (2018) described the use of a Minimally Invasive Reduction Instrumentation System in three dogs with diaphyseal fractures of the radius, ulna, and tibia, achieving near-anatomical restoration of limb alignment in all three cases.</w:t>
      </w:r>
    </w:p>
    <w:p w14:paraId="7D3C93E5" w14:textId="77777777" w:rsidR="00A41E53" w:rsidRDefault="009F05B9" w:rsidP="00CB5B2C">
      <w:pPr>
        <w:spacing w:before="100" w:beforeAutospacing="1" w:after="100" w:afterAutospacing="1"/>
        <w:ind w:firstLine="720"/>
        <w:jc w:val="both"/>
      </w:pPr>
      <w:proofErr w:type="spellStart"/>
      <w:r>
        <w:t>Pozzi</w:t>
      </w:r>
      <w:proofErr w:type="spellEnd"/>
      <w:r>
        <w:t xml:space="preserve"> et al. (2021) provided a comprehensive review of minimally invasive osteosynthesis strategies in dogs and cats, encompassing long bone fractures, </w:t>
      </w:r>
      <w:proofErr w:type="spellStart"/>
      <w:r>
        <w:t>physeal</w:t>
      </w:r>
      <w:proofErr w:type="spellEnd"/>
      <w:r>
        <w:t xml:space="preserve"> and </w:t>
      </w:r>
      <w:r>
        <w:lastRenderedPageBreak/>
        <w:t>articular fractures, and sacroiliac fracture-</w:t>
      </w:r>
      <w:proofErr w:type="spellStart"/>
      <w:r>
        <w:t>luxations</w:t>
      </w:r>
      <w:proofErr w:type="spellEnd"/>
      <w:r>
        <w:t xml:space="preserve">, concluding that the available evidence supports MIPO as a promising fracture management modality associated with low complication rates and good to excellent return to function, while also noting that the evidence does not yet demonstrate its superiority over open fracture </w:t>
      </w:r>
      <w:proofErr w:type="spellStart"/>
      <w:r>
        <w:t>stabilisation</w:t>
      </w:r>
      <w:proofErr w:type="spellEnd"/>
      <w:r>
        <w:t xml:space="preserve"> and that </w:t>
      </w:r>
      <w:proofErr w:type="spellStart"/>
      <w:r>
        <w:t>randomised</w:t>
      </w:r>
      <w:proofErr w:type="spellEnd"/>
      <w:r>
        <w:t xml:space="preserve"> controlled studies are warranted to validate its role prospectively. One prospective study cited in that review </w:t>
      </w:r>
      <w:proofErr w:type="spellStart"/>
      <w:r>
        <w:t>utilised</w:t>
      </w:r>
      <w:proofErr w:type="spellEnd"/>
      <w:r>
        <w:t xml:space="preserve"> ultrasonography as an outcome measure and identified a significant increase in early callus formation in MIPO-treated radial fractures compared to open plating, providing objective biological evidence for the periosteal-preserving advantage of the technique.</w:t>
      </w:r>
    </w:p>
    <w:p w14:paraId="1802A2E4" w14:textId="77777777" w:rsidR="00A41E53" w:rsidRDefault="009F05B9" w:rsidP="00CB5B2C">
      <w:pPr>
        <w:pStyle w:val="Heading2"/>
        <w:spacing w:before="100" w:beforeAutospacing="1" w:afterAutospacing="1"/>
      </w:pPr>
      <w:r>
        <w:t>4.4. External Skeletal Fixation</w:t>
      </w:r>
    </w:p>
    <w:p w14:paraId="382FD17B" w14:textId="77777777" w:rsidR="00A41E53" w:rsidRDefault="009F05B9" w:rsidP="00CB5B2C">
      <w:pPr>
        <w:spacing w:before="100" w:beforeAutospacing="1" w:after="100" w:afterAutospacing="1"/>
        <w:ind w:firstLine="720"/>
        <w:jc w:val="both"/>
      </w:pPr>
      <w:r>
        <w:t xml:space="preserve">External skeletal fixation remains a valuable and versatile modality in veterinary fracture management, particularly for open, contaminated, periarticular, and metaphyseal fractures, as well as for the management of non-union and delayed union cases where revision internal fixation is technically challenging. External skeletal fixation systems ranging from simple linear unilateral frames to complex circular ring fixators—such as the </w:t>
      </w:r>
      <w:proofErr w:type="spellStart"/>
      <w:r>
        <w:t>Ilizarov</w:t>
      </w:r>
      <w:proofErr w:type="spellEnd"/>
      <w:r>
        <w:t xml:space="preserve"> and hexapod constructs—provide axial stability and interfragmentary compression whilst permitting access to the wound for active management and enabling progressive adjustment of alignment and </w:t>
      </w:r>
      <w:proofErr w:type="spellStart"/>
      <w:r>
        <w:t>dynamisation</w:t>
      </w:r>
      <w:proofErr w:type="spellEnd"/>
      <w:r>
        <w:t xml:space="preserve"> as healing advances. Circular fixators in particular have gained prominence in the management of severe fractures with bone loss, angular deformities, and established non-unions in both small and large animals, enabling gradual bone transport and distraction osteogenesis across critical-sized defects (Bowers &amp; </w:t>
      </w:r>
      <w:proofErr w:type="spellStart"/>
      <w:r>
        <w:t>Engiles</w:t>
      </w:r>
      <w:proofErr w:type="spellEnd"/>
      <w:r>
        <w:t>, 2024). External fixation may also be employed in combination with intramedullary pins or locking plates as hybrid constructs, providing additional mechanical stability in biomechanically challenging situations.</w:t>
      </w:r>
    </w:p>
    <w:p w14:paraId="1D842E8F" w14:textId="77777777" w:rsidR="00A41E53" w:rsidRDefault="00A41E53" w:rsidP="00CB5B2C">
      <w:pPr>
        <w:spacing w:before="100" w:beforeAutospacing="1" w:after="100" w:afterAutospacing="1"/>
      </w:pPr>
    </w:p>
    <w:p w14:paraId="72FAD360" w14:textId="77777777" w:rsidR="00A41E53" w:rsidRDefault="009F05B9" w:rsidP="00CB5B2C">
      <w:pPr>
        <w:pStyle w:val="Heading1"/>
        <w:spacing w:before="100" w:beforeAutospacing="1" w:after="100" w:afterAutospacing="1"/>
      </w:pPr>
      <w:r>
        <w:t>5. Biological Enhancement Strategies</w:t>
      </w:r>
    </w:p>
    <w:p w14:paraId="1B8C0941" w14:textId="77777777" w:rsidR="00A41E53" w:rsidRDefault="009F05B9" w:rsidP="00CB5B2C">
      <w:pPr>
        <w:pStyle w:val="Heading2"/>
        <w:spacing w:before="100" w:beforeAutospacing="1" w:afterAutospacing="1"/>
      </w:pPr>
      <w:r>
        <w:t>5.1. Autogenous Bone Grafting</w:t>
      </w:r>
    </w:p>
    <w:p w14:paraId="664BD45C" w14:textId="77777777" w:rsidR="00A41E53" w:rsidRDefault="009F05B9" w:rsidP="00CB5B2C">
      <w:pPr>
        <w:spacing w:before="100" w:beforeAutospacing="1" w:after="100" w:afterAutospacing="1"/>
        <w:ind w:firstLine="720"/>
        <w:jc w:val="both"/>
      </w:pPr>
      <w:r>
        <w:t xml:space="preserve">Autogenous cancellous bone graft remains the gold standard biological adjunct for the enhancement of fracture healing, providing the three cardinal properties required for bone regeneration: </w:t>
      </w:r>
      <w:proofErr w:type="spellStart"/>
      <w:r>
        <w:t>osteoconductivity</w:t>
      </w:r>
      <w:proofErr w:type="spellEnd"/>
      <w:r>
        <w:t xml:space="preserve">—a scaffold for bone ingrowth; </w:t>
      </w:r>
      <w:proofErr w:type="spellStart"/>
      <w:r>
        <w:t>osteoinductivity</w:t>
      </w:r>
      <w:proofErr w:type="spellEnd"/>
      <w:r>
        <w:t xml:space="preserve">—the ability to stimulate the differentiation of host progenitor cells into osteoblasts; and </w:t>
      </w:r>
      <w:proofErr w:type="spellStart"/>
      <w:r>
        <w:t>osteogenicity</w:t>
      </w:r>
      <w:proofErr w:type="spellEnd"/>
      <w:r>
        <w:t xml:space="preserve">—the direct provision of viable osteoblasts and osteoprogenitor cells. Harvest sites commonly employed in small animals include the iliac crest, proximal </w:t>
      </w:r>
      <w:proofErr w:type="spellStart"/>
      <w:r>
        <w:t>humerus</w:t>
      </w:r>
      <w:proofErr w:type="spellEnd"/>
      <w:r>
        <w:t xml:space="preserve">, greater tubercle, and ribs, each providing access to autogenous </w:t>
      </w:r>
      <w:proofErr w:type="spellStart"/>
      <w:r>
        <w:t>corticocancellous</w:t>
      </w:r>
      <w:proofErr w:type="spellEnd"/>
      <w:r>
        <w:t xml:space="preserve"> or cancellous bone of varying volume and composition. Autogenous bone grafting is particularly indicated in atrophic non-unions, critical-sized bone defects, and cases of delayed healing where the local biological environment has been depleted of osteogenic potential. </w:t>
      </w:r>
      <w:proofErr w:type="spellStart"/>
      <w:r>
        <w:t>Camilletti</w:t>
      </w:r>
      <w:proofErr w:type="spellEnd"/>
      <w:r>
        <w:t xml:space="preserve"> and </w:t>
      </w:r>
      <w:proofErr w:type="spellStart"/>
      <w:r>
        <w:t>d'Amato</w:t>
      </w:r>
      <w:proofErr w:type="spellEnd"/>
      <w:r>
        <w:t xml:space="preserve"> (2024) reported </w:t>
      </w:r>
      <w:proofErr w:type="spellStart"/>
      <w:r>
        <w:t>favourable</w:t>
      </w:r>
      <w:proofErr w:type="spellEnd"/>
      <w:r>
        <w:t xml:space="preserve"> long-term outcomes in nineteen dogs and cats with atrophic or oligotrophic non-unions managed with autologous iliac </w:t>
      </w:r>
      <w:proofErr w:type="spellStart"/>
      <w:r>
        <w:t>corticocancellous</w:t>
      </w:r>
      <w:proofErr w:type="spellEnd"/>
      <w:r>
        <w:t xml:space="preserve"> bone graft combined with circular external skeletal fixation, demonstrating healing in all cases and underscoring the continued central role of gold-standard biological augmentation even in the era of more advanced regenerative therapies. The principal limitation of autogenous grafting is donor site morbidity—including pain, </w:t>
      </w:r>
      <w:proofErr w:type="spellStart"/>
      <w:r>
        <w:t>haematoma</w:t>
      </w:r>
      <w:proofErr w:type="spellEnd"/>
      <w:r>
        <w:t xml:space="preserve">, and the risk of iatrogenic fracture at the </w:t>
      </w:r>
      <w:r>
        <w:lastRenderedPageBreak/>
        <w:t>harvest site—which has motivated interest in biological alternatives such as synthetic bone substitutes and growth factor preparations.</w:t>
      </w:r>
    </w:p>
    <w:p w14:paraId="061EADC9" w14:textId="77777777" w:rsidR="00A41E53" w:rsidRDefault="009F05B9" w:rsidP="00CB5B2C">
      <w:pPr>
        <w:pStyle w:val="Heading2"/>
        <w:spacing w:before="100" w:beforeAutospacing="1" w:afterAutospacing="1"/>
      </w:pPr>
      <w:r>
        <w:t>5.2. Platelet-Rich Plasma and Related Preparations</w:t>
      </w:r>
    </w:p>
    <w:p w14:paraId="61FD9BC2" w14:textId="77777777" w:rsidR="00A41E53" w:rsidRDefault="009F05B9" w:rsidP="00CB5B2C">
      <w:pPr>
        <w:spacing w:before="100" w:beforeAutospacing="1" w:after="100" w:afterAutospacing="1"/>
        <w:ind w:firstLine="720"/>
        <w:jc w:val="both"/>
      </w:pPr>
      <w:r>
        <w:t xml:space="preserve">Platelet-rich plasma is an autologous blood-derived preparation enriched in platelets and their associated alpha granules, which upon activation release an array of growth factors critical to tissue repair and bone regeneration. Key growth factors released include platelet-derived growth factor (PDGF), transforming growth factor-beta 1 and 2 (TGF-β1, TGF-β2), insulin-like growth factor-1 (IGF-1), vascular endothelial growth factor (VEGF), and epidermal growth factor (EGF). These molecules collectively promote osteoblast proliferation, migration, and differentiation; stimulate angiogenesis; and modulate the inflammatory microenvironment at the fracture site in </w:t>
      </w:r>
      <w:proofErr w:type="spellStart"/>
      <w:r>
        <w:t>favour</w:t>
      </w:r>
      <w:proofErr w:type="spellEnd"/>
      <w:r>
        <w:t xml:space="preserve"> of tissue repair. The relative simplicity of PRP preparation from the patient's own peripheral blood, its autologous nature eliminating immune rejection, and its broad availability have made it an attractive adjunct in veterinary </w:t>
      </w:r>
      <w:proofErr w:type="spellStart"/>
      <w:r>
        <w:t>orthopaedic</w:t>
      </w:r>
      <w:proofErr w:type="spellEnd"/>
      <w:r>
        <w:t xml:space="preserve"> surgery.</w:t>
      </w:r>
    </w:p>
    <w:p w14:paraId="594D53F7" w14:textId="77777777" w:rsidR="00A41E53" w:rsidRDefault="009F05B9" w:rsidP="00CB5B2C">
      <w:pPr>
        <w:spacing w:before="100" w:beforeAutospacing="1" w:after="100" w:afterAutospacing="1"/>
        <w:ind w:firstLine="720"/>
        <w:jc w:val="both"/>
      </w:pPr>
      <w:r>
        <w:t xml:space="preserve">López et al. (2019) conducted a prospective, </w:t>
      </w:r>
      <w:proofErr w:type="spellStart"/>
      <w:r>
        <w:t>multicentre</w:t>
      </w:r>
      <w:proofErr w:type="spellEnd"/>
      <w:r>
        <w:t xml:space="preserve">, </w:t>
      </w:r>
      <w:proofErr w:type="spellStart"/>
      <w:r>
        <w:t>randomised</w:t>
      </w:r>
      <w:proofErr w:type="spellEnd"/>
      <w:r>
        <w:t xml:space="preserve"> clinical trial evaluating the efficacy of plasma rich in growth factors (PRGF), a PRP derivative, in the treatment of naturally occurring long bone fractures in dogs. Of 68 dogs initially evaluated, 43 met the inclusion criteria and were enrolled, with 20 receiving PRGF and 23 receiving saline solution as control. Although trends towards improved clinical parameters were observed in the PRGF group—including more rapid return to weight bearing and reduced post-operative analgesic requirements—the study highlighted the considerable heterogeneity of naturally occurring fractures and the methodological challenges of demonstrating unambiguous benefit from biological adjuncts in a heterogeneous clinical population. </w:t>
      </w:r>
      <w:proofErr w:type="spellStart"/>
      <w:r>
        <w:t>Barbaro</w:t>
      </w:r>
      <w:proofErr w:type="spellEnd"/>
      <w:r>
        <w:t xml:space="preserve"> et al. (2024) described the application of a combined PRP and hydroxyapatite nanoparticle preparation in a 13-month-old male Rottweiler with a severe spiral tibial fracture that had failed conventional surgical intervention, with progressive bone resorption and worsening fracture gap documented on serial radiographs. Quantitative analysis using ImageJ software demonstrated a marked reduction in fracture gap and increased callus density within ten days of treatment with the combined preparation, suggesting a notable acceleration of the bone healing process and illustrating the potential of combining PRP with osteoconductive scaffolds as an adjunctive strategy in cases of impaired or failed healing. The scientific literature on PRP in veterinary fracture management reveals a pattern of promising results tempered by inconsistent outcomes across studies, attributable in part to variation in PRP preparation protocols, delivery methods, timing of administration, and patient heterogeneity. </w:t>
      </w:r>
      <w:proofErr w:type="spellStart"/>
      <w:r>
        <w:t>Standardised</w:t>
      </w:r>
      <w:proofErr w:type="spellEnd"/>
      <w:r>
        <w:t xml:space="preserve"> preparation and </w:t>
      </w:r>
      <w:proofErr w:type="spellStart"/>
      <w:r>
        <w:t>characterisation</w:t>
      </w:r>
      <w:proofErr w:type="spellEnd"/>
      <w:r>
        <w:t xml:space="preserve"> of PRP products, and well-controlled comparative trials, remain essential priorities for establishing the evidence base for this modality.</w:t>
      </w:r>
    </w:p>
    <w:p w14:paraId="069B198E" w14:textId="77777777" w:rsidR="00A41E53" w:rsidRDefault="009F05B9" w:rsidP="00CB5B2C">
      <w:pPr>
        <w:pStyle w:val="Heading2"/>
        <w:spacing w:before="100" w:beforeAutospacing="1" w:afterAutospacing="1"/>
      </w:pPr>
      <w:r>
        <w:t>5.3. Bone Morphogenetic Proteins</w:t>
      </w:r>
    </w:p>
    <w:p w14:paraId="07300281" w14:textId="77777777" w:rsidR="00A41E53" w:rsidRDefault="009F05B9" w:rsidP="00CB5B2C">
      <w:pPr>
        <w:spacing w:before="100" w:beforeAutospacing="1" w:after="100" w:afterAutospacing="1"/>
        <w:ind w:firstLine="720"/>
        <w:jc w:val="both"/>
      </w:pPr>
      <w:r>
        <w:t xml:space="preserve">Bone morphogenetic proteins are members of the transforming growth factor-beta superfamily and are among the most potent </w:t>
      </w:r>
      <w:proofErr w:type="spellStart"/>
      <w:r>
        <w:t>osteoinductive</w:t>
      </w:r>
      <w:proofErr w:type="spellEnd"/>
      <w:r>
        <w:t xml:space="preserve"> agents identified in nature. They exert their osteogenic effects primarily by recruiting and stimulating the differentiation of circulating mesenchymal stem cells and local periosteal progenitors into osteoblasts, whilst simultaneously promoting angiogenesis and facilitating bone matrix </w:t>
      </w:r>
      <w:proofErr w:type="spellStart"/>
      <w:r>
        <w:t>remodelling</w:t>
      </w:r>
      <w:proofErr w:type="spellEnd"/>
      <w:r>
        <w:t xml:space="preserve">. Of the more than twenty BMP subtypes </w:t>
      </w:r>
      <w:proofErr w:type="spellStart"/>
      <w:r>
        <w:t>characterised</w:t>
      </w:r>
      <w:proofErr w:type="spellEnd"/>
      <w:r>
        <w:t xml:space="preserve"> to date, BMP-2 and BMP-7 (osteogenic protein-1) have received the greatest clinical attention, and recombinant human versions—</w:t>
      </w:r>
      <w:r>
        <w:lastRenderedPageBreak/>
        <w:t xml:space="preserve">rhBMP-2 and rhBMP-7—have been developed for use in </w:t>
      </w:r>
      <w:proofErr w:type="spellStart"/>
      <w:r>
        <w:t>orthopaedic</w:t>
      </w:r>
      <w:proofErr w:type="spellEnd"/>
      <w:r>
        <w:t xml:space="preserve"> and spinal applications in human medicine. In veterinary medicine, the application of rhBMP-2 has been principally explored in the context of non-union fractures and critical-sized bone defects where conventional biological augmentation has proved insufficient.</w:t>
      </w:r>
    </w:p>
    <w:p w14:paraId="57DCBEE4" w14:textId="77777777" w:rsidR="00A41E53" w:rsidRDefault="009F05B9" w:rsidP="00CB5B2C">
      <w:pPr>
        <w:spacing w:before="100" w:beforeAutospacing="1" w:after="100" w:afterAutospacing="1"/>
        <w:ind w:firstLine="720"/>
        <w:jc w:val="both"/>
      </w:pPr>
      <w:r>
        <w:t xml:space="preserve">Massie et al. (2017) reported outcomes in a longitudinal cohort study of dogs with non-union fractures treated with rigid internal fixation, a compression-resistant collagen matrix carrier soaked with rhBMP-2. Eleven nonunion fractures in nine dogs were included, and the median healing time was ten weeks (range seven to twenty weeks). All nine limbs returned to full or acceptable function at final follow-up, and major perioperative complications attributable to bandage morbidity were resolved in all cases. These results suggest a </w:t>
      </w:r>
      <w:proofErr w:type="spellStart"/>
      <w:r>
        <w:t>favourable</w:t>
      </w:r>
      <w:proofErr w:type="spellEnd"/>
      <w:r>
        <w:t xml:space="preserve"> biological effect attributable to the BMP component, although the absence of a concurrent control group limits the strength of inference. Lee and Kang (2024) subsequently described the use of rhBMP-2-loaded alginate microbead delivery systems combined with cortical bone allografts in the surgical reconstruction of canine non-union fractures, reporting </w:t>
      </w:r>
      <w:proofErr w:type="spellStart"/>
      <w:r>
        <w:t>favourable</w:t>
      </w:r>
      <w:proofErr w:type="spellEnd"/>
      <w:r>
        <w:t xml:space="preserve"> structural and functional outcomes without major complications. This study illustrated the value of novel biomaterial delivery systems in sustaining the controlled, </w:t>
      </w:r>
      <w:proofErr w:type="spellStart"/>
      <w:r>
        <w:t>localised</w:t>
      </w:r>
      <w:proofErr w:type="spellEnd"/>
      <w:r>
        <w:t xml:space="preserve"> release of </w:t>
      </w:r>
      <w:proofErr w:type="spellStart"/>
      <w:r>
        <w:t>osteoinductive</w:t>
      </w:r>
      <w:proofErr w:type="spellEnd"/>
      <w:r>
        <w:t xml:space="preserve"> signals at the repair site over a biologically meaningful timeframe. The principal challenges attending the clinical use of BMPs in veterinary patients include the high cost of recombinant preparations, immunogenicity concerns with human recombinant proteins in non-human species, the need for appropriate delivery matrices to prevent premature degradation or ectopic diffusion, and the limited body of controlled clinical data. Based on current evidence, BMPs represent a valuable adjunct in the management of challenging non-unions and bone defects but cannot be recommended for routine use in uncomplicated fractures.</w:t>
      </w:r>
    </w:p>
    <w:p w14:paraId="4A941B3A" w14:textId="77777777" w:rsidR="00A41E53" w:rsidRDefault="009F05B9" w:rsidP="00CB5B2C">
      <w:pPr>
        <w:pStyle w:val="Heading2"/>
        <w:spacing w:before="100" w:beforeAutospacing="1" w:afterAutospacing="1"/>
      </w:pPr>
      <w:r>
        <w:t>5.4. Mesenchymal Stem Cell Therapy</w:t>
      </w:r>
    </w:p>
    <w:p w14:paraId="2EE55737" w14:textId="77777777" w:rsidR="00A41E53" w:rsidRDefault="009F05B9" w:rsidP="00CB5B2C">
      <w:pPr>
        <w:spacing w:before="100" w:beforeAutospacing="1" w:after="100" w:afterAutospacing="1"/>
        <w:ind w:firstLine="720"/>
        <w:jc w:val="both"/>
      </w:pPr>
      <w:r>
        <w:t xml:space="preserve">Mesenchymal stem cells are multipotent progenitor cells capable of self-renewal and differentiation into osteoblasts, chondrocytes, adipocytes, and other connective tissue lineages. Their potential for bone regeneration arises not only from their direct osteogenic differentiation capacity but also from their extensive paracrine activity—secretion of growth factors, cytokines, and extracellular vesicles that create an immunomodulatory and pro-regenerative microenvironment at the site of injury. Mesenchymal stem cells can be harvested from bone marrow, adipose tissue, umbilical cord, and other sources, and may be applied autologously, </w:t>
      </w:r>
      <w:proofErr w:type="spellStart"/>
      <w:r>
        <w:t>allogeneically</w:t>
      </w:r>
      <w:proofErr w:type="spellEnd"/>
      <w:r>
        <w:t>, or as off-the-shelf culture-expanded preparations.</w:t>
      </w:r>
    </w:p>
    <w:p w14:paraId="2F4F95F9" w14:textId="77777777" w:rsidR="00A41E53" w:rsidRDefault="009F05B9" w:rsidP="00CB5B2C">
      <w:pPr>
        <w:spacing w:before="100" w:beforeAutospacing="1" w:after="100" w:afterAutospacing="1"/>
        <w:ind w:firstLine="720"/>
        <w:jc w:val="both"/>
      </w:pPr>
      <w:proofErr w:type="spellStart"/>
      <w:r>
        <w:t>Arinzeh</w:t>
      </w:r>
      <w:proofErr w:type="spellEnd"/>
      <w:r>
        <w:t xml:space="preserve"> et al. (2003) provided seminal preclinical evidence for the efficacy of allogeneic MSC therapy in bone regeneration, demonstrating that allogeneic MSCs loaded onto hollow hydroxyapatite-tricalcium phosphate ceramic cylinders successfully bridged a 21-millimetre critical-sized femoral diaphyseal segmental defect in twelve adult dogs without the use of immunosuppressive therapy. Histologically, at sixteen weeks, new bone had formed throughout the implants and the results were comparable to those observed with autologous MSC implants, whilst no adverse immune response—including lymphocytic infiltration or detectable alloantibodies—was demonstrated. These findings suggest that the immunomodulatory properties of MSCs may permit allogeneic application in canine patients, opening the possibility of off-the-shelf preparations that avoid the delays and morbidity associated with autologous cell harvest. In equine medicine, the use of bone marrow-derived MSCs has attracted considerable interest as a strategy for improving fracture healing in a species where catastrophic fractures carry grave prognostic implications. Colbath et al. </w:t>
      </w:r>
      <w:r>
        <w:lastRenderedPageBreak/>
        <w:t xml:space="preserve">(2020) investigated the in vitro interaction between extracorporeal shockwave therapy and equine bone marrow-derived MSC osteogenesis, finding that a single shockwave exposure tended to enhance markers of osteogenic differentiation—including alkaline phosphatase expression—in MSCs cultured under osteogenic conditions, suggesting a potential synergism between these two therapeutic modalities that merits further investigation in vivo. The translational pathway for MSC therapy in veterinary patients faces significant hurdles including the absence of </w:t>
      </w:r>
      <w:proofErr w:type="spellStart"/>
      <w:r>
        <w:t>standardised</w:t>
      </w:r>
      <w:proofErr w:type="spellEnd"/>
      <w:r>
        <w:t xml:space="preserve"> protocols for cell isolation, expansion, and quality control; uncertainty regarding optimal dose, delivery vehicle, and timing; and the paucity of well-controlled clinical trials.</w:t>
      </w:r>
    </w:p>
    <w:p w14:paraId="1B3945C1" w14:textId="77777777" w:rsidR="00A41E53" w:rsidRDefault="00A41E53" w:rsidP="00CB5B2C">
      <w:pPr>
        <w:spacing w:before="100" w:beforeAutospacing="1" w:after="100" w:afterAutospacing="1"/>
      </w:pPr>
    </w:p>
    <w:p w14:paraId="7F35BDD9" w14:textId="77777777" w:rsidR="00A41E53" w:rsidRDefault="009F05B9" w:rsidP="00CB5B2C">
      <w:pPr>
        <w:pStyle w:val="Heading1"/>
        <w:spacing w:before="100" w:beforeAutospacing="1" w:after="100" w:afterAutospacing="1"/>
      </w:pPr>
      <w:r>
        <w:t>6. Physical Adjunct Therapies</w:t>
      </w:r>
    </w:p>
    <w:p w14:paraId="4BC12BA3" w14:textId="77777777" w:rsidR="00A41E53" w:rsidRDefault="009F05B9" w:rsidP="00CB5B2C">
      <w:pPr>
        <w:pStyle w:val="Heading2"/>
        <w:spacing w:before="100" w:beforeAutospacing="1" w:afterAutospacing="1"/>
      </w:pPr>
      <w:r>
        <w:t xml:space="preserve">6.1. </w:t>
      </w:r>
      <w:proofErr w:type="spellStart"/>
      <w:r>
        <w:t>Photobiomodulation</w:t>
      </w:r>
      <w:proofErr w:type="spellEnd"/>
      <w:r>
        <w:t xml:space="preserve"> Therapy</w:t>
      </w:r>
    </w:p>
    <w:p w14:paraId="4CB3E527" w14:textId="77777777" w:rsidR="00A41E53" w:rsidRDefault="009F05B9" w:rsidP="00CB5B2C">
      <w:pPr>
        <w:spacing w:before="100" w:beforeAutospacing="1" w:after="100" w:afterAutospacing="1"/>
        <w:ind w:firstLine="720"/>
        <w:jc w:val="both"/>
      </w:pPr>
      <w:proofErr w:type="spellStart"/>
      <w:r>
        <w:t>Photobiomodulation</w:t>
      </w:r>
      <w:proofErr w:type="spellEnd"/>
      <w:r>
        <w:t xml:space="preserve"> therapy, formerly referred to as low-level laser therapy, involves the application of non-thermal light energy—most commonly in the red and near-infrared spectral range (approximately 600 to 1100 </w:t>
      </w:r>
      <w:proofErr w:type="spellStart"/>
      <w:r>
        <w:t>nanometres</w:t>
      </w:r>
      <w:proofErr w:type="spellEnd"/>
      <w:r>
        <w:t xml:space="preserve">)—to biological tissues to elicit photochemical effects at the cellular level. The primary chromophore of interest is cytochrome c oxidase in the mitochondrial electron transport chain, which absorbs photons from PBMT and initiates increases in mitochondrial respiration, adenosine triphosphate production, reactive oxygen species </w:t>
      </w:r>
      <w:proofErr w:type="spellStart"/>
      <w:r>
        <w:t>signalling</w:t>
      </w:r>
      <w:proofErr w:type="spellEnd"/>
      <w:r>
        <w:t xml:space="preserve">, and nitric oxide release. These intracellular signals cascade into downstream effects including enhanced cellular proliferation and differentiation, modulation of the inflammatory response, stimulation of collagen synthesis and wound healing, and promotion of angiogenesis (Millis &amp; Bergh, 2023). In the specific context of bone healing, PBMT is </w:t>
      </w:r>
      <w:proofErr w:type="spellStart"/>
      <w:r>
        <w:t>hypothesised</w:t>
      </w:r>
      <w:proofErr w:type="spellEnd"/>
      <w:r>
        <w:t xml:space="preserve"> to accelerate osteoblast proliferation and activity, stimulate periosteal cell differentiation, and improve the vascular response at the healing site.</w:t>
      </w:r>
    </w:p>
    <w:p w14:paraId="2C6AFA50" w14:textId="77777777" w:rsidR="00A41E53" w:rsidRDefault="009F05B9" w:rsidP="00CB5B2C">
      <w:pPr>
        <w:spacing w:before="100" w:beforeAutospacing="1" w:after="100" w:afterAutospacing="1"/>
        <w:ind w:firstLine="720"/>
        <w:jc w:val="both"/>
      </w:pPr>
      <w:r>
        <w:t xml:space="preserve">A systematic literature review by Millis and Bergh (2023), which evaluated 45 peer-reviewed publications on light therapy in horses, dogs, and cats published between 1980 and 2020, found that musculoskeletal conditions—including fractures—were among the principal indications for PBMT in veterinary practice. The review identified promising results in individual studies but noted that conflicting outcomes across the literature were largely attributable to the wide heterogeneity of treatment parameters employed across studies, including wavelength, laser class, energy dose measured in joules per square </w:t>
      </w:r>
      <w:proofErr w:type="spellStart"/>
      <w:r>
        <w:t>centimetre</w:t>
      </w:r>
      <w:proofErr w:type="spellEnd"/>
      <w:r>
        <w:t xml:space="preserve">, irradiation time, spot size, and treatment frequency. Of the thirteen articles specifically addressing musculoskeletal conditions in that review, eight were assessed as having a low risk of bias, and results ranged from positive effects on weight distribution and pain scores to no significant differences between treated and untreated groups. The absence of </w:t>
      </w:r>
      <w:proofErr w:type="spellStart"/>
      <w:r>
        <w:t>standardised</w:t>
      </w:r>
      <w:proofErr w:type="spellEnd"/>
      <w:r>
        <w:t xml:space="preserve"> treatment protocols represents the single greatest obstacle to establishing a robust, </w:t>
      </w:r>
      <w:proofErr w:type="spellStart"/>
      <w:r>
        <w:t>generalisable</w:t>
      </w:r>
      <w:proofErr w:type="spellEnd"/>
      <w:r>
        <w:t xml:space="preserve"> evidence base for PBMT in veterinary fracture healing. Notwithstanding these limitations, the non-invasive nature, absence of serious adverse effects documented in the reviewed literature, and accumulating mechanistic evidence supporting its biological plausibility render PBMT a rational and attractive adjunctive modality in post-operative fracture management, particularly for its analgesic and pro-healing effects during the acute and early reparative phases of recovery.</w:t>
      </w:r>
    </w:p>
    <w:p w14:paraId="1F118D2E" w14:textId="77777777" w:rsidR="00A41E53" w:rsidRDefault="009F05B9" w:rsidP="00CB5B2C">
      <w:pPr>
        <w:pStyle w:val="Heading2"/>
        <w:spacing w:before="100" w:beforeAutospacing="1" w:afterAutospacing="1"/>
      </w:pPr>
      <w:r>
        <w:t>6.2. Extracorporeal Shockwave Therapy</w:t>
      </w:r>
    </w:p>
    <w:p w14:paraId="7F61E770" w14:textId="77777777" w:rsidR="00A41E53" w:rsidRDefault="009F05B9" w:rsidP="00CB5B2C">
      <w:pPr>
        <w:spacing w:before="100" w:beforeAutospacing="1" w:after="100" w:afterAutospacing="1"/>
        <w:ind w:firstLine="720"/>
        <w:jc w:val="both"/>
      </w:pPr>
      <w:r>
        <w:lastRenderedPageBreak/>
        <w:t xml:space="preserve">Extracorporeal shockwave therapy employs high-energy acoustic waves generated extracorporeally and focused upon a target tissue through transcutaneous transmission. Shockwaves exert their biological effects primarily through </w:t>
      </w:r>
      <w:proofErr w:type="spellStart"/>
      <w:r>
        <w:t>mechanotransduction</w:t>
      </w:r>
      <w:proofErr w:type="spellEnd"/>
      <w:r>
        <w:t xml:space="preserve">—the conversion of mechanical energy into intracellular biochemical signals—leading to activation of growth factor release, stimulation of </w:t>
      </w:r>
      <w:proofErr w:type="spellStart"/>
      <w:r>
        <w:t>neovascularisation</w:t>
      </w:r>
      <w:proofErr w:type="spellEnd"/>
      <w:r>
        <w:t>, modulation of inflammatory mediators, and promotion of osteoblast and stromal cell activity. Specific mechanisms relevant to bone healing include the upregulation of vascular endothelial growth factor and bone morphogenetic protein expression, stimulation of nitric oxide synthase activity, and enhancement of periosteal cell osteogenic differentiation (Johnson et al., 2023; Colbath et al., 2020).</w:t>
      </w:r>
    </w:p>
    <w:p w14:paraId="69F8A9B3" w14:textId="77777777" w:rsidR="00A41E53" w:rsidRDefault="009F05B9" w:rsidP="00CB5B2C">
      <w:pPr>
        <w:spacing w:before="100" w:beforeAutospacing="1" w:after="100" w:afterAutospacing="1"/>
        <w:ind w:firstLine="720"/>
        <w:jc w:val="both"/>
      </w:pPr>
      <w:r>
        <w:t xml:space="preserve">In equine veterinary medicine, ESWT has been most extensively studied in the context of soft tissue injuries and osteoarthritis, with a growing body of evidence for its application as an adjunct to fracture repair in animals at high risk of contralateral limb complications from prolonged weight-bearing. Johnson et al. (2023) provided a thorough contemporary review of ESWT in equine </w:t>
      </w:r>
      <w:proofErr w:type="spellStart"/>
      <w:r>
        <w:t>orthopaedics</w:t>
      </w:r>
      <w:proofErr w:type="spellEnd"/>
      <w:r>
        <w:t xml:space="preserve">, encompassing the most current technology, proposed mechanisms of action, and clinical applications across conditions including osteoarthritis, thoracolumbar pain, navicular syndrome, proximal suspensory desmopathy, and tendinopathy, whilst noting that direct protocol comparisons and long-term evidence-based efficacy data remain limited across all indications. </w:t>
      </w:r>
      <w:proofErr w:type="spellStart"/>
      <w:r>
        <w:t>Boström</w:t>
      </w:r>
      <w:proofErr w:type="spellEnd"/>
      <w:r>
        <w:t xml:space="preserve"> et al. (2022) conducted a systematic review of ESWT in sport and companion animals published between 1980 and 2020, identifying 27 articles on effects in horses and nine in dogs but none in cats. Among the canine studies, a </w:t>
      </w:r>
      <w:proofErr w:type="spellStart"/>
      <w:r>
        <w:t>randomised</w:t>
      </w:r>
      <w:proofErr w:type="spellEnd"/>
      <w:r>
        <w:t xml:space="preserve"> controlled trial with a moderate risk of bias reported that four of five dogs with non-union fractures treated with ESWT healed compared to only one of five in the untreated control group—a finding suggestive of meaningful biological benefit in the specific context of impaired healing. The authors cautioned, however, that the overall body of evidence was </w:t>
      </w:r>
      <w:proofErr w:type="spellStart"/>
      <w:r>
        <w:t>characterised</w:t>
      </w:r>
      <w:proofErr w:type="spellEnd"/>
      <w:r>
        <w:t xml:space="preserve"> by small study populations and methodological heterogeneity, with the scientific evidence across all indications assessed as very limited, necessitating further well-controlled trials to define patient selection criteria and treatment protocols.</w:t>
      </w:r>
    </w:p>
    <w:p w14:paraId="0393152B" w14:textId="77777777" w:rsidR="00A41E53" w:rsidRDefault="009F05B9" w:rsidP="00CB5B2C">
      <w:pPr>
        <w:spacing w:before="100" w:beforeAutospacing="1" w:after="100" w:afterAutospacing="1"/>
        <w:ind w:firstLine="720"/>
        <w:jc w:val="both"/>
      </w:pPr>
      <w:r>
        <w:t>An intriguing avenue of investigation is the potential for ESWT to potentiate the efficacy of MSC-based therapies. Colbath et al. (2020) demonstrated in vitro that shockwave exposure tended to enhance osteogenic differentiation markers in equine bone marrow-derived MSCs cultured under osteogenic conditions, raising the possibility that pre-conditioning MSCs with ESWT prior to transplantation could improve their therapeutic performance in vivo—a hypothesis warranting prospective investigation in relevant veterinary fracture models.</w:t>
      </w:r>
    </w:p>
    <w:p w14:paraId="3C9FBDA1" w14:textId="77777777" w:rsidR="00A41E53" w:rsidRDefault="00A41E53" w:rsidP="00CB5B2C">
      <w:pPr>
        <w:spacing w:before="100" w:beforeAutospacing="1" w:after="100" w:afterAutospacing="1"/>
      </w:pPr>
    </w:p>
    <w:p w14:paraId="573AAD5E" w14:textId="77777777" w:rsidR="00A41E53" w:rsidRDefault="009F05B9" w:rsidP="00CB5B2C">
      <w:pPr>
        <w:pStyle w:val="Heading1"/>
        <w:spacing w:before="100" w:beforeAutospacing="1" w:after="100" w:afterAutospacing="1"/>
      </w:pPr>
      <w:r>
        <w:t>7. Tissue Engineering and Emerging Technologies</w:t>
      </w:r>
    </w:p>
    <w:p w14:paraId="0119CDDD" w14:textId="77777777" w:rsidR="00A41E53" w:rsidRDefault="009F05B9" w:rsidP="00CB5B2C">
      <w:pPr>
        <w:pStyle w:val="Heading2"/>
        <w:spacing w:before="100" w:beforeAutospacing="1" w:afterAutospacing="1"/>
      </w:pPr>
      <w:r>
        <w:t>7.1. Bone Tissue Engineering Scaffolds</w:t>
      </w:r>
    </w:p>
    <w:p w14:paraId="55FB3B2D" w14:textId="77777777" w:rsidR="00A41E53" w:rsidRDefault="009F05B9" w:rsidP="00CB5B2C">
      <w:pPr>
        <w:spacing w:before="100" w:beforeAutospacing="1" w:after="100" w:afterAutospacing="1"/>
        <w:ind w:firstLine="720"/>
        <w:jc w:val="both"/>
      </w:pPr>
      <w:r>
        <w:t xml:space="preserve">The treatment of critical-sized bone defects—bone losses of sufficient magnitude that they cannot bridge spontaneously without surgical intervention—represents one of the most formidable challenges in veterinary </w:t>
      </w:r>
      <w:proofErr w:type="spellStart"/>
      <w:r>
        <w:t>orthopaedic</w:t>
      </w:r>
      <w:proofErr w:type="spellEnd"/>
      <w:r>
        <w:t xml:space="preserve"> practice. Traditional approaches, including autogenous bone grafting and allograft transplantation, are limited by donor site morbidity, restricted graft availability, variable immunogenicity of non-autologous materials, and the </w:t>
      </w:r>
      <w:r>
        <w:lastRenderedPageBreak/>
        <w:t>biological inertness of non-</w:t>
      </w:r>
      <w:proofErr w:type="spellStart"/>
      <w:r>
        <w:t>vascularised</w:t>
      </w:r>
      <w:proofErr w:type="spellEnd"/>
      <w:r>
        <w:t xml:space="preserve"> grafts in depleted host environments. Bone tissue engineering offers a conceptual and practical alternative, wherein biologically active scaffolds are designed to provide </w:t>
      </w:r>
      <w:proofErr w:type="spellStart"/>
      <w:r>
        <w:t>osteoconductivity</w:t>
      </w:r>
      <w:proofErr w:type="spellEnd"/>
      <w:r>
        <w:t xml:space="preserve">, </w:t>
      </w:r>
      <w:proofErr w:type="spellStart"/>
      <w:r>
        <w:t>osteoinductivity</w:t>
      </w:r>
      <w:proofErr w:type="spellEnd"/>
      <w:r>
        <w:t xml:space="preserve">, and mechanical support whilst simultaneously accommodating cellular infiltration, </w:t>
      </w:r>
      <w:proofErr w:type="spellStart"/>
      <w:r>
        <w:t>vascularisation</w:t>
      </w:r>
      <w:proofErr w:type="spellEnd"/>
      <w:r>
        <w:t xml:space="preserve">, and progressive </w:t>
      </w:r>
      <w:proofErr w:type="spellStart"/>
      <w:r>
        <w:t>remodelling</w:t>
      </w:r>
      <w:proofErr w:type="spellEnd"/>
      <w:r>
        <w:t xml:space="preserve"> into native bone (</w:t>
      </w:r>
      <w:proofErr w:type="spellStart"/>
      <w:r>
        <w:t>Memarian</w:t>
      </w:r>
      <w:proofErr w:type="spellEnd"/>
      <w:r>
        <w:t xml:space="preserve"> et al., 2022).</w:t>
      </w:r>
    </w:p>
    <w:p w14:paraId="221A076A" w14:textId="77777777" w:rsidR="00A41E53" w:rsidRDefault="009F05B9" w:rsidP="00CB5B2C">
      <w:pPr>
        <w:spacing w:before="100" w:beforeAutospacing="1" w:after="100" w:afterAutospacing="1"/>
        <w:ind w:firstLine="720"/>
        <w:jc w:val="both"/>
      </w:pPr>
      <w:r>
        <w:t xml:space="preserve">Contemporary scaffold materials investigated for veterinary applications include hydroxyapatite and tricalcium phosphate ceramics—which closely mimic the mineral composition of native bone and exhibit strong osteoconductive properties—synthetic biodegradable polymers such as polycaprolactone and poly(lactic-co-glycolic acid), composite materials combining ceramics and polymers to </w:t>
      </w:r>
      <w:proofErr w:type="spellStart"/>
      <w:r>
        <w:t>optimise</w:t>
      </w:r>
      <w:proofErr w:type="spellEnd"/>
      <w:r>
        <w:t xml:space="preserve"> both mechanical strength and degradation kinetics, and bioactive glasses capable of stimulating osteoblast proliferation through ionic dissolution products. The biological performance of scaffolds is critically dependent upon their macro- and micro-architecture, particularly pore size (generally exceeding 300 </w:t>
      </w:r>
      <w:proofErr w:type="spellStart"/>
      <w:r>
        <w:t>micrometres</w:t>
      </w:r>
      <w:proofErr w:type="spellEnd"/>
      <w:r>
        <w:t xml:space="preserve"> for effective vascular ingrowth), pore interconnectivity, and overall porosity. Scaffolds may be further </w:t>
      </w:r>
      <w:proofErr w:type="spellStart"/>
      <w:r>
        <w:t>functionalised</w:t>
      </w:r>
      <w:proofErr w:type="spellEnd"/>
      <w:r>
        <w:t xml:space="preserve"> through the incorporation of </w:t>
      </w:r>
      <w:proofErr w:type="spellStart"/>
      <w:r>
        <w:t>osteoinductive</w:t>
      </w:r>
      <w:proofErr w:type="spellEnd"/>
      <w:r>
        <w:t xml:space="preserve"> growth factors such as BMP-2, MSCs, gene therapy vectors, or antimicrobial agents to confer active regenerative properties and reduce infection risk in the post-surgical environment.</w:t>
      </w:r>
    </w:p>
    <w:p w14:paraId="5B9B392F" w14:textId="77777777" w:rsidR="00A41E53" w:rsidRDefault="009F05B9" w:rsidP="00CB5B2C">
      <w:pPr>
        <w:pStyle w:val="Heading2"/>
        <w:spacing w:before="100" w:beforeAutospacing="1" w:afterAutospacing="1"/>
      </w:pPr>
      <w:r>
        <w:t>7.2. Three-Dimensional Printing and Patient-Specific Implants</w:t>
      </w:r>
    </w:p>
    <w:p w14:paraId="6CEDAB72" w14:textId="77777777" w:rsidR="00A41E53" w:rsidRDefault="009F05B9" w:rsidP="00CB5B2C">
      <w:pPr>
        <w:spacing w:before="100" w:beforeAutospacing="1" w:after="100" w:afterAutospacing="1"/>
        <w:ind w:firstLine="720"/>
        <w:jc w:val="both"/>
      </w:pPr>
      <w:r>
        <w:t xml:space="preserve">Three-dimensional printing technology—encompassing fused deposition modelling, selective laser sintering, stereolithography, and electron beam melting—has introduced transformative possibilities in veterinary </w:t>
      </w:r>
      <w:proofErr w:type="spellStart"/>
      <w:r>
        <w:t>orthopaedic</w:t>
      </w:r>
      <w:proofErr w:type="spellEnd"/>
      <w:r>
        <w:t xml:space="preserve"> surgery by enabling the fabrication of patient-specific implants, surgical planning models, and bioactive scaffolds from computed tomography data. The extraordinary anatomical diversity of veterinary patients, spanning body masses from less than one kilogram in toy-breed dogs to over 600 kilograms in horses, creates fixation challenges that standard implant sizes cannot always adequately address. Patient-specific implants pre-contoured to the individual patient's anatomy offer the potential for superior fit, reduced intraoperative adjustment time, more precise load distribution across the fracture-implant interface, and </w:t>
      </w:r>
      <w:proofErr w:type="spellStart"/>
      <w:r>
        <w:t>minimised</w:t>
      </w:r>
      <w:proofErr w:type="spellEnd"/>
      <w:r>
        <w:t xml:space="preserve"> risk of screw misplacement in anatomically complex regions (</w:t>
      </w:r>
      <w:proofErr w:type="spellStart"/>
      <w:r>
        <w:t>Memarian</w:t>
      </w:r>
      <w:proofErr w:type="spellEnd"/>
      <w:r>
        <w:t xml:space="preserve"> et al., 2022).</w:t>
      </w:r>
    </w:p>
    <w:p w14:paraId="74D7196A" w14:textId="77777777" w:rsidR="00A41E53" w:rsidRDefault="009F05B9" w:rsidP="00CB5B2C">
      <w:pPr>
        <w:spacing w:before="100" w:beforeAutospacing="1" w:after="100" w:afterAutospacing="1"/>
        <w:ind w:firstLine="720"/>
        <w:jc w:val="both"/>
      </w:pPr>
      <w:r>
        <w:t xml:space="preserve">In small animal </w:t>
      </w:r>
      <w:proofErr w:type="spellStart"/>
      <w:r>
        <w:t>orthopaedics</w:t>
      </w:r>
      <w:proofErr w:type="spellEnd"/>
      <w:r>
        <w:t xml:space="preserve">, 3D printing applications have extended from preoperative anatomical modelling for surgical education and client communication to the fabrication of custom osteotomy guides, total joint prostheses, limb-sparing endoprostheses, and bioactive critical-sized defect scaffolds. </w:t>
      </w:r>
      <w:proofErr w:type="spellStart"/>
      <w:r>
        <w:t>Memarian</w:t>
      </w:r>
      <w:proofErr w:type="spellEnd"/>
      <w:r>
        <w:t xml:space="preserve"> et al. (2022) reviewed the current state and future directions of 3D printing in small animal </w:t>
      </w:r>
      <w:proofErr w:type="spellStart"/>
      <w:r>
        <w:t>orthopaedics</w:t>
      </w:r>
      <w:proofErr w:type="spellEnd"/>
      <w:r>
        <w:t xml:space="preserve">, identifying clinical applications in joint replacement, corrective osteotomies, arthrodesis, spinal </w:t>
      </w:r>
      <w:proofErr w:type="spellStart"/>
      <w:r>
        <w:t>stabilisation</w:t>
      </w:r>
      <w:proofErr w:type="spellEnd"/>
      <w:r>
        <w:t xml:space="preserve">, and critical bone defect reconstruction, and highlighting the potential for integration with MSC-based bioprinting strategies to produce truly living implants capable of active bone regeneration. The review also described graphene-based scaffolds populated with canine adipose-derived MSCs as innovative materials for bone tissue engineering in veterinary practice, demonstrating capacity for cell adhesion, proliferation, and osteogenic differentiation. The development of patient-specific 3D-printed titanium plates for spinal </w:t>
      </w:r>
      <w:proofErr w:type="spellStart"/>
      <w:r>
        <w:t>stabilisation</w:t>
      </w:r>
      <w:proofErr w:type="spellEnd"/>
      <w:r>
        <w:t xml:space="preserve"> in dogs has demonstrated clinical benefits including improved screw placement accuracy and reduced intraoperative complications in technically demanding procedures.</w:t>
      </w:r>
    </w:p>
    <w:p w14:paraId="7AF6F203" w14:textId="77777777" w:rsidR="00A41E53" w:rsidRDefault="009F05B9" w:rsidP="00CB5B2C">
      <w:pPr>
        <w:spacing w:before="100" w:beforeAutospacing="1" w:after="100" w:afterAutospacing="1"/>
        <w:ind w:firstLine="720"/>
        <w:jc w:val="both"/>
      </w:pPr>
      <w:r>
        <w:lastRenderedPageBreak/>
        <w:t xml:space="preserve">The convergence of additive manufacturing with biological regenerative strategies is illustrated by translational studies employing 3D-printed polycaprolactone scaffolds incorporating rhBMP-2 and MSCs for the reconstruction of chronic canine bone defects. </w:t>
      </w:r>
      <w:proofErr w:type="spellStart"/>
      <w:r>
        <w:t>Nikolaisen</w:t>
      </w:r>
      <w:proofErr w:type="spellEnd"/>
      <w:r>
        <w:t xml:space="preserve"> et al. (2025), working with a novel ovine model of proximal phalanx fracture and bone defect, illustrated the importance of developing clinically relevant large-animal fracture models that permit natural movement and welfare-conscious housing, </w:t>
      </w:r>
      <w:proofErr w:type="spellStart"/>
      <w:r>
        <w:t>emphasising</w:t>
      </w:r>
      <w:proofErr w:type="spellEnd"/>
      <w:r>
        <w:t xml:space="preserve"> that appropriate translational models are essential for validating novel scaffold and implant technologies before clinical adoption. Despite the significant promise of 3D-printed and bioengineered constructs, barriers to wider clinical adoption include </w:t>
      </w:r>
      <w:proofErr w:type="spellStart"/>
      <w:r>
        <w:t>specialised</w:t>
      </w:r>
      <w:proofErr w:type="spellEnd"/>
      <w:r>
        <w:t xml:space="preserve"> equipment and expertise requirements, additional lead time for manufacturing, regulatory considerations regarding medical device classification, and the relatively high costs of patient-specific implants compared to standard stock devices.</w:t>
      </w:r>
    </w:p>
    <w:p w14:paraId="6EAF5CB1" w14:textId="77777777" w:rsidR="00A41E53" w:rsidRDefault="00A41E53" w:rsidP="00CB5B2C">
      <w:pPr>
        <w:spacing w:before="100" w:beforeAutospacing="1" w:after="100" w:afterAutospacing="1"/>
      </w:pPr>
    </w:p>
    <w:p w14:paraId="5883D907" w14:textId="77777777" w:rsidR="00A41E53" w:rsidRDefault="009F05B9" w:rsidP="00CB5B2C">
      <w:pPr>
        <w:pStyle w:val="Heading1"/>
        <w:spacing w:before="100" w:beforeAutospacing="1" w:after="100" w:afterAutospacing="1"/>
      </w:pPr>
      <w:r>
        <w:t>8. Management of Delayed Union and Non-union Fractures</w:t>
      </w:r>
    </w:p>
    <w:p w14:paraId="5529BC94" w14:textId="77777777" w:rsidR="00A41E53" w:rsidRDefault="009F05B9" w:rsidP="00CB5B2C">
      <w:pPr>
        <w:spacing w:before="100" w:beforeAutospacing="1" w:after="100" w:afterAutospacing="1"/>
        <w:ind w:firstLine="720"/>
        <w:jc w:val="both"/>
      </w:pPr>
      <w:r>
        <w:t xml:space="preserve">Delayed union is defined as slower-than-expected healing relative to comparable fractures in similar patients treated by similar methods, whilst non-union indicates the cessation of all biological healing activity at the fracture site with no prospect of spontaneous union without surgical intervention (Cook et al., 2010; Bowers &amp; </w:t>
      </w:r>
      <w:proofErr w:type="spellStart"/>
      <w:r>
        <w:t>Engiles</w:t>
      </w:r>
      <w:proofErr w:type="spellEnd"/>
      <w:r>
        <w:t xml:space="preserve">, 2024). The distinction is clinically important, as delayed union may often be managed conservatively—through continued adequate </w:t>
      </w:r>
      <w:proofErr w:type="spellStart"/>
      <w:r>
        <w:t>immobilisation</w:t>
      </w:r>
      <w:proofErr w:type="spellEnd"/>
      <w:r>
        <w:t xml:space="preserve"> and </w:t>
      </w:r>
      <w:proofErr w:type="spellStart"/>
      <w:r>
        <w:t>optimisation</w:t>
      </w:r>
      <w:proofErr w:type="spellEnd"/>
      <w:r>
        <w:t xml:space="preserve"> of systemic factors—or with targeted adjunctive interventions, whereas established non-union invariably requires comprehensive surgical revision that addresses both the biological and mechanical determinants of healing failure.</w:t>
      </w:r>
    </w:p>
    <w:p w14:paraId="3D346E34" w14:textId="77777777" w:rsidR="00A41E53" w:rsidRDefault="009F05B9" w:rsidP="00CB5B2C">
      <w:pPr>
        <w:spacing w:before="100" w:beforeAutospacing="1" w:after="100" w:afterAutospacing="1"/>
        <w:ind w:firstLine="720"/>
        <w:jc w:val="both"/>
      </w:pPr>
      <w:r>
        <w:t xml:space="preserve">Marshall et al. (2022) provided important contemporary epidemiological data on fracture healing complications in veterinary patients through their retrospective study of 442 dogs from two university teaching hospitals, in which the </w:t>
      </w:r>
      <w:proofErr w:type="spellStart"/>
      <w:r>
        <w:t>prevalences</w:t>
      </w:r>
      <w:proofErr w:type="spellEnd"/>
      <w:r>
        <w:t xml:space="preserve"> and risk factors for delayed union, non-union, and malunion were </w:t>
      </w:r>
      <w:proofErr w:type="spellStart"/>
      <w:r>
        <w:t>characterised</w:t>
      </w:r>
      <w:proofErr w:type="spellEnd"/>
      <w:r>
        <w:t xml:space="preserve"> across fracture types, anatomical sites, and fixation methods. Their findings underscored the multifactorial </w:t>
      </w:r>
      <w:proofErr w:type="spellStart"/>
      <w:r>
        <w:t>aetiology</w:t>
      </w:r>
      <w:proofErr w:type="spellEnd"/>
      <w:r>
        <w:t xml:space="preserve"> of healing complications, identifying fixation instability, fracture configuration, anatomical site—particularly the distal radius in toy-breed dogs, where a well-documented anatomical predisposition arising from the limited intraosseous blood supply of this location creates a heightened risk of non-union—open fractures, younger patient age, and increasing fracture assessment score as significant risk factors. Bowers and </w:t>
      </w:r>
      <w:proofErr w:type="spellStart"/>
      <w:r>
        <w:t>Engiles</w:t>
      </w:r>
      <w:proofErr w:type="spellEnd"/>
      <w:r>
        <w:t xml:space="preserve"> (2024) articulated a conceptual framework in which successful prevention and treatment of non-union require addressing mechanical factors—principally fixation adequacy and interfragmentary strain—alongside biological factors such as vascular integrity, osteoprogenitor cell availability, and infection control.</w:t>
      </w:r>
    </w:p>
    <w:p w14:paraId="1F74A512" w14:textId="77777777" w:rsidR="00A41E53" w:rsidRDefault="009F05B9" w:rsidP="00CB5B2C">
      <w:pPr>
        <w:spacing w:before="100" w:beforeAutospacing="1" w:after="100" w:afterAutospacing="1"/>
        <w:ind w:firstLine="720"/>
        <w:jc w:val="both"/>
      </w:pPr>
      <w:r>
        <w:t xml:space="preserve">Non-union fractures are classified according to their biological activity. Viable (biologically active) non-unions—including hypertrophic variants with exuberant callus formation and oligotrophic variants with minimal callus—retain residual osteogenic activity and typically respond well to the provision of adequate mechanical stability alone, frequently without requiring additional biological augmentation. In contrast, non-viable (biologically inactive) non-unions—including dystrophic, necrotic, and defect variants—have lost their osteogenic potential through vascular deprivation, infection, or excessive bone loss, and require comprehensive biological reconstruction in addition to mechanical revision. Surgical </w:t>
      </w:r>
      <w:r>
        <w:lastRenderedPageBreak/>
        <w:t xml:space="preserve">management of the latter typically involves debridement of fibrous and necrotic tissue, </w:t>
      </w:r>
      <w:proofErr w:type="spellStart"/>
      <w:r>
        <w:t>revascularisation</w:t>
      </w:r>
      <w:proofErr w:type="spellEnd"/>
      <w:r>
        <w:t xml:space="preserve"> of the medullary canal, rigid internal fixation, and the application of autogenous cancellous bone graft, alone or supplemented with </w:t>
      </w:r>
      <w:proofErr w:type="spellStart"/>
      <w:r>
        <w:t>osteoinductive</w:t>
      </w:r>
      <w:proofErr w:type="spellEnd"/>
      <w:r>
        <w:t xml:space="preserve"> agents. </w:t>
      </w:r>
      <w:proofErr w:type="spellStart"/>
      <w:r>
        <w:t>Camilletti</w:t>
      </w:r>
      <w:proofErr w:type="spellEnd"/>
      <w:r>
        <w:t xml:space="preserve"> and </w:t>
      </w:r>
      <w:proofErr w:type="spellStart"/>
      <w:r>
        <w:t>d'Amato</w:t>
      </w:r>
      <w:proofErr w:type="spellEnd"/>
      <w:r>
        <w:t xml:space="preserve"> (2024) demonstrated </w:t>
      </w:r>
      <w:proofErr w:type="spellStart"/>
      <w:r>
        <w:t>favourable</w:t>
      </w:r>
      <w:proofErr w:type="spellEnd"/>
      <w:r>
        <w:t xml:space="preserve"> long-term outcomes in nineteen dogs and cats with atrophic and oligotrophic non-unions managed with autologous bone grafting and circular external fixation, confirming the sustained clinical value of gold-standard biological augmentation even as more advanced therapies enter the armamentarium.</w:t>
      </w:r>
    </w:p>
    <w:p w14:paraId="58ED77C2" w14:textId="77777777" w:rsidR="00A41E53" w:rsidRDefault="009F05B9" w:rsidP="00CB5B2C">
      <w:pPr>
        <w:spacing w:before="100" w:beforeAutospacing="1" w:after="100" w:afterAutospacing="1"/>
        <w:ind w:firstLine="720"/>
        <w:jc w:val="both"/>
      </w:pPr>
      <w:r>
        <w:t xml:space="preserve">The advent of novel adjunctive therapies has expanded the therapeutic options available for non-union management in veterinary patients. Lee and Kang (2024) reported successful structural and functional outcomes in canine non-union cases treated with rhBMP-2-loaded alginate microbead delivery systems combined with bone allografts, demonstrating that controlled local release of </w:t>
      </w:r>
      <w:proofErr w:type="spellStart"/>
      <w:r>
        <w:t>osteoinductive</w:t>
      </w:r>
      <w:proofErr w:type="spellEnd"/>
      <w:r>
        <w:t xml:space="preserve"> signals via a biodegradable biomaterial carrier can effectively rehabilitate a depleted biological environment. Massie et al. (2017) similarly documented positive outcomes with rhBMP-2 in a collagen matrix carrier in a cohort of nine dogs with eleven non-union fractures managed with concurrent rigid fixation, supporting the principle that biological and mechanical interventions must be </w:t>
      </w:r>
      <w:proofErr w:type="spellStart"/>
      <w:r>
        <w:t>optimised</w:t>
      </w:r>
      <w:proofErr w:type="spellEnd"/>
      <w:r>
        <w:t xml:space="preserve"> simultaneously. Physical adjuncts including ESWT have also shown preliminary promise in canine non-union treatment, particularly in cases with residual biological activity where the mechanical environment has been adequately addressed.</w:t>
      </w:r>
    </w:p>
    <w:p w14:paraId="29182D9C" w14:textId="77777777" w:rsidR="00A41E53" w:rsidRDefault="00A41E53" w:rsidP="00CB5B2C">
      <w:pPr>
        <w:spacing w:before="100" w:beforeAutospacing="1" w:after="100" w:afterAutospacing="1"/>
      </w:pPr>
    </w:p>
    <w:p w14:paraId="1F9A953D" w14:textId="77777777" w:rsidR="00A41E53" w:rsidRDefault="009F05B9" w:rsidP="00CB5B2C">
      <w:pPr>
        <w:pStyle w:val="Heading1"/>
        <w:spacing w:before="100" w:beforeAutospacing="1" w:after="100" w:afterAutospacing="1"/>
      </w:pPr>
      <w:r>
        <w:t>9. Species-Specific Considerations</w:t>
      </w:r>
    </w:p>
    <w:p w14:paraId="085BF74A" w14:textId="77777777" w:rsidR="00A41E53" w:rsidRDefault="009F05B9" w:rsidP="00CB5B2C">
      <w:pPr>
        <w:spacing w:before="100" w:beforeAutospacing="1" w:after="100" w:afterAutospacing="1"/>
        <w:ind w:firstLine="720"/>
        <w:jc w:val="both"/>
      </w:pPr>
      <w:r>
        <w:t xml:space="preserve">The principles underlying fracture healing are broadly conserved across mammalian species, yet the clinical management of fractures is profoundly influenced by species-specific anatomical, physiological, </w:t>
      </w:r>
      <w:proofErr w:type="spellStart"/>
      <w:r>
        <w:t>behavioural</w:t>
      </w:r>
      <w:proofErr w:type="spellEnd"/>
      <w:r>
        <w:t>, and economic characteristics that necessitate tailored approaches. A clear understanding of these species-specific factors is essential for selecting and applying the strategies reviewed in preceding sections to best effect.</w:t>
      </w:r>
    </w:p>
    <w:p w14:paraId="4B2A9937" w14:textId="77777777" w:rsidR="00A41E53" w:rsidRDefault="009F05B9" w:rsidP="00CB5B2C">
      <w:pPr>
        <w:spacing w:before="100" w:beforeAutospacing="1" w:after="100" w:afterAutospacing="1"/>
        <w:ind w:firstLine="720"/>
        <w:jc w:val="both"/>
      </w:pPr>
      <w:r>
        <w:t xml:space="preserve">In dogs and cats—the dominant subjects of published veterinary </w:t>
      </w:r>
      <w:proofErr w:type="spellStart"/>
      <w:r>
        <w:t>orthopaedic</w:t>
      </w:r>
      <w:proofErr w:type="spellEnd"/>
      <w:r>
        <w:t xml:space="preserve"> literature—the diversity of body size represents a fundamental challenge for implant selection, with giant-breed dogs potentially requiring constructs capable of withstanding forces commensurate with body masses exceeding 50 kilograms. Implant systems appropriate for small or medium-sized dogs may be mechanically inadequate in these patients, and the use of larger-diameter screws and plates or reinforcement with adjunctive fixation such as an intramedullary pin in a plate-rod configuration may be necessary. Toy and miniature breeds present the converse challenge of extremely small bone diameters and the compromised vascular anatomy of the distal radius, which predisposes this location to non-union at a rate substantially higher than other anatomical sites, demanding particular vigilance in fixation choice and biological augmentation (Marshall et al., 2022). Cats present unique </w:t>
      </w:r>
      <w:proofErr w:type="spellStart"/>
      <w:r>
        <w:t>behavioural</w:t>
      </w:r>
      <w:proofErr w:type="spellEnd"/>
      <w:r>
        <w:t xml:space="preserve"> challenges related to post-operative compliance with activity restriction and tolerance of external coaptation devices, and their fractures typically arise from high-energy trauma with significant soft tissue compromise, contributing to the risk of delayed healing.</w:t>
      </w:r>
    </w:p>
    <w:p w14:paraId="3C44A9D3" w14:textId="77777777" w:rsidR="00A41E53" w:rsidRDefault="009F05B9" w:rsidP="00CB5B2C">
      <w:pPr>
        <w:spacing w:before="100" w:beforeAutospacing="1" w:after="100" w:afterAutospacing="1"/>
        <w:ind w:firstLine="720"/>
        <w:jc w:val="both"/>
      </w:pPr>
      <w:r>
        <w:t xml:space="preserve">In horses, fracture management is constrained by the enormous mechanical demands of body weight support across four limbs, the catastrophic welfare consequences of contralateral limb laminitis arising from excessive weight-bearing during recovery, the risks of </w:t>
      </w:r>
      <w:proofErr w:type="spellStart"/>
      <w:r>
        <w:t>anaesthetic</w:t>
      </w:r>
      <w:proofErr w:type="spellEnd"/>
      <w:r>
        <w:t xml:space="preserve"> recovery in a species prone to post-</w:t>
      </w:r>
      <w:proofErr w:type="spellStart"/>
      <w:r>
        <w:t>anaesthetic</w:t>
      </w:r>
      <w:proofErr w:type="spellEnd"/>
      <w:r>
        <w:t xml:space="preserve"> myopathy and recovery-</w:t>
      </w:r>
      <w:r>
        <w:lastRenderedPageBreak/>
        <w:t xml:space="preserve">associated secondary trauma, and the economic and emotional considerations associated with high-value athletic animals. The application of ESWT as an adjunct to internal fixation in horses has attracted interest as a means of accelerating healing and reducing the period during which the contralateral limb is subjected to overload, with Johnson et al. (2023) providing an authoritative contemporary review of the evidence and current clinical applications. Large animal bone defect models, such as the novel ovine proximal phalanx model described by </w:t>
      </w:r>
      <w:proofErr w:type="spellStart"/>
      <w:r>
        <w:t>Nikolaisen</w:t>
      </w:r>
      <w:proofErr w:type="spellEnd"/>
      <w:r>
        <w:t xml:space="preserve"> et al. (2025), are providing translational insights with relevance to both equine clinical practice and to the evaluation of novel biological and engineering strategies for bone repair. In large ruminants—cattle, sheep, and goats—fracture management is frequently constrained by economic considerations, the practical challenges of post-operative management in farm environments, and the limited body of controlled veterinary research guiding implant selection and adjunct therapy in these species.</w:t>
      </w:r>
    </w:p>
    <w:p w14:paraId="3133CB23" w14:textId="77777777" w:rsidR="00A41E53" w:rsidRDefault="00A41E53" w:rsidP="00CB5B2C">
      <w:pPr>
        <w:spacing w:before="100" w:beforeAutospacing="1" w:after="100" w:afterAutospacing="1"/>
      </w:pPr>
    </w:p>
    <w:p w14:paraId="2B04BC22" w14:textId="77777777" w:rsidR="00A41E53" w:rsidRDefault="009F05B9" w:rsidP="00CB5B2C">
      <w:pPr>
        <w:pStyle w:val="Heading1"/>
        <w:spacing w:before="100" w:beforeAutospacing="1" w:after="100" w:afterAutospacing="1"/>
      </w:pPr>
      <w:r>
        <w:t>10. Conclusions</w:t>
      </w:r>
    </w:p>
    <w:p w14:paraId="6FB22397" w14:textId="77777777" w:rsidR="00A41E53" w:rsidRDefault="009F05B9" w:rsidP="00CB5B2C">
      <w:pPr>
        <w:spacing w:before="100" w:beforeAutospacing="1" w:after="100" w:afterAutospacing="1"/>
        <w:ind w:firstLine="720"/>
        <w:jc w:val="both"/>
      </w:pPr>
      <w:r>
        <w:t xml:space="preserve">The management of fractures in veterinary patients has undergone profound transformation over the preceding three decades, driven by advances in fixation technology, a deeper mechanistic understanding of fracture biology, and the emergence of biological and physical adjunct therapies with the potential to accelerate and enhance the healing process. The shift from rigid anatomical reconstruction to biologically sensitive osteosynthesis—expressed practically through the adoption of locking plates and minimally invasive plate osteosynthesis—has substantially improved outcomes in dogs and cats with complex diaphyseal and comminuted fractures, and continues to evolve through ongoing refinement of instrumentation and surgical technique. Biological adjuncts including autogenous bone graft, platelet-rich plasma, bone morphogenetic proteins, and mesenchymal stem cell-based therapies offer distinct biological mechanisms and clinical utilities, and the accumulating evidence base supports their selective application in cases </w:t>
      </w:r>
      <w:proofErr w:type="spellStart"/>
      <w:r>
        <w:t>characterised</w:t>
      </w:r>
      <w:proofErr w:type="spellEnd"/>
      <w:r>
        <w:t xml:space="preserve"> by compromised healing environments, large bone defects, or established non-union. Physical modalities including PBMT and ESWT provide non-invasive or minimally invasive adjunctive options well tolerated across species, supported by mechanistic plausibility and promising preliminary clinical data, though high-quality controlled trial evidence from veterinary populations remains an important unmet need. Three-dimensional printing and bioactive scaffold technologies represent the frontier of veterinary fracture care, offering unprecedented potential for patient-specific fixation and biologically active defect reconstruction that are beginning to transition from experimental contexts to clinical reality.</w:t>
      </w:r>
    </w:p>
    <w:p w14:paraId="200C3D63" w14:textId="77777777" w:rsidR="00A41E53" w:rsidRDefault="009F05B9" w:rsidP="00CB5B2C">
      <w:pPr>
        <w:spacing w:before="100" w:beforeAutospacing="1" w:after="100" w:afterAutospacing="1"/>
        <w:ind w:firstLine="720"/>
        <w:jc w:val="both"/>
      </w:pPr>
      <w:r>
        <w:t xml:space="preserve">It is evident that no single strategy is universally optimal; rather, the most successful outcomes are achieved through a multimodal, biologically informed approach tailored to the individual patient, fracture characteristics, species, and clinical context. The fracture assessment score concept—integrating biological, mechanical, and clinical parameters—provides a practical framework for </w:t>
      </w:r>
      <w:proofErr w:type="spellStart"/>
      <w:r>
        <w:t>individualising</w:t>
      </w:r>
      <w:proofErr w:type="spellEnd"/>
      <w:r>
        <w:t xml:space="preserve"> fixation strategy and identifying when adjunct biological support is most likely to be beneficial. Collaborative efforts between veterinary surgeons, biomedical engineers, and cell biologists are essential to accelerate the translation of laboratory discoveries into validated clinical tools, and the veterinary profession is encouraged to </w:t>
      </w:r>
      <w:proofErr w:type="spellStart"/>
      <w:r>
        <w:t>prioritise</w:t>
      </w:r>
      <w:proofErr w:type="spellEnd"/>
      <w:r>
        <w:t xml:space="preserve"> the conduct of well-designed prospective clinical trials providing rigorous comparative evidence to guide evidence-based fracture management across species.</w:t>
      </w:r>
    </w:p>
    <w:p w14:paraId="109BB73D" w14:textId="77777777" w:rsidR="00A41E53" w:rsidRDefault="00A41E53" w:rsidP="00CB5B2C">
      <w:pPr>
        <w:spacing w:before="100" w:beforeAutospacing="1" w:after="100" w:afterAutospacing="1"/>
      </w:pPr>
    </w:p>
    <w:p w14:paraId="40D16272" w14:textId="77777777" w:rsidR="00A41E53" w:rsidRDefault="009F05B9" w:rsidP="00CB5B2C">
      <w:pPr>
        <w:pStyle w:val="Heading1"/>
        <w:spacing w:before="100" w:beforeAutospacing="1" w:after="100" w:afterAutospacing="1"/>
      </w:pPr>
      <w:r>
        <w:t>11. Limitations</w:t>
      </w:r>
    </w:p>
    <w:p w14:paraId="3BBA8D99" w14:textId="77777777" w:rsidR="00A41E53" w:rsidRDefault="009F05B9" w:rsidP="00CB5B2C">
      <w:pPr>
        <w:spacing w:before="100" w:beforeAutospacing="1" w:after="100" w:afterAutospacing="1"/>
        <w:ind w:firstLine="720"/>
        <w:jc w:val="both"/>
      </w:pPr>
      <w:r>
        <w:t xml:space="preserve">This review is subject to several important limitations. The conclusions drawn are constrained by the quality and completeness of the published evidence base, which—particularly for biological adjuncts, physical modalities, and emerging technologies—frequently comprises small case series, retrospective studies, and experimental animal models rather than prospective </w:t>
      </w:r>
      <w:proofErr w:type="spellStart"/>
      <w:r>
        <w:t>randomised</w:t>
      </w:r>
      <w:proofErr w:type="spellEnd"/>
      <w:r>
        <w:t xml:space="preserve"> controlled clinical trials in diverse clinical populations. Heterogeneity of patient populations, fracture types, treatment protocols, and outcome measures across published studies limits direct comparisons and the formulation of definitive, universally applicable clinical recommendations. The predominance of canine studies in the veterinary </w:t>
      </w:r>
      <w:proofErr w:type="spellStart"/>
      <w:r>
        <w:t>orthopaedic</w:t>
      </w:r>
      <w:proofErr w:type="spellEnd"/>
      <w:r>
        <w:t xml:space="preserve"> literature introduces a potential bias in the interpretation of findings across other veterinary species, for whom the evidence base is substantially thinner. Publication bias towards positive outcomes may additionally inflate apparent treatment effect sizes in the available literature. Studies employing preclinical animal models provide valuable mechanistic insights but do not always translate predictably to the diverse clinical populations encountered in practice. Certain technologies reviewed, including 3D-printed patient-specific implants and advanced cell therapy preparations, are currently accessible primarily in specialist or academic institutions, limiting their </w:t>
      </w:r>
      <w:proofErr w:type="spellStart"/>
      <w:r>
        <w:t>generalisability</w:t>
      </w:r>
      <w:proofErr w:type="spellEnd"/>
      <w:r>
        <w:t xml:space="preserve"> to first-opinion practice contexts. The rapid pace of development in regenerative medicine, biomaterials science, and additive manufacturing means that some of the most recent advances may not yet have been fully evaluated at the time of this review, and practitioners are encouraged to monitor emerging literature critically and with appropriate methodological scrutiny.</w:t>
      </w:r>
    </w:p>
    <w:p w14:paraId="1EF1071E" w14:textId="77777777" w:rsidR="00461100" w:rsidRPr="00005ED1" w:rsidRDefault="00461100" w:rsidP="0046110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FAACF82" w14:textId="77777777" w:rsidR="00461100" w:rsidRPr="00005ED1" w:rsidRDefault="00461100" w:rsidP="00461100">
      <w:pPr>
        <w:pStyle w:val="NoSpacing"/>
        <w:rPr>
          <w:rFonts w:ascii="Arial" w:hAnsi="Arial" w:cs="Arial"/>
          <w:highlight w:val="yellow"/>
        </w:rPr>
      </w:pPr>
    </w:p>
    <w:p w14:paraId="76E77E3F" w14:textId="77777777" w:rsidR="00461100" w:rsidRPr="00005ED1" w:rsidRDefault="00461100" w:rsidP="004611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9E336CA" w14:textId="77777777" w:rsidR="00461100" w:rsidRDefault="00461100" w:rsidP="00461100">
      <w:pPr>
        <w:pStyle w:val="NoSpacing"/>
        <w:rPr>
          <w:rFonts w:ascii="Arial" w:hAnsi="Arial" w:cs="Arial"/>
        </w:rPr>
      </w:pPr>
    </w:p>
    <w:p w14:paraId="7ED70CC8" w14:textId="77777777" w:rsidR="00A41E53" w:rsidRDefault="00A41E53" w:rsidP="00CB5B2C">
      <w:pPr>
        <w:spacing w:before="100" w:beforeAutospacing="1" w:after="100" w:afterAutospacing="1"/>
      </w:pPr>
    </w:p>
    <w:p w14:paraId="1B124B92" w14:textId="77777777" w:rsidR="00A41E53" w:rsidRDefault="009F05B9" w:rsidP="00CB5B2C">
      <w:pPr>
        <w:pStyle w:val="Heading1"/>
        <w:spacing w:before="100" w:beforeAutospacing="1" w:after="100" w:afterAutospacing="1"/>
      </w:pPr>
      <w:r>
        <w:t>References</w:t>
      </w:r>
    </w:p>
    <w:p w14:paraId="27E9DDB5" w14:textId="77777777" w:rsidR="00A41E53" w:rsidRDefault="009F05B9" w:rsidP="00CB5B2C">
      <w:pPr>
        <w:spacing w:before="100" w:beforeAutospacing="1" w:after="100" w:afterAutospacing="1"/>
        <w:jc w:val="both"/>
      </w:pPr>
      <w:proofErr w:type="spellStart"/>
      <w:r w:rsidRPr="00CB5B2C">
        <w:rPr>
          <w:sz w:val="21"/>
          <w:szCs w:val="21"/>
        </w:rPr>
        <w:t>Arinzeh</w:t>
      </w:r>
      <w:proofErr w:type="spellEnd"/>
      <w:r w:rsidRPr="00CB5B2C">
        <w:rPr>
          <w:sz w:val="21"/>
          <w:szCs w:val="21"/>
        </w:rPr>
        <w:t xml:space="preserve">, T. L., Peter, S. J., Archambault, M. P., van den Bos, C., Gordon, S., Kraus, K., Smith, A., &amp; </w:t>
      </w:r>
      <w:proofErr w:type="spellStart"/>
      <w:r w:rsidRPr="00CB5B2C">
        <w:rPr>
          <w:sz w:val="21"/>
          <w:szCs w:val="21"/>
        </w:rPr>
        <w:t>Kadiyala</w:t>
      </w:r>
      <w:proofErr w:type="spellEnd"/>
      <w:r w:rsidRPr="00CB5B2C">
        <w:rPr>
          <w:sz w:val="21"/>
          <w:szCs w:val="21"/>
        </w:rPr>
        <w:t xml:space="preserve">, S. (2003). Allogeneic mesenchymal stem cells regenerate bone in a critical-sized canine segmental defect. Journal of Bone and Joint Surgery (American Volume), 85(10), 1927–1935. </w:t>
      </w:r>
      <w:hyperlink r:id="rId7" w:history="1">
        <w:r w:rsidR="00CB5B2C" w:rsidRPr="005116A2">
          <w:rPr>
            <w:rStyle w:val="Hyperlink"/>
            <w:sz w:val="21"/>
            <w:szCs w:val="21"/>
          </w:rPr>
          <w:t>https://doi.org/10.2106/00004623-200310000-00010</w:t>
        </w:r>
      </w:hyperlink>
      <w:r w:rsidR="00CB5B2C">
        <w:rPr>
          <w:sz w:val="21"/>
          <w:szCs w:val="21"/>
        </w:rPr>
        <w:t xml:space="preserve"> </w:t>
      </w:r>
    </w:p>
    <w:p w14:paraId="51EB2F09" w14:textId="77777777" w:rsidR="00A41E53" w:rsidRDefault="009F05B9" w:rsidP="00CB5B2C">
      <w:pPr>
        <w:spacing w:before="100" w:beforeAutospacing="1" w:after="100" w:afterAutospacing="1"/>
        <w:jc w:val="both"/>
      </w:pPr>
      <w:proofErr w:type="spellStart"/>
      <w:r w:rsidRPr="00CB5B2C">
        <w:rPr>
          <w:sz w:val="21"/>
          <w:szCs w:val="21"/>
        </w:rPr>
        <w:t>Barbaro</w:t>
      </w:r>
      <w:proofErr w:type="spellEnd"/>
      <w:r w:rsidRPr="00CB5B2C">
        <w:rPr>
          <w:sz w:val="21"/>
          <w:szCs w:val="21"/>
        </w:rPr>
        <w:t xml:space="preserve">, K., Marconi, G., </w:t>
      </w:r>
      <w:proofErr w:type="spellStart"/>
      <w:r w:rsidRPr="00CB5B2C">
        <w:rPr>
          <w:sz w:val="21"/>
          <w:szCs w:val="21"/>
        </w:rPr>
        <w:t>Innocenzi</w:t>
      </w:r>
      <w:proofErr w:type="spellEnd"/>
      <w:r w:rsidRPr="00CB5B2C">
        <w:rPr>
          <w:sz w:val="21"/>
          <w:szCs w:val="21"/>
        </w:rPr>
        <w:t xml:space="preserve">, E., </w:t>
      </w:r>
      <w:proofErr w:type="spellStart"/>
      <w:r w:rsidRPr="00CB5B2C">
        <w:rPr>
          <w:sz w:val="21"/>
          <w:szCs w:val="21"/>
        </w:rPr>
        <w:t>Altigeri</w:t>
      </w:r>
      <w:proofErr w:type="spellEnd"/>
      <w:r w:rsidRPr="00CB5B2C">
        <w:rPr>
          <w:sz w:val="21"/>
          <w:szCs w:val="21"/>
        </w:rPr>
        <w:t xml:space="preserve">, A., </w:t>
      </w:r>
      <w:proofErr w:type="spellStart"/>
      <w:r w:rsidRPr="00CB5B2C">
        <w:rPr>
          <w:sz w:val="21"/>
          <w:szCs w:val="21"/>
        </w:rPr>
        <w:t>Zepparoni</w:t>
      </w:r>
      <w:proofErr w:type="spellEnd"/>
      <w:r w:rsidRPr="00CB5B2C">
        <w:rPr>
          <w:sz w:val="21"/>
          <w:szCs w:val="21"/>
        </w:rPr>
        <w:t xml:space="preserve">, A., Monteleone, V., </w:t>
      </w:r>
      <w:proofErr w:type="spellStart"/>
      <w:r w:rsidRPr="00CB5B2C">
        <w:rPr>
          <w:sz w:val="21"/>
          <w:szCs w:val="21"/>
        </w:rPr>
        <w:t>Alimonti</w:t>
      </w:r>
      <w:proofErr w:type="spellEnd"/>
      <w:r w:rsidRPr="00CB5B2C">
        <w:rPr>
          <w:sz w:val="21"/>
          <w:szCs w:val="21"/>
        </w:rPr>
        <w:t xml:space="preserve">, C., </w:t>
      </w:r>
      <w:proofErr w:type="spellStart"/>
      <w:r w:rsidRPr="00CB5B2C">
        <w:rPr>
          <w:sz w:val="21"/>
          <w:szCs w:val="21"/>
        </w:rPr>
        <w:t>Marcoccia</w:t>
      </w:r>
      <w:proofErr w:type="spellEnd"/>
      <w:r w:rsidRPr="00CB5B2C">
        <w:rPr>
          <w:sz w:val="21"/>
          <w:szCs w:val="21"/>
        </w:rPr>
        <w:t xml:space="preserve">, D., </w:t>
      </w:r>
      <w:proofErr w:type="spellStart"/>
      <w:r w:rsidRPr="00CB5B2C">
        <w:rPr>
          <w:sz w:val="21"/>
          <w:szCs w:val="21"/>
        </w:rPr>
        <w:t>Ghisellini</w:t>
      </w:r>
      <w:proofErr w:type="spellEnd"/>
      <w:r w:rsidRPr="00CB5B2C">
        <w:rPr>
          <w:sz w:val="21"/>
          <w:szCs w:val="21"/>
        </w:rPr>
        <w:t xml:space="preserve">, P., Rando, C., </w:t>
      </w:r>
      <w:proofErr w:type="spellStart"/>
      <w:r w:rsidRPr="00CB5B2C">
        <w:rPr>
          <w:sz w:val="21"/>
          <w:szCs w:val="21"/>
        </w:rPr>
        <w:t>Ottoboni</w:t>
      </w:r>
      <w:proofErr w:type="spellEnd"/>
      <w:r w:rsidRPr="00CB5B2C">
        <w:rPr>
          <w:sz w:val="21"/>
          <w:szCs w:val="21"/>
        </w:rPr>
        <w:t xml:space="preserve">, S., Rau, J. V., </w:t>
      </w:r>
      <w:proofErr w:type="spellStart"/>
      <w:r w:rsidRPr="00CB5B2C">
        <w:rPr>
          <w:sz w:val="21"/>
          <w:szCs w:val="21"/>
        </w:rPr>
        <w:t>Eggenhöffner</w:t>
      </w:r>
      <w:proofErr w:type="spellEnd"/>
      <w:r w:rsidRPr="00CB5B2C">
        <w:rPr>
          <w:sz w:val="21"/>
          <w:szCs w:val="21"/>
        </w:rPr>
        <w:t xml:space="preserve">, R., &amp; Scicluna, M. T. (2024). Regenerative treatment of canine osteogenic lesions with Platelet-Rich Plasma and hydroxyapatite: A case report. Frontiers in Veterinary Science, 11, 1459714. </w:t>
      </w:r>
      <w:hyperlink r:id="rId8" w:history="1">
        <w:r w:rsidR="00CB5B2C" w:rsidRPr="005116A2">
          <w:rPr>
            <w:rStyle w:val="Hyperlink"/>
            <w:sz w:val="21"/>
            <w:szCs w:val="21"/>
          </w:rPr>
          <w:t>https://doi.org/10.3389/fvets.2024.1459714</w:t>
        </w:r>
      </w:hyperlink>
      <w:r w:rsidR="00CB5B2C">
        <w:rPr>
          <w:sz w:val="21"/>
          <w:szCs w:val="21"/>
        </w:rPr>
        <w:t xml:space="preserve"> </w:t>
      </w:r>
    </w:p>
    <w:p w14:paraId="467854A5" w14:textId="77777777" w:rsidR="00A41E53" w:rsidRDefault="009F05B9" w:rsidP="00CB5B2C">
      <w:pPr>
        <w:spacing w:before="100" w:beforeAutospacing="1" w:after="100" w:afterAutospacing="1"/>
        <w:jc w:val="both"/>
      </w:pPr>
      <w:proofErr w:type="spellStart"/>
      <w:r w:rsidRPr="00CB5B2C">
        <w:rPr>
          <w:sz w:val="21"/>
          <w:szCs w:val="21"/>
        </w:rPr>
        <w:t>Boström</w:t>
      </w:r>
      <w:proofErr w:type="spellEnd"/>
      <w:r w:rsidRPr="00CB5B2C">
        <w:rPr>
          <w:sz w:val="21"/>
          <w:szCs w:val="21"/>
        </w:rPr>
        <w:t xml:space="preserve">, A., Bergh, A., </w:t>
      </w:r>
      <w:proofErr w:type="spellStart"/>
      <w:r w:rsidRPr="00CB5B2C">
        <w:rPr>
          <w:sz w:val="21"/>
          <w:szCs w:val="21"/>
        </w:rPr>
        <w:t>Hyytiäinen</w:t>
      </w:r>
      <w:proofErr w:type="spellEnd"/>
      <w:r w:rsidRPr="00CB5B2C">
        <w:rPr>
          <w:sz w:val="21"/>
          <w:szCs w:val="21"/>
        </w:rPr>
        <w:t xml:space="preserve">, H., &amp; </w:t>
      </w:r>
      <w:proofErr w:type="spellStart"/>
      <w:r w:rsidRPr="00CB5B2C">
        <w:rPr>
          <w:sz w:val="21"/>
          <w:szCs w:val="21"/>
        </w:rPr>
        <w:t>Asplund</w:t>
      </w:r>
      <w:proofErr w:type="spellEnd"/>
      <w:r w:rsidRPr="00CB5B2C">
        <w:rPr>
          <w:sz w:val="21"/>
          <w:szCs w:val="21"/>
        </w:rPr>
        <w:t xml:space="preserve">, K. (2022). Systematic review of complementary and alternative veterinary medicine in sport and companion animals: Extracorporeal shockwave therapy. Animals, 12(22), 3124. </w:t>
      </w:r>
      <w:hyperlink r:id="rId9" w:history="1">
        <w:r w:rsidR="00CB5B2C" w:rsidRPr="005116A2">
          <w:rPr>
            <w:rStyle w:val="Hyperlink"/>
            <w:sz w:val="21"/>
            <w:szCs w:val="21"/>
          </w:rPr>
          <w:t>https://doi.org/10.3390/ani12223124</w:t>
        </w:r>
      </w:hyperlink>
      <w:r w:rsidR="00CB5B2C">
        <w:rPr>
          <w:sz w:val="21"/>
          <w:szCs w:val="21"/>
        </w:rPr>
        <w:t xml:space="preserve"> </w:t>
      </w:r>
    </w:p>
    <w:p w14:paraId="115418C2" w14:textId="77777777" w:rsidR="00A41E53" w:rsidRDefault="009F05B9" w:rsidP="00CB5B2C">
      <w:pPr>
        <w:spacing w:before="100" w:beforeAutospacing="1" w:after="100" w:afterAutospacing="1"/>
        <w:jc w:val="both"/>
      </w:pPr>
      <w:r w:rsidRPr="00CB5B2C">
        <w:rPr>
          <w:sz w:val="21"/>
          <w:szCs w:val="21"/>
        </w:rPr>
        <w:t xml:space="preserve">Bowers, K. M., &amp; </w:t>
      </w:r>
      <w:proofErr w:type="spellStart"/>
      <w:r w:rsidRPr="00CB5B2C">
        <w:rPr>
          <w:sz w:val="21"/>
          <w:szCs w:val="21"/>
        </w:rPr>
        <w:t>Engiles</w:t>
      </w:r>
      <w:proofErr w:type="spellEnd"/>
      <w:r w:rsidRPr="00CB5B2C">
        <w:rPr>
          <w:sz w:val="21"/>
          <w:szCs w:val="21"/>
        </w:rPr>
        <w:t xml:space="preserve">, J. B. (2024). Delayed union and nonunion: Current concepts, prevention, and correction—A review. Bioengineering, 11(6), 525. </w:t>
      </w:r>
      <w:hyperlink r:id="rId10" w:history="1">
        <w:r w:rsidR="00CB5B2C" w:rsidRPr="005116A2">
          <w:rPr>
            <w:rStyle w:val="Hyperlink"/>
            <w:sz w:val="21"/>
            <w:szCs w:val="21"/>
          </w:rPr>
          <w:t>https://doi.org/10.3390/bioengineering11060525</w:t>
        </w:r>
      </w:hyperlink>
      <w:r w:rsidR="00CB5B2C">
        <w:rPr>
          <w:sz w:val="21"/>
          <w:szCs w:val="21"/>
        </w:rPr>
        <w:t xml:space="preserve"> </w:t>
      </w:r>
    </w:p>
    <w:p w14:paraId="624683A5" w14:textId="77777777" w:rsidR="00A41E53" w:rsidRDefault="009F05B9" w:rsidP="00CB5B2C">
      <w:pPr>
        <w:spacing w:before="100" w:beforeAutospacing="1" w:after="100" w:afterAutospacing="1"/>
        <w:jc w:val="both"/>
      </w:pPr>
      <w:proofErr w:type="spellStart"/>
      <w:r w:rsidRPr="00CB5B2C">
        <w:rPr>
          <w:sz w:val="21"/>
          <w:szCs w:val="21"/>
        </w:rPr>
        <w:lastRenderedPageBreak/>
        <w:t>Camilletti</w:t>
      </w:r>
      <w:proofErr w:type="spellEnd"/>
      <w:r w:rsidRPr="00CB5B2C">
        <w:rPr>
          <w:sz w:val="21"/>
          <w:szCs w:val="21"/>
        </w:rPr>
        <w:t xml:space="preserve">, P., &amp; </w:t>
      </w:r>
      <w:proofErr w:type="spellStart"/>
      <w:r w:rsidRPr="00CB5B2C">
        <w:rPr>
          <w:sz w:val="21"/>
          <w:szCs w:val="21"/>
        </w:rPr>
        <w:t>d'Amato</w:t>
      </w:r>
      <w:proofErr w:type="spellEnd"/>
      <w:r w:rsidRPr="00CB5B2C">
        <w:rPr>
          <w:sz w:val="21"/>
          <w:szCs w:val="21"/>
        </w:rPr>
        <w:t xml:space="preserve">, M. (2024). Long-term outcomes of atrophic/oligotrophic non-unions in dogs and cats treated with autologous iliac </w:t>
      </w:r>
      <w:proofErr w:type="spellStart"/>
      <w:r w:rsidRPr="00CB5B2C">
        <w:rPr>
          <w:sz w:val="21"/>
          <w:szCs w:val="21"/>
        </w:rPr>
        <w:t>corticocancellous</w:t>
      </w:r>
      <w:proofErr w:type="spellEnd"/>
      <w:r w:rsidRPr="00CB5B2C">
        <w:rPr>
          <w:sz w:val="21"/>
          <w:szCs w:val="21"/>
        </w:rPr>
        <w:t xml:space="preserve"> bone graft and circular external skeletal fixation: 19 cases (2014–2021). Journal of Small Animal Practice, 65(2), 123–131. </w:t>
      </w:r>
      <w:hyperlink r:id="rId11" w:history="1">
        <w:r w:rsidR="00CB5B2C" w:rsidRPr="005116A2">
          <w:rPr>
            <w:rStyle w:val="Hyperlink"/>
            <w:sz w:val="21"/>
            <w:szCs w:val="21"/>
          </w:rPr>
          <w:t>https://doi.org/10.1111/jsap.13681</w:t>
        </w:r>
      </w:hyperlink>
      <w:r w:rsidR="00CB5B2C">
        <w:rPr>
          <w:sz w:val="21"/>
          <w:szCs w:val="21"/>
        </w:rPr>
        <w:t xml:space="preserve"> </w:t>
      </w:r>
    </w:p>
    <w:p w14:paraId="4635417C" w14:textId="77777777" w:rsidR="00A41E53" w:rsidRDefault="009F05B9" w:rsidP="00CB5B2C">
      <w:pPr>
        <w:spacing w:before="100" w:beforeAutospacing="1" w:after="100" w:afterAutospacing="1"/>
        <w:jc w:val="both"/>
      </w:pPr>
      <w:r w:rsidRPr="00CB5B2C">
        <w:rPr>
          <w:sz w:val="21"/>
          <w:szCs w:val="21"/>
        </w:rPr>
        <w:t xml:space="preserve">Colbath, A. C., </w:t>
      </w:r>
      <w:proofErr w:type="spellStart"/>
      <w:r w:rsidRPr="00CB5B2C">
        <w:rPr>
          <w:sz w:val="21"/>
          <w:szCs w:val="21"/>
        </w:rPr>
        <w:t>Kisiday</w:t>
      </w:r>
      <w:proofErr w:type="spellEnd"/>
      <w:r w:rsidRPr="00CB5B2C">
        <w:rPr>
          <w:sz w:val="21"/>
          <w:szCs w:val="21"/>
        </w:rPr>
        <w:t xml:space="preserve">, J. D., Phillips, J. N., &amp; Goodrich, L. R. (2020). Can extracorporeal shockwave promote osteogenesis of equine bone marrow-derived mesenchymal stem cells in vitro? Stem Cells and Development, 29(2), 110–118. </w:t>
      </w:r>
      <w:hyperlink r:id="rId12" w:history="1">
        <w:r w:rsidR="00CB5B2C" w:rsidRPr="005116A2">
          <w:rPr>
            <w:rStyle w:val="Hyperlink"/>
            <w:sz w:val="21"/>
            <w:szCs w:val="21"/>
          </w:rPr>
          <w:t>https://doi.org/10.1089/scd.2019.0202</w:t>
        </w:r>
      </w:hyperlink>
      <w:r w:rsidR="00CB5B2C">
        <w:rPr>
          <w:sz w:val="21"/>
          <w:szCs w:val="21"/>
        </w:rPr>
        <w:t xml:space="preserve"> </w:t>
      </w:r>
    </w:p>
    <w:p w14:paraId="041E0525" w14:textId="77777777" w:rsidR="00A41E53" w:rsidRDefault="009F05B9" w:rsidP="00CB5B2C">
      <w:pPr>
        <w:spacing w:before="100" w:beforeAutospacing="1" w:after="100" w:afterAutospacing="1"/>
        <w:jc w:val="both"/>
      </w:pPr>
      <w:r w:rsidRPr="00CB5B2C">
        <w:rPr>
          <w:sz w:val="21"/>
          <w:szCs w:val="21"/>
        </w:rPr>
        <w:t xml:space="preserve">Cook, J. L., Evans, R., </w:t>
      </w:r>
      <w:proofErr w:type="spellStart"/>
      <w:r w:rsidRPr="00CB5B2C">
        <w:rPr>
          <w:sz w:val="21"/>
          <w:szCs w:val="21"/>
        </w:rPr>
        <w:t>Conzemius</w:t>
      </w:r>
      <w:proofErr w:type="spellEnd"/>
      <w:r w:rsidRPr="00CB5B2C">
        <w:rPr>
          <w:sz w:val="21"/>
          <w:szCs w:val="21"/>
        </w:rPr>
        <w:t xml:space="preserve">, M. G., Lascelles, B. D. X., McIlwraith, C. W., </w:t>
      </w:r>
      <w:proofErr w:type="spellStart"/>
      <w:r w:rsidRPr="00CB5B2C">
        <w:rPr>
          <w:sz w:val="21"/>
          <w:szCs w:val="21"/>
        </w:rPr>
        <w:t>Pozzi</w:t>
      </w:r>
      <w:proofErr w:type="spellEnd"/>
      <w:r w:rsidRPr="00CB5B2C">
        <w:rPr>
          <w:sz w:val="21"/>
          <w:szCs w:val="21"/>
        </w:rPr>
        <w:t xml:space="preserve">, A., Clegg, P., Innes, J., Schulz, K., Houlton, J., Fortier, L., Cross, A. R., Hayashi, K., </w:t>
      </w:r>
      <w:proofErr w:type="spellStart"/>
      <w:r w:rsidRPr="00CB5B2C">
        <w:rPr>
          <w:sz w:val="21"/>
          <w:szCs w:val="21"/>
        </w:rPr>
        <w:t>Kapatkin</w:t>
      </w:r>
      <w:proofErr w:type="spellEnd"/>
      <w:r w:rsidRPr="00CB5B2C">
        <w:rPr>
          <w:sz w:val="21"/>
          <w:szCs w:val="21"/>
        </w:rPr>
        <w:t xml:space="preserve">, A., Brown, D. C., &amp; Stewart, A. (2010). Proposed definitions and criteria for reporting time frame, outcome, and complications for clinical </w:t>
      </w:r>
      <w:proofErr w:type="spellStart"/>
      <w:r w:rsidRPr="00CB5B2C">
        <w:rPr>
          <w:sz w:val="21"/>
          <w:szCs w:val="21"/>
        </w:rPr>
        <w:t>orthopaedic</w:t>
      </w:r>
      <w:proofErr w:type="spellEnd"/>
      <w:r w:rsidRPr="00CB5B2C">
        <w:rPr>
          <w:sz w:val="21"/>
          <w:szCs w:val="21"/>
        </w:rPr>
        <w:t xml:space="preserve"> studies in veterinary medicine. Veterinary Surgery, 39(8), 905–908. </w:t>
      </w:r>
      <w:hyperlink r:id="rId13" w:history="1">
        <w:r w:rsidR="00CB5B2C" w:rsidRPr="005116A2">
          <w:rPr>
            <w:rStyle w:val="Hyperlink"/>
            <w:sz w:val="21"/>
            <w:szCs w:val="21"/>
          </w:rPr>
          <w:t>https://doi.org/10.1111/j.1532-950X.2010.00763.x</w:t>
        </w:r>
      </w:hyperlink>
      <w:r w:rsidR="00CB5B2C">
        <w:rPr>
          <w:sz w:val="21"/>
          <w:szCs w:val="21"/>
        </w:rPr>
        <w:t xml:space="preserve"> </w:t>
      </w:r>
    </w:p>
    <w:p w14:paraId="0EB820C8" w14:textId="77777777" w:rsidR="00A41E53" w:rsidRDefault="009F05B9" w:rsidP="00CB5B2C">
      <w:pPr>
        <w:spacing w:before="100" w:beforeAutospacing="1" w:after="100" w:afterAutospacing="1"/>
        <w:jc w:val="both"/>
      </w:pPr>
      <w:r w:rsidRPr="00CB5B2C">
        <w:rPr>
          <w:sz w:val="21"/>
          <w:szCs w:val="21"/>
        </w:rPr>
        <w:t xml:space="preserve">Einhorn, T. A. (1998). The cell and molecular biology of fracture healing. Clinical </w:t>
      </w:r>
      <w:proofErr w:type="spellStart"/>
      <w:r w:rsidRPr="00CB5B2C">
        <w:rPr>
          <w:sz w:val="21"/>
          <w:szCs w:val="21"/>
        </w:rPr>
        <w:t>Orthopaedics</w:t>
      </w:r>
      <w:proofErr w:type="spellEnd"/>
      <w:r w:rsidRPr="00CB5B2C">
        <w:rPr>
          <w:sz w:val="21"/>
          <w:szCs w:val="21"/>
        </w:rPr>
        <w:t xml:space="preserve"> and Related Research, 355(Suppl), S7–S21. </w:t>
      </w:r>
      <w:hyperlink r:id="rId14" w:history="1">
        <w:r w:rsidR="00CB5B2C" w:rsidRPr="005116A2">
          <w:rPr>
            <w:rStyle w:val="Hyperlink"/>
            <w:sz w:val="21"/>
            <w:szCs w:val="21"/>
          </w:rPr>
          <w:t>https://doi.org/10.1097/00003086-199810001-00003</w:t>
        </w:r>
      </w:hyperlink>
      <w:r w:rsidR="00CB5B2C">
        <w:rPr>
          <w:sz w:val="21"/>
          <w:szCs w:val="21"/>
        </w:rPr>
        <w:t xml:space="preserve"> </w:t>
      </w:r>
    </w:p>
    <w:p w14:paraId="48CE3EF2" w14:textId="77777777" w:rsidR="00A41E53" w:rsidRDefault="009F05B9" w:rsidP="00CB5B2C">
      <w:pPr>
        <w:spacing w:before="100" w:beforeAutospacing="1" w:after="100" w:afterAutospacing="1"/>
        <w:jc w:val="both"/>
      </w:pPr>
      <w:proofErr w:type="spellStart"/>
      <w:r w:rsidRPr="00CB5B2C">
        <w:rPr>
          <w:sz w:val="21"/>
          <w:szCs w:val="21"/>
        </w:rPr>
        <w:t>Guiot</w:t>
      </w:r>
      <w:proofErr w:type="spellEnd"/>
      <w:r w:rsidRPr="00CB5B2C">
        <w:rPr>
          <w:sz w:val="21"/>
          <w:szCs w:val="21"/>
        </w:rPr>
        <w:t xml:space="preserve">, L. P., </w:t>
      </w:r>
      <w:proofErr w:type="spellStart"/>
      <w:r w:rsidRPr="00CB5B2C">
        <w:rPr>
          <w:sz w:val="21"/>
          <w:szCs w:val="21"/>
        </w:rPr>
        <w:t>Guillou</w:t>
      </w:r>
      <w:proofErr w:type="spellEnd"/>
      <w:r w:rsidRPr="00CB5B2C">
        <w:rPr>
          <w:sz w:val="21"/>
          <w:szCs w:val="21"/>
        </w:rPr>
        <w:t xml:space="preserve">, R. P., &amp; </w:t>
      </w:r>
      <w:proofErr w:type="spellStart"/>
      <w:r w:rsidRPr="00CB5B2C">
        <w:rPr>
          <w:sz w:val="21"/>
          <w:szCs w:val="21"/>
        </w:rPr>
        <w:t>Déjardin</w:t>
      </w:r>
      <w:proofErr w:type="spellEnd"/>
      <w:r w:rsidRPr="00CB5B2C">
        <w:rPr>
          <w:sz w:val="21"/>
          <w:szCs w:val="21"/>
        </w:rPr>
        <w:t xml:space="preserve">, L. M. (2019). Minimally invasive percutaneous medial plate-rod osteosynthesis for treatment of humeral shaft fractures in dog and cats: Surgical technique and prospective evaluation. Veterinary Surgery, 48(S1), O41–O51. </w:t>
      </w:r>
      <w:hyperlink r:id="rId15" w:history="1">
        <w:r w:rsidR="00CB5B2C" w:rsidRPr="005116A2">
          <w:rPr>
            <w:rStyle w:val="Hyperlink"/>
            <w:sz w:val="21"/>
            <w:szCs w:val="21"/>
          </w:rPr>
          <w:t>https://doi.org/10.1111/vsu.13134</w:t>
        </w:r>
      </w:hyperlink>
      <w:r w:rsidR="00CB5B2C">
        <w:rPr>
          <w:sz w:val="21"/>
          <w:szCs w:val="21"/>
        </w:rPr>
        <w:t xml:space="preserve"> </w:t>
      </w:r>
    </w:p>
    <w:p w14:paraId="2B519CC9" w14:textId="77777777" w:rsidR="00A41E53" w:rsidRDefault="009F05B9" w:rsidP="00CB5B2C">
      <w:pPr>
        <w:spacing w:before="100" w:beforeAutospacing="1" w:after="100" w:afterAutospacing="1"/>
        <w:jc w:val="both"/>
      </w:pPr>
      <w:proofErr w:type="spellStart"/>
      <w:r w:rsidRPr="00CB5B2C">
        <w:rPr>
          <w:sz w:val="21"/>
          <w:szCs w:val="21"/>
        </w:rPr>
        <w:t>Istim</w:t>
      </w:r>
      <w:proofErr w:type="spellEnd"/>
      <w:r w:rsidRPr="00CB5B2C">
        <w:rPr>
          <w:sz w:val="21"/>
          <w:szCs w:val="21"/>
        </w:rPr>
        <w:t xml:space="preserve">, C., &amp; </w:t>
      </w:r>
      <w:proofErr w:type="spellStart"/>
      <w:r w:rsidRPr="00CB5B2C">
        <w:rPr>
          <w:sz w:val="21"/>
          <w:szCs w:val="21"/>
        </w:rPr>
        <w:t>Arican</w:t>
      </w:r>
      <w:proofErr w:type="spellEnd"/>
      <w:r w:rsidRPr="00CB5B2C">
        <w:rPr>
          <w:sz w:val="21"/>
          <w:szCs w:val="21"/>
        </w:rPr>
        <w:t xml:space="preserve">, M. (2022). Clinical and radiographic evaluation of minimally invasive plate osteosynthesis (MIPO) in dogs with tibial fractures. Veterinary Medicine (Praha), 67(6), 316–322. </w:t>
      </w:r>
      <w:hyperlink r:id="rId16" w:history="1">
        <w:r w:rsidR="00CB5B2C" w:rsidRPr="005116A2">
          <w:rPr>
            <w:rStyle w:val="Hyperlink"/>
            <w:sz w:val="21"/>
            <w:szCs w:val="21"/>
          </w:rPr>
          <w:t>https://doi.org/10.17221/42/2021-VETMED</w:t>
        </w:r>
      </w:hyperlink>
      <w:r w:rsidR="00CB5B2C">
        <w:rPr>
          <w:sz w:val="21"/>
          <w:szCs w:val="21"/>
        </w:rPr>
        <w:t xml:space="preserve"> </w:t>
      </w:r>
    </w:p>
    <w:p w14:paraId="74F8A0CF" w14:textId="77777777" w:rsidR="00A41E53" w:rsidRDefault="009F05B9" w:rsidP="00CB5B2C">
      <w:pPr>
        <w:spacing w:before="100" w:beforeAutospacing="1" w:after="100" w:afterAutospacing="1"/>
        <w:jc w:val="both"/>
      </w:pPr>
      <w:r w:rsidRPr="00CB5B2C">
        <w:rPr>
          <w:sz w:val="21"/>
          <w:szCs w:val="21"/>
        </w:rPr>
        <w:t xml:space="preserve">Johnson, S. A., Richards, R. B., </w:t>
      </w:r>
      <w:proofErr w:type="spellStart"/>
      <w:r w:rsidRPr="00CB5B2C">
        <w:rPr>
          <w:sz w:val="21"/>
          <w:szCs w:val="21"/>
        </w:rPr>
        <w:t>Frisbie</w:t>
      </w:r>
      <w:proofErr w:type="spellEnd"/>
      <w:r w:rsidRPr="00CB5B2C">
        <w:rPr>
          <w:sz w:val="21"/>
          <w:szCs w:val="21"/>
        </w:rPr>
        <w:t xml:space="preserve">, D. D., </w:t>
      </w:r>
      <w:proofErr w:type="spellStart"/>
      <w:r w:rsidRPr="00CB5B2C">
        <w:rPr>
          <w:sz w:val="21"/>
          <w:szCs w:val="21"/>
        </w:rPr>
        <w:t>Esselman</w:t>
      </w:r>
      <w:proofErr w:type="spellEnd"/>
      <w:r w:rsidRPr="00CB5B2C">
        <w:rPr>
          <w:sz w:val="21"/>
          <w:szCs w:val="21"/>
        </w:rPr>
        <w:t xml:space="preserve">, A. M., &amp; McClure, S. R. (2023). Equine shock wave therapy—where are we now? Equine Veterinary Journal, 55(4), 593–606. </w:t>
      </w:r>
      <w:hyperlink r:id="rId17" w:history="1">
        <w:r w:rsidR="00CB5B2C" w:rsidRPr="005116A2">
          <w:rPr>
            <w:rStyle w:val="Hyperlink"/>
            <w:sz w:val="21"/>
            <w:szCs w:val="21"/>
          </w:rPr>
          <w:t>https://doi.org/10.1111/evj.13890</w:t>
        </w:r>
      </w:hyperlink>
      <w:r w:rsidR="00CB5B2C">
        <w:rPr>
          <w:sz w:val="21"/>
          <w:szCs w:val="21"/>
        </w:rPr>
        <w:t xml:space="preserve"> </w:t>
      </w:r>
    </w:p>
    <w:p w14:paraId="013E2495" w14:textId="77777777" w:rsidR="00A41E53" w:rsidRDefault="009F05B9" w:rsidP="00CB5B2C">
      <w:pPr>
        <w:spacing w:before="100" w:beforeAutospacing="1" w:after="100" w:afterAutospacing="1"/>
        <w:jc w:val="both"/>
      </w:pPr>
      <w:r w:rsidRPr="00CB5B2C">
        <w:rPr>
          <w:sz w:val="21"/>
          <w:szCs w:val="21"/>
        </w:rPr>
        <w:t xml:space="preserve">Lee, S., &amp; Kang, B. J. (2024). Surgical reconstruction of canine nonunion fractures using bone morphogenetic protein-2-loaded alginate microbeads and bone allografts. In Vivo, 38(2), 617–619. </w:t>
      </w:r>
      <w:hyperlink r:id="rId18" w:history="1">
        <w:r w:rsidR="00CB5B2C" w:rsidRPr="005116A2">
          <w:rPr>
            <w:rStyle w:val="Hyperlink"/>
            <w:sz w:val="21"/>
            <w:szCs w:val="21"/>
          </w:rPr>
          <w:t>https://doi.org/10.21873/invivo.13480</w:t>
        </w:r>
      </w:hyperlink>
      <w:r w:rsidR="00CB5B2C">
        <w:rPr>
          <w:sz w:val="21"/>
          <w:szCs w:val="21"/>
        </w:rPr>
        <w:t xml:space="preserve"> </w:t>
      </w:r>
    </w:p>
    <w:p w14:paraId="480E1383" w14:textId="77777777" w:rsidR="00A41E53" w:rsidRDefault="009F05B9" w:rsidP="00CB5B2C">
      <w:pPr>
        <w:spacing w:before="100" w:beforeAutospacing="1" w:after="100" w:afterAutospacing="1"/>
        <w:jc w:val="both"/>
      </w:pPr>
      <w:r w:rsidRPr="00CB5B2C">
        <w:rPr>
          <w:sz w:val="21"/>
          <w:szCs w:val="21"/>
        </w:rPr>
        <w:t xml:space="preserve">López, S., </w:t>
      </w:r>
      <w:proofErr w:type="spellStart"/>
      <w:r w:rsidRPr="00CB5B2C">
        <w:rPr>
          <w:sz w:val="21"/>
          <w:szCs w:val="21"/>
        </w:rPr>
        <w:t>Vilar</w:t>
      </w:r>
      <w:proofErr w:type="spellEnd"/>
      <w:r w:rsidRPr="00CB5B2C">
        <w:rPr>
          <w:sz w:val="21"/>
          <w:szCs w:val="21"/>
        </w:rPr>
        <w:t xml:space="preserve">, J. M., </w:t>
      </w:r>
      <w:proofErr w:type="spellStart"/>
      <w:r w:rsidRPr="00CB5B2C">
        <w:rPr>
          <w:sz w:val="21"/>
          <w:szCs w:val="21"/>
        </w:rPr>
        <w:t>Sopena</w:t>
      </w:r>
      <w:proofErr w:type="spellEnd"/>
      <w:r w:rsidRPr="00CB5B2C">
        <w:rPr>
          <w:sz w:val="21"/>
          <w:szCs w:val="21"/>
        </w:rPr>
        <w:t xml:space="preserve">, J. J., </w:t>
      </w:r>
      <w:proofErr w:type="spellStart"/>
      <w:r w:rsidRPr="00CB5B2C">
        <w:rPr>
          <w:sz w:val="21"/>
          <w:szCs w:val="21"/>
        </w:rPr>
        <w:t>Damià</w:t>
      </w:r>
      <w:proofErr w:type="spellEnd"/>
      <w:r w:rsidRPr="00CB5B2C">
        <w:rPr>
          <w:sz w:val="21"/>
          <w:szCs w:val="21"/>
        </w:rPr>
        <w:t xml:space="preserve">, E., </w:t>
      </w:r>
      <w:proofErr w:type="spellStart"/>
      <w:r w:rsidRPr="00CB5B2C">
        <w:rPr>
          <w:sz w:val="21"/>
          <w:szCs w:val="21"/>
        </w:rPr>
        <w:t>Chicharro</w:t>
      </w:r>
      <w:proofErr w:type="spellEnd"/>
      <w:r w:rsidRPr="00CB5B2C">
        <w:rPr>
          <w:sz w:val="21"/>
          <w:szCs w:val="21"/>
        </w:rPr>
        <w:t xml:space="preserve">, D., Carrillo, J. M., Cuervo, B., &amp; Rubio, M. (2019). Assessment of the efficacy of platelet-rich plasma in the treatment of traumatic canine fractures. International Journal of Molecular Sciences, 20(5), 1075. </w:t>
      </w:r>
      <w:hyperlink r:id="rId19" w:history="1">
        <w:r w:rsidR="00CB5B2C" w:rsidRPr="005116A2">
          <w:rPr>
            <w:rStyle w:val="Hyperlink"/>
            <w:sz w:val="21"/>
            <w:szCs w:val="21"/>
          </w:rPr>
          <w:t>https://doi.org/10.3390/ijms20051075</w:t>
        </w:r>
      </w:hyperlink>
      <w:r w:rsidR="00CB5B2C">
        <w:rPr>
          <w:sz w:val="21"/>
          <w:szCs w:val="21"/>
        </w:rPr>
        <w:t xml:space="preserve"> </w:t>
      </w:r>
    </w:p>
    <w:p w14:paraId="5F0F68F2" w14:textId="77777777" w:rsidR="00A41E53" w:rsidRDefault="009F05B9" w:rsidP="00CB5B2C">
      <w:pPr>
        <w:spacing w:before="100" w:beforeAutospacing="1" w:after="100" w:afterAutospacing="1"/>
        <w:jc w:val="both"/>
      </w:pPr>
      <w:r w:rsidRPr="00CB5B2C">
        <w:rPr>
          <w:sz w:val="21"/>
          <w:szCs w:val="21"/>
        </w:rPr>
        <w:t xml:space="preserve">Marshall, W. G., </w:t>
      </w:r>
      <w:proofErr w:type="spellStart"/>
      <w:r w:rsidRPr="00CB5B2C">
        <w:rPr>
          <w:sz w:val="21"/>
          <w:szCs w:val="21"/>
        </w:rPr>
        <w:t>Filliquist</w:t>
      </w:r>
      <w:proofErr w:type="spellEnd"/>
      <w:r w:rsidRPr="00CB5B2C">
        <w:rPr>
          <w:sz w:val="21"/>
          <w:szCs w:val="21"/>
        </w:rPr>
        <w:t xml:space="preserve">, B., </w:t>
      </w:r>
      <w:proofErr w:type="spellStart"/>
      <w:r w:rsidRPr="00CB5B2C">
        <w:rPr>
          <w:sz w:val="21"/>
          <w:szCs w:val="21"/>
        </w:rPr>
        <w:t>Tzimtzimis</w:t>
      </w:r>
      <w:proofErr w:type="spellEnd"/>
      <w:r w:rsidRPr="00CB5B2C">
        <w:rPr>
          <w:sz w:val="21"/>
          <w:szCs w:val="21"/>
        </w:rPr>
        <w:t xml:space="preserve">, E., Fitzpatrick, A., Griffiths, J., McCulloch, E., &amp; </w:t>
      </w:r>
      <w:proofErr w:type="spellStart"/>
      <w:r w:rsidRPr="00CB5B2C">
        <w:rPr>
          <w:sz w:val="21"/>
          <w:szCs w:val="21"/>
        </w:rPr>
        <w:t>Moores</w:t>
      </w:r>
      <w:proofErr w:type="spellEnd"/>
      <w:r w:rsidRPr="00CB5B2C">
        <w:rPr>
          <w:sz w:val="21"/>
          <w:szCs w:val="21"/>
        </w:rPr>
        <w:t xml:space="preserve">, A. P. (2022). Delayed union, non-union and mal-union in 442 dogs. Veterinary Surgery, 51(7), 1087–1095. </w:t>
      </w:r>
      <w:hyperlink r:id="rId20" w:history="1">
        <w:r w:rsidR="00CB5B2C" w:rsidRPr="005116A2">
          <w:rPr>
            <w:rStyle w:val="Hyperlink"/>
            <w:sz w:val="21"/>
            <w:szCs w:val="21"/>
          </w:rPr>
          <w:t>https://doi.org/10.1111/vsu.13880</w:t>
        </w:r>
      </w:hyperlink>
      <w:r w:rsidR="00CB5B2C">
        <w:rPr>
          <w:sz w:val="21"/>
          <w:szCs w:val="21"/>
        </w:rPr>
        <w:t xml:space="preserve"> </w:t>
      </w:r>
    </w:p>
    <w:p w14:paraId="6D3A07D8" w14:textId="77777777" w:rsidR="00A41E53" w:rsidRDefault="009F05B9" w:rsidP="00CB5B2C">
      <w:pPr>
        <w:spacing w:before="100" w:beforeAutospacing="1" w:after="100" w:afterAutospacing="1"/>
        <w:jc w:val="both"/>
      </w:pPr>
      <w:proofErr w:type="spellStart"/>
      <w:r w:rsidRPr="00CB5B2C">
        <w:rPr>
          <w:sz w:val="21"/>
          <w:szCs w:val="21"/>
        </w:rPr>
        <w:t>Marsell</w:t>
      </w:r>
      <w:proofErr w:type="spellEnd"/>
      <w:r w:rsidRPr="00CB5B2C">
        <w:rPr>
          <w:sz w:val="21"/>
          <w:szCs w:val="21"/>
        </w:rPr>
        <w:t xml:space="preserve">, R., &amp; Einhorn, T. A. (2011). The biology of fracture healing. Injury, 42(6), 551–555. </w:t>
      </w:r>
      <w:hyperlink r:id="rId21" w:history="1">
        <w:r w:rsidR="00CB5B2C" w:rsidRPr="005116A2">
          <w:rPr>
            <w:rStyle w:val="Hyperlink"/>
            <w:sz w:val="21"/>
            <w:szCs w:val="21"/>
          </w:rPr>
          <w:t>https://doi.org/10.1016/j.injury.2011.03.031</w:t>
        </w:r>
      </w:hyperlink>
      <w:r w:rsidR="00CB5B2C">
        <w:rPr>
          <w:sz w:val="21"/>
          <w:szCs w:val="21"/>
        </w:rPr>
        <w:t xml:space="preserve"> </w:t>
      </w:r>
    </w:p>
    <w:p w14:paraId="664BD3F1" w14:textId="77777777" w:rsidR="00A41E53" w:rsidRDefault="009F05B9" w:rsidP="00CB5B2C">
      <w:pPr>
        <w:spacing w:before="100" w:beforeAutospacing="1" w:after="100" w:afterAutospacing="1"/>
        <w:jc w:val="both"/>
      </w:pPr>
      <w:r w:rsidRPr="00CB5B2C">
        <w:rPr>
          <w:sz w:val="21"/>
          <w:szCs w:val="21"/>
        </w:rPr>
        <w:t xml:space="preserve">Massie, A. M., </w:t>
      </w:r>
      <w:proofErr w:type="spellStart"/>
      <w:r w:rsidRPr="00CB5B2C">
        <w:rPr>
          <w:sz w:val="21"/>
          <w:szCs w:val="21"/>
        </w:rPr>
        <w:t>Kapatkin</w:t>
      </w:r>
      <w:proofErr w:type="spellEnd"/>
      <w:r w:rsidRPr="00CB5B2C">
        <w:rPr>
          <w:sz w:val="21"/>
          <w:szCs w:val="21"/>
        </w:rPr>
        <w:t xml:space="preserve">, A. S., Fuller, M. C., </w:t>
      </w:r>
      <w:proofErr w:type="spellStart"/>
      <w:r w:rsidRPr="00CB5B2C">
        <w:rPr>
          <w:sz w:val="21"/>
          <w:szCs w:val="21"/>
        </w:rPr>
        <w:t>Verstraete</w:t>
      </w:r>
      <w:proofErr w:type="spellEnd"/>
      <w:r w:rsidRPr="00CB5B2C">
        <w:rPr>
          <w:sz w:val="21"/>
          <w:szCs w:val="21"/>
        </w:rPr>
        <w:t xml:space="preserve">, F. J. M., &amp; </w:t>
      </w:r>
      <w:proofErr w:type="spellStart"/>
      <w:r w:rsidRPr="00CB5B2C">
        <w:rPr>
          <w:sz w:val="21"/>
          <w:szCs w:val="21"/>
        </w:rPr>
        <w:t>Arzi</w:t>
      </w:r>
      <w:proofErr w:type="spellEnd"/>
      <w:r w:rsidRPr="00CB5B2C">
        <w:rPr>
          <w:sz w:val="21"/>
          <w:szCs w:val="21"/>
        </w:rPr>
        <w:t xml:space="preserve">, B. (2017). Outcome of nonunion fractures in dogs treated with fixation, compression resistant matrix, and recombinant human bone morphogenetic protein-2. Veterinary and Comparative </w:t>
      </w:r>
      <w:proofErr w:type="spellStart"/>
      <w:r w:rsidRPr="00CB5B2C">
        <w:rPr>
          <w:sz w:val="21"/>
          <w:szCs w:val="21"/>
        </w:rPr>
        <w:t>Orthopaedics</w:t>
      </w:r>
      <w:proofErr w:type="spellEnd"/>
      <w:r w:rsidRPr="00CB5B2C">
        <w:rPr>
          <w:sz w:val="21"/>
          <w:szCs w:val="21"/>
        </w:rPr>
        <w:t xml:space="preserve"> and Traumatology, 30(2), 153–159. </w:t>
      </w:r>
      <w:hyperlink r:id="rId22" w:history="1">
        <w:r w:rsidR="00CB5B2C" w:rsidRPr="005116A2">
          <w:rPr>
            <w:rStyle w:val="Hyperlink"/>
            <w:sz w:val="21"/>
            <w:szCs w:val="21"/>
          </w:rPr>
          <w:t>https://doi.org/10.3415/VCOT-16-05-0082</w:t>
        </w:r>
      </w:hyperlink>
      <w:r w:rsidR="00CB5B2C">
        <w:rPr>
          <w:sz w:val="21"/>
          <w:szCs w:val="21"/>
        </w:rPr>
        <w:t xml:space="preserve"> </w:t>
      </w:r>
    </w:p>
    <w:p w14:paraId="060EA2BD" w14:textId="77777777" w:rsidR="00A41E53" w:rsidRDefault="009F05B9" w:rsidP="00CB5B2C">
      <w:pPr>
        <w:spacing w:before="100" w:beforeAutospacing="1" w:after="100" w:afterAutospacing="1"/>
        <w:jc w:val="both"/>
      </w:pPr>
      <w:proofErr w:type="spellStart"/>
      <w:r w:rsidRPr="00CB5B2C">
        <w:rPr>
          <w:sz w:val="21"/>
          <w:szCs w:val="21"/>
        </w:rPr>
        <w:t>Memarian</w:t>
      </w:r>
      <w:proofErr w:type="spellEnd"/>
      <w:r w:rsidRPr="00CB5B2C">
        <w:rPr>
          <w:sz w:val="21"/>
          <w:szCs w:val="21"/>
        </w:rPr>
        <w:t xml:space="preserve">, P., </w:t>
      </w:r>
      <w:proofErr w:type="spellStart"/>
      <w:r w:rsidRPr="00CB5B2C">
        <w:rPr>
          <w:sz w:val="21"/>
          <w:szCs w:val="21"/>
        </w:rPr>
        <w:t>Pishavar</w:t>
      </w:r>
      <w:proofErr w:type="spellEnd"/>
      <w:r w:rsidRPr="00CB5B2C">
        <w:rPr>
          <w:sz w:val="21"/>
          <w:szCs w:val="21"/>
        </w:rPr>
        <w:t xml:space="preserve">, E., </w:t>
      </w:r>
      <w:proofErr w:type="spellStart"/>
      <w:r w:rsidRPr="00CB5B2C">
        <w:rPr>
          <w:sz w:val="21"/>
          <w:szCs w:val="21"/>
        </w:rPr>
        <w:t>Zanotti</w:t>
      </w:r>
      <w:proofErr w:type="spellEnd"/>
      <w:r w:rsidRPr="00CB5B2C">
        <w:rPr>
          <w:sz w:val="21"/>
          <w:szCs w:val="21"/>
        </w:rPr>
        <w:t xml:space="preserve">, F., </w:t>
      </w:r>
      <w:proofErr w:type="spellStart"/>
      <w:r w:rsidRPr="00CB5B2C">
        <w:rPr>
          <w:sz w:val="21"/>
          <w:szCs w:val="21"/>
        </w:rPr>
        <w:t>Trentini</w:t>
      </w:r>
      <w:proofErr w:type="spellEnd"/>
      <w:r w:rsidRPr="00CB5B2C">
        <w:rPr>
          <w:sz w:val="21"/>
          <w:szCs w:val="21"/>
        </w:rPr>
        <w:t xml:space="preserve">, M., </w:t>
      </w:r>
      <w:proofErr w:type="spellStart"/>
      <w:r w:rsidRPr="00CB5B2C">
        <w:rPr>
          <w:sz w:val="21"/>
          <w:szCs w:val="21"/>
        </w:rPr>
        <w:t>Camponogara</w:t>
      </w:r>
      <w:proofErr w:type="spellEnd"/>
      <w:r w:rsidRPr="00CB5B2C">
        <w:rPr>
          <w:sz w:val="21"/>
          <w:szCs w:val="21"/>
        </w:rPr>
        <w:t xml:space="preserve">, F., </w:t>
      </w:r>
      <w:proofErr w:type="spellStart"/>
      <w:r w:rsidRPr="00CB5B2C">
        <w:rPr>
          <w:sz w:val="21"/>
          <w:szCs w:val="21"/>
        </w:rPr>
        <w:t>Soliani</w:t>
      </w:r>
      <w:proofErr w:type="spellEnd"/>
      <w:r w:rsidRPr="00CB5B2C">
        <w:rPr>
          <w:sz w:val="21"/>
          <w:szCs w:val="21"/>
        </w:rPr>
        <w:t xml:space="preserve">, E., Gargiulo, P., Isola, M., &amp; </w:t>
      </w:r>
      <w:proofErr w:type="spellStart"/>
      <w:r w:rsidRPr="00CB5B2C">
        <w:rPr>
          <w:sz w:val="21"/>
          <w:szCs w:val="21"/>
        </w:rPr>
        <w:t>Zavan</w:t>
      </w:r>
      <w:proofErr w:type="spellEnd"/>
      <w:r w:rsidRPr="00CB5B2C">
        <w:rPr>
          <w:sz w:val="21"/>
          <w:szCs w:val="21"/>
        </w:rPr>
        <w:t xml:space="preserve">, B. (2022). Active materials for 3D printing in small animals: Current modalities and future directions for orthopedic applications. International Journal of Molecular Sciences, 23(3), 1045. </w:t>
      </w:r>
      <w:hyperlink r:id="rId23" w:history="1">
        <w:r w:rsidR="00CB5B2C" w:rsidRPr="005116A2">
          <w:rPr>
            <w:rStyle w:val="Hyperlink"/>
            <w:sz w:val="21"/>
            <w:szCs w:val="21"/>
          </w:rPr>
          <w:t>https://doi.org/10.3390/ijms23031045</w:t>
        </w:r>
      </w:hyperlink>
      <w:r w:rsidR="00CB5B2C">
        <w:rPr>
          <w:sz w:val="21"/>
          <w:szCs w:val="21"/>
        </w:rPr>
        <w:t xml:space="preserve"> </w:t>
      </w:r>
    </w:p>
    <w:p w14:paraId="7A85EC7F" w14:textId="77777777" w:rsidR="00A41E53" w:rsidRDefault="009F05B9" w:rsidP="00CB5B2C">
      <w:pPr>
        <w:spacing w:before="100" w:beforeAutospacing="1" w:after="100" w:afterAutospacing="1"/>
        <w:jc w:val="both"/>
      </w:pPr>
      <w:r w:rsidRPr="00CB5B2C">
        <w:rPr>
          <w:sz w:val="21"/>
          <w:szCs w:val="21"/>
        </w:rPr>
        <w:lastRenderedPageBreak/>
        <w:t xml:space="preserve">Millis, D. L., &amp; Bergh, A. (2023). A systematic literature review of complementary and alternative veterinary medicine: Laser therapy. Animals, 13(4), 667. </w:t>
      </w:r>
      <w:hyperlink r:id="rId24" w:history="1">
        <w:r w:rsidR="00CB5B2C" w:rsidRPr="005116A2">
          <w:rPr>
            <w:rStyle w:val="Hyperlink"/>
            <w:sz w:val="21"/>
            <w:szCs w:val="21"/>
          </w:rPr>
          <w:t>https://doi.org/10.3390/ani13040667</w:t>
        </w:r>
      </w:hyperlink>
      <w:r w:rsidR="00CB5B2C">
        <w:rPr>
          <w:sz w:val="21"/>
          <w:szCs w:val="21"/>
        </w:rPr>
        <w:t xml:space="preserve"> </w:t>
      </w:r>
    </w:p>
    <w:p w14:paraId="7ECEBB0B" w14:textId="77777777" w:rsidR="00A41E53" w:rsidRDefault="009F05B9" w:rsidP="00CB5B2C">
      <w:pPr>
        <w:spacing w:before="100" w:beforeAutospacing="1" w:after="100" w:afterAutospacing="1"/>
        <w:jc w:val="both"/>
      </w:pPr>
      <w:proofErr w:type="spellStart"/>
      <w:r w:rsidRPr="00CB5B2C">
        <w:rPr>
          <w:sz w:val="21"/>
          <w:szCs w:val="21"/>
        </w:rPr>
        <w:t>Nikolaisen</w:t>
      </w:r>
      <w:proofErr w:type="spellEnd"/>
      <w:r w:rsidRPr="00CB5B2C">
        <w:rPr>
          <w:sz w:val="21"/>
          <w:szCs w:val="21"/>
        </w:rPr>
        <w:t xml:space="preserve">, N. K., </w:t>
      </w:r>
      <w:proofErr w:type="spellStart"/>
      <w:r w:rsidRPr="00CB5B2C">
        <w:rPr>
          <w:sz w:val="21"/>
          <w:szCs w:val="21"/>
        </w:rPr>
        <w:t>Colding</w:t>
      </w:r>
      <w:proofErr w:type="spellEnd"/>
      <w:r w:rsidRPr="00CB5B2C">
        <w:rPr>
          <w:sz w:val="21"/>
          <w:szCs w:val="21"/>
        </w:rPr>
        <w:t xml:space="preserve">-Rasmussen, T., </w:t>
      </w:r>
      <w:proofErr w:type="spellStart"/>
      <w:r w:rsidRPr="00CB5B2C">
        <w:rPr>
          <w:sz w:val="21"/>
          <w:szCs w:val="21"/>
        </w:rPr>
        <w:t>Horstmann</w:t>
      </w:r>
      <w:proofErr w:type="spellEnd"/>
      <w:r w:rsidRPr="00CB5B2C">
        <w:rPr>
          <w:sz w:val="21"/>
          <w:szCs w:val="21"/>
        </w:rPr>
        <w:t xml:space="preserve">, P. F., Müller, A. V., </w:t>
      </w:r>
      <w:proofErr w:type="spellStart"/>
      <w:r w:rsidRPr="00CB5B2C">
        <w:rPr>
          <w:sz w:val="21"/>
          <w:szCs w:val="21"/>
        </w:rPr>
        <w:t>Cerón</w:t>
      </w:r>
      <w:proofErr w:type="spellEnd"/>
      <w:r w:rsidRPr="00CB5B2C">
        <w:rPr>
          <w:sz w:val="21"/>
          <w:szCs w:val="21"/>
        </w:rPr>
        <w:t xml:space="preserve">, J. J., Petersen, M. M., &amp; Jacobsen, S. (2025). First steps in the development of an ovine proximal phalanx fracture and bone defect model: A study of animal welfare and bone healing. Frontiers in Veterinary Science, 12, 1662553. </w:t>
      </w:r>
      <w:hyperlink r:id="rId25" w:history="1">
        <w:r w:rsidR="00CB5B2C" w:rsidRPr="005116A2">
          <w:rPr>
            <w:rStyle w:val="Hyperlink"/>
            <w:sz w:val="21"/>
            <w:szCs w:val="21"/>
          </w:rPr>
          <w:t>https://doi.org/10.3389/fvets.2025.1662553</w:t>
        </w:r>
      </w:hyperlink>
      <w:r w:rsidR="00CB5B2C">
        <w:rPr>
          <w:sz w:val="21"/>
          <w:szCs w:val="21"/>
        </w:rPr>
        <w:t xml:space="preserve"> </w:t>
      </w:r>
    </w:p>
    <w:p w14:paraId="5BEA9F63" w14:textId="77777777" w:rsidR="00A41E53" w:rsidRDefault="009F05B9" w:rsidP="00CB5B2C">
      <w:pPr>
        <w:spacing w:before="100" w:beforeAutospacing="1" w:after="100" w:afterAutospacing="1"/>
        <w:jc w:val="both"/>
      </w:pPr>
      <w:proofErr w:type="spellStart"/>
      <w:r w:rsidRPr="00CB5B2C">
        <w:rPr>
          <w:sz w:val="21"/>
          <w:szCs w:val="21"/>
        </w:rPr>
        <w:t>Pozzi</w:t>
      </w:r>
      <w:proofErr w:type="spellEnd"/>
      <w:r w:rsidRPr="00CB5B2C">
        <w:rPr>
          <w:sz w:val="21"/>
          <w:szCs w:val="21"/>
        </w:rPr>
        <w:t xml:space="preserve">, A., Lewis, D. D., Scheuermann, L. M., Castelli, E., &amp; Longo, F. (2021). A review of minimally invasive fracture stabilization in dogs and cats. Veterinary Surgery, 50(Suppl. 1), O5–O16. </w:t>
      </w:r>
      <w:hyperlink r:id="rId26" w:history="1">
        <w:r w:rsidR="00CB5B2C" w:rsidRPr="005116A2">
          <w:rPr>
            <w:rStyle w:val="Hyperlink"/>
            <w:sz w:val="21"/>
            <w:szCs w:val="21"/>
          </w:rPr>
          <w:t>https://doi.org/10.1111/vsu.13685</w:t>
        </w:r>
      </w:hyperlink>
      <w:r w:rsidR="00CB5B2C">
        <w:rPr>
          <w:sz w:val="21"/>
          <w:szCs w:val="21"/>
        </w:rPr>
        <w:t xml:space="preserve"> </w:t>
      </w:r>
    </w:p>
    <w:p w14:paraId="52F185AF" w14:textId="77777777" w:rsidR="00A41E53" w:rsidRDefault="009F05B9" w:rsidP="00CB5B2C">
      <w:pPr>
        <w:spacing w:before="100" w:beforeAutospacing="1" w:after="100" w:afterAutospacing="1"/>
        <w:jc w:val="both"/>
      </w:pPr>
      <w:proofErr w:type="spellStart"/>
      <w:r w:rsidRPr="00CB5B2C">
        <w:rPr>
          <w:sz w:val="21"/>
          <w:szCs w:val="21"/>
        </w:rPr>
        <w:t>Schmökel</w:t>
      </w:r>
      <w:proofErr w:type="spellEnd"/>
      <w:r w:rsidRPr="00CB5B2C">
        <w:rPr>
          <w:sz w:val="21"/>
          <w:szCs w:val="21"/>
        </w:rPr>
        <w:t xml:space="preserve">, H. G., Stein, S., Radke, H., Hurter, K., &amp; </w:t>
      </w:r>
      <w:proofErr w:type="spellStart"/>
      <w:r w:rsidRPr="00CB5B2C">
        <w:rPr>
          <w:sz w:val="21"/>
          <w:szCs w:val="21"/>
        </w:rPr>
        <w:t>Schawalder</w:t>
      </w:r>
      <w:proofErr w:type="spellEnd"/>
      <w:r w:rsidRPr="00CB5B2C">
        <w:rPr>
          <w:sz w:val="21"/>
          <w:szCs w:val="21"/>
        </w:rPr>
        <w:t xml:space="preserve">, P. (2007). Treatment of tibial fractures with plates using minimally invasive percutaneous osteosynthesis in dogs and cats. Journal of Small Animal Practice, 48(3), 157–160. </w:t>
      </w:r>
      <w:hyperlink r:id="rId27" w:history="1">
        <w:r w:rsidR="00CB5B2C" w:rsidRPr="005116A2">
          <w:rPr>
            <w:rStyle w:val="Hyperlink"/>
            <w:sz w:val="21"/>
            <w:szCs w:val="21"/>
          </w:rPr>
          <w:t>https://doi.org/10.1111/j.1748-5827.2006.00200.x</w:t>
        </w:r>
      </w:hyperlink>
      <w:r w:rsidR="00CB5B2C">
        <w:rPr>
          <w:sz w:val="21"/>
          <w:szCs w:val="21"/>
        </w:rPr>
        <w:t xml:space="preserve"> </w:t>
      </w:r>
    </w:p>
    <w:p w14:paraId="16A279EC" w14:textId="39F66332" w:rsidR="00A41E53" w:rsidRDefault="009F05B9" w:rsidP="00CB5B2C">
      <w:pPr>
        <w:spacing w:before="100" w:beforeAutospacing="1" w:after="100" w:afterAutospacing="1"/>
        <w:jc w:val="both"/>
        <w:rPr>
          <w:sz w:val="21"/>
          <w:szCs w:val="21"/>
        </w:rPr>
      </w:pPr>
      <w:r w:rsidRPr="00CB5B2C">
        <w:rPr>
          <w:sz w:val="21"/>
          <w:szCs w:val="21"/>
        </w:rPr>
        <w:t xml:space="preserve">Townsend, S., &amp; Lewis, D. D. (2018). Use of the minimally invasive reduction instrumentation system for facilitating alignment and reduction when performing minimally invasive plate osteosynthesis in three dogs. Case Reports in Veterinary Medicine, 2018, 2976795. </w:t>
      </w:r>
      <w:hyperlink r:id="rId28" w:history="1">
        <w:r w:rsidR="00CB5B2C" w:rsidRPr="00CB5B2C">
          <w:rPr>
            <w:rStyle w:val="Hyperlink"/>
            <w:sz w:val="21"/>
            <w:szCs w:val="21"/>
          </w:rPr>
          <w:t>https://doi.org/10.1155/2018/2976795</w:t>
        </w:r>
      </w:hyperlink>
      <w:r w:rsidR="00CB5B2C" w:rsidRPr="00CB5B2C">
        <w:rPr>
          <w:sz w:val="21"/>
          <w:szCs w:val="21"/>
        </w:rPr>
        <w:t xml:space="preserve"> </w:t>
      </w:r>
    </w:p>
    <w:p w14:paraId="390D9858" w14:textId="1F9F77AC" w:rsidR="00184346" w:rsidRDefault="00184346" w:rsidP="00184346">
      <w:pPr>
        <w:shd w:val="clear" w:color="auto" w:fill="FFFFFF"/>
        <w:rPr>
          <w:color w:val="1B1B1B"/>
          <w:highlight w:val="yellow"/>
        </w:rPr>
      </w:pPr>
      <w:r w:rsidRPr="001C5D0C">
        <w:rPr>
          <w:color w:val="1B1B1B"/>
          <w:highlight w:val="yellow"/>
        </w:rPr>
        <w:t xml:space="preserve">Candela Andrade M, </w:t>
      </w:r>
      <w:proofErr w:type="spellStart"/>
      <w:r w:rsidRPr="001C5D0C">
        <w:rPr>
          <w:color w:val="1B1B1B"/>
          <w:highlight w:val="yellow"/>
        </w:rPr>
        <w:t>Petereit</w:t>
      </w:r>
      <w:proofErr w:type="spellEnd"/>
      <w:r w:rsidRPr="001C5D0C">
        <w:rPr>
          <w:color w:val="1B1B1B"/>
          <w:highlight w:val="yellow"/>
        </w:rPr>
        <w:t xml:space="preserve"> F, </w:t>
      </w:r>
      <w:proofErr w:type="spellStart"/>
      <w:r w:rsidRPr="001C5D0C">
        <w:rPr>
          <w:color w:val="1B1B1B"/>
          <w:highlight w:val="yellow"/>
        </w:rPr>
        <w:t>Slunsky</w:t>
      </w:r>
      <w:proofErr w:type="spellEnd"/>
      <w:r w:rsidRPr="001C5D0C">
        <w:rPr>
          <w:color w:val="1B1B1B"/>
          <w:highlight w:val="yellow"/>
        </w:rPr>
        <w:t xml:space="preserve"> P, de Rus Aznar I, </w:t>
      </w:r>
      <w:proofErr w:type="spellStart"/>
      <w:r w:rsidRPr="001C5D0C">
        <w:rPr>
          <w:color w:val="1B1B1B"/>
          <w:highlight w:val="yellow"/>
        </w:rPr>
        <w:t>Brunnberg</w:t>
      </w:r>
      <w:proofErr w:type="spellEnd"/>
      <w:r w:rsidRPr="001C5D0C">
        <w:rPr>
          <w:color w:val="1B1B1B"/>
          <w:highlight w:val="yellow"/>
        </w:rPr>
        <w:t xml:space="preserve"> L. Healing of Comminuted Fractures of Long Bones in Dogs. Animals (Basel). 2025 Feb 2;15(3):413. </w:t>
      </w:r>
      <w:proofErr w:type="spellStart"/>
      <w:r w:rsidRPr="001C5D0C">
        <w:rPr>
          <w:color w:val="1B1B1B"/>
          <w:highlight w:val="yellow"/>
        </w:rPr>
        <w:t>doi</w:t>
      </w:r>
      <w:proofErr w:type="spellEnd"/>
      <w:r w:rsidRPr="001C5D0C">
        <w:rPr>
          <w:color w:val="1B1B1B"/>
          <w:highlight w:val="yellow"/>
        </w:rPr>
        <w:t>: 10.3390/ani15030413. PMID: 39943184; PMCID: PMC11815741.</w:t>
      </w:r>
    </w:p>
    <w:p w14:paraId="43BEB449" w14:textId="77777777" w:rsidR="009A4D7D" w:rsidRPr="001C5D0C" w:rsidRDefault="009A4D7D" w:rsidP="00184346">
      <w:pPr>
        <w:shd w:val="clear" w:color="auto" w:fill="FFFFFF"/>
        <w:rPr>
          <w:color w:val="1B1B1B"/>
        </w:rPr>
      </w:pPr>
    </w:p>
    <w:p w14:paraId="7FC0CB60" w14:textId="77777777" w:rsidR="009A4D7D" w:rsidRDefault="009A4D7D" w:rsidP="009A4D7D">
      <w:pPr>
        <w:shd w:val="clear" w:color="auto" w:fill="FFFFFF"/>
        <w:rPr>
          <w:rFonts w:ascii="Consolas" w:hAnsi="Consolas"/>
          <w:color w:val="1B1B1B"/>
        </w:rPr>
      </w:pPr>
      <w:proofErr w:type="spellStart"/>
      <w:r w:rsidRPr="001C5D0C">
        <w:rPr>
          <w:rFonts w:ascii="Consolas" w:hAnsi="Consolas"/>
          <w:color w:val="1B1B1B"/>
          <w:highlight w:val="yellow"/>
        </w:rPr>
        <w:t>ElHawary</w:t>
      </w:r>
      <w:proofErr w:type="spellEnd"/>
      <w:r w:rsidRPr="001C5D0C">
        <w:rPr>
          <w:rFonts w:ascii="Consolas" w:hAnsi="Consolas"/>
          <w:color w:val="1B1B1B"/>
          <w:highlight w:val="yellow"/>
        </w:rPr>
        <w:t xml:space="preserve"> H, </w:t>
      </w:r>
      <w:proofErr w:type="spellStart"/>
      <w:r w:rsidRPr="001C5D0C">
        <w:rPr>
          <w:rFonts w:ascii="Consolas" w:hAnsi="Consolas"/>
          <w:color w:val="1B1B1B"/>
          <w:highlight w:val="yellow"/>
        </w:rPr>
        <w:t>Baradaran</w:t>
      </w:r>
      <w:proofErr w:type="spellEnd"/>
      <w:r w:rsidRPr="001C5D0C">
        <w:rPr>
          <w:rFonts w:ascii="Consolas" w:hAnsi="Consolas"/>
          <w:color w:val="1B1B1B"/>
          <w:highlight w:val="yellow"/>
        </w:rPr>
        <w:t xml:space="preserve"> A, Abi-</w:t>
      </w:r>
      <w:proofErr w:type="spellStart"/>
      <w:r w:rsidRPr="001C5D0C">
        <w:rPr>
          <w:rFonts w:ascii="Consolas" w:hAnsi="Consolas"/>
          <w:color w:val="1B1B1B"/>
          <w:highlight w:val="yellow"/>
        </w:rPr>
        <w:t>Rafeh</w:t>
      </w:r>
      <w:proofErr w:type="spellEnd"/>
      <w:r w:rsidRPr="001C5D0C">
        <w:rPr>
          <w:rFonts w:ascii="Consolas" w:hAnsi="Consolas"/>
          <w:color w:val="1B1B1B"/>
          <w:highlight w:val="yellow"/>
        </w:rPr>
        <w:t xml:space="preserve"> J, </w:t>
      </w:r>
      <w:proofErr w:type="spellStart"/>
      <w:r w:rsidRPr="001C5D0C">
        <w:rPr>
          <w:rFonts w:ascii="Consolas" w:hAnsi="Consolas"/>
          <w:color w:val="1B1B1B"/>
          <w:highlight w:val="yellow"/>
        </w:rPr>
        <w:t>Vorstenbosch</w:t>
      </w:r>
      <w:proofErr w:type="spellEnd"/>
      <w:r w:rsidRPr="001C5D0C">
        <w:rPr>
          <w:rFonts w:ascii="Consolas" w:hAnsi="Consolas"/>
          <w:color w:val="1B1B1B"/>
          <w:highlight w:val="yellow"/>
        </w:rPr>
        <w:t xml:space="preserve"> J, Xu L, </w:t>
      </w:r>
      <w:proofErr w:type="spellStart"/>
      <w:r w:rsidRPr="001C5D0C">
        <w:rPr>
          <w:rFonts w:ascii="Consolas" w:hAnsi="Consolas"/>
          <w:color w:val="1B1B1B"/>
          <w:highlight w:val="yellow"/>
        </w:rPr>
        <w:t>Efanov</w:t>
      </w:r>
      <w:proofErr w:type="spellEnd"/>
      <w:r w:rsidRPr="001C5D0C">
        <w:rPr>
          <w:rFonts w:ascii="Consolas" w:hAnsi="Consolas"/>
          <w:color w:val="1B1B1B"/>
          <w:highlight w:val="yellow"/>
        </w:rPr>
        <w:t xml:space="preserve"> JI. Bone Healing and Inflammation: Principles of Fracture and Repair. </w:t>
      </w:r>
      <w:proofErr w:type="spellStart"/>
      <w:r w:rsidRPr="001C5D0C">
        <w:rPr>
          <w:rFonts w:ascii="Consolas" w:hAnsi="Consolas"/>
          <w:color w:val="1B1B1B"/>
          <w:highlight w:val="yellow"/>
        </w:rPr>
        <w:t>Semin</w:t>
      </w:r>
      <w:proofErr w:type="spellEnd"/>
      <w:r w:rsidRPr="001C5D0C">
        <w:rPr>
          <w:rFonts w:ascii="Consolas" w:hAnsi="Consolas"/>
          <w:color w:val="1B1B1B"/>
          <w:highlight w:val="yellow"/>
        </w:rPr>
        <w:t xml:space="preserve"> </w:t>
      </w:r>
      <w:proofErr w:type="spellStart"/>
      <w:r w:rsidRPr="001C5D0C">
        <w:rPr>
          <w:rFonts w:ascii="Consolas" w:hAnsi="Consolas"/>
          <w:color w:val="1B1B1B"/>
          <w:highlight w:val="yellow"/>
        </w:rPr>
        <w:t>Plast</w:t>
      </w:r>
      <w:proofErr w:type="spellEnd"/>
      <w:r w:rsidRPr="001C5D0C">
        <w:rPr>
          <w:rFonts w:ascii="Consolas" w:hAnsi="Consolas"/>
          <w:color w:val="1B1B1B"/>
          <w:highlight w:val="yellow"/>
        </w:rPr>
        <w:t xml:space="preserve"> Surg. 2021 Aug;35(3):198-203. </w:t>
      </w:r>
      <w:proofErr w:type="spellStart"/>
      <w:r w:rsidRPr="001C5D0C">
        <w:rPr>
          <w:rFonts w:ascii="Consolas" w:hAnsi="Consolas"/>
          <w:color w:val="1B1B1B"/>
          <w:highlight w:val="yellow"/>
        </w:rPr>
        <w:t>doi</w:t>
      </w:r>
      <w:proofErr w:type="spellEnd"/>
      <w:r w:rsidRPr="001C5D0C">
        <w:rPr>
          <w:rFonts w:ascii="Consolas" w:hAnsi="Consolas"/>
          <w:color w:val="1B1B1B"/>
          <w:highlight w:val="yellow"/>
        </w:rPr>
        <w:t xml:space="preserve">: 10.1055/s-0041-1732334. </w:t>
      </w:r>
      <w:proofErr w:type="spellStart"/>
      <w:r w:rsidRPr="001C5D0C">
        <w:rPr>
          <w:rFonts w:ascii="Consolas" w:hAnsi="Consolas"/>
          <w:color w:val="1B1B1B"/>
          <w:highlight w:val="yellow"/>
        </w:rPr>
        <w:t>Epub</w:t>
      </w:r>
      <w:proofErr w:type="spellEnd"/>
      <w:r w:rsidRPr="001C5D0C">
        <w:rPr>
          <w:rFonts w:ascii="Consolas" w:hAnsi="Consolas"/>
          <w:color w:val="1B1B1B"/>
          <w:highlight w:val="yellow"/>
        </w:rPr>
        <w:t xml:space="preserve"> 2021 Sep 10. PMID: 34526868; PMCID: PMC8432998.</w:t>
      </w:r>
    </w:p>
    <w:p w14:paraId="22472D3E" w14:textId="2A9B1639" w:rsidR="009A4D7D" w:rsidRDefault="00FB476D" w:rsidP="001C5D0C">
      <w:pPr>
        <w:shd w:val="clear" w:color="auto" w:fill="FFFFFF"/>
        <w:spacing w:before="100" w:beforeAutospacing="1"/>
        <w:rPr>
          <w:rFonts w:ascii="Helvetica" w:hAnsi="Helvetica" w:cs="Helvetica"/>
          <w:color w:val="1B1B1B"/>
        </w:rPr>
      </w:pPr>
      <w:proofErr w:type="spellStart"/>
      <w:r w:rsidRPr="001C5D0C">
        <w:rPr>
          <w:rFonts w:ascii="Arial" w:hAnsi="Arial" w:cs="Arial"/>
          <w:color w:val="222222"/>
          <w:sz w:val="20"/>
          <w:szCs w:val="20"/>
          <w:highlight w:val="yellow"/>
          <w:shd w:val="clear" w:color="auto" w:fill="FFFFFF"/>
        </w:rPr>
        <w:t>Khoso</w:t>
      </w:r>
      <w:proofErr w:type="spellEnd"/>
      <w:r w:rsidRPr="001C5D0C">
        <w:rPr>
          <w:rFonts w:ascii="Arial" w:hAnsi="Arial" w:cs="Arial"/>
          <w:color w:val="222222"/>
          <w:sz w:val="20"/>
          <w:szCs w:val="20"/>
          <w:highlight w:val="yellow"/>
          <w:shd w:val="clear" w:color="auto" w:fill="FFFFFF"/>
        </w:rPr>
        <w:t xml:space="preserve">, A. S., </w:t>
      </w:r>
      <w:proofErr w:type="spellStart"/>
      <w:r w:rsidRPr="001C5D0C">
        <w:rPr>
          <w:rFonts w:ascii="Arial" w:hAnsi="Arial" w:cs="Arial"/>
          <w:color w:val="222222"/>
          <w:sz w:val="20"/>
          <w:szCs w:val="20"/>
          <w:highlight w:val="yellow"/>
          <w:shd w:val="clear" w:color="auto" w:fill="FFFFFF"/>
        </w:rPr>
        <w:t>Tunio</w:t>
      </w:r>
      <w:proofErr w:type="spellEnd"/>
      <w:r w:rsidRPr="001C5D0C">
        <w:rPr>
          <w:rFonts w:ascii="Arial" w:hAnsi="Arial" w:cs="Arial"/>
          <w:color w:val="222222"/>
          <w:sz w:val="20"/>
          <w:szCs w:val="20"/>
          <w:highlight w:val="yellow"/>
          <w:shd w:val="clear" w:color="auto" w:fill="FFFFFF"/>
        </w:rPr>
        <w:t xml:space="preserve">, A. N., Shah, M. G., </w:t>
      </w:r>
      <w:proofErr w:type="spellStart"/>
      <w:r w:rsidRPr="001C5D0C">
        <w:rPr>
          <w:rFonts w:ascii="Arial" w:hAnsi="Arial" w:cs="Arial"/>
          <w:color w:val="222222"/>
          <w:sz w:val="20"/>
          <w:szCs w:val="20"/>
          <w:highlight w:val="yellow"/>
          <w:shd w:val="clear" w:color="auto" w:fill="FFFFFF"/>
        </w:rPr>
        <w:t>Memon</w:t>
      </w:r>
      <w:proofErr w:type="spellEnd"/>
      <w:r w:rsidRPr="001C5D0C">
        <w:rPr>
          <w:rFonts w:ascii="Arial" w:hAnsi="Arial" w:cs="Arial"/>
          <w:color w:val="222222"/>
          <w:sz w:val="20"/>
          <w:szCs w:val="20"/>
          <w:highlight w:val="yellow"/>
          <w:shd w:val="clear" w:color="auto" w:fill="FFFFFF"/>
        </w:rPr>
        <w:t xml:space="preserve">, A. A., Behan, A. A., &amp; </w:t>
      </w:r>
      <w:proofErr w:type="spellStart"/>
      <w:r w:rsidRPr="001C5D0C">
        <w:rPr>
          <w:rFonts w:ascii="Arial" w:hAnsi="Arial" w:cs="Arial"/>
          <w:color w:val="222222"/>
          <w:sz w:val="20"/>
          <w:szCs w:val="20"/>
          <w:highlight w:val="yellow"/>
          <w:shd w:val="clear" w:color="auto" w:fill="FFFFFF"/>
        </w:rPr>
        <w:t>Arain</w:t>
      </w:r>
      <w:proofErr w:type="spellEnd"/>
      <w:r w:rsidRPr="001C5D0C">
        <w:rPr>
          <w:rFonts w:ascii="Arial" w:hAnsi="Arial" w:cs="Arial"/>
          <w:color w:val="222222"/>
          <w:sz w:val="20"/>
          <w:szCs w:val="20"/>
          <w:highlight w:val="yellow"/>
          <w:shd w:val="clear" w:color="auto" w:fill="FFFFFF"/>
        </w:rPr>
        <w:t>, M. B. (2024). Radiological Assessment of Critically Sized Femur Fracture Healing Using a Combination of Intramedullary Pin with Polymethylmethacrylate and Calcium Phosphate in Dog Model. </w:t>
      </w:r>
      <w:r w:rsidRPr="001C5D0C">
        <w:rPr>
          <w:rFonts w:ascii="Arial" w:hAnsi="Arial" w:cs="Arial"/>
          <w:i/>
          <w:iCs/>
          <w:color w:val="222222"/>
          <w:sz w:val="20"/>
          <w:szCs w:val="20"/>
          <w:highlight w:val="yellow"/>
          <w:shd w:val="clear" w:color="auto" w:fill="FFFFFF"/>
        </w:rPr>
        <w:t>International Journal of Veterinary Science</w:t>
      </w:r>
      <w:r w:rsidRPr="001C5D0C">
        <w:rPr>
          <w:rFonts w:ascii="Arial" w:hAnsi="Arial" w:cs="Arial"/>
          <w:color w:val="222222"/>
          <w:sz w:val="20"/>
          <w:szCs w:val="20"/>
          <w:highlight w:val="yellow"/>
          <w:shd w:val="clear" w:color="auto" w:fill="FFFFFF"/>
        </w:rPr>
        <w:t>, </w:t>
      </w:r>
      <w:r w:rsidRPr="001C5D0C">
        <w:rPr>
          <w:rFonts w:ascii="Arial" w:hAnsi="Arial" w:cs="Arial"/>
          <w:i/>
          <w:iCs/>
          <w:color w:val="222222"/>
          <w:sz w:val="20"/>
          <w:szCs w:val="20"/>
          <w:highlight w:val="yellow"/>
          <w:shd w:val="clear" w:color="auto" w:fill="FFFFFF"/>
        </w:rPr>
        <w:t>13</w:t>
      </w:r>
      <w:r w:rsidRPr="001C5D0C">
        <w:rPr>
          <w:rFonts w:ascii="Arial" w:hAnsi="Arial" w:cs="Arial"/>
          <w:color w:val="222222"/>
          <w:sz w:val="20"/>
          <w:szCs w:val="20"/>
          <w:highlight w:val="yellow"/>
          <w:shd w:val="clear" w:color="auto" w:fill="FFFFFF"/>
        </w:rPr>
        <w:t>(5), 557-564.</w:t>
      </w:r>
    </w:p>
    <w:p w14:paraId="599A4D45" w14:textId="77777777" w:rsidR="00184346" w:rsidRDefault="00184346" w:rsidP="001C5D0C">
      <w:pPr>
        <w:shd w:val="clear" w:color="auto" w:fill="FFFFFF"/>
        <w:spacing w:before="100" w:beforeAutospacing="1"/>
        <w:rPr>
          <w:rFonts w:ascii="Helvetica" w:hAnsi="Helvetica" w:cs="Helvetica"/>
          <w:color w:val="1B1B1B"/>
        </w:rPr>
      </w:pPr>
    </w:p>
    <w:p w14:paraId="3C485A65" w14:textId="77777777" w:rsidR="00184346" w:rsidRDefault="00184346" w:rsidP="00CB5B2C">
      <w:pPr>
        <w:spacing w:before="100" w:beforeAutospacing="1" w:after="100" w:afterAutospacing="1"/>
        <w:jc w:val="both"/>
      </w:pPr>
    </w:p>
    <w:sectPr w:rsidR="00184346" w:rsidSect="00A41E53">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96B7" w14:textId="77777777" w:rsidR="001F0659" w:rsidRDefault="001F0659" w:rsidP="00A41E53">
      <w:r>
        <w:separator/>
      </w:r>
    </w:p>
  </w:endnote>
  <w:endnote w:type="continuationSeparator" w:id="0">
    <w:p w14:paraId="3D609F5A" w14:textId="77777777" w:rsidR="001F0659" w:rsidRDefault="001F0659" w:rsidP="00A4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3E22" w14:textId="77777777" w:rsidR="007A1677" w:rsidRDefault="007A1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4AF8" w14:textId="77777777" w:rsidR="00A41E53" w:rsidRDefault="009F05B9">
    <w:pPr>
      <w:jc w:val="center"/>
    </w:pPr>
    <w:r>
      <w:rPr>
        <w:rFonts w:ascii="Arial" w:eastAsia="Arial" w:hAnsi="Arial" w:cs="Arial"/>
        <w:sz w:val="18"/>
        <w:szCs w:val="18"/>
      </w:rPr>
      <w:t xml:space="preserve">Page </w:t>
    </w:r>
    <w:r w:rsidR="00A41E53">
      <w:rPr>
        <w:rFonts w:ascii="Arial" w:eastAsia="Arial" w:hAnsi="Arial" w:cs="Arial"/>
        <w:sz w:val="18"/>
        <w:szCs w:val="18"/>
      </w:rPr>
      <w:fldChar w:fldCharType="begin"/>
    </w:r>
    <w:r>
      <w:rPr>
        <w:rFonts w:ascii="Arial" w:eastAsia="Arial" w:hAnsi="Arial" w:cs="Arial"/>
        <w:sz w:val="18"/>
        <w:szCs w:val="18"/>
      </w:rPr>
      <w:instrText>PAGE</w:instrText>
    </w:r>
    <w:r w:rsidR="00A41E53">
      <w:rPr>
        <w:rFonts w:ascii="Arial" w:eastAsia="Arial" w:hAnsi="Arial" w:cs="Arial"/>
        <w:sz w:val="18"/>
        <w:szCs w:val="18"/>
      </w:rPr>
      <w:fldChar w:fldCharType="separate"/>
    </w:r>
    <w:r w:rsidR="00CB5B2C">
      <w:rPr>
        <w:rFonts w:ascii="Arial" w:eastAsia="Arial" w:hAnsi="Arial" w:cs="Arial"/>
        <w:noProof/>
        <w:sz w:val="18"/>
        <w:szCs w:val="18"/>
      </w:rPr>
      <w:t>17</w:t>
    </w:r>
    <w:r w:rsidR="00A41E53">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6992" w14:textId="77777777" w:rsidR="007A1677" w:rsidRDefault="007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2898" w14:textId="77777777" w:rsidR="001F0659" w:rsidRDefault="001F0659" w:rsidP="00A41E53">
      <w:r>
        <w:separator/>
      </w:r>
    </w:p>
  </w:footnote>
  <w:footnote w:type="continuationSeparator" w:id="0">
    <w:p w14:paraId="65BA1105" w14:textId="77777777" w:rsidR="001F0659" w:rsidRDefault="001F0659" w:rsidP="00A4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9F1D" w14:textId="707C09D8" w:rsidR="007A1677" w:rsidRDefault="001F0659">
    <w:pPr>
      <w:pStyle w:val="Header"/>
    </w:pPr>
    <w:r>
      <w:rPr>
        <w:noProof/>
      </w:rPr>
      <w:pict w14:anchorId="04168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C7E8" w14:textId="3BAD1320" w:rsidR="007A1677" w:rsidRDefault="001F0659">
    <w:pPr>
      <w:pStyle w:val="Header"/>
    </w:pPr>
    <w:r>
      <w:rPr>
        <w:noProof/>
      </w:rPr>
      <w:pict w14:anchorId="53D55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8DA0" w14:textId="118A2331" w:rsidR="007A1677" w:rsidRDefault="001F0659">
    <w:pPr>
      <w:pStyle w:val="Header"/>
    </w:pPr>
    <w:r>
      <w:rPr>
        <w:noProof/>
      </w:rPr>
      <w:pict w14:anchorId="50B6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4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73AEA"/>
    <w:multiLevelType w:val="multilevel"/>
    <w:tmpl w:val="AE1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F076C"/>
    <w:multiLevelType w:val="hybridMultilevel"/>
    <w:tmpl w:val="600648B0"/>
    <w:lvl w:ilvl="0" w:tplc="E03C0F5C">
      <w:start w:val="1"/>
      <w:numFmt w:val="bullet"/>
      <w:lvlText w:val="●"/>
      <w:lvlJc w:val="left"/>
      <w:pPr>
        <w:ind w:left="720" w:hanging="360"/>
      </w:pPr>
    </w:lvl>
    <w:lvl w:ilvl="1" w:tplc="AE488BC8">
      <w:start w:val="1"/>
      <w:numFmt w:val="bullet"/>
      <w:lvlText w:val="○"/>
      <w:lvlJc w:val="left"/>
      <w:pPr>
        <w:ind w:left="1440" w:hanging="360"/>
      </w:pPr>
    </w:lvl>
    <w:lvl w:ilvl="2" w:tplc="EB2EF744">
      <w:start w:val="1"/>
      <w:numFmt w:val="bullet"/>
      <w:lvlText w:val="■"/>
      <w:lvlJc w:val="left"/>
      <w:pPr>
        <w:ind w:left="2160" w:hanging="360"/>
      </w:pPr>
    </w:lvl>
    <w:lvl w:ilvl="3" w:tplc="6FB6F1F8">
      <w:start w:val="1"/>
      <w:numFmt w:val="bullet"/>
      <w:lvlText w:val="●"/>
      <w:lvlJc w:val="left"/>
      <w:pPr>
        <w:ind w:left="2880" w:hanging="360"/>
      </w:pPr>
    </w:lvl>
    <w:lvl w:ilvl="4" w:tplc="7014073A">
      <w:start w:val="1"/>
      <w:numFmt w:val="bullet"/>
      <w:lvlText w:val="○"/>
      <w:lvlJc w:val="left"/>
      <w:pPr>
        <w:ind w:left="3600" w:hanging="360"/>
      </w:pPr>
    </w:lvl>
    <w:lvl w:ilvl="5" w:tplc="B576FD10">
      <w:start w:val="1"/>
      <w:numFmt w:val="bullet"/>
      <w:lvlText w:val="■"/>
      <w:lvlJc w:val="left"/>
      <w:pPr>
        <w:ind w:left="4320" w:hanging="360"/>
      </w:pPr>
    </w:lvl>
    <w:lvl w:ilvl="6" w:tplc="0D8ABB6C">
      <w:start w:val="1"/>
      <w:numFmt w:val="bullet"/>
      <w:lvlText w:val="●"/>
      <w:lvlJc w:val="left"/>
      <w:pPr>
        <w:ind w:left="5040" w:hanging="360"/>
      </w:pPr>
    </w:lvl>
    <w:lvl w:ilvl="7" w:tplc="CF466160">
      <w:start w:val="1"/>
      <w:numFmt w:val="bullet"/>
      <w:lvlText w:val="●"/>
      <w:lvlJc w:val="left"/>
      <w:pPr>
        <w:ind w:left="5760" w:hanging="360"/>
      </w:pPr>
    </w:lvl>
    <w:lvl w:ilvl="8" w:tplc="32F674C2">
      <w:start w:val="1"/>
      <w:numFmt w:val="bullet"/>
      <w:lvlText w:val="●"/>
      <w:lvlJc w:val="left"/>
      <w:pPr>
        <w:ind w:left="6480" w:hanging="360"/>
      </w:pPr>
    </w:lvl>
  </w:abstractNum>
  <w:abstractNum w:abstractNumId="2" w15:restartNumberingAfterBreak="0">
    <w:nsid w:val="6E626469"/>
    <w:multiLevelType w:val="multilevel"/>
    <w:tmpl w:val="B15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27AAB"/>
    <w:multiLevelType w:val="hybridMultilevel"/>
    <w:tmpl w:val="7D2E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CwMLU0MbU0tjQyMTBS0lEKTi0uzszPAykwrAUAhNqJViwAAAA="/>
  </w:docVars>
  <w:rsids>
    <w:rsidRoot w:val="00A41E53"/>
    <w:rsid w:val="000B72F6"/>
    <w:rsid w:val="00184346"/>
    <w:rsid w:val="001C5D0C"/>
    <w:rsid w:val="001F0659"/>
    <w:rsid w:val="003E5A2C"/>
    <w:rsid w:val="004009A8"/>
    <w:rsid w:val="00461100"/>
    <w:rsid w:val="004B630D"/>
    <w:rsid w:val="007A1677"/>
    <w:rsid w:val="00892B98"/>
    <w:rsid w:val="009A2A84"/>
    <w:rsid w:val="009A4D7D"/>
    <w:rsid w:val="009F05B9"/>
    <w:rsid w:val="00A41E53"/>
    <w:rsid w:val="00C718E8"/>
    <w:rsid w:val="00CB5B2C"/>
    <w:rsid w:val="00D42ECB"/>
    <w:rsid w:val="00F479E7"/>
    <w:rsid w:val="00FB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B4305"/>
  <w15:docId w15:val="{05294723-F577-4670-9BBF-4AD31E7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41E53"/>
    <w:pPr>
      <w:spacing w:before="360" w:after="120"/>
      <w:outlineLvl w:val="0"/>
    </w:pPr>
    <w:rPr>
      <w:rFonts w:ascii="Arial" w:eastAsia="Arial" w:hAnsi="Arial" w:cs="Arial"/>
      <w:b/>
      <w:bCs/>
      <w:color w:val="1F3864"/>
      <w:sz w:val="28"/>
      <w:szCs w:val="28"/>
    </w:rPr>
  </w:style>
  <w:style w:type="paragraph" w:styleId="Heading2">
    <w:name w:val="heading 2"/>
    <w:qFormat/>
    <w:rsid w:val="00A41E53"/>
    <w:pPr>
      <w:spacing w:before="240" w:after="100"/>
      <w:outlineLvl w:val="1"/>
    </w:pPr>
    <w:rPr>
      <w:rFonts w:ascii="Arial" w:eastAsia="Arial" w:hAnsi="Arial" w:cs="Arial"/>
      <w:b/>
      <w:bCs/>
      <w:color w:val="2E4A72"/>
      <w:sz w:val="26"/>
      <w:szCs w:val="26"/>
    </w:rPr>
  </w:style>
  <w:style w:type="paragraph" w:styleId="Heading3">
    <w:name w:val="heading 3"/>
    <w:qFormat/>
    <w:rsid w:val="00A41E53"/>
    <w:pPr>
      <w:outlineLvl w:val="2"/>
    </w:pPr>
    <w:rPr>
      <w:color w:val="1F4D78"/>
    </w:rPr>
  </w:style>
  <w:style w:type="paragraph" w:styleId="Heading4">
    <w:name w:val="heading 4"/>
    <w:qFormat/>
    <w:rsid w:val="00A41E53"/>
    <w:pPr>
      <w:outlineLvl w:val="3"/>
    </w:pPr>
    <w:rPr>
      <w:i/>
      <w:iCs/>
      <w:color w:val="2E74B5"/>
    </w:rPr>
  </w:style>
  <w:style w:type="paragraph" w:styleId="Heading5">
    <w:name w:val="heading 5"/>
    <w:qFormat/>
    <w:rsid w:val="00A41E53"/>
    <w:pPr>
      <w:outlineLvl w:val="4"/>
    </w:pPr>
    <w:rPr>
      <w:color w:val="2E74B5"/>
    </w:rPr>
  </w:style>
  <w:style w:type="paragraph" w:styleId="Heading6">
    <w:name w:val="heading 6"/>
    <w:qFormat/>
    <w:rsid w:val="00A41E5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41E53"/>
    <w:rPr>
      <w:sz w:val="56"/>
      <w:szCs w:val="56"/>
    </w:rPr>
  </w:style>
  <w:style w:type="paragraph" w:customStyle="1" w:styleId="Strong1">
    <w:name w:val="Strong1"/>
    <w:qFormat/>
    <w:rsid w:val="00A41E53"/>
    <w:rPr>
      <w:b/>
      <w:bCs/>
    </w:rPr>
  </w:style>
  <w:style w:type="paragraph" w:styleId="ListParagraph">
    <w:name w:val="List Paragraph"/>
    <w:qFormat/>
    <w:rsid w:val="00A41E53"/>
  </w:style>
  <w:style w:type="character" w:styleId="Hyperlink">
    <w:name w:val="Hyperlink"/>
    <w:uiPriority w:val="99"/>
    <w:unhideWhenUsed/>
    <w:rsid w:val="00A41E53"/>
    <w:rPr>
      <w:color w:val="0563C1"/>
      <w:u w:val="single"/>
    </w:rPr>
  </w:style>
  <w:style w:type="character" w:styleId="FootnoteReference">
    <w:name w:val="footnote reference"/>
    <w:uiPriority w:val="99"/>
    <w:semiHidden/>
    <w:unhideWhenUsed/>
    <w:rsid w:val="00A41E53"/>
    <w:rPr>
      <w:vertAlign w:val="superscript"/>
    </w:rPr>
  </w:style>
  <w:style w:type="paragraph" w:styleId="FootnoteText">
    <w:name w:val="footnote text"/>
    <w:link w:val="FootnoteTextChar"/>
    <w:uiPriority w:val="99"/>
    <w:semiHidden/>
    <w:unhideWhenUsed/>
    <w:rsid w:val="00A41E53"/>
    <w:rPr>
      <w:sz w:val="20"/>
      <w:szCs w:val="20"/>
    </w:rPr>
  </w:style>
  <w:style w:type="character" w:customStyle="1" w:styleId="FootnoteTextChar">
    <w:name w:val="Footnote Text Char"/>
    <w:link w:val="FootnoteText"/>
    <w:uiPriority w:val="99"/>
    <w:semiHidden/>
    <w:unhideWhenUsed/>
    <w:rsid w:val="00A41E53"/>
    <w:rPr>
      <w:sz w:val="20"/>
      <w:szCs w:val="20"/>
    </w:rPr>
  </w:style>
  <w:style w:type="paragraph" w:styleId="Header">
    <w:name w:val="header"/>
    <w:basedOn w:val="Normal"/>
    <w:link w:val="HeaderChar"/>
    <w:uiPriority w:val="99"/>
    <w:unhideWhenUsed/>
    <w:rsid w:val="00CB5B2C"/>
    <w:pPr>
      <w:tabs>
        <w:tab w:val="center" w:pos="4680"/>
        <w:tab w:val="right" w:pos="9360"/>
      </w:tabs>
    </w:pPr>
  </w:style>
  <w:style w:type="character" w:customStyle="1" w:styleId="HeaderChar">
    <w:name w:val="Header Char"/>
    <w:basedOn w:val="DefaultParagraphFont"/>
    <w:link w:val="Header"/>
    <w:uiPriority w:val="99"/>
    <w:rsid w:val="00CB5B2C"/>
  </w:style>
  <w:style w:type="paragraph" w:styleId="Footer">
    <w:name w:val="footer"/>
    <w:basedOn w:val="Normal"/>
    <w:link w:val="FooterChar"/>
    <w:uiPriority w:val="99"/>
    <w:unhideWhenUsed/>
    <w:rsid w:val="00CB5B2C"/>
    <w:pPr>
      <w:tabs>
        <w:tab w:val="center" w:pos="4680"/>
        <w:tab w:val="right" w:pos="9360"/>
      </w:tabs>
    </w:pPr>
  </w:style>
  <w:style w:type="character" w:customStyle="1" w:styleId="FooterChar">
    <w:name w:val="Footer Char"/>
    <w:basedOn w:val="DefaultParagraphFont"/>
    <w:link w:val="Footer"/>
    <w:uiPriority w:val="99"/>
    <w:rsid w:val="00CB5B2C"/>
  </w:style>
  <w:style w:type="paragraph" w:styleId="NoSpacing">
    <w:name w:val="No Spacing"/>
    <w:uiPriority w:val="1"/>
    <w:qFormat/>
    <w:rsid w:val="00461100"/>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184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514">
      <w:bodyDiv w:val="1"/>
      <w:marLeft w:val="0"/>
      <w:marRight w:val="0"/>
      <w:marTop w:val="0"/>
      <w:marBottom w:val="0"/>
      <w:divBdr>
        <w:top w:val="none" w:sz="0" w:space="0" w:color="auto"/>
        <w:left w:val="none" w:sz="0" w:space="0" w:color="auto"/>
        <w:bottom w:val="none" w:sz="0" w:space="0" w:color="auto"/>
        <w:right w:val="none" w:sz="0" w:space="0" w:color="auto"/>
      </w:divBdr>
      <w:divsChild>
        <w:div w:id="9177886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99751775">
      <w:bodyDiv w:val="1"/>
      <w:marLeft w:val="0"/>
      <w:marRight w:val="0"/>
      <w:marTop w:val="0"/>
      <w:marBottom w:val="0"/>
      <w:divBdr>
        <w:top w:val="none" w:sz="0" w:space="0" w:color="auto"/>
        <w:left w:val="none" w:sz="0" w:space="0" w:color="auto"/>
        <w:bottom w:val="none" w:sz="0" w:space="0" w:color="auto"/>
        <w:right w:val="none" w:sz="0" w:space="0" w:color="auto"/>
      </w:divBdr>
      <w:divsChild>
        <w:div w:id="54429882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32-950X.2010.00763.x" TargetMode="External"/><Relationship Id="rId18" Type="http://schemas.openxmlformats.org/officeDocument/2006/relationships/hyperlink" Target="https://doi.org/10.21873/invivo.13480" TargetMode="External"/><Relationship Id="rId26" Type="http://schemas.openxmlformats.org/officeDocument/2006/relationships/hyperlink" Target="https://doi.org/10.1111/vsu.13685" TargetMode="External"/><Relationship Id="rId3" Type="http://schemas.openxmlformats.org/officeDocument/2006/relationships/settings" Target="settings.xml"/><Relationship Id="rId21" Type="http://schemas.openxmlformats.org/officeDocument/2006/relationships/hyperlink" Target="https://doi.org/10.1016/j.injury.2011.03.031" TargetMode="External"/><Relationship Id="rId34" Type="http://schemas.openxmlformats.org/officeDocument/2006/relationships/footer" Target="footer3.xml"/><Relationship Id="rId7" Type="http://schemas.openxmlformats.org/officeDocument/2006/relationships/hyperlink" Target="https://doi.org/10.2106/00004623-200310000-00010" TargetMode="External"/><Relationship Id="rId12" Type="http://schemas.openxmlformats.org/officeDocument/2006/relationships/hyperlink" Target="https://doi.org/10.1089/scd.2019.0202" TargetMode="External"/><Relationship Id="rId17" Type="http://schemas.openxmlformats.org/officeDocument/2006/relationships/hyperlink" Target="https://doi.org/10.1111/evj.13890" TargetMode="External"/><Relationship Id="rId25" Type="http://schemas.openxmlformats.org/officeDocument/2006/relationships/hyperlink" Target="https://doi.org/10.3389/fvets.2025.166255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7221/42/2021-VETMED" TargetMode="External"/><Relationship Id="rId20" Type="http://schemas.openxmlformats.org/officeDocument/2006/relationships/hyperlink" Target="https://doi.org/10.1111/vsu.1388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sap.13681" TargetMode="External"/><Relationship Id="rId24" Type="http://schemas.openxmlformats.org/officeDocument/2006/relationships/hyperlink" Target="https://doi.org/10.3390/ani1304066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vsu.13134" TargetMode="External"/><Relationship Id="rId23" Type="http://schemas.openxmlformats.org/officeDocument/2006/relationships/hyperlink" Target="https://doi.org/10.3390/ijms23031045" TargetMode="External"/><Relationship Id="rId28" Type="http://schemas.openxmlformats.org/officeDocument/2006/relationships/hyperlink" Target="https://doi.org/10.1155/2018/2976795" TargetMode="External"/><Relationship Id="rId36" Type="http://schemas.openxmlformats.org/officeDocument/2006/relationships/theme" Target="theme/theme1.xml"/><Relationship Id="rId10" Type="http://schemas.openxmlformats.org/officeDocument/2006/relationships/hyperlink" Target="https://doi.org/10.3390/bioengineering11060525" TargetMode="External"/><Relationship Id="rId19" Type="http://schemas.openxmlformats.org/officeDocument/2006/relationships/hyperlink" Target="https://doi.org/10.3390/ijms2005107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ani12223124" TargetMode="External"/><Relationship Id="rId14" Type="http://schemas.openxmlformats.org/officeDocument/2006/relationships/hyperlink" Target="https://doi.org/10.1097/00003086-199810001-00003" TargetMode="External"/><Relationship Id="rId22" Type="http://schemas.openxmlformats.org/officeDocument/2006/relationships/hyperlink" Target="https://doi.org/10.3415/VCOT-16-05-0082" TargetMode="External"/><Relationship Id="rId27" Type="http://schemas.openxmlformats.org/officeDocument/2006/relationships/hyperlink" Target="https://doi.org/10.1111/j.1748-5827.2006.00200.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3389/fvets.2024.1459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18</Pages>
  <Words>9611</Words>
  <Characters>54786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13</cp:revision>
  <dcterms:created xsi:type="dcterms:W3CDTF">2026-03-19T18:15:00Z</dcterms:created>
  <dcterms:modified xsi:type="dcterms:W3CDTF">2026-03-25T04:38:00Z</dcterms:modified>
</cp:coreProperties>
</file>