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07C" w:rsidRDefault="006C44ED" w:rsidP="0024307C">
      <w:pPr>
        <w:spacing w:after="240"/>
        <w:jc w:val="center"/>
      </w:pPr>
      <w:r>
        <w:rPr>
          <w:b/>
          <w:bCs/>
          <w:color w:val="1A3A5C"/>
          <w:sz w:val="34"/>
          <w:szCs w:val="34"/>
        </w:rPr>
        <w:t>Ethnobotanical Documentation of Plants Used in the Management of Anxiety, Insomnia and Depression: A Systematic Review</w:t>
      </w:r>
    </w:p>
    <w:p w:rsidR="0024307C" w:rsidRDefault="0024307C" w:rsidP="0024307C">
      <w:pPr>
        <w:spacing w:after="240"/>
        <w:jc w:val="center"/>
        <w:rPr>
          <w:b/>
          <w:bCs/>
          <w:color w:val="1A3A5C"/>
          <w:sz w:val="28"/>
          <w:szCs w:val="28"/>
        </w:rPr>
      </w:pPr>
    </w:p>
    <w:p w:rsidR="00D3095F" w:rsidRDefault="006C44ED" w:rsidP="0024307C">
      <w:pPr>
        <w:spacing w:after="240"/>
        <w:jc w:val="center"/>
      </w:pPr>
      <w:r>
        <w:rPr>
          <w:b/>
          <w:bCs/>
          <w:color w:val="1A3A5C"/>
          <w:sz w:val="28"/>
          <w:szCs w:val="28"/>
        </w:rPr>
        <w:t>Abstract</w:t>
      </w:r>
    </w:p>
    <w:p w:rsidR="00D3095F" w:rsidRDefault="000940B9">
      <w:pPr>
        <w:spacing w:after="160" w:line="360" w:lineRule="auto"/>
        <w:jc w:val="both"/>
      </w:pPr>
      <w:r w:rsidRPr="0027581C">
        <w:rPr>
          <w:rFonts w:ascii="Cambria" w:hAnsi="Cambria"/>
          <w:color w:val="1B1B1B"/>
          <w:sz w:val="22"/>
          <w:szCs w:val="28"/>
          <w:highlight w:val="yellow"/>
          <w:shd w:val="clear" w:color="auto" w:fill="FFFFFF"/>
        </w:rPr>
        <w:t>Depression, anxiety, stress, and other mental disorders, which are on the rise worldwide, are indications that pharmacological therapy can have serious adverse effects, which is why many patients prefer to use herbal products to treat these symptoms.</w:t>
      </w:r>
      <w:r w:rsidRPr="0027581C">
        <w:rPr>
          <w:rFonts w:ascii="Cambria" w:hAnsi="Cambria"/>
          <w:color w:val="1B1B1B"/>
          <w:sz w:val="22"/>
          <w:szCs w:val="28"/>
          <w:shd w:val="clear" w:color="auto" w:fill="FFFFFF"/>
        </w:rPr>
        <w:t> </w:t>
      </w:r>
      <w:r w:rsidRPr="0027581C">
        <w:rPr>
          <w:sz w:val="20"/>
        </w:rPr>
        <w:t xml:space="preserve"> </w:t>
      </w:r>
      <w:r w:rsidR="006C44ED">
        <w:t xml:space="preserve">Mental health disorders — particularly anxiety, insomnia and depression — represent a major and escalating burden on global public health. Collectively, they account for a disproportionate share of years lived with disability worldwide and remain substantially undertreated across all income settings. Long before the advent of synthetic psychopharmacology, human societies relied upon the plant kingdom to manage disturbances of the mind and sleep. Today, this inherited knowledge constitutes an invaluable resource for drug discovery, integrative medicine and the development of accessible, culturally grounded therapeutics. The present review systematically examines peer-reviewed ethnobotanical and ethnopharmacological literature published between 2000 and 2026 alongside selected authoritative international reports, aiming to document the major plant taxa employed for these three conditions across Africa, Asia, Europe, the Americas and Oceania. Species belonging to the families </w:t>
      </w:r>
      <w:proofErr w:type="spellStart"/>
      <w:r w:rsidR="006C44ED">
        <w:t>Lamiaceae</w:t>
      </w:r>
      <w:proofErr w:type="spellEnd"/>
      <w:r w:rsidR="006C44ED">
        <w:t xml:space="preserve">, </w:t>
      </w:r>
      <w:proofErr w:type="spellStart"/>
      <w:r w:rsidR="006C44ED">
        <w:t>Valerianaceae</w:t>
      </w:r>
      <w:proofErr w:type="spellEnd"/>
      <w:r w:rsidR="006C44ED">
        <w:t xml:space="preserve">, </w:t>
      </w:r>
      <w:proofErr w:type="spellStart"/>
      <w:r w:rsidR="006C44ED">
        <w:t>Hypericaceae</w:t>
      </w:r>
      <w:proofErr w:type="spellEnd"/>
      <w:r w:rsidR="006C44ED">
        <w:t xml:space="preserve">, </w:t>
      </w:r>
      <w:proofErr w:type="spellStart"/>
      <w:r w:rsidR="006C44ED">
        <w:t>Passifloraceae</w:t>
      </w:r>
      <w:proofErr w:type="spellEnd"/>
      <w:r w:rsidR="006C44ED">
        <w:t xml:space="preserve">, Asteraceae, </w:t>
      </w:r>
      <w:proofErr w:type="spellStart"/>
      <w:r w:rsidR="006C44ED">
        <w:t>Apiaceae</w:t>
      </w:r>
      <w:proofErr w:type="spellEnd"/>
      <w:r w:rsidR="006C44ED">
        <w:t xml:space="preserve">, Solanaceae and Fabaceae emerge as the most cross-culturally consistent contributors. </w:t>
      </w:r>
      <w:r w:rsidR="006B40CA" w:rsidRPr="0027581C">
        <w:rPr>
          <w:highlight w:val="yellow"/>
        </w:rPr>
        <w:t>A systematic search of the peer-reviewed literature was conducted across PubMed/MEDLINE, Web of Science, Scopus, Google Scholar, EMBASE and the WHO Global Index Medicus.</w:t>
      </w:r>
      <w:r w:rsidR="006B40CA">
        <w:t xml:space="preserve"> </w:t>
      </w:r>
      <w:r w:rsidR="006C44ED">
        <w:t xml:space="preserve">Key bioactive secondary metabolites — including valepotriates, naphthodianthrones, phloroglucinols, flavonoids, </w:t>
      </w:r>
      <w:proofErr w:type="spellStart"/>
      <w:r w:rsidR="006C44ED">
        <w:t>withanolides</w:t>
      </w:r>
      <w:proofErr w:type="spellEnd"/>
      <w:r w:rsidR="006C44ED">
        <w:t xml:space="preserve">, kavalactones, bacosides and </w:t>
      </w:r>
      <w:proofErr w:type="spellStart"/>
      <w:r w:rsidR="006C44ED">
        <w:t>crocins</w:t>
      </w:r>
      <w:proofErr w:type="spellEnd"/>
      <w:r w:rsidR="006C44ED">
        <w:t xml:space="preserve"> — are discussed in relation to their documented pharmacodynamic interactions with GABAergic, serotonergic, adrenergic and hypothalamic-pituitary-adrenal (HPA) axis systems. Convergent cross-cultural use patterns are interpreted as indirect pharmacological validation and as primary indicators for future clinical investigation. The review also addresses methodological standards for rigorous ethnobotanical fieldwork, the intersection of traditional knowledge with intellectual property and biodiversity law, safety and toxicology considerations, </w:t>
      </w:r>
      <w:proofErr w:type="spellStart"/>
      <w:r w:rsidR="006C44ED">
        <w:t>standardisation</w:t>
      </w:r>
      <w:proofErr w:type="spellEnd"/>
      <w:r w:rsidR="006C44ED">
        <w:t xml:space="preserve"> and quality control, and the principal pathways through which documented ethnobotanical knowledge may be translated into evidence-based therapeutics. Critical research gaps, including the </w:t>
      </w:r>
      <w:r w:rsidR="006C44ED">
        <w:lastRenderedPageBreak/>
        <w:t>underrepresentation of sub-Saharan African, Pacific and indigenous Amazonian traditions in the peer-reviewed literature, are highlighted.</w:t>
      </w:r>
    </w:p>
    <w:p w:rsidR="00D3095F" w:rsidRDefault="006C44ED">
      <w:pPr>
        <w:spacing w:after="320"/>
      </w:pPr>
      <w:r w:rsidRPr="000940B9">
        <w:rPr>
          <w:b/>
          <w:bCs/>
          <w:highlight w:val="yellow"/>
        </w:rPr>
        <w:t xml:space="preserve">Keywords: </w:t>
      </w:r>
      <w:r w:rsidR="00F02D57" w:rsidRPr="000940B9">
        <w:rPr>
          <w:highlight w:val="yellow"/>
        </w:rPr>
        <w:t>E</w:t>
      </w:r>
      <w:r w:rsidRPr="000940B9">
        <w:rPr>
          <w:highlight w:val="yellow"/>
        </w:rPr>
        <w:t>thnobotany; medicinal plants; anxiety; depression; insomnia; traditional medicine; flavonoids; GABAergic; adaptogens</w:t>
      </w:r>
    </w:p>
    <w:p w:rsidR="00D3095F" w:rsidRDefault="006C44ED">
      <w:pPr>
        <w:pStyle w:val="Heading1"/>
      </w:pPr>
      <w:r>
        <w:t>1.  Introduction</w:t>
      </w:r>
    </w:p>
    <w:p w:rsidR="00D3095F" w:rsidRPr="0027581C" w:rsidRDefault="006C44ED" w:rsidP="0027581C">
      <w:pPr>
        <w:jc w:val="both"/>
        <w:rPr>
          <w:sz w:val="20"/>
        </w:rPr>
      </w:pPr>
      <w:r>
        <w:t xml:space="preserve">Mental health disorders constitute one of the most pressing challenges in contemporary global health. The World Health Organization estimates that depression alone affects approximately 280 million people worldwide, ranking among the principal causes of disability-adjusted life years lost globally (World Health Organization [WHO], 2023a). Anxiety disorders are the most prevalent class of mental illness, with more than 301 million individuals affected worldwide; they are </w:t>
      </w:r>
      <w:proofErr w:type="spellStart"/>
      <w:r>
        <w:t>characterised</w:t>
      </w:r>
      <w:proofErr w:type="spellEnd"/>
      <w:r>
        <w:t xml:space="preserve"> by excessive, persistent apprehension and autonomic dysregulation that interfere substantially with occupational and social functioning (WHO, 2022a). Insomnia — the chronic difficulty in initiating or maintaining sleep, or experiencing non-restorative sleep — is reported by between 10% and 30% of adults in epidemiological surveys and frequently co-occurs with both anxiety and depression, forming a bidirectional triad of psychoneurological distress (Morin et al., 2015). When considered together, these three conditions impose an enormous social and economic toll: they are strongly associated with reduced workplace productivity, elevated rates of cardiovascular disease and metabolic disorder, impaired immune function and increased risk of suicide (Whiteford et al., 2013).</w:t>
      </w:r>
      <w:r w:rsidR="000940B9">
        <w:t xml:space="preserve"> </w:t>
      </w:r>
      <w:r w:rsidR="000940B9" w:rsidRPr="0027581C">
        <w:rPr>
          <w:rFonts w:ascii="Cambria" w:hAnsi="Cambria"/>
          <w:color w:val="1B1B1B"/>
          <w:sz w:val="22"/>
          <w:szCs w:val="28"/>
          <w:highlight w:val="yellow"/>
          <w:shd w:val="clear" w:color="auto" w:fill="FFFFFF"/>
        </w:rPr>
        <w:t>The symptoms of anxiety disorders include feelings of anxiety and fear. Types of anxiety disorders are generalized anxiety disorder, panic disorder, phobias, social anxiety disorder, obsessive-compulsive disorder, and post-traumatic stress disorder. Pharmacological therapy for depressive disorders uses tricyclic antidepressants, monoamine oxidase inhibitors, selective serotonin reuptake inhibitors, serotonin and norepinephrine reuptake inhibitors, norepinephrine and dopamine reuptake inhibitors, serotonin antagonist and reuptake inhibitors</w:t>
      </w:r>
      <w:r w:rsidR="000940B9">
        <w:rPr>
          <w:rFonts w:ascii="Cambria" w:hAnsi="Cambria"/>
          <w:color w:val="1B1B1B"/>
          <w:sz w:val="22"/>
          <w:szCs w:val="28"/>
          <w:highlight w:val="yellow"/>
          <w:shd w:val="clear" w:color="auto" w:fill="FFFFFF"/>
        </w:rPr>
        <w:t xml:space="preserve"> (</w:t>
      </w:r>
      <w:r w:rsidR="000940B9" w:rsidRPr="006A0C45">
        <w:rPr>
          <w:rFonts w:ascii="Consolas" w:hAnsi="Consolas"/>
          <w:color w:val="1B1B1B"/>
          <w:highlight w:val="yellow"/>
        </w:rPr>
        <w:t>Kenda</w:t>
      </w:r>
      <w:r w:rsidR="000940B9">
        <w:rPr>
          <w:rFonts w:ascii="Consolas" w:hAnsi="Consolas"/>
          <w:color w:val="1B1B1B"/>
          <w:highlight w:val="yellow"/>
        </w:rPr>
        <w:t xml:space="preserve"> et al., 2022</w:t>
      </w:r>
      <w:r w:rsidR="00984201">
        <w:rPr>
          <w:rFonts w:ascii="Consolas" w:hAnsi="Consolas"/>
          <w:color w:val="1B1B1B"/>
          <w:highlight w:val="yellow"/>
        </w:rPr>
        <w:t xml:space="preserve">; </w:t>
      </w:r>
      <w:proofErr w:type="spellStart"/>
      <w:r w:rsidR="00984201" w:rsidRPr="006A0C45">
        <w:rPr>
          <w:rFonts w:ascii="Segoe UI" w:hAnsi="Segoe UI" w:cs="Segoe UI"/>
          <w:bCs/>
          <w:sz w:val="20"/>
          <w:szCs w:val="21"/>
          <w:highlight w:val="yellow"/>
          <w:shd w:val="clear" w:color="auto" w:fill="FFFFFF"/>
        </w:rPr>
        <w:t>Yogeesha</w:t>
      </w:r>
      <w:proofErr w:type="spellEnd"/>
      <w:r w:rsidR="0027581C">
        <w:rPr>
          <w:rFonts w:ascii="Segoe UI" w:hAnsi="Segoe UI" w:cs="Segoe UI"/>
          <w:bCs/>
          <w:sz w:val="20"/>
          <w:szCs w:val="21"/>
          <w:highlight w:val="yellow"/>
          <w:shd w:val="clear" w:color="auto" w:fill="FFFFFF"/>
        </w:rPr>
        <w:t xml:space="preserve"> </w:t>
      </w:r>
      <w:r w:rsidR="00984201">
        <w:rPr>
          <w:rFonts w:ascii="Segoe UI" w:hAnsi="Segoe UI" w:cs="Segoe UI"/>
          <w:bCs/>
          <w:sz w:val="20"/>
          <w:szCs w:val="21"/>
          <w:highlight w:val="yellow"/>
          <w:shd w:val="clear" w:color="auto" w:fill="FFFFFF"/>
        </w:rPr>
        <w:t xml:space="preserve">&amp; </w:t>
      </w:r>
      <w:r w:rsidR="00984201" w:rsidRPr="006A0C45">
        <w:rPr>
          <w:rFonts w:ascii="Segoe UI" w:hAnsi="Segoe UI" w:cs="Segoe UI"/>
          <w:bCs/>
          <w:sz w:val="20"/>
          <w:szCs w:val="21"/>
          <w:highlight w:val="yellow"/>
          <w:shd w:val="clear" w:color="auto" w:fill="FFFFFF"/>
        </w:rPr>
        <w:t>Krishnakumar</w:t>
      </w:r>
      <w:r w:rsidR="00984201">
        <w:rPr>
          <w:rFonts w:ascii="Segoe UI" w:hAnsi="Segoe UI" w:cs="Segoe UI"/>
          <w:bCs/>
          <w:sz w:val="20"/>
          <w:szCs w:val="21"/>
          <w:highlight w:val="yellow"/>
          <w:shd w:val="clear" w:color="auto" w:fill="FFFFFF"/>
        </w:rPr>
        <w:t>, 2023</w:t>
      </w:r>
      <w:r w:rsidR="000940B9">
        <w:rPr>
          <w:rFonts w:ascii="Cambria" w:hAnsi="Cambria"/>
          <w:color w:val="1B1B1B"/>
          <w:sz w:val="22"/>
          <w:szCs w:val="28"/>
          <w:highlight w:val="yellow"/>
          <w:shd w:val="clear" w:color="auto" w:fill="FFFFFF"/>
        </w:rPr>
        <w:t>)</w:t>
      </w:r>
      <w:r w:rsidR="000940B9" w:rsidRPr="0027581C">
        <w:rPr>
          <w:rFonts w:ascii="Cambria" w:hAnsi="Cambria"/>
          <w:color w:val="1B1B1B"/>
          <w:sz w:val="22"/>
          <w:szCs w:val="28"/>
          <w:highlight w:val="yellow"/>
          <w:shd w:val="clear" w:color="auto" w:fill="FFFFFF"/>
        </w:rPr>
        <w:t>.</w:t>
      </w:r>
    </w:p>
    <w:p w:rsidR="00D3095F" w:rsidRDefault="006C44ED">
      <w:pPr>
        <w:spacing w:after="160" w:line="360" w:lineRule="auto"/>
        <w:ind w:firstLine="720"/>
        <w:jc w:val="both"/>
      </w:pPr>
      <w:r>
        <w:t>Despite the existence of effective pharmacological treatments, including selective serotonin reuptake inhibitors (SSRIs), serotonin-noradrenaline reuptake inhibitors (SNRIs), benzodiazepines and non-benzodiazepine hypnotics (z-drugs), access to these treatments remains severely unequal. In low- and middle-income countries, where more than 80% of the global disease burden from mental disorders is concentrated, the treatment gap can exceed 90% (WHO, 2022b). Even in high-income settings, concerns about adverse effect profiles — including dependence, cognitive blunting, sexual dysfunction and withdrawal syndromes — drive a significant proportion of patients to seek complementary and alternative approaches (Sarris et al., 2011). Within this landscape, plant-derived remedies occupy a particularly important position: they are globally accessible, culturally embedded and pharmacologically diverse.</w:t>
      </w:r>
    </w:p>
    <w:p w:rsidR="00D3095F" w:rsidRDefault="006B40CA">
      <w:pPr>
        <w:spacing w:after="160" w:line="360" w:lineRule="auto"/>
        <w:ind w:firstLine="720"/>
        <w:jc w:val="both"/>
      </w:pPr>
      <w:r w:rsidRPr="0027581C">
        <w:rPr>
          <w:rFonts w:ascii="Arial" w:hAnsi="Arial" w:cs="Arial"/>
          <w:color w:val="222222"/>
          <w:sz w:val="20"/>
          <w:szCs w:val="20"/>
          <w:highlight w:val="yellow"/>
          <w:shd w:val="clear" w:color="auto" w:fill="FFFFFF"/>
        </w:rPr>
        <w:t xml:space="preserve">Nowadays, herbal medicine represents one of the most frequently used complementary or alternative treatments of insomnia. However, the efficacy of traditional medicinal herbs in </w:t>
      </w:r>
      <w:r w:rsidRPr="0027581C">
        <w:rPr>
          <w:rFonts w:ascii="Arial" w:hAnsi="Arial" w:cs="Arial"/>
          <w:color w:val="222222"/>
          <w:sz w:val="20"/>
          <w:szCs w:val="20"/>
          <w:highlight w:val="yellow"/>
          <w:shd w:val="clear" w:color="auto" w:fill="FFFFFF"/>
        </w:rPr>
        <w:lastRenderedPageBreak/>
        <w:t>complementary and alternative medicine of the mental health disorders has not been exhaustively explored yet, especially concerning the mechanism of actions of phytocomponents</w:t>
      </w:r>
      <w:r>
        <w:rPr>
          <w:rFonts w:ascii="Arial" w:hAnsi="Arial" w:cs="Arial"/>
          <w:color w:val="222222"/>
          <w:sz w:val="20"/>
          <w:szCs w:val="20"/>
          <w:highlight w:val="yellow"/>
          <w:shd w:val="clear" w:color="auto" w:fill="FFFFFF"/>
        </w:rPr>
        <w:t xml:space="preserve"> (</w:t>
      </w:r>
      <w:proofErr w:type="spellStart"/>
      <w:r w:rsidRPr="006A0C45">
        <w:rPr>
          <w:rFonts w:ascii="inherit" w:hAnsi="inherit" w:cs="Helvetica"/>
          <w:color w:val="222222"/>
          <w:sz w:val="18"/>
          <w:szCs w:val="18"/>
          <w:highlight w:val="yellow"/>
        </w:rPr>
        <w:t>Motti</w:t>
      </w:r>
      <w:proofErr w:type="spellEnd"/>
      <w:r w:rsidRPr="006A0C45">
        <w:rPr>
          <w:rFonts w:ascii="inherit" w:hAnsi="inherit" w:cs="Helvetica"/>
          <w:color w:val="222222"/>
          <w:sz w:val="18"/>
          <w:szCs w:val="18"/>
          <w:highlight w:val="yellow"/>
        </w:rPr>
        <w:t>, &amp; de Falco</w:t>
      </w:r>
      <w:r>
        <w:rPr>
          <w:rFonts w:ascii="inherit" w:hAnsi="inherit" w:cs="Helvetica"/>
          <w:color w:val="222222"/>
          <w:sz w:val="18"/>
          <w:szCs w:val="18"/>
          <w:highlight w:val="yellow"/>
        </w:rPr>
        <w:t xml:space="preserve">, </w:t>
      </w:r>
      <w:r w:rsidRPr="006A0C45">
        <w:rPr>
          <w:rFonts w:ascii="inherit" w:hAnsi="inherit" w:cs="Helvetica"/>
          <w:color w:val="222222"/>
          <w:sz w:val="18"/>
          <w:szCs w:val="18"/>
          <w:highlight w:val="yellow"/>
        </w:rPr>
        <w:t>2021</w:t>
      </w:r>
      <w:r>
        <w:rPr>
          <w:rFonts w:ascii="Arial" w:hAnsi="Arial" w:cs="Arial"/>
          <w:color w:val="222222"/>
          <w:sz w:val="20"/>
          <w:szCs w:val="20"/>
          <w:highlight w:val="yellow"/>
          <w:shd w:val="clear" w:color="auto" w:fill="FFFFFF"/>
        </w:rPr>
        <w:t>)</w:t>
      </w:r>
      <w:r w:rsidRPr="0027581C">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proofErr w:type="spellStart"/>
      <w:r w:rsidR="006C44ED">
        <w:t>Ethnobotan</w:t>
      </w:r>
      <w:proofErr w:type="spellEnd"/>
      <w:r w:rsidR="006C44ED">
        <w:t xml:space="preserve">y — the interdisciplinary study of the relationships between human cultures and plants — provides the empirical scaffolding through which traditional plant knowledge is systematically collected, documented and evaluated (Hernández </w:t>
      </w:r>
      <w:proofErr w:type="spellStart"/>
      <w:r w:rsidR="006C44ED">
        <w:t>Xolocotzi</w:t>
      </w:r>
      <w:proofErr w:type="spellEnd"/>
      <w:r w:rsidR="006C44ED">
        <w:t>, 1971; Martin, 1995). Ethnopharmacology, its more pharmacologically oriented sibling, examines the bioactive properties of traditionally used plants within a rigorous scientific framework. Together</w:t>
      </w:r>
      <w:r w:rsidR="0027581C">
        <w:t>,</w:t>
      </w:r>
      <w:r w:rsidR="006C44ED">
        <w:t xml:space="preserve"> these disciplines form what has been described as the most productive pipeline in natural product drug discovery: beginning with culturally transmitted usage data and progressing through phytochemical profiling, in vitro bioassay, in vivo preclinical modelling and, ultimately, controlled clinical investigation (Heinrich &amp; Gibbons, 2001). The historical record of this pipeline is impressive: reserpine (from </w:t>
      </w:r>
      <w:proofErr w:type="spellStart"/>
      <w:r w:rsidR="006C44ED">
        <w:t>Rauvolfia</w:t>
      </w:r>
      <w:proofErr w:type="spellEnd"/>
      <w:r w:rsidR="006C44ED">
        <w:t xml:space="preserve"> </w:t>
      </w:r>
      <w:proofErr w:type="spellStart"/>
      <w:r w:rsidR="006C44ED">
        <w:t>serpentina</w:t>
      </w:r>
      <w:proofErr w:type="spellEnd"/>
      <w:r w:rsidR="006C44ED">
        <w:t xml:space="preserve"> [L.] </w:t>
      </w:r>
      <w:proofErr w:type="spellStart"/>
      <w:r w:rsidR="006C44ED">
        <w:t>Benth</w:t>
      </w:r>
      <w:proofErr w:type="spellEnd"/>
      <w:r w:rsidR="006C44ED">
        <w:t xml:space="preserve">. ex </w:t>
      </w:r>
      <w:proofErr w:type="spellStart"/>
      <w:r w:rsidR="006C44ED">
        <w:t>Kurz</w:t>
      </w:r>
      <w:proofErr w:type="spellEnd"/>
      <w:r w:rsidR="006C44ED">
        <w:t xml:space="preserve">), used for centuries in Indian Ayurvedic medicine for mental agitation, became the first pharmacologically </w:t>
      </w:r>
      <w:proofErr w:type="spellStart"/>
      <w:r w:rsidR="006C44ED">
        <w:t>characterised</w:t>
      </w:r>
      <w:proofErr w:type="spellEnd"/>
      <w:r w:rsidR="006C44ED">
        <w:t xml:space="preserve"> antihypertensive-cum-antipsychotic agent of the modern era and helped establish the monoamine hypothesis of depression (Baumeister &amp; Hawkins, 2004). More recently, hyperforin from Hypericum </w:t>
      </w:r>
      <w:proofErr w:type="spellStart"/>
      <w:r w:rsidR="006C44ED">
        <w:t>perforatum</w:t>
      </w:r>
      <w:proofErr w:type="spellEnd"/>
      <w:r w:rsidR="006C44ED">
        <w:t xml:space="preserve"> L., galantamine from Galanthus species and </w:t>
      </w:r>
      <w:proofErr w:type="spellStart"/>
      <w:r w:rsidR="006C44ED">
        <w:t>huperzine</w:t>
      </w:r>
      <w:proofErr w:type="spellEnd"/>
      <w:r w:rsidR="006C44ED">
        <w:t xml:space="preserve"> A from </w:t>
      </w:r>
      <w:proofErr w:type="spellStart"/>
      <w:r w:rsidR="006C44ED">
        <w:t>Huperzia</w:t>
      </w:r>
      <w:proofErr w:type="spellEnd"/>
      <w:r w:rsidR="006C44ED">
        <w:t xml:space="preserve"> serrata (</w:t>
      </w:r>
      <w:proofErr w:type="spellStart"/>
      <w:r w:rsidR="006C44ED">
        <w:t>Thunb</w:t>
      </w:r>
      <w:proofErr w:type="spellEnd"/>
      <w:r w:rsidR="006C44ED">
        <w:t xml:space="preserve">.) </w:t>
      </w:r>
      <w:proofErr w:type="spellStart"/>
      <w:r w:rsidR="006C44ED">
        <w:t>Trevis</w:t>
      </w:r>
      <w:proofErr w:type="spellEnd"/>
      <w:r w:rsidR="006C44ED">
        <w:t>. all trace their clinical development to ethnobotanical leads.</w:t>
      </w:r>
    </w:p>
    <w:p w:rsidR="00D3095F" w:rsidRDefault="006C44ED">
      <w:pPr>
        <w:spacing w:after="160" w:line="360" w:lineRule="auto"/>
        <w:ind w:firstLine="720"/>
        <w:jc w:val="both"/>
      </w:pPr>
      <w:r>
        <w:t xml:space="preserve">The World Health Organization's Traditional Medicine Strategy 2019–2025 explicitly calls on member states to harness traditional medicine knowledge through systematic documentation, quality assurance and evidence generation, </w:t>
      </w:r>
      <w:proofErr w:type="spellStart"/>
      <w:r>
        <w:t>recognising</w:t>
      </w:r>
      <w:proofErr w:type="spellEnd"/>
      <w:r>
        <w:t xml:space="preserve"> that approximately 80% of the world's population relies on plant-based medicine as a first point of care (WHO, 2019). The CBD Nagoya Protocol on Access and Benefit-Sharing further underscores the geopolitical significance of ethnobotanical documentation, as it establishes the legal framework governing access to genetic resources and associated traditional knowledge held by indigenous and local communities (Secretariat of the Convention on Biological Diversity [SCBD], 2011). Accurate, comprehensive documentation is therefore not merely an academic exercise; it is a prerequisite for equitable, legally compliant and scientifically valid exploitation of botanical resources.</w:t>
      </w:r>
    </w:p>
    <w:p w:rsidR="00D3095F" w:rsidRDefault="006C44ED">
      <w:pPr>
        <w:spacing w:after="160" w:line="360" w:lineRule="auto"/>
        <w:ind w:firstLine="720"/>
        <w:jc w:val="both"/>
      </w:pPr>
      <w:r>
        <w:t xml:space="preserve">Despite a considerable volume of primary ethnobotanical and ethnopharmacological literature published over the past two decades, no recent comprehensive review has systematically </w:t>
      </w:r>
      <w:proofErr w:type="spellStart"/>
      <w:r>
        <w:t>synthesised</w:t>
      </w:r>
      <w:proofErr w:type="spellEnd"/>
      <w:r>
        <w:t xml:space="preserve"> the global evidence on plants used specifically for the triad of anxiety, insomnia and depression, integrating cross-regional patterns, mechanistic </w:t>
      </w:r>
      <w:r>
        <w:lastRenderedPageBreak/>
        <w:t xml:space="preserve">considerations, methodological standards and translational implications. The present review addresses this gap by drawing on literature from five major global regions, critically appraising methodological quality, </w:t>
      </w:r>
      <w:proofErr w:type="spellStart"/>
      <w:r>
        <w:t>analysing</w:t>
      </w:r>
      <w:proofErr w:type="spellEnd"/>
      <w:r>
        <w:t xml:space="preserve"> convergent use patterns and mapping established phytochemical mechanisms onto traditional therapeutic rationale.</w:t>
      </w:r>
    </w:p>
    <w:p w:rsidR="00D3095F" w:rsidRDefault="006C44ED">
      <w:pPr>
        <w:pStyle w:val="Heading2"/>
      </w:pPr>
      <w:proofErr w:type="gramStart"/>
      <w:r>
        <w:t>1.1  Scope</w:t>
      </w:r>
      <w:proofErr w:type="gramEnd"/>
      <w:r>
        <w:t xml:space="preserve"> and Objectives </w:t>
      </w:r>
    </w:p>
    <w:p w:rsidR="00D3095F" w:rsidRDefault="006C44ED">
      <w:pPr>
        <w:spacing w:after="160" w:line="360" w:lineRule="auto"/>
        <w:jc w:val="both"/>
      </w:pPr>
      <w:r>
        <w:t xml:space="preserve">The present review has five overarching objectives. First, it documents the principal plant species employed across diverse cultural traditions for the management of anxiety, insomnia and depression, </w:t>
      </w:r>
      <w:proofErr w:type="spellStart"/>
      <w:r>
        <w:t>organising</w:t>
      </w:r>
      <w:proofErr w:type="spellEnd"/>
      <w:r>
        <w:t xml:space="preserve"> evidence by geographical region and traditional medicine system. Second, it </w:t>
      </w:r>
      <w:proofErr w:type="spellStart"/>
      <w:r>
        <w:t>characterises</w:t>
      </w:r>
      <w:proofErr w:type="spellEnd"/>
      <w:r>
        <w:t xml:space="preserve"> the pharmacologically active secondary metabolites of major documented species and relates their molecular targets to contemporary neuropharmacological understanding. Third, it analyses cross-cultural patterns of plant use, with particular attention to convergent selection across unrelated traditions as a marker of pharmacological signal. Fourth, it evaluates the methodological quality of primary ethnobotanical literature and identifies best practices for future documentation. Fifth, it maps the translational pathway from ethnobotanical observation to evidence-based therapy, identifying key bottlenecks and priority species for clinical investigation. The review covers peer-reviewed publications from 2000 to 2026, supplemented by seminal pre-2000 literature and authoritative international reports. It encompasses plants used internally (oral preparations) and externally (aromatherapy, topical preparations, ritual fumigation), provided a mental health indication is documented. It does not perform statistical meta-analysis of clinical outcomes.</w:t>
      </w:r>
    </w:p>
    <w:p w:rsidR="00D3095F" w:rsidRDefault="006C44ED">
      <w:pPr>
        <w:pStyle w:val="Heading1"/>
      </w:pPr>
      <w:r>
        <w:t>2.  Methods for Literature Selection</w:t>
      </w:r>
    </w:p>
    <w:p w:rsidR="00D3095F" w:rsidRDefault="006C44ED">
      <w:pPr>
        <w:spacing w:after="160" w:line="360" w:lineRule="auto"/>
        <w:ind w:firstLine="720"/>
        <w:jc w:val="both"/>
      </w:pPr>
      <w:r>
        <w:t>A systematic search of the peer-reviewed literature was conducted across PubMed/MEDLINE, Web of Science, Scopus, Google Scholar, EMBASE and the WHO Global Index Medicus. The search was executed in January 2026 and covered publications from 1 January 2000 to 31 December 2025, with no restriction on country of origin. Additional landmark studies published before 2000 were identified through backward citation chaining from key review articles and included where they provided foundational phytochemical or mechanistic data not superseded by more recent work.</w:t>
      </w:r>
    </w:p>
    <w:p w:rsidR="00D3095F" w:rsidRDefault="006C44ED">
      <w:pPr>
        <w:spacing w:after="160" w:line="360" w:lineRule="auto"/>
        <w:ind w:firstLine="720"/>
        <w:jc w:val="both"/>
      </w:pPr>
      <w:r>
        <w:t xml:space="preserve">The following search string combinations were applied, adapted to the syntax conventions of each database: (ethnobotany OR ethnopharmacology OR traditional medicine </w:t>
      </w:r>
      <w:r>
        <w:lastRenderedPageBreak/>
        <w:t xml:space="preserve">OR folk medicine OR indigenous medicine OR herbal medicine OR </w:t>
      </w:r>
      <w:proofErr w:type="spellStart"/>
      <w:r>
        <w:t>phytotherapy</w:t>
      </w:r>
      <w:proofErr w:type="spellEnd"/>
      <w:r>
        <w:t xml:space="preserve">) AND (anxiety OR anxiolytic OR </w:t>
      </w:r>
      <w:proofErr w:type="spellStart"/>
      <w:r>
        <w:t>generalised</w:t>
      </w:r>
      <w:proofErr w:type="spellEnd"/>
      <w:r>
        <w:t xml:space="preserve"> anxiety OR panic disorder) OR (insomnia OR sleep disorder OR hypnotic OR sedative OR sleep quality) OR (depression OR depressive disorder OR antidepressant OR mood disorder). Plant family and genus names representing major medicinal groups (e.g., </w:t>
      </w:r>
      <w:proofErr w:type="spellStart"/>
      <w:r>
        <w:t>Valeriana</w:t>
      </w:r>
      <w:proofErr w:type="spellEnd"/>
      <w:r>
        <w:t xml:space="preserve">, Hypericum, </w:t>
      </w:r>
      <w:proofErr w:type="spellStart"/>
      <w:r>
        <w:t>Passiflora</w:t>
      </w:r>
      <w:proofErr w:type="spellEnd"/>
      <w:r>
        <w:t xml:space="preserve">, Lavandula, </w:t>
      </w:r>
      <w:proofErr w:type="spellStart"/>
      <w:r>
        <w:t>Withania</w:t>
      </w:r>
      <w:proofErr w:type="spellEnd"/>
      <w:r>
        <w:t xml:space="preserve">, </w:t>
      </w:r>
      <w:proofErr w:type="spellStart"/>
      <w:r>
        <w:t>Matricaria</w:t>
      </w:r>
      <w:proofErr w:type="spellEnd"/>
      <w:r>
        <w:t xml:space="preserve">, Piper </w:t>
      </w:r>
      <w:proofErr w:type="spellStart"/>
      <w:r>
        <w:t>methysticum</w:t>
      </w:r>
      <w:proofErr w:type="spellEnd"/>
      <w:r>
        <w:t xml:space="preserve">, Melissa, </w:t>
      </w:r>
      <w:proofErr w:type="spellStart"/>
      <w:r>
        <w:t>Humulus</w:t>
      </w:r>
      <w:proofErr w:type="spellEnd"/>
      <w:r>
        <w:t xml:space="preserve">, Bacopa, </w:t>
      </w:r>
      <w:proofErr w:type="spellStart"/>
      <w:r>
        <w:t>Rhodiola</w:t>
      </w:r>
      <w:proofErr w:type="spellEnd"/>
      <w:r>
        <w:t xml:space="preserve">, Crocus sativus, </w:t>
      </w:r>
      <w:proofErr w:type="spellStart"/>
      <w:r>
        <w:t>Scutellaria</w:t>
      </w:r>
      <w:proofErr w:type="spellEnd"/>
      <w:r>
        <w:t xml:space="preserve">) were additionally searched in combination with the above </w:t>
      </w:r>
      <w:proofErr w:type="spellStart"/>
      <w:r>
        <w:t>MeSH</w:t>
      </w:r>
      <w:proofErr w:type="spellEnd"/>
      <w:r>
        <w:t xml:space="preserve"> and free-text terms. Reference lists of all included review articles were hand-searched to capture studies not indexed in electronic databases.</w:t>
      </w:r>
    </w:p>
    <w:p w:rsidR="00D3095F" w:rsidRDefault="006C44ED">
      <w:pPr>
        <w:spacing w:after="160" w:line="360" w:lineRule="auto"/>
        <w:ind w:firstLine="720"/>
        <w:jc w:val="both"/>
      </w:pPr>
      <w:r>
        <w:t>Inclusion criteria required that: (</w:t>
      </w:r>
      <w:proofErr w:type="spellStart"/>
      <w:r>
        <w:t>i</w:t>
      </w:r>
      <w:proofErr w:type="spellEnd"/>
      <w:r>
        <w:t xml:space="preserve">) the study reported primary ethnobotanical or ethnopharmacological data, or constituted a systematic or narrative review thereof; (ii) at least one plant species was documented specifically for the management of anxiety, insomnia or depression in a defined cultural or geographical context; (iii) sufficient botanical identification information was provided to permit species-level assignment; and (iv) the study was published in a peer-reviewed academic journal or as an official report from a </w:t>
      </w:r>
      <w:proofErr w:type="spellStart"/>
      <w:r>
        <w:t>recognised</w:t>
      </w:r>
      <w:proofErr w:type="spellEnd"/>
      <w:r>
        <w:t xml:space="preserve"> international authority (e.g., WHO, FAO, European Medicines Agency). Exclusion criteria were: grey literature (theses, conference abstracts, reports from non-governmental </w:t>
      </w:r>
      <w:proofErr w:type="spellStart"/>
      <w:r>
        <w:t>organisations</w:t>
      </w:r>
      <w:proofErr w:type="spellEnd"/>
      <w:r>
        <w:t xml:space="preserve"> without peer review), studies reporting only in vitro or in vivo pharmacological data without any ethnobotanical documentation component, and publications in languages for which no translation was available. Duplicate records across databases were removed prior to screening. Titles and abstracts of retrieved records were screened by the authors; full texts were obtained for all potentially eligible studies. Data extraction focused on: plant species (with family, local name and voucher accession number where stated), geographical and cultural context, preparation and route of administration, target condition and traditional indication, and available phytochemical or pharmacological validation data.</w:t>
      </w:r>
    </w:p>
    <w:p w:rsidR="00D3095F" w:rsidRDefault="006C44ED">
      <w:pPr>
        <w:pStyle w:val="Heading1"/>
      </w:pPr>
      <w:r>
        <w:t>3.  Ethnobotanical Context: Mental Health Across Traditional Medicine Systems</w:t>
      </w:r>
    </w:p>
    <w:p w:rsidR="00D3095F" w:rsidRDefault="006C44ED">
      <w:pPr>
        <w:spacing w:after="160" w:line="360" w:lineRule="auto"/>
        <w:ind w:firstLine="720"/>
        <w:jc w:val="both"/>
      </w:pPr>
      <w:r>
        <w:t xml:space="preserve">Before cataloguing specific species, it is instructive to consider the conceptual frameworks within which plant-based management of anxiety, insomnia and depression is </w:t>
      </w:r>
      <w:proofErr w:type="spellStart"/>
      <w:r>
        <w:t>practised</w:t>
      </w:r>
      <w:proofErr w:type="spellEnd"/>
      <w:r>
        <w:t xml:space="preserve"> across different traditions. This </w:t>
      </w:r>
      <w:proofErr w:type="spellStart"/>
      <w:r>
        <w:t>contextualisation</w:t>
      </w:r>
      <w:proofErr w:type="spellEnd"/>
      <w:r>
        <w:t xml:space="preserve"> matters because pharmacological validation studies that ignore cultural framing may misidentify the therapeutic target or underestimate the complexity of traditional preparations.</w:t>
      </w:r>
    </w:p>
    <w:p w:rsidR="00D3095F" w:rsidRDefault="006C44ED">
      <w:pPr>
        <w:pStyle w:val="Heading2"/>
      </w:pPr>
      <w:proofErr w:type="gramStart"/>
      <w:r>
        <w:lastRenderedPageBreak/>
        <w:t>3.1  Ayurvedic</w:t>
      </w:r>
      <w:proofErr w:type="gramEnd"/>
      <w:r>
        <w:t xml:space="preserve"> Medicine (South Asia)</w:t>
      </w:r>
    </w:p>
    <w:p w:rsidR="00D3095F" w:rsidRDefault="006C44ED">
      <w:pPr>
        <w:spacing w:after="160" w:line="360" w:lineRule="auto"/>
        <w:ind w:firstLine="720"/>
        <w:jc w:val="both"/>
      </w:pPr>
      <w:r>
        <w:t xml:space="preserve">The Ayurvedic system, codified in classical Sanskrit texts including the </w:t>
      </w:r>
      <w:proofErr w:type="spellStart"/>
      <w:r>
        <w:t>Charaka</w:t>
      </w:r>
      <w:proofErr w:type="spellEnd"/>
      <w:r>
        <w:t xml:space="preserve"> Samhita (ca. 400–200 BCE) and </w:t>
      </w:r>
      <w:proofErr w:type="spellStart"/>
      <w:r>
        <w:t>Sushruta</w:t>
      </w:r>
      <w:proofErr w:type="spellEnd"/>
      <w:r>
        <w:t xml:space="preserve"> Samhita, </w:t>
      </w:r>
      <w:proofErr w:type="spellStart"/>
      <w:r>
        <w:t>conceptualises</w:t>
      </w:r>
      <w:proofErr w:type="spellEnd"/>
      <w:r>
        <w:t xml:space="preserve"> psychological wellbeing through the interplay of three </w:t>
      </w:r>
      <w:proofErr w:type="spellStart"/>
      <w:r>
        <w:t>doshas</w:t>
      </w:r>
      <w:proofErr w:type="spellEnd"/>
      <w:r>
        <w:t xml:space="preserve"> (</w:t>
      </w:r>
      <w:proofErr w:type="spellStart"/>
      <w:r>
        <w:t>vata</w:t>
      </w:r>
      <w:proofErr w:type="spellEnd"/>
      <w:r>
        <w:t xml:space="preserve">, pitta and </w:t>
      </w:r>
      <w:proofErr w:type="spellStart"/>
      <w:r>
        <w:t>kapha</w:t>
      </w:r>
      <w:proofErr w:type="spellEnd"/>
      <w:r>
        <w:t xml:space="preserve">), the three </w:t>
      </w:r>
      <w:proofErr w:type="spellStart"/>
      <w:r>
        <w:t>gunas</w:t>
      </w:r>
      <w:proofErr w:type="spellEnd"/>
      <w:r>
        <w:t xml:space="preserve"> (sattva, rajas, tamas) and the integrity of the </w:t>
      </w:r>
      <w:proofErr w:type="spellStart"/>
      <w:r>
        <w:t>manovaha</w:t>
      </w:r>
      <w:proofErr w:type="spellEnd"/>
      <w:r>
        <w:t xml:space="preserve"> </w:t>
      </w:r>
      <w:proofErr w:type="spellStart"/>
      <w:r>
        <w:t>srotas</w:t>
      </w:r>
      <w:proofErr w:type="spellEnd"/>
      <w:r>
        <w:t xml:space="preserve"> (channels of mental function). Conditions resembling anxiety (</w:t>
      </w:r>
      <w:proofErr w:type="spellStart"/>
      <w:r>
        <w:t>chittodvega</w:t>
      </w:r>
      <w:proofErr w:type="spellEnd"/>
      <w:r>
        <w:t>), insomnia (</w:t>
      </w:r>
      <w:proofErr w:type="spellStart"/>
      <w:r>
        <w:t>anidra</w:t>
      </w:r>
      <w:proofErr w:type="spellEnd"/>
      <w:r>
        <w:t>) and depression (</w:t>
      </w:r>
      <w:proofErr w:type="spellStart"/>
      <w:r>
        <w:t>vishada</w:t>
      </w:r>
      <w:proofErr w:type="spellEnd"/>
      <w:r>
        <w:t xml:space="preserve">) are attributed primarily to vitiated </w:t>
      </w:r>
      <w:proofErr w:type="spellStart"/>
      <w:r>
        <w:t>vata</w:t>
      </w:r>
      <w:proofErr w:type="spellEnd"/>
      <w:r>
        <w:t xml:space="preserve"> and are managed through a class of plants called </w:t>
      </w:r>
      <w:proofErr w:type="spellStart"/>
      <w:r>
        <w:t>medhya</w:t>
      </w:r>
      <w:proofErr w:type="spellEnd"/>
      <w:r>
        <w:t xml:space="preserve"> </w:t>
      </w:r>
      <w:proofErr w:type="spellStart"/>
      <w:r>
        <w:t>rasayanas</w:t>
      </w:r>
      <w:proofErr w:type="spellEnd"/>
      <w:r>
        <w:t xml:space="preserve"> — cognitive-</w:t>
      </w:r>
      <w:proofErr w:type="spellStart"/>
      <w:r>
        <w:t>rejuvenative</w:t>
      </w:r>
      <w:proofErr w:type="spellEnd"/>
      <w:r>
        <w:t xml:space="preserve"> tonics — alongside dietary and lifestyle prescriptions (Bhattacharya et al., 2000a). Principal </w:t>
      </w:r>
      <w:proofErr w:type="spellStart"/>
      <w:r>
        <w:t>medhya</w:t>
      </w:r>
      <w:proofErr w:type="spellEnd"/>
      <w:r>
        <w:t xml:space="preserve"> plants include Bacopa </w:t>
      </w:r>
      <w:proofErr w:type="spellStart"/>
      <w:r>
        <w:t>monnieri</w:t>
      </w:r>
      <w:proofErr w:type="spellEnd"/>
      <w:r>
        <w:t xml:space="preserve"> (L.) </w:t>
      </w:r>
      <w:proofErr w:type="spellStart"/>
      <w:r>
        <w:t>Wettst</w:t>
      </w:r>
      <w:proofErr w:type="spellEnd"/>
      <w:r>
        <w:t xml:space="preserve">., </w:t>
      </w:r>
      <w:proofErr w:type="spellStart"/>
      <w:r>
        <w:t>Withania</w:t>
      </w:r>
      <w:proofErr w:type="spellEnd"/>
      <w:r>
        <w:t xml:space="preserve"> </w:t>
      </w:r>
      <w:proofErr w:type="spellStart"/>
      <w:r>
        <w:t>somnifera</w:t>
      </w:r>
      <w:proofErr w:type="spellEnd"/>
      <w:r>
        <w:t xml:space="preserve"> (L.) </w:t>
      </w:r>
      <w:proofErr w:type="spellStart"/>
      <w:r>
        <w:t>Dunal</w:t>
      </w:r>
      <w:proofErr w:type="spellEnd"/>
      <w:r>
        <w:t xml:space="preserve">, </w:t>
      </w:r>
      <w:proofErr w:type="spellStart"/>
      <w:r>
        <w:t>Centella</w:t>
      </w:r>
      <w:proofErr w:type="spellEnd"/>
      <w:r>
        <w:t xml:space="preserve"> </w:t>
      </w:r>
      <w:proofErr w:type="spellStart"/>
      <w:r>
        <w:t>asiatica</w:t>
      </w:r>
      <w:proofErr w:type="spellEnd"/>
      <w:r>
        <w:t xml:space="preserve"> (L.) </w:t>
      </w:r>
      <w:proofErr w:type="spellStart"/>
      <w:r>
        <w:t>Urb</w:t>
      </w:r>
      <w:proofErr w:type="spellEnd"/>
      <w:r>
        <w:t xml:space="preserve">., </w:t>
      </w:r>
      <w:proofErr w:type="spellStart"/>
      <w:r>
        <w:t>Nardostachys</w:t>
      </w:r>
      <w:proofErr w:type="spellEnd"/>
      <w:r>
        <w:t xml:space="preserve"> </w:t>
      </w:r>
      <w:proofErr w:type="spellStart"/>
      <w:r>
        <w:t>jatamansi</w:t>
      </w:r>
      <w:proofErr w:type="spellEnd"/>
      <w:r>
        <w:t xml:space="preserve"> DC. and Convolvulus </w:t>
      </w:r>
      <w:proofErr w:type="spellStart"/>
      <w:r>
        <w:t>pluricaulis</w:t>
      </w:r>
      <w:proofErr w:type="spellEnd"/>
      <w:r>
        <w:t xml:space="preserve"> </w:t>
      </w:r>
      <w:proofErr w:type="spellStart"/>
      <w:r>
        <w:t>Choisy</w:t>
      </w:r>
      <w:proofErr w:type="spellEnd"/>
      <w:r>
        <w:t>. These species are not regarded as simple sedatives but as genuine nervine tonics capable of simultaneously calming the mind and enhancing cognitive resilience, a dual profile consistent with the modern adaptogen concept (</w:t>
      </w:r>
      <w:proofErr w:type="spellStart"/>
      <w:r>
        <w:t>Panossian</w:t>
      </w:r>
      <w:proofErr w:type="spellEnd"/>
      <w:r>
        <w:t xml:space="preserve"> &amp; </w:t>
      </w:r>
      <w:proofErr w:type="spellStart"/>
      <w:r>
        <w:t>Wikman</w:t>
      </w:r>
      <w:proofErr w:type="spellEnd"/>
      <w:r>
        <w:t>, 2010).</w:t>
      </w:r>
    </w:p>
    <w:p w:rsidR="00D3095F" w:rsidRDefault="006C44ED">
      <w:pPr>
        <w:pStyle w:val="Heading2"/>
      </w:pPr>
      <w:proofErr w:type="gramStart"/>
      <w:r>
        <w:t>3.2  Traditional</w:t>
      </w:r>
      <w:proofErr w:type="gramEnd"/>
      <w:r>
        <w:t xml:space="preserve"> Chinese Medicine and </w:t>
      </w:r>
      <w:proofErr w:type="spellStart"/>
      <w:r>
        <w:t>Kampo</w:t>
      </w:r>
      <w:proofErr w:type="spellEnd"/>
      <w:r>
        <w:t xml:space="preserve"> (East Asia)</w:t>
      </w:r>
    </w:p>
    <w:p w:rsidR="00D3095F" w:rsidRDefault="006C44ED">
      <w:pPr>
        <w:spacing w:after="160" w:line="360" w:lineRule="auto"/>
        <w:ind w:firstLine="720"/>
        <w:jc w:val="both"/>
      </w:pPr>
      <w:r>
        <w:t>Traditional Chinese Medicine (TCM) situates emotional disturbance within a framework of organ system disharmony, qi stagnation and disrupted spirit (</w:t>
      </w:r>
      <w:proofErr w:type="spellStart"/>
      <w:r>
        <w:t>shen</w:t>
      </w:r>
      <w:proofErr w:type="spellEnd"/>
      <w:r>
        <w:t xml:space="preserve">). Depression-like states correspond to the TCM category of </w:t>
      </w:r>
      <w:proofErr w:type="spellStart"/>
      <w:r>
        <w:t>yù</w:t>
      </w:r>
      <w:proofErr w:type="spellEnd"/>
      <w:r>
        <w:t xml:space="preserve"> </w:t>
      </w:r>
      <w:proofErr w:type="spellStart"/>
      <w:r>
        <w:t>zhèng</w:t>
      </w:r>
      <w:proofErr w:type="spellEnd"/>
      <w:r>
        <w:t xml:space="preserve"> (constraint syndrome), </w:t>
      </w:r>
      <w:proofErr w:type="spellStart"/>
      <w:r>
        <w:t>characterised</w:t>
      </w:r>
      <w:proofErr w:type="spellEnd"/>
      <w:r>
        <w:t xml:space="preserve"> by liver qi stagnation, whilst heart-fire ascending and deficiency of heart blood are canonical explanations for insomnia </w:t>
      </w:r>
      <w:r w:rsidRPr="0027581C">
        <w:rPr>
          <w:highlight w:val="yellow"/>
        </w:rPr>
        <w:t>and anxiety</w:t>
      </w:r>
      <w:r w:rsidR="0027581C" w:rsidRPr="0027581C">
        <w:rPr>
          <w:highlight w:val="yellow"/>
        </w:rPr>
        <w:t>,</w:t>
      </w:r>
      <w:r w:rsidRPr="0027581C">
        <w:rPr>
          <w:highlight w:val="yellow"/>
        </w:rPr>
        <w:t xml:space="preserve"> respectively</w:t>
      </w:r>
      <w:r>
        <w:t xml:space="preserve"> (Yeung et al., 2014). TCM treatment of these conditions typically employs complex multi-herb decoctions such as </w:t>
      </w:r>
      <w:proofErr w:type="spellStart"/>
      <w:r>
        <w:t>Suanzaoren</w:t>
      </w:r>
      <w:proofErr w:type="spellEnd"/>
      <w:r>
        <w:t xml:space="preserve"> Tang (</w:t>
      </w:r>
      <w:proofErr w:type="spellStart"/>
      <w:r>
        <w:t>Ziziphus</w:t>
      </w:r>
      <w:proofErr w:type="spellEnd"/>
      <w:r>
        <w:t xml:space="preserve"> </w:t>
      </w:r>
      <w:proofErr w:type="spellStart"/>
      <w:r>
        <w:t>jujuba</w:t>
      </w:r>
      <w:proofErr w:type="spellEnd"/>
      <w:r>
        <w:t xml:space="preserve"> Mill. var. spinosa kernel formula), </w:t>
      </w:r>
      <w:proofErr w:type="spellStart"/>
      <w:r>
        <w:t>Banxia</w:t>
      </w:r>
      <w:proofErr w:type="spellEnd"/>
      <w:r>
        <w:t xml:space="preserve"> </w:t>
      </w:r>
      <w:proofErr w:type="spellStart"/>
      <w:r>
        <w:t>Houpu</w:t>
      </w:r>
      <w:proofErr w:type="spellEnd"/>
      <w:r>
        <w:t xml:space="preserve"> decoction and </w:t>
      </w:r>
      <w:proofErr w:type="spellStart"/>
      <w:r>
        <w:t>Gui</w:t>
      </w:r>
      <w:proofErr w:type="spellEnd"/>
      <w:r>
        <w:t xml:space="preserve"> Pi Tang, in which individual plant constituents modulate overlapping neurochemical targets. Japanese </w:t>
      </w:r>
      <w:proofErr w:type="spellStart"/>
      <w:r>
        <w:t>Kampo</w:t>
      </w:r>
      <w:proofErr w:type="spellEnd"/>
      <w:r>
        <w:t xml:space="preserve"> medicine, derived from classical Chinese formularies but substantially re-adapted since the seventeenth century, employs many of the same core plants and has generated a body of </w:t>
      </w:r>
      <w:proofErr w:type="spellStart"/>
      <w:r>
        <w:t>randomised</w:t>
      </w:r>
      <w:proofErr w:type="spellEnd"/>
      <w:r>
        <w:t xml:space="preserve"> clinical trial evidence that substantially exceeds what is available for most individual Western herbal preparations (Watanabe et al., 2011).</w:t>
      </w:r>
    </w:p>
    <w:p w:rsidR="00D3095F" w:rsidRDefault="006C44ED">
      <w:pPr>
        <w:pStyle w:val="Heading2"/>
      </w:pPr>
      <w:proofErr w:type="gramStart"/>
      <w:r>
        <w:t>3.3  Unani</w:t>
      </w:r>
      <w:proofErr w:type="gramEnd"/>
      <w:r>
        <w:t xml:space="preserve"> and </w:t>
      </w:r>
      <w:proofErr w:type="spellStart"/>
      <w:r>
        <w:t>Tibb</w:t>
      </w:r>
      <w:proofErr w:type="spellEnd"/>
      <w:r>
        <w:t xml:space="preserve"> (Middle East and Central Asia)</w:t>
      </w:r>
    </w:p>
    <w:p w:rsidR="00D3095F" w:rsidRDefault="006C44ED">
      <w:pPr>
        <w:spacing w:after="160" w:line="360" w:lineRule="auto"/>
        <w:ind w:firstLine="720"/>
        <w:jc w:val="both"/>
      </w:pPr>
      <w:r>
        <w:t xml:space="preserve">Unani medicine, rooted in Graeco-Arabic medical philosophy and </w:t>
      </w:r>
      <w:proofErr w:type="spellStart"/>
      <w:r>
        <w:t>systematised</w:t>
      </w:r>
      <w:proofErr w:type="spellEnd"/>
      <w:r>
        <w:t xml:space="preserve"> by Ibn </w:t>
      </w:r>
      <w:proofErr w:type="spellStart"/>
      <w:r>
        <w:t>Sina</w:t>
      </w:r>
      <w:proofErr w:type="spellEnd"/>
      <w:r>
        <w:t xml:space="preserve"> in the Canon of Medicine (ca. 1025 CE), interprets mental disturbance through humoral imbalance — principally excess or dyscrasia of black bile (</w:t>
      </w:r>
      <w:proofErr w:type="spellStart"/>
      <w:r>
        <w:t>sawda</w:t>
      </w:r>
      <w:proofErr w:type="spellEnd"/>
      <w:r>
        <w:t xml:space="preserve">) producing a </w:t>
      </w:r>
      <w:r>
        <w:lastRenderedPageBreak/>
        <w:t xml:space="preserve">condition called </w:t>
      </w:r>
      <w:proofErr w:type="spellStart"/>
      <w:r>
        <w:t>mālīkhūliyā</w:t>
      </w:r>
      <w:proofErr w:type="spellEnd"/>
      <w:r>
        <w:t xml:space="preserve"> (melancholy) closely paralleling clinical depression. Sedative-nervine plants central to Unani practice include </w:t>
      </w:r>
      <w:proofErr w:type="spellStart"/>
      <w:r>
        <w:t>Valeriana</w:t>
      </w:r>
      <w:proofErr w:type="spellEnd"/>
      <w:r>
        <w:t xml:space="preserve"> officinalis L., </w:t>
      </w:r>
      <w:proofErr w:type="spellStart"/>
      <w:r>
        <w:t>Withania</w:t>
      </w:r>
      <w:proofErr w:type="spellEnd"/>
      <w:r>
        <w:t xml:space="preserve"> </w:t>
      </w:r>
      <w:proofErr w:type="spellStart"/>
      <w:r>
        <w:t>somnifera</w:t>
      </w:r>
      <w:proofErr w:type="spellEnd"/>
      <w:r>
        <w:t xml:space="preserve">, </w:t>
      </w:r>
      <w:proofErr w:type="spellStart"/>
      <w:r>
        <w:t>Nardostachys</w:t>
      </w:r>
      <w:proofErr w:type="spellEnd"/>
      <w:r>
        <w:t xml:space="preserve"> </w:t>
      </w:r>
      <w:proofErr w:type="spellStart"/>
      <w:r>
        <w:t>jatamansi</w:t>
      </w:r>
      <w:proofErr w:type="spellEnd"/>
      <w:r>
        <w:t xml:space="preserve">, </w:t>
      </w:r>
      <w:proofErr w:type="spellStart"/>
      <w:r>
        <w:t>Humulus</w:t>
      </w:r>
      <w:proofErr w:type="spellEnd"/>
      <w:r>
        <w:t xml:space="preserve"> lupulus L., Melissa officinalis L., Lavandula angustifolia Mill. and numerous aromatic </w:t>
      </w:r>
      <w:proofErr w:type="spellStart"/>
      <w:r>
        <w:t>Lamiaceae</w:t>
      </w:r>
      <w:proofErr w:type="spellEnd"/>
      <w:r>
        <w:t xml:space="preserve"> administered as infusions, decoctions, electuaries and aromatic waters (Saeed &amp; Sabir, 2004). Contemporary ethnobotanical surveys in Iran, Pakistan, Afghanistan and Turkey have consistently documented many of these same species for anxiety and insomnia within living folk practice, demonstrating remarkable historical continuity (</w:t>
      </w:r>
      <w:proofErr w:type="spellStart"/>
      <w:r>
        <w:t>Hamayun</w:t>
      </w:r>
      <w:proofErr w:type="spellEnd"/>
      <w:r>
        <w:t xml:space="preserve"> et al., 2012).</w:t>
      </w:r>
    </w:p>
    <w:p w:rsidR="00D3095F" w:rsidRDefault="006C44ED">
      <w:pPr>
        <w:pStyle w:val="Heading2"/>
      </w:pPr>
      <w:proofErr w:type="gramStart"/>
      <w:r>
        <w:t>3.4  African</w:t>
      </w:r>
      <w:proofErr w:type="gramEnd"/>
      <w:r>
        <w:t xml:space="preserve"> Traditional Medicine</w:t>
      </w:r>
    </w:p>
    <w:p w:rsidR="00D3095F" w:rsidRDefault="006C44ED">
      <w:pPr>
        <w:spacing w:after="160" w:line="360" w:lineRule="auto"/>
        <w:ind w:firstLine="720"/>
        <w:jc w:val="both"/>
      </w:pPr>
      <w:r>
        <w:t>African traditional medicine is extraordinarily diverse, encompassing thousands of distinct ethnic medical systems across 54 nations. Common structural features include the integration of spiritual, social and somatic interpretations of illness; a prominent role for specialist healers (</w:t>
      </w:r>
      <w:proofErr w:type="spellStart"/>
      <w:r>
        <w:t>n'angas</w:t>
      </w:r>
      <w:proofErr w:type="spellEnd"/>
      <w:r>
        <w:t xml:space="preserve">, </w:t>
      </w:r>
      <w:proofErr w:type="spellStart"/>
      <w:r>
        <w:t>sangomas</w:t>
      </w:r>
      <w:proofErr w:type="spellEnd"/>
      <w:r>
        <w:t xml:space="preserve">, </w:t>
      </w:r>
      <w:proofErr w:type="spellStart"/>
      <w:r>
        <w:t>babalawos</w:t>
      </w:r>
      <w:proofErr w:type="spellEnd"/>
      <w:r>
        <w:t xml:space="preserve">) who combine plant knowledge with divination; and the use of both single-plant preparations and complex </w:t>
      </w:r>
      <w:proofErr w:type="spellStart"/>
      <w:r>
        <w:t>polyherbals</w:t>
      </w:r>
      <w:proofErr w:type="spellEnd"/>
      <w:r>
        <w:t>. Conditions corresponding to anxiety, insomnia and depression are frequently attributed to supernatural causes, ancestral displeasure or social conflict, yet the botanical pharmacopoeia used to address them is rich and partially overlapping with anxiolytic and antidepressant plants documented in other traditions (</w:t>
      </w:r>
      <w:proofErr w:type="spellStart"/>
      <w:r>
        <w:t>Mander</w:t>
      </w:r>
      <w:proofErr w:type="spellEnd"/>
      <w:r>
        <w:t xml:space="preserve"> et al., 2007). Ethnobotanical surveys across sub-Saharan Africa have documented species from genera including </w:t>
      </w:r>
      <w:proofErr w:type="spellStart"/>
      <w:r>
        <w:t>Sceletium</w:t>
      </w:r>
      <w:proofErr w:type="spellEnd"/>
      <w:r>
        <w:t xml:space="preserve">, </w:t>
      </w:r>
      <w:proofErr w:type="spellStart"/>
      <w:r>
        <w:t>Kigelia</w:t>
      </w:r>
      <w:proofErr w:type="spellEnd"/>
      <w:r>
        <w:t xml:space="preserve">, Agapanthus, </w:t>
      </w:r>
      <w:proofErr w:type="spellStart"/>
      <w:r>
        <w:t>Rauvolfia</w:t>
      </w:r>
      <w:proofErr w:type="spellEnd"/>
      <w:r>
        <w:t xml:space="preserve">, Combretum, </w:t>
      </w:r>
      <w:proofErr w:type="spellStart"/>
      <w:r>
        <w:t>Boophone</w:t>
      </w:r>
      <w:proofErr w:type="spellEnd"/>
      <w:r>
        <w:t xml:space="preserve"> and Cannabis for mental health indications, with highly variable levels of pharmacological </w:t>
      </w:r>
      <w:proofErr w:type="spellStart"/>
      <w:r>
        <w:t>characterisation</w:t>
      </w:r>
      <w:proofErr w:type="spellEnd"/>
      <w:r>
        <w:t>.</w:t>
      </w:r>
    </w:p>
    <w:p w:rsidR="00D3095F" w:rsidRDefault="006C44ED">
      <w:pPr>
        <w:pStyle w:val="Heading2"/>
      </w:pPr>
      <w:proofErr w:type="gramStart"/>
      <w:r>
        <w:t>3.5  European</w:t>
      </w:r>
      <w:proofErr w:type="gramEnd"/>
      <w:r>
        <w:t xml:space="preserve"> </w:t>
      </w:r>
      <w:proofErr w:type="spellStart"/>
      <w:r>
        <w:t>Phytotherapy</w:t>
      </w:r>
      <w:proofErr w:type="spellEnd"/>
      <w:r>
        <w:t xml:space="preserve"> Traditions</w:t>
      </w:r>
    </w:p>
    <w:p w:rsidR="00D3095F" w:rsidRDefault="006C44ED">
      <w:pPr>
        <w:spacing w:after="160" w:line="360" w:lineRule="auto"/>
        <w:ind w:firstLine="720"/>
        <w:jc w:val="both"/>
      </w:pPr>
      <w:r>
        <w:t xml:space="preserve">The European tradition of medicinal plant use for nervous and psychological conditions, traceable through </w:t>
      </w:r>
      <w:proofErr w:type="spellStart"/>
      <w:r>
        <w:t>Dioscorides</w:t>
      </w:r>
      <w:proofErr w:type="spellEnd"/>
      <w:r>
        <w:t xml:space="preserve">' De Materia </w:t>
      </w:r>
      <w:proofErr w:type="spellStart"/>
      <w:r>
        <w:t>Medica</w:t>
      </w:r>
      <w:proofErr w:type="spellEnd"/>
      <w:r>
        <w:t xml:space="preserve"> (ca. 60 CE), medieval monastic herbalism, the Renaissance herbalists (Fuchs, Gerard, Culpeper) and the Eclectic physicians of nineteenth-century North America, has perhaps the best-documented continuity with contemporary clinical practice. The Commission E monographs issued by Germany's Federal Institute for Drugs and Medical Devices (</w:t>
      </w:r>
      <w:proofErr w:type="spellStart"/>
      <w:r>
        <w:t>Bundesinstitut</w:t>
      </w:r>
      <w:proofErr w:type="spellEnd"/>
      <w:r>
        <w:t xml:space="preserve"> </w:t>
      </w:r>
      <w:proofErr w:type="spellStart"/>
      <w:r>
        <w:t>für</w:t>
      </w:r>
      <w:proofErr w:type="spellEnd"/>
      <w:r>
        <w:t xml:space="preserve"> </w:t>
      </w:r>
      <w:proofErr w:type="spellStart"/>
      <w:r>
        <w:t>Arzneimittel</w:t>
      </w:r>
      <w:proofErr w:type="spellEnd"/>
      <w:r>
        <w:t xml:space="preserve"> und </w:t>
      </w:r>
      <w:proofErr w:type="spellStart"/>
      <w:r>
        <w:t>Medizinprodukte</w:t>
      </w:r>
      <w:proofErr w:type="spellEnd"/>
      <w:r>
        <w:t xml:space="preserve">, </w:t>
      </w:r>
      <w:proofErr w:type="spellStart"/>
      <w:r>
        <w:t>BfArM</w:t>
      </w:r>
      <w:proofErr w:type="spellEnd"/>
      <w:r>
        <w:t xml:space="preserve">) provided the first systematic regulatory assessment of herbal medicines for psychological indications, approving </w:t>
      </w:r>
      <w:proofErr w:type="spellStart"/>
      <w:r>
        <w:t>Valeriana</w:t>
      </w:r>
      <w:proofErr w:type="spellEnd"/>
      <w:r>
        <w:t xml:space="preserve"> officinalis for sleep disorders and restlessness, Hypericum </w:t>
      </w:r>
      <w:proofErr w:type="spellStart"/>
      <w:r>
        <w:t>perforatum</w:t>
      </w:r>
      <w:proofErr w:type="spellEnd"/>
      <w:r>
        <w:t xml:space="preserve"> for mild-to-moderate depression and Melissa officinalis as a mild sedative (Blumenthal et al., 2000). These assessments were subsequently </w:t>
      </w:r>
      <w:r>
        <w:lastRenderedPageBreak/>
        <w:t>developed into Community Herbal Monographs by the European Medicines Agency (EMA), providing a legally relevant evidentiary standard for plant medicines within the European Union (European Medicines Agency [EMA], 2016).</w:t>
      </w:r>
    </w:p>
    <w:p w:rsidR="00D3095F" w:rsidRDefault="006C44ED">
      <w:pPr>
        <w:pStyle w:val="Heading2"/>
      </w:pPr>
      <w:proofErr w:type="gramStart"/>
      <w:r>
        <w:t>3.6  Indigenous</w:t>
      </w:r>
      <w:proofErr w:type="gramEnd"/>
      <w:r>
        <w:t xml:space="preserve"> Traditions of the Americas</w:t>
      </w:r>
    </w:p>
    <w:p w:rsidR="00D3095F" w:rsidRDefault="006C44ED">
      <w:pPr>
        <w:spacing w:after="160" w:line="360" w:lineRule="auto"/>
        <w:ind w:firstLine="720"/>
        <w:jc w:val="both"/>
      </w:pPr>
      <w:r>
        <w:t xml:space="preserve">The Americas </w:t>
      </w:r>
      <w:proofErr w:type="spellStart"/>
      <w:r>
        <w:t>harbour</w:t>
      </w:r>
      <w:proofErr w:type="spellEnd"/>
      <w:r>
        <w:t xml:space="preserve"> extraordinary </w:t>
      </w:r>
      <w:proofErr w:type="spellStart"/>
      <w:r>
        <w:t>phytodiversity</w:t>
      </w:r>
      <w:proofErr w:type="spellEnd"/>
      <w:r>
        <w:t xml:space="preserve"> and correspondingly rich indigenous medical traditions. Amazonian </w:t>
      </w:r>
      <w:proofErr w:type="spellStart"/>
      <w:r>
        <w:t>curanderismo</w:t>
      </w:r>
      <w:proofErr w:type="spellEnd"/>
      <w:r>
        <w:t xml:space="preserve"> employs psychoactive master plants (including </w:t>
      </w:r>
      <w:proofErr w:type="spellStart"/>
      <w:r>
        <w:t>Banisteriopsis</w:t>
      </w:r>
      <w:proofErr w:type="spellEnd"/>
      <w:r>
        <w:t xml:space="preserve"> </w:t>
      </w:r>
      <w:proofErr w:type="spellStart"/>
      <w:r>
        <w:t>caapi</w:t>
      </w:r>
      <w:proofErr w:type="spellEnd"/>
      <w:r>
        <w:t xml:space="preserve"> Spruce ex </w:t>
      </w:r>
      <w:proofErr w:type="spellStart"/>
      <w:r>
        <w:t>Griseb</w:t>
      </w:r>
      <w:proofErr w:type="spellEnd"/>
      <w:r>
        <w:t xml:space="preserve">., </w:t>
      </w:r>
      <w:proofErr w:type="spellStart"/>
      <w:r>
        <w:t>Psychotria</w:t>
      </w:r>
      <w:proofErr w:type="spellEnd"/>
      <w:r>
        <w:t xml:space="preserve"> </w:t>
      </w:r>
      <w:proofErr w:type="spellStart"/>
      <w:r>
        <w:t>viridis</w:t>
      </w:r>
      <w:proofErr w:type="spellEnd"/>
      <w:r>
        <w:t xml:space="preserve"> Ruiz &amp; Pav. and </w:t>
      </w:r>
      <w:proofErr w:type="spellStart"/>
      <w:r>
        <w:t>Brugmansia</w:t>
      </w:r>
      <w:proofErr w:type="spellEnd"/>
      <w:r>
        <w:t xml:space="preserve"> spp.) in supervised healing ceremonies for conditions that encompass depression, trauma and existential distress, alongside everyday nervine plants (</w:t>
      </w:r>
      <w:proofErr w:type="spellStart"/>
      <w:r>
        <w:t>Passiflora</w:t>
      </w:r>
      <w:proofErr w:type="spellEnd"/>
      <w:r>
        <w:t xml:space="preserve"> spp., </w:t>
      </w:r>
      <w:proofErr w:type="spellStart"/>
      <w:r>
        <w:t>Valeriana</w:t>
      </w:r>
      <w:proofErr w:type="spellEnd"/>
      <w:r>
        <w:t xml:space="preserve"> spp., </w:t>
      </w:r>
      <w:proofErr w:type="spellStart"/>
      <w:r>
        <w:t>Lippia</w:t>
      </w:r>
      <w:proofErr w:type="spellEnd"/>
      <w:r>
        <w:t xml:space="preserve"> spp.) used by laypersons for common anxiety and insomnia (Luna, 2011). Mesoamerican ethnobotanical surveys have documented </w:t>
      </w:r>
      <w:proofErr w:type="spellStart"/>
      <w:r>
        <w:t>Passiflora</w:t>
      </w:r>
      <w:proofErr w:type="spellEnd"/>
      <w:r>
        <w:t xml:space="preserve"> </w:t>
      </w:r>
      <w:proofErr w:type="spellStart"/>
      <w:r>
        <w:t>incarnata</w:t>
      </w:r>
      <w:proofErr w:type="spellEnd"/>
      <w:r>
        <w:t xml:space="preserve"> L., </w:t>
      </w:r>
      <w:proofErr w:type="spellStart"/>
      <w:r>
        <w:t>Tilia</w:t>
      </w:r>
      <w:proofErr w:type="spellEnd"/>
      <w:r>
        <w:t xml:space="preserve"> spp. (linden) and various Salvia and </w:t>
      </w:r>
      <w:proofErr w:type="spellStart"/>
      <w:r>
        <w:t>Lippia</w:t>
      </w:r>
      <w:proofErr w:type="spellEnd"/>
      <w:r>
        <w:t xml:space="preserve"> species for anxiety and sleep. North American indigenous traditions document </w:t>
      </w:r>
      <w:proofErr w:type="spellStart"/>
      <w:r>
        <w:t>Scutellaria</w:t>
      </w:r>
      <w:proofErr w:type="spellEnd"/>
      <w:r>
        <w:t xml:space="preserve"> </w:t>
      </w:r>
      <w:proofErr w:type="spellStart"/>
      <w:r>
        <w:t>lateriflora</w:t>
      </w:r>
      <w:proofErr w:type="spellEnd"/>
      <w:r>
        <w:t xml:space="preserve"> L. and </w:t>
      </w:r>
      <w:proofErr w:type="spellStart"/>
      <w:r>
        <w:t>Eschscholzia</w:t>
      </w:r>
      <w:proofErr w:type="spellEnd"/>
      <w:r>
        <w:t xml:space="preserve"> </w:t>
      </w:r>
      <w:proofErr w:type="spellStart"/>
      <w:r>
        <w:t>californica</w:t>
      </w:r>
      <w:proofErr w:type="spellEnd"/>
      <w:r>
        <w:t xml:space="preserve"> Cham. as </w:t>
      </w:r>
      <w:proofErr w:type="spellStart"/>
      <w:r>
        <w:t>nervines</w:t>
      </w:r>
      <w:proofErr w:type="spellEnd"/>
      <w:r>
        <w:t>, species that have attracted modest but growing pharmacological interest (Rolland et al., 1991).</w:t>
      </w:r>
    </w:p>
    <w:p w:rsidR="00D3095F" w:rsidRDefault="006C44ED">
      <w:pPr>
        <w:pStyle w:val="Heading1"/>
      </w:pPr>
      <w:r>
        <w:t>4.  Key Plant Species: Ethnobotanical Documentation, Phytochemistry and Pharmacological Basis</w:t>
      </w:r>
    </w:p>
    <w:p w:rsidR="00D3095F" w:rsidRDefault="006C44ED">
      <w:pPr>
        <w:spacing w:after="160" w:line="360" w:lineRule="auto"/>
        <w:ind w:firstLine="720"/>
        <w:jc w:val="both"/>
      </w:pPr>
      <w:r>
        <w:t xml:space="preserve">The following section provides detailed accounts of the most extensively documented and pharmacologically </w:t>
      </w:r>
      <w:proofErr w:type="spellStart"/>
      <w:r>
        <w:t>characterised</w:t>
      </w:r>
      <w:proofErr w:type="spellEnd"/>
      <w:r>
        <w:t xml:space="preserve"> plant species used for anxiety, insomnia and depression. Species are ordered by evidence volume, beginning with those for which the translation from ethnobotanical documentation to clinical evidence is most advanced. Scientific nomenclature follows the Plants of the World Online database (Royal Botanic Gardens, Kew, 2023). For each species, the traditional use context, active constituents and mechanistic basis for efficacy are discussed in relation to the available pharmacological literature.</w:t>
      </w:r>
    </w:p>
    <w:p w:rsidR="00D3095F" w:rsidRDefault="006C44ED">
      <w:pPr>
        <w:pStyle w:val="Heading2"/>
      </w:pPr>
      <w:proofErr w:type="gramStart"/>
      <w:r>
        <w:t xml:space="preserve">4.1  </w:t>
      </w:r>
      <w:proofErr w:type="spellStart"/>
      <w:r>
        <w:t>Valeriana</w:t>
      </w:r>
      <w:proofErr w:type="spellEnd"/>
      <w:proofErr w:type="gramEnd"/>
      <w:r>
        <w:t xml:space="preserve"> officinalis L. (Valerian; Family: Caprifoliaceae)</w:t>
      </w:r>
    </w:p>
    <w:p w:rsidR="00D3095F" w:rsidRDefault="006C44ED">
      <w:pPr>
        <w:spacing w:after="160" w:line="360" w:lineRule="auto"/>
        <w:ind w:firstLine="720"/>
        <w:jc w:val="both"/>
      </w:pPr>
      <w:proofErr w:type="spellStart"/>
      <w:r>
        <w:t>Valeriana</w:t>
      </w:r>
      <w:proofErr w:type="spellEnd"/>
      <w:r>
        <w:t xml:space="preserve"> officinalis L. has been used as a sedative and anxiolytic remedy in European, Middle Eastern and Asian medical traditions for over two millennia. </w:t>
      </w:r>
      <w:proofErr w:type="spellStart"/>
      <w:r>
        <w:t>Dioscorides</w:t>
      </w:r>
      <w:proofErr w:type="spellEnd"/>
      <w:r>
        <w:t xml:space="preserve"> praised it for its calming properties; Galen prescribed it for insomnia; and it features in nearly every European herbal pharmacopoeia through to the present day. Contemporary ethnobotanical surveys across Germany, Turkey, Iran, Spain, Nepal, China and Mexico consistently identify V. officinalis or closely related congeners (V. </w:t>
      </w:r>
      <w:proofErr w:type="spellStart"/>
      <w:r>
        <w:t>jatamansi</w:t>
      </w:r>
      <w:proofErr w:type="spellEnd"/>
      <w:r>
        <w:t xml:space="preserve">, V. </w:t>
      </w:r>
      <w:proofErr w:type="spellStart"/>
      <w:r>
        <w:t>wallichii</w:t>
      </w:r>
      <w:proofErr w:type="spellEnd"/>
      <w:r>
        <w:t xml:space="preserve">, V. </w:t>
      </w:r>
      <w:proofErr w:type="spellStart"/>
      <w:r>
        <w:lastRenderedPageBreak/>
        <w:t>fauriei</w:t>
      </w:r>
      <w:proofErr w:type="spellEnd"/>
      <w:r>
        <w:t>) as among the most frequently reported plants for insomnia and nervous tension (</w:t>
      </w:r>
      <w:proofErr w:type="spellStart"/>
      <w:r>
        <w:t>Sahranavard</w:t>
      </w:r>
      <w:proofErr w:type="spellEnd"/>
      <w:r>
        <w:t xml:space="preserve"> et al., 2014; </w:t>
      </w:r>
      <w:proofErr w:type="spellStart"/>
      <w:r>
        <w:t>Ghorbani</w:t>
      </w:r>
      <w:proofErr w:type="spellEnd"/>
      <w:r>
        <w:t xml:space="preserve"> &amp; </w:t>
      </w:r>
      <w:proofErr w:type="spellStart"/>
      <w:r>
        <w:t>Esmaeilizadeh</w:t>
      </w:r>
      <w:proofErr w:type="spellEnd"/>
      <w:r>
        <w:t>, 2017).</w:t>
      </w:r>
    </w:p>
    <w:p w:rsidR="00D3095F" w:rsidRDefault="006C44ED">
      <w:pPr>
        <w:spacing w:after="160" w:line="360" w:lineRule="auto"/>
        <w:ind w:firstLine="720"/>
        <w:jc w:val="both"/>
      </w:pPr>
      <w:r>
        <w:t>The root and rhizome of V. officinalis contain three pharmacologically active constituent classes: (</w:t>
      </w:r>
      <w:proofErr w:type="spellStart"/>
      <w:r>
        <w:t>i</w:t>
      </w:r>
      <w:proofErr w:type="spellEnd"/>
      <w:r>
        <w:t xml:space="preserve">) </w:t>
      </w:r>
      <w:proofErr w:type="spellStart"/>
      <w:r>
        <w:t>sesquiterpenic</w:t>
      </w:r>
      <w:proofErr w:type="spellEnd"/>
      <w:r>
        <w:t xml:space="preserve"> acids — principally </w:t>
      </w:r>
      <w:proofErr w:type="spellStart"/>
      <w:r>
        <w:t>valerenic</w:t>
      </w:r>
      <w:proofErr w:type="spellEnd"/>
      <w:r>
        <w:t xml:space="preserve"> acid, </w:t>
      </w:r>
      <w:proofErr w:type="spellStart"/>
      <w:r>
        <w:t>acetoxyvalerenic</w:t>
      </w:r>
      <w:proofErr w:type="spellEnd"/>
      <w:r>
        <w:t xml:space="preserve"> acid and </w:t>
      </w:r>
      <w:proofErr w:type="spellStart"/>
      <w:r>
        <w:t>hydroxyvalerenic</w:t>
      </w:r>
      <w:proofErr w:type="spellEnd"/>
      <w:r>
        <w:t xml:space="preserve"> acid; (ii) iridoid valepotriates (</w:t>
      </w:r>
      <w:proofErr w:type="spellStart"/>
      <w:r>
        <w:t>valtrate</w:t>
      </w:r>
      <w:proofErr w:type="spellEnd"/>
      <w:r>
        <w:t xml:space="preserve">, </w:t>
      </w:r>
      <w:proofErr w:type="spellStart"/>
      <w:r>
        <w:t>isovaltrate</w:t>
      </w:r>
      <w:proofErr w:type="spellEnd"/>
      <w:r>
        <w:t xml:space="preserve">, acevaltrate), which are unstable and largely decompose in aqueous preparations; and (iii) flavonoids, primarily </w:t>
      </w:r>
      <w:proofErr w:type="spellStart"/>
      <w:r>
        <w:t>linarin</w:t>
      </w:r>
      <w:proofErr w:type="spellEnd"/>
      <w:r>
        <w:t xml:space="preserve">, hesperidin and 6-methylapigenin (Bent et al., 2006). </w:t>
      </w:r>
      <w:proofErr w:type="spellStart"/>
      <w:r>
        <w:t>Khom</w:t>
      </w:r>
      <w:proofErr w:type="spellEnd"/>
      <w:r>
        <w:t xml:space="preserve"> et al. (2007) demonstrated using Xenopus oocyte electrophysiology that </w:t>
      </w:r>
      <w:proofErr w:type="spellStart"/>
      <w:r>
        <w:t>valerenic</w:t>
      </w:r>
      <w:proofErr w:type="spellEnd"/>
      <w:r>
        <w:t xml:space="preserve"> acid acts as a positive allosteric modulator of GABA-A receptors through the beta2 and beta3 subunits, a site distinct from the benzodiazepine binding pocket and hence unlikely to produce tolerance through the same mechanism. </w:t>
      </w:r>
      <w:proofErr w:type="spellStart"/>
      <w:r>
        <w:t>Linarin</w:t>
      </w:r>
      <w:proofErr w:type="spellEnd"/>
      <w:r>
        <w:t xml:space="preserve"> and 6-methylapigenin potentiate GABA-A activity and have demonstrated anxiolytic activity in murine models without impairing locomotion at therapeutic doses (Fernandez et al., 2004). A systematic review and meta-analysis by Bent et al. (2006) found that V. officinalis significantly improved subjective sleep quality in </w:t>
      </w:r>
      <w:proofErr w:type="spellStart"/>
      <w:r>
        <w:t>randomised</w:t>
      </w:r>
      <w:proofErr w:type="spellEnd"/>
      <w:r>
        <w:t xml:space="preserve"> controlled trials, with a </w:t>
      </w:r>
      <w:proofErr w:type="spellStart"/>
      <w:r>
        <w:t>favourable</w:t>
      </w:r>
      <w:proofErr w:type="spellEnd"/>
      <w:r>
        <w:t xml:space="preserve"> adverse effect profile. Insomnia and nervous tension are formally approved therapeutic indications in the EMA Community Herbal Monograph (EMA, 2016).</w:t>
      </w:r>
    </w:p>
    <w:p w:rsidR="00D3095F" w:rsidRDefault="006C44ED">
      <w:pPr>
        <w:pStyle w:val="Heading2"/>
      </w:pPr>
      <w:proofErr w:type="gramStart"/>
      <w:r>
        <w:t>4.2  Hypericum</w:t>
      </w:r>
      <w:proofErr w:type="gramEnd"/>
      <w:r>
        <w:t xml:space="preserve"> </w:t>
      </w:r>
      <w:proofErr w:type="spellStart"/>
      <w:r>
        <w:t>perforatum</w:t>
      </w:r>
      <w:proofErr w:type="spellEnd"/>
      <w:r>
        <w:t xml:space="preserve"> L. (St John's Wort; Family: </w:t>
      </w:r>
      <w:proofErr w:type="spellStart"/>
      <w:r>
        <w:t>Hypericaceae</w:t>
      </w:r>
      <w:proofErr w:type="spellEnd"/>
      <w:r>
        <w:t>)</w:t>
      </w:r>
    </w:p>
    <w:p w:rsidR="00D3095F" w:rsidRDefault="006C44ED">
      <w:pPr>
        <w:spacing w:after="160" w:line="360" w:lineRule="auto"/>
        <w:ind w:firstLine="720"/>
        <w:jc w:val="both"/>
      </w:pPr>
      <w:r>
        <w:t xml:space="preserve">Hypericum </w:t>
      </w:r>
      <w:proofErr w:type="spellStart"/>
      <w:r>
        <w:t>perforatum</w:t>
      </w:r>
      <w:proofErr w:type="spellEnd"/>
      <w:r>
        <w:t xml:space="preserve"> L. occupies a singular position in the history of botanical psychopharmacology: it is the only herbal remedy for which a Cochrane systematic review has concluded equivalence with standard antidepressants in mild-to-moderate depression with a superior tolerability profile (Linde et al., 2008). Its use for melancholia, nervous exhaustion and sleep disturbance is attested in European herbalism from antiquity, with particular prominence in German-speaking countries where it remains among the most widely prescribed antidepressants today. Cross-cultural ethnobotanical surveys in Turkey, Iran, Ethiopia, South Africa and Chile have reported indigenous uses of H. </w:t>
      </w:r>
      <w:proofErr w:type="spellStart"/>
      <w:r>
        <w:t>perforatum</w:t>
      </w:r>
      <w:proofErr w:type="spellEnd"/>
      <w:r>
        <w:t xml:space="preserve"> and related Hypericum species for depression, anxiety and insomnia (Neves et al., 2009; </w:t>
      </w:r>
      <w:proofErr w:type="spellStart"/>
      <w:r>
        <w:t>Moerman</w:t>
      </w:r>
      <w:proofErr w:type="spellEnd"/>
      <w:r>
        <w:t>, 1998).</w:t>
      </w:r>
    </w:p>
    <w:p w:rsidR="00D3095F" w:rsidRDefault="006C44ED">
      <w:pPr>
        <w:spacing w:after="160" w:line="360" w:lineRule="auto"/>
        <w:ind w:firstLine="720"/>
        <w:jc w:val="both"/>
      </w:pPr>
      <w:r>
        <w:t xml:space="preserve">The primary active constituents are the naphthodianthrone pigments hypericin and </w:t>
      </w:r>
      <w:proofErr w:type="spellStart"/>
      <w:r>
        <w:t>pseudohypericin</w:t>
      </w:r>
      <w:proofErr w:type="spellEnd"/>
      <w:r>
        <w:t xml:space="preserve"> and the phloroglucinol derivative hyperforin (Barnes et al., 2001). Hyperforin is considered the principal antidepressant molecule; Müller et al. (1998) demonstrated that it acts as a reuptake inhibitor of serotonin, dopamine, noradrenaline, </w:t>
      </w:r>
      <w:r>
        <w:lastRenderedPageBreak/>
        <w:t xml:space="preserve">GABA and glutamate through sodium conductive mechanisms (activation of TRPC6 channels), generating a broad-spectrum monoamine-potentiating effect qualitatively analogous to combined reuptake inhibition but mechanistically distinct. The flavonoid amentoflavone demonstrates affinity for benzodiazepine binding sites in radioligand assays, which may contribute to the anxiolytic and sleep-promoting activity of H. </w:t>
      </w:r>
      <w:proofErr w:type="spellStart"/>
      <w:r>
        <w:t>perforatum</w:t>
      </w:r>
      <w:proofErr w:type="spellEnd"/>
      <w:r>
        <w:t xml:space="preserve"> beyond its antidepressant effects (Barnes et al., 2001; Bhattacharya et al., 1998). Linde et al. (2008) </w:t>
      </w:r>
      <w:proofErr w:type="spellStart"/>
      <w:r>
        <w:t>synthesised</w:t>
      </w:r>
      <w:proofErr w:type="spellEnd"/>
      <w:r>
        <w:t xml:space="preserve"> 29 </w:t>
      </w:r>
      <w:proofErr w:type="spellStart"/>
      <w:r>
        <w:t>randomised</w:t>
      </w:r>
      <w:proofErr w:type="spellEnd"/>
      <w:r>
        <w:t xml:space="preserve"> trials and concluded that </w:t>
      </w:r>
      <w:proofErr w:type="spellStart"/>
      <w:r>
        <w:t>standardised</w:t>
      </w:r>
      <w:proofErr w:type="spellEnd"/>
      <w:r>
        <w:t xml:space="preserve"> H. </w:t>
      </w:r>
      <w:proofErr w:type="spellStart"/>
      <w:r>
        <w:t>perforatum</w:t>
      </w:r>
      <w:proofErr w:type="spellEnd"/>
      <w:r>
        <w:t xml:space="preserve"> extract (commonly </w:t>
      </w:r>
      <w:proofErr w:type="spellStart"/>
      <w:r>
        <w:t>standardised</w:t>
      </w:r>
      <w:proofErr w:type="spellEnd"/>
      <w:r>
        <w:t xml:space="preserve"> to 0.3% hypericin) was superior to placebo and similarly effective to standard antidepressants for mild-to-moderate depression. Clinically important herb-drug interactions — particularly with CYP3A4 and P-glycoprotein substrates including oral contraceptives, antiretrovirals, immunosuppressants and anticoagulants — through induction of the </w:t>
      </w:r>
      <w:proofErr w:type="spellStart"/>
      <w:r>
        <w:t>pregnane</w:t>
      </w:r>
      <w:proofErr w:type="spellEnd"/>
      <w:r>
        <w:t xml:space="preserve"> X receptor (PXR) by hyperforin constitute the principal safety concern (Moore et al., 2000).</w:t>
      </w:r>
    </w:p>
    <w:p w:rsidR="00D3095F" w:rsidRDefault="006C44ED">
      <w:pPr>
        <w:pStyle w:val="Heading2"/>
      </w:pPr>
      <w:proofErr w:type="gramStart"/>
      <w:r>
        <w:t xml:space="preserve">4.3  </w:t>
      </w:r>
      <w:proofErr w:type="spellStart"/>
      <w:r>
        <w:t>Withania</w:t>
      </w:r>
      <w:proofErr w:type="spellEnd"/>
      <w:proofErr w:type="gramEnd"/>
      <w:r>
        <w:t xml:space="preserve"> </w:t>
      </w:r>
      <w:proofErr w:type="spellStart"/>
      <w:r>
        <w:t>somnifera</w:t>
      </w:r>
      <w:proofErr w:type="spellEnd"/>
      <w:r>
        <w:t xml:space="preserve"> (L.) </w:t>
      </w:r>
      <w:proofErr w:type="spellStart"/>
      <w:r>
        <w:t>Dunal</w:t>
      </w:r>
      <w:proofErr w:type="spellEnd"/>
      <w:r>
        <w:t xml:space="preserve"> (Ashwagandha; Family: Solanaceae)</w:t>
      </w:r>
    </w:p>
    <w:p w:rsidR="00D3095F" w:rsidRDefault="006C44ED">
      <w:pPr>
        <w:spacing w:after="160" w:line="360" w:lineRule="auto"/>
        <w:ind w:firstLine="720"/>
        <w:jc w:val="both"/>
      </w:pPr>
      <w:proofErr w:type="spellStart"/>
      <w:r>
        <w:t>Withania</w:t>
      </w:r>
      <w:proofErr w:type="spellEnd"/>
      <w:r>
        <w:t xml:space="preserve"> </w:t>
      </w:r>
      <w:proofErr w:type="spellStart"/>
      <w:r>
        <w:t>somnifera</w:t>
      </w:r>
      <w:proofErr w:type="spellEnd"/>
      <w:r>
        <w:t xml:space="preserve"> (L.) </w:t>
      </w:r>
      <w:proofErr w:type="spellStart"/>
      <w:r>
        <w:t>Dunal</w:t>
      </w:r>
      <w:proofErr w:type="spellEnd"/>
      <w:r>
        <w:t xml:space="preserve">, known in Sanskrit as ashwagandha ('smell of horse'), is one of the most revered and commercially significant plant medicines in the Ayurvedic pharmacopoeia. Classical texts describe it as a </w:t>
      </w:r>
      <w:proofErr w:type="spellStart"/>
      <w:r>
        <w:t>rasayana</w:t>
      </w:r>
      <w:proofErr w:type="spellEnd"/>
      <w:r>
        <w:t xml:space="preserve"> and </w:t>
      </w:r>
      <w:proofErr w:type="spellStart"/>
      <w:r>
        <w:t>medhya</w:t>
      </w:r>
      <w:proofErr w:type="spellEnd"/>
      <w:r>
        <w:t xml:space="preserve"> </w:t>
      </w:r>
      <w:proofErr w:type="spellStart"/>
      <w:r>
        <w:t>rasayana</w:t>
      </w:r>
      <w:proofErr w:type="spellEnd"/>
      <w:r>
        <w:t xml:space="preserve"> (brain tonic), indicated for conditions of weakness, wasting, nervous exhaustion, sleeplessness and impaired mental function. Contemporary ethnobotanical surveys in India, Nepal, Pakistan, North Africa and sub-Saharan Africa consistently document W. </w:t>
      </w:r>
      <w:proofErr w:type="spellStart"/>
      <w:r>
        <w:t>somnifera</w:t>
      </w:r>
      <w:proofErr w:type="spellEnd"/>
      <w:r>
        <w:t xml:space="preserve"> roots and leaves for anxiolytic, hypnotic and anti-stress applications (Gautam et al., 2022). The plant has attracted intense pharmaceutical interest as a prototypic adaptogen — an agent that non-specifically increases organismal resilience to stress without disrupting normal physiological homeostasis (</w:t>
      </w:r>
      <w:proofErr w:type="spellStart"/>
      <w:r>
        <w:t>Panossian</w:t>
      </w:r>
      <w:proofErr w:type="spellEnd"/>
      <w:r>
        <w:t xml:space="preserve"> &amp; </w:t>
      </w:r>
      <w:proofErr w:type="spellStart"/>
      <w:r>
        <w:t>Wikman</w:t>
      </w:r>
      <w:proofErr w:type="spellEnd"/>
      <w:r>
        <w:t>, 2010).</w:t>
      </w:r>
    </w:p>
    <w:p w:rsidR="00D3095F" w:rsidRDefault="006C44ED">
      <w:pPr>
        <w:spacing w:after="160" w:line="360" w:lineRule="auto"/>
        <w:ind w:firstLine="720"/>
        <w:jc w:val="both"/>
      </w:pPr>
      <w:r>
        <w:t xml:space="preserve">The principal bioactive constituents are steroidal lactones designated </w:t>
      </w:r>
      <w:proofErr w:type="spellStart"/>
      <w:r>
        <w:t>withanolides</w:t>
      </w:r>
      <w:proofErr w:type="spellEnd"/>
      <w:r>
        <w:t xml:space="preserve"> (particularly withaferin A, </w:t>
      </w:r>
      <w:proofErr w:type="spellStart"/>
      <w:r>
        <w:t>withanolide</w:t>
      </w:r>
      <w:proofErr w:type="spellEnd"/>
      <w:r>
        <w:t xml:space="preserve"> D, </w:t>
      </w:r>
      <w:proofErr w:type="spellStart"/>
      <w:r>
        <w:t>withanolide</w:t>
      </w:r>
      <w:proofErr w:type="spellEnd"/>
      <w:r>
        <w:t xml:space="preserve"> A) and their glycosides (</w:t>
      </w:r>
      <w:proofErr w:type="spellStart"/>
      <w:r>
        <w:t>sitoindosides</w:t>
      </w:r>
      <w:proofErr w:type="spellEnd"/>
      <w:r>
        <w:t xml:space="preserve"> VII–X), as well as alkaloids (</w:t>
      </w:r>
      <w:proofErr w:type="spellStart"/>
      <w:r>
        <w:t>anaferine</w:t>
      </w:r>
      <w:proofErr w:type="spellEnd"/>
      <w:r>
        <w:t xml:space="preserve">, </w:t>
      </w:r>
      <w:proofErr w:type="spellStart"/>
      <w:r>
        <w:t>isopelletierine</w:t>
      </w:r>
      <w:proofErr w:type="spellEnd"/>
      <w:r>
        <w:t xml:space="preserve">), saponins and iron. Mechanistic studies have demonstrated that W. </w:t>
      </w:r>
      <w:proofErr w:type="spellStart"/>
      <w:r>
        <w:t>somnifera</w:t>
      </w:r>
      <w:proofErr w:type="spellEnd"/>
      <w:r>
        <w:t xml:space="preserve"> root extract and isolated </w:t>
      </w:r>
      <w:proofErr w:type="spellStart"/>
      <w:r>
        <w:t>withanolides</w:t>
      </w:r>
      <w:proofErr w:type="spellEnd"/>
      <w:r>
        <w:t xml:space="preserve"> suppress HPA axis hyperactivity by reducing serum cortisol levels and attenuating stress-induced heat shock protein upregulation (Bhattacharya et al., 2000a). Chandrasekhar et al. (2012) conducted a double-blind </w:t>
      </w:r>
      <w:proofErr w:type="spellStart"/>
      <w:r>
        <w:t>randomised</w:t>
      </w:r>
      <w:proofErr w:type="spellEnd"/>
      <w:r>
        <w:t xml:space="preserve"> controlled trial in 64 adults with a history of chronic stress, demonstrating that a high-concentration full-spectrum extract of ashwagandha root </w:t>
      </w:r>
      <w:r>
        <w:lastRenderedPageBreak/>
        <w:t xml:space="preserve">(KSM-66, 300 mg twice daily) significantly reduced scores on the Perceived Stress Scale and serum cortisol compared to placebo, with concurrent improvements in sleep quality assessed by the Pittsburgh Sleep Quality Index. GABAergic mechanisms have also been implicated: </w:t>
      </w:r>
      <w:proofErr w:type="spellStart"/>
      <w:r>
        <w:t>withanolides</w:t>
      </w:r>
      <w:proofErr w:type="spellEnd"/>
      <w:r>
        <w:t xml:space="preserve"> and </w:t>
      </w:r>
      <w:proofErr w:type="spellStart"/>
      <w:r>
        <w:t>glycowithanolides</w:t>
      </w:r>
      <w:proofErr w:type="spellEnd"/>
      <w:r>
        <w:t xml:space="preserve"> have demonstrated binding to GABA-A receptor subunits in radioligand assays and produced anxiolytic effects in the elevated plus-maze and light-dark box paradigms in rodents (Bhattacharya et al., 2000a).</w:t>
      </w:r>
    </w:p>
    <w:p w:rsidR="00D3095F" w:rsidRDefault="006C44ED">
      <w:pPr>
        <w:pStyle w:val="Heading2"/>
      </w:pPr>
      <w:proofErr w:type="gramStart"/>
      <w:r>
        <w:t xml:space="preserve">4.4  </w:t>
      </w:r>
      <w:proofErr w:type="spellStart"/>
      <w:r>
        <w:t>Passiflora</w:t>
      </w:r>
      <w:proofErr w:type="spellEnd"/>
      <w:proofErr w:type="gramEnd"/>
      <w:r>
        <w:t xml:space="preserve"> </w:t>
      </w:r>
      <w:proofErr w:type="spellStart"/>
      <w:r>
        <w:t>incarnata</w:t>
      </w:r>
      <w:proofErr w:type="spellEnd"/>
      <w:r>
        <w:t xml:space="preserve"> L. (Passionflower; Family: </w:t>
      </w:r>
      <w:proofErr w:type="spellStart"/>
      <w:r>
        <w:t>Passifloraceae</w:t>
      </w:r>
      <w:proofErr w:type="spellEnd"/>
      <w:r>
        <w:t>)</w:t>
      </w:r>
    </w:p>
    <w:p w:rsidR="00D3095F" w:rsidRDefault="006C44ED">
      <w:pPr>
        <w:spacing w:after="160" w:line="360" w:lineRule="auto"/>
        <w:ind w:firstLine="720"/>
        <w:jc w:val="both"/>
      </w:pPr>
      <w:proofErr w:type="spellStart"/>
      <w:r>
        <w:t>Passiflora</w:t>
      </w:r>
      <w:proofErr w:type="spellEnd"/>
      <w:r>
        <w:t xml:space="preserve"> </w:t>
      </w:r>
      <w:proofErr w:type="spellStart"/>
      <w:r>
        <w:t>incarnata</w:t>
      </w:r>
      <w:proofErr w:type="spellEnd"/>
      <w:r>
        <w:t xml:space="preserve"> L. is indigenous to the south-eastern United States, Mexico and South America, and its aerial parts (leaves, stems and flowers) have been used medicinally by numerous indigenous North American nations, including the Cherokee, Delaware and Houma, for conditions including anxiety, sleeplessness and nervous restlessness (</w:t>
      </w:r>
      <w:proofErr w:type="spellStart"/>
      <w:r>
        <w:t>Moerman</w:t>
      </w:r>
      <w:proofErr w:type="spellEnd"/>
      <w:r>
        <w:t>, 1998). Introduced into European herbal practice by Spanish explorers in the sixteenth century, it was incorporated into the United States Pharmacopoeia and National Formulary between 1916 and 1936. Ethnobotanical surveys in Brazil, Mexico, Turkey, Italy and Iran document consistent use for anxiety and insomnia, attesting to its rapid integration into diverse traditional systems following post-Columbian diffusion (Dhawan et al., 2004).</w:t>
      </w:r>
    </w:p>
    <w:p w:rsidR="00D3095F" w:rsidRDefault="006C44ED">
      <w:pPr>
        <w:spacing w:after="160" w:line="360" w:lineRule="auto"/>
        <w:ind w:firstLine="720"/>
        <w:jc w:val="both"/>
      </w:pPr>
      <w:r>
        <w:t>Principal bioactive constituents include C-</w:t>
      </w:r>
      <w:proofErr w:type="spellStart"/>
      <w:r>
        <w:t>glycosylflavonoids</w:t>
      </w:r>
      <w:proofErr w:type="spellEnd"/>
      <w:r>
        <w:t xml:space="preserve"> (vitexin, orientin, </w:t>
      </w:r>
      <w:proofErr w:type="spellStart"/>
      <w:r>
        <w:t>isovitexin</w:t>
      </w:r>
      <w:proofErr w:type="spellEnd"/>
      <w:r>
        <w:t xml:space="preserve">, </w:t>
      </w:r>
      <w:proofErr w:type="spellStart"/>
      <w:r>
        <w:t>isoorientin</w:t>
      </w:r>
      <w:proofErr w:type="spellEnd"/>
      <w:r>
        <w:t xml:space="preserve">), the flavonoid chrysin and small quantities of beta-carboline alkaloids (harmane, harmol, </w:t>
      </w:r>
      <w:proofErr w:type="spellStart"/>
      <w:r>
        <w:t>harman</w:t>
      </w:r>
      <w:proofErr w:type="spellEnd"/>
      <w:r>
        <w:t xml:space="preserve">) (Dhawan et al., 2004). Chrysin binds with moderate affinity to the benzodiazepine binding site of GABA-A receptors and produces anxiolytic-like </w:t>
      </w:r>
      <w:proofErr w:type="spellStart"/>
      <w:r>
        <w:t>behaviour</w:t>
      </w:r>
      <w:proofErr w:type="spellEnd"/>
      <w:r>
        <w:t xml:space="preserve"> in murine paradigms (Brown et al., 2007). The C-</w:t>
      </w:r>
      <w:proofErr w:type="spellStart"/>
      <w:r>
        <w:t>glycosylflavonoids</w:t>
      </w:r>
      <w:proofErr w:type="spellEnd"/>
      <w:r>
        <w:t xml:space="preserve"> modulate GABA-A function at nanomolar concentrations in patch-clamp electrophysiology studies, with </w:t>
      </w:r>
      <w:proofErr w:type="spellStart"/>
      <w:r>
        <w:t>isovitexin</w:t>
      </w:r>
      <w:proofErr w:type="spellEnd"/>
      <w:r>
        <w:t xml:space="preserve"> demonstrating particularly pronounced allosteric enhancement of chloride conductance (</w:t>
      </w:r>
      <w:proofErr w:type="spellStart"/>
      <w:r>
        <w:t>Speroni</w:t>
      </w:r>
      <w:proofErr w:type="spellEnd"/>
      <w:r>
        <w:t xml:space="preserve"> &amp; </w:t>
      </w:r>
      <w:proofErr w:type="spellStart"/>
      <w:r>
        <w:t>Minghetti</w:t>
      </w:r>
      <w:proofErr w:type="spellEnd"/>
      <w:r>
        <w:t xml:space="preserve">, 1988). </w:t>
      </w:r>
      <w:proofErr w:type="spellStart"/>
      <w:r>
        <w:t>Movafegh</w:t>
      </w:r>
      <w:proofErr w:type="spellEnd"/>
      <w:r>
        <w:t xml:space="preserve"> et al. (2008) conducted a double-blind </w:t>
      </w:r>
      <w:proofErr w:type="spellStart"/>
      <w:r>
        <w:t>randomised</w:t>
      </w:r>
      <w:proofErr w:type="spellEnd"/>
      <w:r>
        <w:t xml:space="preserve"> controlled trial in 60 pre-surgical patients, demonstrating that a single oral dose of P. </w:t>
      </w:r>
      <w:proofErr w:type="spellStart"/>
      <w:r>
        <w:t>incarnata</w:t>
      </w:r>
      <w:proofErr w:type="spellEnd"/>
      <w:r>
        <w:t xml:space="preserve"> extract significantly reduced preoperative anxiety on the Visual Analogue Scale without altering psychomotor performance or recovery time, compared to placebo. An earlier trial by </w:t>
      </w:r>
      <w:proofErr w:type="spellStart"/>
      <w:r>
        <w:t>Akhondzadeh</w:t>
      </w:r>
      <w:proofErr w:type="spellEnd"/>
      <w:r>
        <w:t xml:space="preserve"> et al. (2001) reported equivalence between a P. </w:t>
      </w:r>
      <w:proofErr w:type="spellStart"/>
      <w:r>
        <w:t>incarnata</w:t>
      </w:r>
      <w:proofErr w:type="spellEnd"/>
      <w:r>
        <w:t xml:space="preserve"> extract and oxazepam 30 mg/day for </w:t>
      </w:r>
      <w:proofErr w:type="spellStart"/>
      <w:r>
        <w:t>generalised</w:t>
      </w:r>
      <w:proofErr w:type="spellEnd"/>
      <w:r>
        <w:t xml:space="preserve"> anxiety disorder over four weeks, with significantly fewer adverse cognitive effects in the phytomedicine group.</w:t>
      </w:r>
    </w:p>
    <w:p w:rsidR="00D3095F" w:rsidRDefault="006C44ED">
      <w:pPr>
        <w:pStyle w:val="Heading2"/>
      </w:pPr>
      <w:proofErr w:type="gramStart"/>
      <w:r>
        <w:t>4.5  Lavandula</w:t>
      </w:r>
      <w:proofErr w:type="gramEnd"/>
      <w:r>
        <w:t xml:space="preserve"> angustifolia Mill. (Lavender; Family: </w:t>
      </w:r>
      <w:proofErr w:type="spellStart"/>
      <w:r>
        <w:t>Lamiaceae</w:t>
      </w:r>
      <w:proofErr w:type="spellEnd"/>
      <w:r>
        <w:t>)</w:t>
      </w:r>
    </w:p>
    <w:p w:rsidR="00D3095F" w:rsidRDefault="006C44ED">
      <w:pPr>
        <w:spacing w:after="160" w:line="360" w:lineRule="auto"/>
        <w:ind w:firstLine="720"/>
        <w:jc w:val="both"/>
      </w:pPr>
      <w:r>
        <w:lastRenderedPageBreak/>
        <w:t xml:space="preserve">Lavandula angustifolia Mill. (true lavender) is one of the most universally documented aromatherapy and nervine plants across European, Middle Eastern, North African and South Asian traditions. Ethnobotanical surveys document lavender preparations — predominantly essential oil inhalation, infusions and pillow sachets — for anxiety, sleeplessness and nervous palpitations across the Mediterranean basin, Persia, the Levant and the Himalayan foothills. In traditional Moroccan medicine, L. angustifolia and the closely related L. </w:t>
      </w:r>
      <w:proofErr w:type="spellStart"/>
      <w:r>
        <w:t>stoechas</w:t>
      </w:r>
      <w:proofErr w:type="spellEnd"/>
      <w:r>
        <w:t xml:space="preserve"> are among the most frequently reported plants for both nervous and digestive complaints (</w:t>
      </w:r>
      <w:proofErr w:type="spellStart"/>
      <w:r>
        <w:t>Tahraoui</w:t>
      </w:r>
      <w:proofErr w:type="spellEnd"/>
      <w:r>
        <w:t xml:space="preserve"> et al., 2007).</w:t>
      </w:r>
    </w:p>
    <w:p w:rsidR="00D3095F" w:rsidRDefault="006C44ED">
      <w:pPr>
        <w:spacing w:after="160" w:line="360" w:lineRule="auto"/>
        <w:ind w:firstLine="720"/>
        <w:jc w:val="both"/>
      </w:pPr>
      <w:r>
        <w:t>The essential oil is dominated by the monoterpenoid alcohols linalool (25–45%) and linalyl acetate (25–45%), with minor contributions from camphor, 1,8-cineole, beta-ocimene and terpinen-4-ol (Cavanagh &amp; Wilkinson, 2002). Linalool has been shown to act as a positive allosteric modulator of GABA-A receptors in hippocampal neurons and to inhibit glutamate-induced excitotoxicity through NMDA receptor antagonism (</w:t>
      </w:r>
      <w:proofErr w:type="spellStart"/>
      <w:r>
        <w:t>Aoshima</w:t>
      </w:r>
      <w:proofErr w:type="spellEnd"/>
      <w:r>
        <w:t xml:space="preserve"> &amp; </w:t>
      </w:r>
      <w:proofErr w:type="spellStart"/>
      <w:r>
        <w:t>Hamamoto</w:t>
      </w:r>
      <w:proofErr w:type="spellEnd"/>
      <w:r>
        <w:t xml:space="preserve">, 1999). </w:t>
      </w:r>
      <w:proofErr w:type="spellStart"/>
      <w:r>
        <w:t>Woelk</w:t>
      </w:r>
      <w:proofErr w:type="spellEnd"/>
      <w:r>
        <w:t xml:space="preserve"> and </w:t>
      </w:r>
      <w:proofErr w:type="spellStart"/>
      <w:r>
        <w:t>Schläfke</w:t>
      </w:r>
      <w:proofErr w:type="spellEnd"/>
      <w:r>
        <w:t xml:space="preserve"> (2010) conducted a multi-</w:t>
      </w:r>
      <w:proofErr w:type="spellStart"/>
      <w:r>
        <w:t>centre</w:t>
      </w:r>
      <w:proofErr w:type="spellEnd"/>
      <w:r>
        <w:t xml:space="preserve">, double-blind </w:t>
      </w:r>
      <w:proofErr w:type="spellStart"/>
      <w:r>
        <w:t>randomised</w:t>
      </w:r>
      <w:proofErr w:type="spellEnd"/>
      <w:r>
        <w:t xml:space="preserve"> trial comparing </w:t>
      </w:r>
      <w:proofErr w:type="spellStart"/>
      <w:r>
        <w:t>Silexan</w:t>
      </w:r>
      <w:proofErr w:type="spellEnd"/>
      <w:r>
        <w:t xml:space="preserve"> 80 mg/day to lorazepam 0.5 mg/day in 77 adults with </w:t>
      </w:r>
      <w:proofErr w:type="spellStart"/>
      <w:r>
        <w:t>generalised</w:t>
      </w:r>
      <w:proofErr w:type="spellEnd"/>
      <w:r>
        <w:t xml:space="preserve"> anxiety disorder and found equivalent efficacy on the Hamilton Anxiety Rating Scale, without sedation or dependence. Kasper et al. (2014) subsequently compared </w:t>
      </w:r>
      <w:proofErr w:type="spellStart"/>
      <w:r>
        <w:t>Silexan</w:t>
      </w:r>
      <w:proofErr w:type="spellEnd"/>
      <w:r>
        <w:t xml:space="preserve"> 160 mg/day to paroxetine 20 mg/day in 539 patients with </w:t>
      </w:r>
      <w:proofErr w:type="spellStart"/>
      <w:r>
        <w:t>generalised</w:t>
      </w:r>
      <w:proofErr w:type="spellEnd"/>
      <w:r>
        <w:t xml:space="preserve"> anxiety disorder and found </w:t>
      </w:r>
      <w:proofErr w:type="spellStart"/>
      <w:r>
        <w:t>Silexan</w:t>
      </w:r>
      <w:proofErr w:type="spellEnd"/>
      <w:r>
        <w:t xml:space="preserve"> non-inferior on the Hamilton Anxiety Scale after ten weeks, with superior tolerability. Collectively, these trials supported regulatory approval of </w:t>
      </w:r>
      <w:proofErr w:type="spellStart"/>
      <w:r>
        <w:t>Silexan</w:t>
      </w:r>
      <w:proofErr w:type="spellEnd"/>
      <w:r>
        <w:t xml:space="preserve"> in several European countries as a licensed medicinal product for </w:t>
      </w:r>
      <w:proofErr w:type="spellStart"/>
      <w:r>
        <w:t>generalised</w:t>
      </w:r>
      <w:proofErr w:type="spellEnd"/>
      <w:r>
        <w:t xml:space="preserve"> anxiety.</w:t>
      </w:r>
    </w:p>
    <w:p w:rsidR="00D3095F" w:rsidRDefault="006C44ED">
      <w:pPr>
        <w:pStyle w:val="Heading2"/>
      </w:pPr>
      <w:proofErr w:type="gramStart"/>
      <w:r>
        <w:t>4.6  Melissa</w:t>
      </w:r>
      <w:proofErr w:type="gramEnd"/>
      <w:r>
        <w:t xml:space="preserve"> officinalis L. (Lemon Balm; Family: </w:t>
      </w:r>
      <w:proofErr w:type="spellStart"/>
      <w:r>
        <w:t>Lamiaceae</w:t>
      </w:r>
      <w:proofErr w:type="spellEnd"/>
      <w:r>
        <w:t>)</w:t>
      </w:r>
    </w:p>
    <w:p w:rsidR="00D3095F" w:rsidRDefault="006C44ED">
      <w:pPr>
        <w:spacing w:after="160" w:line="360" w:lineRule="auto"/>
        <w:ind w:firstLine="720"/>
        <w:jc w:val="both"/>
      </w:pPr>
      <w:r>
        <w:t xml:space="preserve">Melissa officinalis L. has been cultivated and used medicinally in the Mediterranean and Middle East for at least 2,000 years, with references in </w:t>
      </w:r>
      <w:proofErr w:type="spellStart"/>
      <w:r>
        <w:t>Dioscorides</w:t>
      </w:r>
      <w:proofErr w:type="spellEnd"/>
      <w:r>
        <w:t>, Avicenna and Paracelsus attesting to its longstanding reputation as a sedative, carminative and antidepressant herb. Ethnobotanical surveys in Turkey, Iran, Bulgaria, Georgia, Italy, Spain and the United Kingdom consistently identify M. officinalis as a plant used for anxiety, nervous excitability and sleep disturbance, with preparations ranging from infusions and tinctures to steam inhalation and topical oils (</w:t>
      </w:r>
      <w:proofErr w:type="spellStart"/>
      <w:r>
        <w:t>Senderovich</w:t>
      </w:r>
      <w:proofErr w:type="spellEnd"/>
      <w:r>
        <w:t xml:space="preserve"> &amp; </w:t>
      </w:r>
      <w:proofErr w:type="spellStart"/>
      <w:r>
        <w:t>Jeyapragasan</w:t>
      </w:r>
      <w:proofErr w:type="spellEnd"/>
      <w:r>
        <w:t>, 2018).</w:t>
      </w:r>
    </w:p>
    <w:p w:rsidR="00D3095F" w:rsidRDefault="006C44ED">
      <w:pPr>
        <w:spacing w:after="160" w:line="360" w:lineRule="auto"/>
        <w:ind w:firstLine="720"/>
        <w:jc w:val="both"/>
      </w:pPr>
      <w:r>
        <w:t xml:space="preserve">Key bioactive constituents include </w:t>
      </w:r>
      <w:proofErr w:type="spellStart"/>
      <w:r>
        <w:t>rosmarinic</w:t>
      </w:r>
      <w:proofErr w:type="spellEnd"/>
      <w:r>
        <w:t xml:space="preserve"> acid (a caffeic acid ester with potent antioxidant activity), flavonoids (luteolin, apigenin, luteolin-7-glucoside), phenolic acids (caffeic, chlorogenic), triterpenes (</w:t>
      </w:r>
      <w:proofErr w:type="spellStart"/>
      <w:r>
        <w:t>ursolic</w:t>
      </w:r>
      <w:proofErr w:type="spellEnd"/>
      <w:r>
        <w:t xml:space="preserve"> acid, oleanolic acid) and volatile components </w:t>
      </w:r>
      <w:r>
        <w:lastRenderedPageBreak/>
        <w:t>(</w:t>
      </w:r>
      <w:proofErr w:type="spellStart"/>
      <w:r>
        <w:t>citral</w:t>
      </w:r>
      <w:proofErr w:type="spellEnd"/>
      <w:r>
        <w:t xml:space="preserve"> a/b, linalool, geraniol, beta-caryophyllene) (Kennedy et al., 2004). The primary proposed mechanism of anxiolytic action is inhibition of GABA transaminase (GABA-T), the enzyme responsible for GABA catabolism in the synaptic cleft, leading to elevated extracellular GABA concentrations without direct receptor modulation (</w:t>
      </w:r>
      <w:proofErr w:type="spellStart"/>
      <w:r>
        <w:t>Awad</w:t>
      </w:r>
      <w:proofErr w:type="spellEnd"/>
      <w:r>
        <w:t xml:space="preserve"> et al., 2007). Kennedy et al. (2004) demonstrated in a </w:t>
      </w:r>
      <w:proofErr w:type="spellStart"/>
      <w:r>
        <w:t>randomised</w:t>
      </w:r>
      <w:proofErr w:type="spellEnd"/>
      <w:r>
        <w:t xml:space="preserve"> crossover study that acute administration of </w:t>
      </w:r>
      <w:proofErr w:type="spellStart"/>
      <w:r>
        <w:t>standardised</w:t>
      </w:r>
      <w:proofErr w:type="spellEnd"/>
      <w:r>
        <w:t xml:space="preserve"> M. officinalis extract at doses of 300–1800 mg significantly improved self-rated calmness and reduced anxiety in healthy volunteers, with an inverted-U dose-response relationship consistent with anxiolytic rather than sedative activity.</w:t>
      </w:r>
    </w:p>
    <w:p w:rsidR="00D3095F" w:rsidRDefault="006C44ED">
      <w:pPr>
        <w:pStyle w:val="Heading2"/>
      </w:pPr>
      <w:proofErr w:type="gramStart"/>
      <w:r>
        <w:t xml:space="preserve">4.7  </w:t>
      </w:r>
      <w:proofErr w:type="spellStart"/>
      <w:r>
        <w:t>Humulus</w:t>
      </w:r>
      <w:proofErr w:type="spellEnd"/>
      <w:proofErr w:type="gramEnd"/>
      <w:r>
        <w:t xml:space="preserve"> lupulus L. (Hops; Family: </w:t>
      </w:r>
      <w:proofErr w:type="spellStart"/>
      <w:r>
        <w:t>Cannabaceae</w:t>
      </w:r>
      <w:proofErr w:type="spellEnd"/>
      <w:r>
        <w:t>)</w:t>
      </w:r>
    </w:p>
    <w:p w:rsidR="00D3095F" w:rsidRDefault="006C44ED">
      <w:pPr>
        <w:spacing w:after="160" w:line="360" w:lineRule="auto"/>
        <w:ind w:firstLine="720"/>
        <w:jc w:val="both"/>
      </w:pPr>
      <w:proofErr w:type="spellStart"/>
      <w:r>
        <w:t>Humulus</w:t>
      </w:r>
      <w:proofErr w:type="spellEnd"/>
      <w:r>
        <w:t xml:space="preserve"> lupulus L. is best known as a bittering and preservative agent in beer production, but its </w:t>
      </w:r>
      <w:proofErr w:type="spellStart"/>
      <w:r>
        <w:t>strobiles</w:t>
      </w:r>
      <w:proofErr w:type="spellEnd"/>
      <w:r>
        <w:t xml:space="preserve"> (female flower cones) have an established ethnobotanical history as a sedative-hypnotic remedy across European, North American, Asian and Middle Eastern traditions. Hops pillows were a widely documented folk remedy for insomnia across Britain, Germany, Scandinavia and colonial North America, and dried </w:t>
      </w:r>
      <w:proofErr w:type="spellStart"/>
      <w:r>
        <w:t>strobiles</w:t>
      </w:r>
      <w:proofErr w:type="spellEnd"/>
      <w:r>
        <w:t xml:space="preserve"> were included in the British Pharmacopoeia as a mild sedative until the mid-twentieth century (</w:t>
      </w:r>
      <w:proofErr w:type="spellStart"/>
      <w:r>
        <w:t>Zanoli</w:t>
      </w:r>
      <w:proofErr w:type="spellEnd"/>
      <w:r>
        <w:t xml:space="preserve"> &amp; </w:t>
      </w:r>
      <w:proofErr w:type="spellStart"/>
      <w:r>
        <w:t>Zavatti</w:t>
      </w:r>
      <w:proofErr w:type="spellEnd"/>
      <w:r>
        <w:t>, 2008). Contemporary ethnobotanical surveys in Spain, Turkey, Iran and Morocco continue to document H. lupulus for sleep disorders and anxiety (</w:t>
      </w:r>
      <w:proofErr w:type="spellStart"/>
      <w:r>
        <w:t>Zanoli</w:t>
      </w:r>
      <w:proofErr w:type="spellEnd"/>
      <w:r>
        <w:t xml:space="preserve"> &amp; </w:t>
      </w:r>
      <w:proofErr w:type="spellStart"/>
      <w:r>
        <w:t>Zavatti</w:t>
      </w:r>
      <w:proofErr w:type="spellEnd"/>
      <w:r>
        <w:t>, 2008).</w:t>
      </w:r>
    </w:p>
    <w:p w:rsidR="00D3095F" w:rsidRDefault="006C44ED">
      <w:pPr>
        <w:spacing w:after="160" w:line="360" w:lineRule="auto"/>
        <w:ind w:firstLine="720"/>
        <w:jc w:val="both"/>
      </w:pPr>
      <w:r>
        <w:t xml:space="preserve">The principal sedative constituents are the prenylated chalcone 8-prenylnaringenin, the alpha-acid humulone and its degradation product 2-methyl-3-buten-2-ol, and the essential oil components myrcene and linalool. 8-Prenylnaringenin binds with high affinity to </w:t>
      </w:r>
      <w:proofErr w:type="spellStart"/>
      <w:r>
        <w:t>oestrogen</w:t>
      </w:r>
      <w:proofErr w:type="spellEnd"/>
      <w:r>
        <w:t xml:space="preserve"> receptors and to GABA-A receptors; the latter interaction may contribute to sedative effects (</w:t>
      </w:r>
      <w:proofErr w:type="spellStart"/>
      <w:r>
        <w:t>Zanoli</w:t>
      </w:r>
      <w:proofErr w:type="spellEnd"/>
      <w:r>
        <w:t xml:space="preserve"> &amp; </w:t>
      </w:r>
      <w:proofErr w:type="spellStart"/>
      <w:r>
        <w:t>Zavatti</w:t>
      </w:r>
      <w:proofErr w:type="spellEnd"/>
      <w:r>
        <w:t xml:space="preserve">, 2008). </w:t>
      </w:r>
      <w:proofErr w:type="spellStart"/>
      <w:r>
        <w:t>Koetter</w:t>
      </w:r>
      <w:proofErr w:type="spellEnd"/>
      <w:r>
        <w:t xml:space="preserve"> et al. (2007) demonstrated in a double-blind </w:t>
      </w:r>
      <w:proofErr w:type="spellStart"/>
      <w:r>
        <w:t>randomised</w:t>
      </w:r>
      <w:proofErr w:type="spellEnd"/>
      <w:r>
        <w:t xml:space="preserve"> trial that a fixed combination of valerian plus hops extract (Ze 91019) produced significantly faster sleep onset and improved sleep quality compared to placebo in 30 patients with non-organic insomnia, consistent with preclinical data demonstrating synergistic potentiation between </w:t>
      </w:r>
      <w:proofErr w:type="spellStart"/>
      <w:r>
        <w:t>valerenic</w:t>
      </w:r>
      <w:proofErr w:type="spellEnd"/>
      <w:r>
        <w:t xml:space="preserve"> acid and hop constituents at GABA-A receptor complexes.</w:t>
      </w:r>
    </w:p>
    <w:p w:rsidR="00D3095F" w:rsidRDefault="006C44ED">
      <w:pPr>
        <w:pStyle w:val="Heading2"/>
      </w:pPr>
      <w:proofErr w:type="gramStart"/>
      <w:r>
        <w:t>4.8  Piper</w:t>
      </w:r>
      <w:proofErr w:type="gramEnd"/>
      <w:r>
        <w:t xml:space="preserve"> </w:t>
      </w:r>
      <w:proofErr w:type="spellStart"/>
      <w:r>
        <w:t>methysticum</w:t>
      </w:r>
      <w:proofErr w:type="spellEnd"/>
      <w:r>
        <w:t xml:space="preserve"> G. </w:t>
      </w:r>
      <w:proofErr w:type="spellStart"/>
      <w:r>
        <w:t>Forst</w:t>
      </w:r>
      <w:proofErr w:type="spellEnd"/>
      <w:r>
        <w:t xml:space="preserve">. (Kava; Family: </w:t>
      </w:r>
      <w:proofErr w:type="spellStart"/>
      <w:r>
        <w:t>Piperaceae</w:t>
      </w:r>
      <w:proofErr w:type="spellEnd"/>
      <w:r>
        <w:t>)</w:t>
      </w:r>
    </w:p>
    <w:p w:rsidR="00D3095F" w:rsidRDefault="006C44ED">
      <w:pPr>
        <w:spacing w:after="160" w:line="360" w:lineRule="auto"/>
        <w:ind w:firstLine="720"/>
        <w:jc w:val="both"/>
      </w:pPr>
      <w:r>
        <w:t xml:space="preserve">Piper </w:t>
      </w:r>
      <w:proofErr w:type="spellStart"/>
      <w:r>
        <w:t>methysticum</w:t>
      </w:r>
      <w:proofErr w:type="spellEnd"/>
      <w:r>
        <w:t xml:space="preserve"> G. </w:t>
      </w:r>
      <w:proofErr w:type="spellStart"/>
      <w:r>
        <w:t>Forst</w:t>
      </w:r>
      <w:proofErr w:type="spellEnd"/>
      <w:r>
        <w:t xml:space="preserve">. (kava) is indigenous to the Pacific Islands and has been a </w:t>
      </w:r>
      <w:proofErr w:type="spellStart"/>
      <w:r>
        <w:t>centrepiece</w:t>
      </w:r>
      <w:proofErr w:type="spellEnd"/>
      <w:r>
        <w:t xml:space="preserve"> of ceremonial, social and medicinal life across Melanesia, Micronesia and Polynesia for at least 3,000 years. In ethnobotanical terms, it occupies a unique position as a plant with continuous, well-documented, high-frequency use specifically for anxiety, social </w:t>
      </w:r>
      <w:r>
        <w:lastRenderedPageBreak/>
        <w:t>inhibition and sleeplessness within an extensive and well-</w:t>
      </w:r>
      <w:proofErr w:type="spellStart"/>
      <w:r>
        <w:t>characterised</w:t>
      </w:r>
      <w:proofErr w:type="spellEnd"/>
      <w:r>
        <w:t xml:space="preserve"> indigenous pharmacopoeia (</w:t>
      </w:r>
      <w:proofErr w:type="spellStart"/>
      <w:r>
        <w:t>Lebot</w:t>
      </w:r>
      <w:proofErr w:type="spellEnd"/>
      <w:r>
        <w:t xml:space="preserve"> et al., 1992). Its contemporary reintroduction into Western phytomedicine following mid-1990s European clinical trials generated one of the most debated regulatory controversies in herbal medicine history — the hepatotoxicity concerns of the early 2000s — providing a cautionary tale regarding the importance of </w:t>
      </w:r>
      <w:proofErr w:type="spellStart"/>
      <w:r>
        <w:t>standardisation</w:t>
      </w:r>
      <w:proofErr w:type="spellEnd"/>
      <w:r>
        <w:t>, quality control and pharmacovigilance (WHO, 2007).</w:t>
      </w:r>
    </w:p>
    <w:p w:rsidR="00D3095F" w:rsidRDefault="006C44ED">
      <w:pPr>
        <w:spacing w:after="160" w:line="360" w:lineRule="auto"/>
        <w:ind w:firstLine="720"/>
        <w:jc w:val="both"/>
      </w:pPr>
      <w:r>
        <w:t xml:space="preserve">Active constituents are the kavalactones — a group of alpha-pyrones (kavain, </w:t>
      </w:r>
      <w:proofErr w:type="spellStart"/>
      <w:r>
        <w:t>dihydrokavain</w:t>
      </w:r>
      <w:proofErr w:type="spellEnd"/>
      <w:r>
        <w:t xml:space="preserve">, </w:t>
      </w:r>
      <w:proofErr w:type="spellStart"/>
      <w:r>
        <w:t>methysticin</w:t>
      </w:r>
      <w:proofErr w:type="spellEnd"/>
      <w:r>
        <w:t xml:space="preserve">, </w:t>
      </w:r>
      <w:proofErr w:type="spellStart"/>
      <w:r>
        <w:t>dihydromethysticin</w:t>
      </w:r>
      <w:proofErr w:type="spellEnd"/>
      <w:r>
        <w:t xml:space="preserve">, yangonin, </w:t>
      </w:r>
      <w:proofErr w:type="spellStart"/>
      <w:r>
        <w:t>desmethoxyyangonin</w:t>
      </w:r>
      <w:proofErr w:type="spellEnd"/>
      <w:r>
        <w:t xml:space="preserve">) </w:t>
      </w:r>
      <w:proofErr w:type="spellStart"/>
      <w:r>
        <w:t>biosynthesised</w:t>
      </w:r>
      <w:proofErr w:type="spellEnd"/>
      <w:r>
        <w:t xml:space="preserve"> in the peeled root and rhizome (</w:t>
      </w:r>
      <w:proofErr w:type="spellStart"/>
      <w:r>
        <w:t>Lebot</w:t>
      </w:r>
      <w:proofErr w:type="spellEnd"/>
      <w:r>
        <w:t xml:space="preserve"> et al., 1992). Kavalactones modulate multiple neurochemical systems: they block voltage-gated sodium and calcium channels; kavain and </w:t>
      </w:r>
      <w:proofErr w:type="spellStart"/>
      <w:r>
        <w:t>dihydromethysticin</w:t>
      </w:r>
      <w:proofErr w:type="spellEnd"/>
      <w:r>
        <w:t xml:space="preserve"> bind to GABA-A receptors in a site distinct from both benzodiazepines and barbiturates; yangonin binds the cannabinoid CB1 receptor; and </w:t>
      </w:r>
      <w:proofErr w:type="spellStart"/>
      <w:r>
        <w:t>desmethoxyyangonin</w:t>
      </w:r>
      <w:proofErr w:type="spellEnd"/>
      <w:r>
        <w:t xml:space="preserve"> inhibits monoamine reuptake (Sarris et al., 2011). A Cochrane review by </w:t>
      </w:r>
      <w:proofErr w:type="spellStart"/>
      <w:r>
        <w:t>Pittler</w:t>
      </w:r>
      <w:proofErr w:type="spellEnd"/>
      <w:r>
        <w:t xml:space="preserve"> and Ernst (2003) of 11 </w:t>
      </w:r>
      <w:proofErr w:type="spellStart"/>
      <w:r>
        <w:t>randomised</w:t>
      </w:r>
      <w:proofErr w:type="spellEnd"/>
      <w:r>
        <w:t xml:space="preserve"> controlled trials concluded that kava extract was significantly superior to placebo for anxiety reduction with a large effect size (weighted mean difference on the Hamilton Anxiety Rating Scale: −5.0 points, 95% CI −8.0 to −1.9). WHO (2007) concluded that authentic, traditionally prepared noble kava is safe when consumed appropriately and that documented hepatotoxicity cases were associated primarily with use of the less noble </w:t>
      </w:r>
      <w:proofErr w:type="spellStart"/>
      <w:r>
        <w:t>tudei</w:t>
      </w:r>
      <w:proofErr w:type="spellEnd"/>
      <w:r>
        <w:t xml:space="preserve"> variety, non-root plant parts or acetone/ethanol extraction.</w:t>
      </w:r>
    </w:p>
    <w:p w:rsidR="00D3095F" w:rsidRDefault="006C44ED">
      <w:pPr>
        <w:pStyle w:val="Heading2"/>
      </w:pPr>
      <w:proofErr w:type="gramStart"/>
      <w:r>
        <w:t>4.9  Bacopa</w:t>
      </w:r>
      <w:proofErr w:type="gramEnd"/>
      <w:r>
        <w:t xml:space="preserve"> </w:t>
      </w:r>
      <w:proofErr w:type="spellStart"/>
      <w:r>
        <w:t>monnieri</w:t>
      </w:r>
      <w:proofErr w:type="spellEnd"/>
      <w:r>
        <w:t xml:space="preserve"> (L.) </w:t>
      </w:r>
      <w:proofErr w:type="spellStart"/>
      <w:r>
        <w:t>Wettst</w:t>
      </w:r>
      <w:proofErr w:type="spellEnd"/>
      <w:r>
        <w:t>. (Brahmi; Family: Plantaginaceae)</w:t>
      </w:r>
    </w:p>
    <w:p w:rsidR="00D3095F" w:rsidRDefault="006C44ED">
      <w:pPr>
        <w:spacing w:after="160" w:line="360" w:lineRule="auto"/>
        <w:ind w:firstLine="720"/>
        <w:jc w:val="both"/>
      </w:pPr>
      <w:r>
        <w:t xml:space="preserve">Bacopa </w:t>
      </w:r>
      <w:proofErr w:type="spellStart"/>
      <w:r>
        <w:t>monnieri</w:t>
      </w:r>
      <w:proofErr w:type="spellEnd"/>
      <w:r>
        <w:t xml:space="preserve"> (L.) </w:t>
      </w:r>
      <w:proofErr w:type="spellStart"/>
      <w:r>
        <w:t>Wettst</w:t>
      </w:r>
      <w:proofErr w:type="spellEnd"/>
      <w:r>
        <w:t>. (</w:t>
      </w:r>
      <w:proofErr w:type="spellStart"/>
      <w:r>
        <w:t>brahmi</w:t>
      </w:r>
      <w:proofErr w:type="spellEnd"/>
      <w:r>
        <w:t xml:space="preserve">, water hyssop) is one of the two plants bearing the Sanskrit name </w:t>
      </w:r>
      <w:proofErr w:type="spellStart"/>
      <w:r>
        <w:t>brahmi</w:t>
      </w:r>
      <w:proofErr w:type="spellEnd"/>
      <w:r>
        <w:t xml:space="preserve"> in Ayurvedic medicine (the other being </w:t>
      </w:r>
      <w:proofErr w:type="spellStart"/>
      <w:r>
        <w:t>Centella</w:t>
      </w:r>
      <w:proofErr w:type="spellEnd"/>
      <w:r>
        <w:t xml:space="preserve"> </w:t>
      </w:r>
      <w:proofErr w:type="spellStart"/>
      <w:r>
        <w:t>asiatica</w:t>
      </w:r>
      <w:proofErr w:type="spellEnd"/>
      <w:r>
        <w:t xml:space="preserve">) and is specifically indicated as a </w:t>
      </w:r>
      <w:proofErr w:type="spellStart"/>
      <w:r>
        <w:t>medhya</w:t>
      </w:r>
      <w:proofErr w:type="spellEnd"/>
      <w:r>
        <w:t xml:space="preserve"> </w:t>
      </w:r>
      <w:proofErr w:type="spellStart"/>
      <w:r>
        <w:t>rasayana</w:t>
      </w:r>
      <w:proofErr w:type="spellEnd"/>
      <w:r>
        <w:t xml:space="preserve"> for cognitive enhancement, anxiety and nervous debility. Ethnobotanical surveys across India, Nepal, Bangladesh, Sri Lanka, Thailand and Vietnam document B. </w:t>
      </w:r>
      <w:proofErr w:type="spellStart"/>
      <w:r>
        <w:t>monnieri</w:t>
      </w:r>
      <w:proofErr w:type="spellEnd"/>
      <w:r>
        <w:t xml:space="preserve"> for mental fatigue, anxiety, memory impairment and depressive states, with the plant used both medicinally and ritually in Hindu ceremonies (</w:t>
      </w:r>
      <w:proofErr w:type="spellStart"/>
      <w:r>
        <w:t>Stough</w:t>
      </w:r>
      <w:proofErr w:type="spellEnd"/>
      <w:r>
        <w:t xml:space="preserve"> et al., 2001).</w:t>
      </w:r>
    </w:p>
    <w:p w:rsidR="00D3095F" w:rsidRDefault="006C44ED">
      <w:pPr>
        <w:spacing w:after="160" w:line="360" w:lineRule="auto"/>
        <w:ind w:firstLine="720"/>
        <w:jc w:val="both"/>
      </w:pPr>
      <w:r>
        <w:t xml:space="preserve">The characteristic bioactive constituents are dammarane-type triterpenoid saponins designated bacosides, particularly bacoside A (comprising </w:t>
      </w:r>
      <w:proofErr w:type="spellStart"/>
      <w:r>
        <w:t>bacosaponins</w:t>
      </w:r>
      <w:proofErr w:type="spellEnd"/>
      <w:r>
        <w:t xml:space="preserve"> A, B and C) and bacoside B. These compounds facilitate synaptic plasticity through enhanced protein kinase activity in hippocampal neurons, modulate cortical serotonin and dopamine levels and exert antioxidant effects in the cerebellum and frontal cortex (Bhattacharya et al., 2000b). </w:t>
      </w:r>
      <w:proofErr w:type="spellStart"/>
      <w:r>
        <w:t>Stough</w:t>
      </w:r>
      <w:proofErr w:type="spellEnd"/>
      <w:r>
        <w:t xml:space="preserve"> </w:t>
      </w:r>
      <w:r>
        <w:lastRenderedPageBreak/>
        <w:t xml:space="preserve">et al. (2001) conducted a double-blind </w:t>
      </w:r>
      <w:proofErr w:type="spellStart"/>
      <w:r>
        <w:t>randomised</w:t>
      </w:r>
      <w:proofErr w:type="spellEnd"/>
      <w:r>
        <w:t xml:space="preserve"> controlled trial in 76 healthy adults, demonstrating that chronic supplementation with B. </w:t>
      </w:r>
      <w:proofErr w:type="spellStart"/>
      <w:r>
        <w:t>monnieri</w:t>
      </w:r>
      <w:proofErr w:type="spellEnd"/>
      <w:r>
        <w:t xml:space="preserve"> extract (300 mg/day) over 12 weeks significantly improved information processing speed and reduced anxiety on the State-Trait Anxiety Inventory compared to placebo.</w:t>
      </w:r>
    </w:p>
    <w:p w:rsidR="00D3095F" w:rsidRDefault="006C44ED">
      <w:pPr>
        <w:pStyle w:val="Heading2"/>
      </w:pPr>
      <w:proofErr w:type="gramStart"/>
      <w:r>
        <w:t xml:space="preserve">4.10  </w:t>
      </w:r>
      <w:proofErr w:type="spellStart"/>
      <w:r>
        <w:t>Rhodiola</w:t>
      </w:r>
      <w:proofErr w:type="spellEnd"/>
      <w:proofErr w:type="gramEnd"/>
      <w:r>
        <w:t xml:space="preserve"> </w:t>
      </w:r>
      <w:proofErr w:type="spellStart"/>
      <w:r>
        <w:t>rosea</w:t>
      </w:r>
      <w:proofErr w:type="spellEnd"/>
      <w:r>
        <w:t xml:space="preserve"> L. (Golden Root; Family: Crassulaceae)</w:t>
      </w:r>
    </w:p>
    <w:p w:rsidR="00D3095F" w:rsidRDefault="006C44ED">
      <w:pPr>
        <w:spacing w:after="160" w:line="360" w:lineRule="auto"/>
        <w:ind w:firstLine="720"/>
        <w:jc w:val="both"/>
      </w:pPr>
      <w:proofErr w:type="spellStart"/>
      <w:r>
        <w:t>Rhodiola</w:t>
      </w:r>
      <w:proofErr w:type="spellEnd"/>
      <w:r>
        <w:t xml:space="preserve"> </w:t>
      </w:r>
      <w:proofErr w:type="spellStart"/>
      <w:r>
        <w:t>rosea</w:t>
      </w:r>
      <w:proofErr w:type="spellEnd"/>
      <w:r>
        <w:t xml:space="preserve"> L. (golden root, Arctic root) is an </w:t>
      </w:r>
      <w:proofErr w:type="spellStart"/>
      <w:r>
        <w:t>adaptogenic</w:t>
      </w:r>
      <w:proofErr w:type="spellEnd"/>
      <w:r>
        <w:t xml:space="preserve"> succulent documented in Siberian, Scandinavian, Tibetan, Mongolian and Chinese mountain folk traditions as a remedy for fatigue, cold-induced stress, depression and nervousness. Ethnobotanical records from Siberian indigenous groups, documented by Soviet ethnobotanists from the 1960s onward, describe R. </w:t>
      </w:r>
      <w:proofErr w:type="spellStart"/>
      <w:r>
        <w:t>rosea</w:t>
      </w:r>
      <w:proofErr w:type="spellEnd"/>
      <w:r>
        <w:t xml:space="preserve"> root preparations administered as cold-water or aqueous-alcoholic extracts to improve physical and mental endurance and elevate mood (</w:t>
      </w:r>
      <w:proofErr w:type="spellStart"/>
      <w:r>
        <w:t>Panossian</w:t>
      </w:r>
      <w:proofErr w:type="spellEnd"/>
      <w:r>
        <w:t xml:space="preserve"> &amp; </w:t>
      </w:r>
      <w:proofErr w:type="spellStart"/>
      <w:r>
        <w:t>Wikman</w:t>
      </w:r>
      <w:proofErr w:type="spellEnd"/>
      <w:r>
        <w:t>, 2010).</w:t>
      </w:r>
    </w:p>
    <w:p w:rsidR="00D3095F" w:rsidRDefault="006C44ED">
      <w:pPr>
        <w:spacing w:after="160" w:line="360" w:lineRule="auto"/>
        <w:ind w:firstLine="720"/>
        <w:jc w:val="both"/>
      </w:pPr>
      <w:r>
        <w:t xml:space="preserve">Active constituents include the </w:t>
      </w:r>
      <w:proofErr w:type="spellStart"/>
      <w:r>
        <w:t>phenylethanol</w:t>
      </w:r>
      <w:proofErr w:type="spellEnd"/>
      <w:r>
        <w:t xml:space="preserve"> glycoside salidroside (</w:t>
      </w:r>
      <w:proofErr w:type="spellStart"/>
      <w:r>
        <w:t>rhodioloside</w:t>
      </w:r>
      <w:proofErr w:type="spellEnd"/>
      <w:r>
        <w:t xml:space="preserve">) and its aglycone </w:t>
      </w:r>
      <w:proofErr w:type="spellStart"/>
      <w:r>
        <w:t>tyrosol</w:t>
      </w:r>
      <w:proofErr w:type="spellEnd"/>
      <w:r>
        <w:t xml:space="preserve">, the cinnamyl alcohol glycosides </w:t>
      </w:r>
      <w:proofErr w:type="spellStart"/>
      <w:r>
        <w:t>rosavins</w:t>
      </w:r>
      <w:proofErr w:type="spellEnd"/>
      <w:r>
        <w:t xml:space="preserve"> (rosavin, rosin, </w:t>
      </w:r>
      <w:proofErr w:type="spellStart"/>
      <w:r>
        <w:t>rosarin</w:t>
      </w:r>
      <w:proofErr w:type="spellEnd"/>
      <w:r>
        <w:t xml:space="preserve">) — markers used for commercial </w:t>
      </w:r>
      <w:proofErr w:type="spellStart"/>
      <w:r>
        <w:t>standardisation</w:t>
      </w:r>
      <w:proofErr w:type="spellEnd"/>
      <w:r>
        <w:t xml:space="preserve"> — and flavonoids (</w:t>
      </w:r>
      <w:proofErr w:type="spellStart"/>
      <w:r>
        <w:t>rhodionin</w:t>
      </w:r>
      <w:proofErr w:type="spellEnd"/>
      <w:r>
        <w:t xml:space="preserve">, </w:t>
      </w:r>
      <w:proofErr w:type="spellStart"/>
      <w:r>
        <w:t>rhodiosin</w:t>
      </w:r>
      <w:proofErr w:type="spellEnd"/>
      <w:r>
        <w:t>). The principal proposed mechanisms involve: (</w:t>
      </w:r>
      <w:proofErr w:type="spellStart"/>
      <w:r>
        <w:t>i</w:t>
      </w:r>
      <w:proofErr w:type="spellEnd"/>
      <w:r>
        <w:t>) inhibition of MAO-A and MAO-B activity by salidroside, providing a basis for antidepressant effect; (ii) modulation of HPA axis reactivity, with demonstrated attenuation of stress-induced cortisol elevation; and (iii) stimulation of serotonin and dopamine synthesis precursor availability (</w:t>
      </w:r>
      <w:proofErr w:type="spellStart"/>
      <w:r>
        <w:t>Darbinyan</w:t>
      </w:r>
      <w:proofErr w:type="spellEnd"/>
      <w:r>
        <w:t xml:space="preserve"> et al., 2000). A </w:t>
      </w:r>
      <w:proofErr w:type="spellStart"/>
      <w:r>
        <w:t>randomised</w:t>
      </w:r>
      <w:proofErr w:type="spellEnd"/>
      <w:r>
        <w:t xml:space="preserve"> double-blind trial by </w:t>
      </w:r>
      <w:proofErr w:type="spellStart"/>
      <w:r>
        <w:t>Darbinyan</w:t>
      </w:r>
      <w:proofErr w:type="spellEnd"/>
      <w:r>
        <w:t xml:space="preserve"> et al. (2000) found that R. </w:t>
      </w:r>
      <w:proofErr w:type="spellStart"/>
      <w:r>
        <w:t>rosea</w:t>
      </w:r>
      <w:proofErr w:type="spellEnd"/>
      <w:r>
        <w:t xml:space="preserve"> </w:t>
      </w:r>
      <w:proofErr w:type="spellStart"/>
      <w:r>
        <w:t>standardised</w:t>
      </w:r>
      <w:proofErr w:type="spellEnd"/>
      <w:r>
        <w:t xml:space="preserve"> extract SHR-5 significantly reduced fatigue and improved mental performance in physicians during night duty at a low repeated dose, without adverse effects.</w:t>
      </w:r>
    </w:p>
    <w:p w:rsidR="00D3095F" w:rsidRDefault="006C44ED">
      <w:pPr>
        <w:pStyle w:val="Heading2"/>
      </w:pPr>
      <w:proofErr w:type="gramStart"/>
      <w:r>
        <w:t>4.11  Crocus</w:t>
      </w:r>
      <w:proofErr w:type="gramEnd"/>
      <w:r>
        <w:t xml:space="preserve"> sativus L. (Saffron; Family: Iridaceae)</w:t>
      </w:r>
    </w:p>
    <w:p w:rsidR="00D3095F" w:rsidRDefault="006C44ED">
      <w:pPr>
        <w:spacing w:after="160" w:line="360" w:lineRule="auto"/>
        <w:ind w:firstLine="720"/>
        <w:jc w:val="both"/>
      </w:pPr>
      <w:r>
        <w:t>Saffron, the dried stigmas of Crocus sativus L., has been used medicinally in Persian, Greek, Egyptian, Indian and Chinese traditions for over three millennia. In Persian (Unani) medicine it is specifically indicated for conditions of grief, melancholy, heart palpitation and sleeplessness, making it one of the oldest documented botanical antidepressants (</w:t>
      </w:r>
      <w:proofErr w:type="spellStart"/>
      <w:r>
        <w:t>Akhondzadeh</w:t>
      </w:r>
      <w:proofErr w:type="spellEnd"/>
      <w:r>
        <w:t xml:space="preserve"> et al., 2005). Ethnobotanical surveys across Iran, Turkey, India and Morocco document its continued domestic use for depression and anxiety in folk practice, typically as a saffron-infused milk beverage (</w:t>
      </w:r>
      <w:proofErr w:type="spellStart"/>
      <w:r>
        <w:t>Shahmansouri</w:t>
      </w:r>
      <w:proofErr w:type="spellEnd"/>
      <w:r>
        <w:t xml:space="preserve"> et al., 2014).</w:t>
      </w:r>
    </w:p>
    <w:p w:rsidR="00D3095F" w:rsidRDefault="006C44ED">
      <w:pPr>
        <w:spacing w:after="160" w:line="360" w:lineRule="auto"/>
        <w:ind w:firstLine="720"/>
        <w:jc w:val="both"/>
      </w:pPr>
      <w:r>
        <w:lastRenderedPageBreak/>
        <w:t xml:space="preserve">The principal bioactive constituents are the carotenoid glycoside </w:t>
      </w:r>
      <w:proofErr w:type="spellStart"/>
      <w:r>
        <w:t>crocins</w:t>
      </w:r>
      <w:proofErr w:type="spellEnd"/>
      <w:r>
        <w:t xml:space="preserve"> (crocetin di- and mono-glucosyl esters), the monoterpene aldehyde </w:t>
      </w:r>
      <w:proofErr w:type="spellStart"/>
      <w:r>
        <w:t>safranal</w:t>
      </w:r>
      <w:proofErr w:type="spellEnd"/>
      <w:r>
        <w:t xml:space="preserve"> (responsible for the distinctive aroma) and the bitter glycoside picrocrocin. </w:t>
      </w:r>
      <w:proofErr w:type="spellStart"/>
      <w:r>
        <w:t>Crocins</w:t>
      </w:r>
      <w:proofErr w:type="spellEnd"/>
      <w:r>
        <w:t xml:space="preserve"> and </w:t>
      </w:r>
      <w:proofErr w:type="spellStart"/>
      <w:r>
        <w:t>safranal</w:t>
      </w:r>
      <w:proofErr w:type="spellEnd"/>
      <w:r>
        <w:t xml:space="preserve"> have been demonstrated to inhibit reuptake of serotonin, dopamine and noradrenaline in rat brain </w:t>
      </w:r>
      <w:proofErr w:type="spellStart"/>
      <w:r>
        <w:t>synaptosomes</w:t>
      </w:r>
      <w:proofErr w:type="spellEnd"/>
      <w:r>
        <w:t xml:space="preserve"> at concentrations consistent with oral bioavailability (</w:t>
      </w:r>
      <w:proofErr w:type="spellStart"/>
      <w:r>
        <w:t>Akhondzadeh</w:t>
      </w:r>
      <w:proofErr w:type="spellEnd"/>
      <w:r>
        <w:t xml:space="preserve"> et al., 2005; </w:t>
      </w:r>
      <w:proofErr w:type="spellStart"/>
      <w:r>
        <w:t>Hosseinzadeh</w:t>
      </w:r>
      <w:proofErr w:type="spellEnd"/>
      <w:r>
        <w:t xml:space="preserve"> &amp; </w:t>
      </w:r>
      <w:proofErr w:type="spellStart"/>
      <w:r>
        <w:t>Noraei</w:t>
      </w:r>
      <w:proofErr w:type="spellEnd"/>
      <w:r>
        <w:t xml:space="preserve">, 2009). A double-blind </w:t>
      </w:r>
      <w:proofErr w:type="spellStart"/>
      <w:r>
        <w:t>randomised</w:t>
      </w:r>
      <w:proofErr w:type="spellEnd"/>
      <w:r>
        <w:t xml:space="preserve"> trial by </w:t>
      </w:r>
      <w:proofErr w:type="spellStart"/>
      <w:r>
        <w:t>Akhondzadeh</w:t>
      </w:r>
      <w:proofErr w:type="spellEnd"/>
      <w:r>
        <w:t xml:space="preserve"> et al. (2005) demonstrated equivalence of 30 mg/day saffron extract with 20 mg/day fluoxetine for mild-to-moderate depression at six weeks, with fewer sexual adverse effects. A systematic review and meta-analysis by Marx et al. (2019) across six </w:t>
      </w:r>
      <w:proofErr w:type="spellStart"/>
      <w:r>
        <w:t>randomised</w:t>
      </w:r>
      <w:proofErr w:type="spellEnd"/>
      <w:r>
        <w:t xml:space="preserve"> trials confirmed that saffron supplementation was significantly more effective than placebo for both depression and anxiety outcomes.</w:t>
      </w:r>
    </w:p>
    <w:p w:rsidR="00D3095F" w:rsidRDefault="006C44ED">
      <w:pPr>
        <w:pStyle w:val="Heading2"/>
      </w:pPr>
      <w:proofErr w:type="gramStart"/>
      <w:r>
        <w:t xml:space="preserve">4.12  </w:t>
      </w:r>
      <w:proofErr w:type="spellStart"/>
      <w:r>
        <w:t>Scutellaria</w:t>
      </w:r>
      <w:proofErr w:type="spellEnd"/>
      <w:proofErr w:type="gramEnd"/>
      <w:r>
        <w:t xml:space="preserve"> </w:t>
      </w:r>
      <w:proofErr w:type="spellStart"/>
      <w:r>
        <w:t>baicalensis</w:t>
      </w:r>
      <w:proofErr w:type="spellEnd"/>
      <w:r>
        <w:t xml:space="preserve"> Georgi and </w:t>
      </w:r>
      <w:proofErr w:type="spellStart"/>
      <w:r>
        <w:t>Scutellaria</w:t>
      </w:r>
      <w:proofErr w:type="spellEnd"/>
      <w:r>
        <w:t xml:space="preserve"> </w:t>
      </w:r>
      <w:proofErr w:type="spellStart"/>
      <w:r>
        <w:t>lateriflora</w:t>
      </w:r>
      <w:proofErr w:type="spellEnd"/>
      <w:r>
        <w:t xml:space="preserve"> L. (Skullcap; Family: </w:t>
      </w:r>
      <w:proofErr w:type="spellStart"/>
      <w:r>
        <w:t>Lamiaceae</w:t>
      </w:r>
      <w:proofErr w:type="spellEnd"/>
      <w:r>
        <w:t>)</w:t>
      </w:r>
    </w:p>
    <w:p w:rsidR="00D3095F" w:rsidRDefault="006C44ED">
      <w:pPr>
        <w:spacing w:after="160" w:line="360" w:lineRule="auto"/>
        <w:ind w:firstLine="720"/>
        <w:jc w:val="both"/>
      </w:pPr>
      <w:r>
        <w:t xml:space="preserve">Two species of </w:t>
      </w:r>
      <w:proofErr w:type="spellStart"/>
      <w:r>
        <w:t>Scutellaria</w:t>
      </w:r>
      <w:proofErr w:type="spellEnd"/>
      <w:r>
        <w:t xml:space="preserve"> are ethnobotanically prominent for anxiety and depression. </w:t>
      </w:r>
      <w:proofErr w:type="spellStart"/>
      <w:r>
        <w:t>Scutellaria</w:t>
      </w:r>
      <w:proofErr w:type="spellEnd"/>
      <w:r>
        <w:t xml:space="preserve"> </w:t>
      </w:r>
      <w:proofErr w:type="spellStart"/>
      <w:r>
        <w:t>baicalensis</w:t>
      </w:r>
      <w:proofErr w:type="spellEnd"/>
      <w:r>
        <w:t xml:space="preserve"> Georgi (Chinese skullcap, </w:t>
      </w:r>
      <w:proofErr w:type="spellStart"/>
      <w:r>
        <w:t>huang</w:t>
      </w:r>
      <w:proofErr w:type="spellEnd"/>
      <w:r>
        <w:t xml:space="preserve"> </w:t>
      </w:r>
      <w:proofErr w:type="spellStart"/>
      <w:r>
        <w:t>qin</w:t>
      </w:r>
      <w:proofErr w:type="spellEnd"/>
      <w:r>
        <w:t xml:space="preserve">) is one of the fifty fundamental herbs of TCM, employed in poly-herbal formulations for a broad range of inflammatory and neuropsychiatric conditions including anxiety and insomnia (Zheng et al., 2014). </w:t>
      </w:r>
      <w:proofErr w:type="spellStart"/>
      <w:r>
        <w:t>Scutellaria</w:t>
      </w:r>
      <w:proofErr w:type="spellEnd"/>
      <w:r>
        <w:t xml:space="preserve"> </w:t>
      </w:r>
      <w:proofErr w:type="spellStart"/>
      <w:r>
        <w:t>lateriflora</w:t>
      </w:r>
      <w:proofErr w:type="spellEnd"/>
      <w:r>
        <w:t xml:space="preserve"> L. (American skullcap) is a North American species used by multiple indigenous nations including the Cherokee for nervousness, anxiety and epilepsy, and later adopted into Eclectic medicine as a reliable nervine tonic (</w:t>
      </w:r>
      <w:proofErr w:type="spellStart"/>
      <w:r>
        <w:t>Moerman</w:t>
      </w:r>
      <w:proofErr w:type="spellEnd"/>
      <w:r>
        <w:t>, 1998). Both species are documented in contemporary European and North American herbal practice for anxiety and insomnia.</w:t>
      </w:r>
    </w:p>
    <w:p w:rsidR="00D3095F" w:rsidRDefault="006C44ED">
      <w:pPr>
        <w:spacing w:after="160" w:line="360" w:lineRule="auto"/>
        <w:ind w:firstLine="720"/>
        <w:jc w:val="both"/>
      </w:pPr>
      <w:r>
        <w:t xml:space="preserve">S. </w:t>
      </w:r>
      <w:proofErr w:type="spellStart"/>
      <w:r>
        <w:t>baicalensis</w:t>
      </w:r>
      <w:proofErr w:type="spellEnd"/>
      <w:r>
        <w:t xml:space="preserve"> root contains high concentrations of the flavonoids baicalin, baicalein, wogonin and wogonoside. Baicalin binds to GABA-A receptors at the benzodiazepine recognition site with moderate affinity and produces anxiolytic effects in rodents at doses that do not impair locomotion (Zheng et al., 2014). Wogonin demonstrates selective affinity for GABA-A receptors containing the gamma subunit, which are implicated in anxiolytic rather than sedative or amnestic drug effects, representing a potentially improved pharmacological profile (Shao et al., 2012). Brock et al. (2014) conducted a double-blind crossover trial of S. </w:t>
      </w:r>
      <w:proofErr w:type="spellStart"/>
      <w:r>
        <w:t>lateriflora</w:t>
      </w:r>
      <w:proofErr w:type="spellEnd"/>
      <w:r>
        <w:t xml:space="preserve"> extract in 43 healthy volunteers and found significant improvements in global mood and anxiety on the Profile of Mood States, without cognitive impairment.</w:t>
      </w:r>
    </w:p>
    <w:p w:rsidR="00D3095F" w:rsidRDefault="006C44ED">
      <w:pPr>
        <w:pStyle w:val="Heading2"/>
      </w:pPr>
      <w:proofErr w:type="gramStart"/>
      <w:r>
        <w:t xml:space="preserve">4.13  </w:t>
      </w:r>
      <w:proofErr w:type="spellStart"/>
      <w:r>
        <w:t>Matricaria</w:t>
      </w:r>
      <w:proofErr w:type="spellEnd"/>
      <w:proofErr w:type="gramEnd"/>
      <w:r>
        <w:t xml:space="preserve"> chamomilla L. (German Chamomile; Family: Asteraceae)</w:t>
      </w:r>
    </w:p>
    <w:p w:rsidR="00D3095F" w:rsidRDefault="006C44ED">
      <w:pPr>
        <w:spacing w:after="160" w:line="360" w:lineRule="auto"/>
        <w:ind w:firstLine="720"/>
        <w:jc w:val="both"/>
      </w:pPr>
      <w:proofErr w:type="spellStart"/>
      <w:r>
        <w:lastRenderedPageBreak/>
        <w:t>Matricaria</w:t>
      </w:r>
      <w:proofErr w:type="spellEnd"/>
      <w:r>
        <w:t xml:space="preserve"> chamomilla L. (German chamomile) is among the most universally consumed medicinal plants globally. Its use for nervous restlessness, insomnia, gastrointestinal distress and anxiety is documented across European, North African, Middle Eastern, South Asian and Latin American traditions, making it arguably the most cross-culturally validated nervine plant species (Srivastava et al., 2010). In European </w:t>
      </w:r>
      <w:proofErr w:type="spellStart"/>
      <w:r>
        <w:t>phytotherapy</w:t>
      </w:r>
      <w:proofErr w:type="spellEnd"/>
      <w:r>
        <w:t xml:space="preserve"> it holds a Commission E approval for nervous restlessness, and it features in the pharmacopoeias of Germany, Austria, Hungary, Egypt, Brazil and many other nations.</w:t>
      </w:r>
    </w:p>
    <w:p w:rsidR="00D3095F" w:rsidRDefault="006C44ED">
      <w:pPr>
        <w:spacing w:after="160" w:line="360" w:lineRule="auto"/>
        <w:ind w:firstLine="720"/>
        <w:jc w:val="both"/>
      </w:pPr>
      <w:r>
        <w:t>The anxiolytic and sedative activity of M. chamomilla is primarily attributed to the flavonoid apigenin, which binds to benzodiazepine receptors with moderate affinity (Ki approximately 4 µM in human brain preparations) and produces anxiolytic and sedative effects in mice that are blocked by the benzodiazepine antagonist flumazenil, confirming receptor-mediated activity (</w:t>
      </w:r>
      <w:proofErr w:type="spellStart"/>
      <w:r>
        <w:t>Avallone</w:t>
      </w:r>
      <w:proofErr w:type="spellEnd"/>
      <w:r>
        <w:t xml:space="preserve"> et al., 2000). The sesquiterpene alpha-</w:t>
      </w:r>
      <w:proofErr w:type="spellStart"/>
      <w:r>
        <w:t>bisabolol</w:t>
      </w:r>
      <w:proofErr w:type="spellEnd"/>
      <w:r>
        <w:t xml:space="preserve"> and chamazulene (an artefact generated from </w:t>
      </w:r>
      <w:proofErr w:type="spellStart"/>
      <w:r>
        <w:t>matricine</w:t>
      </w:r>
      <w:proofErr w:type="spellEnd"/>
      <w:r>
        <w:t xml:space="preserve"> during steam distillation) contribute anti-inflammatory activity relevant to anxiety-associated systemic inflammation. Amsterdam et al. (2009) published a double-blind </w:t>
      </w:r>
      <w:proofErr w:type="spellStart"/>
      <w:r>
        <w:t>randomised</w:t>
      </w:r>
      <w:proofErr w:type="spellEnd"/>
      <w:r>
        <w:t xml:space="preserve"> trial in 57 patients with </w:t>
      </w:r>
      <w:proofErr w:type="spellStart"/>
      <w:r>
        <w:t>generalised</w:t>
      </w:r>
      <w:proofErr w:type="spellEnd"/>
      <w:r>
        <w:t xml:space="preserve"> anxiety disorder, demonstrating that </w:t>
      </w:r>
      <w:proofErr w:type="spellStart"/>
      <w:r>
        <w:t>standardised</w:t>
      </w:r>
      <w:proofErr w:type="spellEnd"/>
      <w:r>
        <w:t xml:space="preserve"> chamomile extract (</w:t>
      </w:r>
      <w:proofErr w:type="spellStart"/>
      <w:r>
        <w:t>standardised</w:t>
      </w:r>
      <w:proofErr w:type="spellEnd"/>
      <w:r>
        <w:t xml:space="preserve"> to 1.2% apigenin, 220 mg daily) produced significantly greater anxiety reduction than placebo over eight weeks. A subsequent long-term follow-up study by Amsterdam et al. (2012) demonstrated that continued chamomile extract treatment significantly reduced relapse rates in patients with remitted </w:t>
      </w:r>
      <w:proofErr w:type="spellStart"/>
      <w:r>
        <w:t>generalised</w:t>
      </w:r>
      <w:proofErr w:type="spellEnd"/>
      <w:r>
        <w:t xml:space="preserve"> anxiety disorder.</w:t>
      </w:r>
    </w:p>
    <w:p w:rsidR="00D3095F" w:rsidRDefault="006C44ED">
      <w:pPr>
        <w:pStyle w:val="Heading2"/>
      </w:pPr>
      <w:proofErr w:type="gramStart"/>
      <w:r>
        <w:t xml:space="preserve">4.14  </w:t>
      </w:r>
      <w:proofErr w:type="spellStart"/>
      <w:r>
        <w:t>Centella</w:t>
      </w:r>
      <w:proofErr w:type="spellEnd"/>
      <w:proofErr w:type="gramEnd"/>
      <w:r>
        <w:t xml:space="preserve"> </w:t>
      </w:r>
      <w:proofErr w:type="spellStart"/>
      <w:r>
        <w:t>asiatica</w:t>
      </w:r>
      <w:proofErr w:type="spellEnd"/>
      <w:r>
        <w:t xml:space="preserve"> (L.) </w:t>
      </w:r>
      <w:proofErr w:type="spellStart"/>
      <w:r>
        <w:t>Urb</w:t>
      </w:r>
      <w:proofErr w:type="spellEnd"/>
      <w:r>
        <w:t xml:space="preserve">., </w:t>
      </w:r>
      <w:proofErr w:type="spellStart"/>
      <w:r>
        <w:t>Nardostachys</w:t>
      </w:r>
      <w:proofErr w:type="spellEnd"/>
      <w:r>
        <w:t xml:space="preserve"> </w:t>
      </w:r>
      <w:proofErr w:type="spellStart"/>
      <w:r>
        <w:t>jatamansi</w:t>
      </w:r>
      <w:proofErr w:type="spellEnd"/>
      <w:r>
        <w:t xml:space="preserve"> DC. and Other Significant Species</w:t>
      </w:r>
    </w:p>
    <w:p w:rsidR="00D3095F" w:rsidRDefault="006C44ED">
      <w:pPr>
        <w:spacing w:after="160" w:line="360" w:lineRule="auto"/>
        <w:ind w:firstLine="720"/>
        <w:jc w:val="both"/>
      </w:pPr>
      <w:proofErr w:type="spellStart"/>
      <w:r>
        <w:t>Centella</w:t>
      </w:r>
      <w:proofErr w:type="spellEnd"/>
      <w:r>
        <w:t xml:space="preserve"> </w:t>
      </w:r>
      <w:proofErr w:type="spellStart"/>
      <w:r>
        <w:t>asiatica</w:t>
      </w:r>
      <w:proofErr w:type="spellEnd"/>
      <w:r>
        <w:t xml:space="preserve"> (L.) </w:t>
      </w:r>
      <w:proofErr w:type="spellStart"/>
      <w:r>
        <w:t>Urb</w:t>
      </w:r>
      <w:proofErr w:type="spellEnd"/>
      <w:r>
        <w:t>. (</w:t>
      </w:r>
      <w:proofErr w:type="spellStart"/>
      <w:r>
        <w:t>gotu</w:t>
      </w:r>
      <w:proofErr w:type="spellEnd"/>
      <w:r>
        <w:t xml:space="preserve"> kola; family </w:t>
      </w:r>
      <w:proofErr w:type="spellStart"/>
      <w:r>
        <w:t>Apiaceae</w:t>
      </w:r>
      <w:proofErr w:type="spellEnd"/>
      <w:r>
        <w:t xml:space="preserve">) is a major </w:t>
      </w:r>
      <w:proofErr w:type="spellStart"/>
      <w:r>
        <w:t>medhya</w:t>
      </w:r>
      <w:proofErr w:type="spellEnd"/>
      <w:r>
        <w:t xml:space="preserve"> </w:t>
      </w:r>
      <w:proofErr w:type="spellStart"/>
      <w:r>
        <w:t>rasayana</w:t>
      </w:r>
      <w:proofErr w:type="spellEnd"/>
      <w:r>
        <w:t xml:space="preserve"> plant documented across South, South-East and East Asian traditions for anxiety, cognitive decline and sleeplessness (</w:t>
      </w:r>
      <w:proofErr w:type="spellStart"/>
      <w:r>
        <w:t>Satake</w:t>
      </w:r>
      <w:proofErr w:type="spellEnd"/>
      <w:r>
        <w:t xml:space="preserve"> et al., 2014). The principal bioactive triterpenoid saponins — </w:t>
      </w:r>
      <w:proofErr w:type="spellStart"/>
      <w:r>
        <w:t>asiaticoside</w:t>
      </w:r>
      <w:proofErr w:type="spellEnd"/>
      <w:r>
        <w:t xml:space="preserve">, madecassoside, </w:t>
      </w:r>
      <w:proofErr w:type="spellStart"/>
      <w:r>
        <w:t>asiatic</w:t>
      </w:r>
      <w:proofErr w:type="spellEnd"/>
      <w:r>
        <w:t xml:space="preserve"> acid and </w:t>
      </w:r>
      <w:proofErr w:type="spellStart"/>
      <w:r>
        <w:t>madecassic</w:t>
      </w:r>
      <w:proofErr w:type="spellEnd"/>
      <w:r>
        <w:t xml:space="preserve"> acid — have demonstrated anxiolytic activity in murine elevated plus-maze paradigms attributed to serotonergic and GABAergic mechanisms (Bhattacharya et al., 2000a). </w:t>
      </w:r>
      <w:proofErr w:type="spellStart"/>
      <w:r>
        <w:t>Nardostachys</w:t>
      </w:r>
      <w:proofErr w:type="spellEnd"/>
      <w:r>
        <w:t xml:space="preserve"> </w:t>
      </w:r>
      <w:proofErr w:type="spellStart"/>
      <w:r>
        <w:t>jatamansi</w:t>
      </w:r>
      <w:proofErr w:type="spellEnd"/>
      <w:r>
        <w:t xml:space="preserve"> DC. (spikenard; family Caprifoliaceae) is an Ayurvedic </w:t>
      </w:r>
      <w:proofErr w:type="spellStart"/>
      <w:r>
        <w:t>medhya</w:t>
      </w:r>
      <w:proofErr w:type="spellEnd"/>
      <w:r>
        <w:t xml:space="preserve"> </w:t>
      </w:r>
      <w:proofErr w:type="spellStart"/>
      <w:r>
        <w:t>rasayana</w:t>
      </w:r>
      <w:proofErr w:type="spellEnd"/>
      <w:r>
        <w:t xml:space="preserve"> documented in the </w:t>
      </w:r>
      <w:proofErr w:type="spellStart"/>
      <w:r>
        <w:t>Charaka</w:t>
      </w:r>
      <w:proofErr w:type="spellEnd"/>
      <w:r>
        <w:t xml:space="preserve"> Samhita specifically for insomnia and anxiety. Its sesquiterpenes, including </w:t>
      </w:r>
      <w:proofErr w:type="spellStart"/>
      <w:r>
        <w:t>jatamansone</w:t>
      </w:r>
      <w:proofErr w:type="spellEnd"/>
      <w:r>
        <w:t xml:space="preserve"> (</w:t>
      </w:r>
      <w:proofErr w:type="spellStart"/>
      <w:r>
        <w:t>valeranone</w:t>
      </w:r>
      <w:proofErr w:type="spellEnd"/>
      <w:r>
        <w:t xml:space="preserve">), are structurally and pharmacologically related to </w:t>
      </w:r>
      <w:proofErr w:type="spellStart"/>
      <w:r>
        <w:t>valerenic</w:t>
      </w:r>
      <w:proofErr w:type="spellEnd"/>
      <w:r>
        <w:t xml:space="preserve"> acids of V. officinalis and similarly modulate GABA-A receptors (Bhattacharya et al., 2000a).</w:t>
      </w:r>
    </w:p>
    <w:p w:rsidR="00D3095F" w:rsidRDefault="006C44ED">
      <w:pPr>
        <w:spacing w:after="160" w:line="360" w:lineRule="auto"/>
        <w:ind w:firstLine="720"/>
        <w:jc w:val="both"/>
      </w:pPr>
      <w:r>
        <w:lastRenderedPageBreak/>
        <w:t xml:space="preserve">Among additional species of ethnobotanical note, </w:t>
      </w:r>
      <w:proofErr w:type="spellStart"/>
      <w:r>
        <w:t>Eschscholzia</w:t>
      </w:r>
      <w:proofErr w:type="spellEnd"/>
      <w:r>
        <w:t xml:space="preserve"> </w:t>
      </w:r>
      <w:proofErr w:type="spellStart"/>
      <w:r>
        <w:t>californica</w:t>
      </w:r>
      <w:proofErr w:type="spellEnd"/>
      <w:r>
        <w:t xml:space="preserve"> Cham. (California poppy; family </w:t>
      </w:r>
      <w:proofErr w:type="spellStart"/>
      <w:r>
        <w:t>Papaveraceae</w:t>
      </w:r>
      <w:proofErr w:type="spellEnd"/>
      <w:r>
        <w:t xml:space="preserve">) is documented in North American indigenous and Eclectic medicine for insomnia and nervousness; its </w:t>
      </w:r>
      <w:proofErr w:type="spellStart"/>
      <w:r>
        <w:t>isoquinoline</w:t>
      </w:r>
      <w:proofErr w:type="spellEnd"/>
      <w:r>
        <w:t xml:space="preserve"> alkaloids, including californidine and </w:t>
      </w:r>
      <w:proofErr w:type="spellStart"/>
      <w:r>
        <w:t>eschscholtzine</w:t>
      </w:r>
      <w:proofErr w:type="spellEnd"/>
      <w:r>
        <w:t xml:space="preserve">, have demonstrated GABA-A receptor activity in vitro (Rolland et al., 1991). </w:t>
      </w:r>
      <w:proofErr w:type="spellStart"/>
      <w:r>
        <w:t>Tilia</w:t>
      </w:r>
      <w:proofErr w:type="spellEnd"/>
      <w:r>
        <w:t xml:space="preserve"> species (linden/lime blossom; family </w:t>
      </w:r>
      <w:proofErr w:type="spellStart"/>
      <w:r>
        <w:t>Malvaceae</w:t>
      </w:r>
      <w:proofErr w:type="spellEnd"/>
      <w:r>
        <w:t xml:space="preserve">) feature in ethnobotanical surveys across Europe, Turkey, Morocco and Latin America as widely used nervine teas for anxiety and insomnia; their sedative activity is attributed to volatile flavonoid components and p-coumaric acid (Pérez-Ortega et al., 2000). </w:t>
      </w:r>
      <w:proofErr w:type="spellStart"/>
      <w:r>
        <w:t>Ziziphus</w:t>
      </w:r>
      <w:proofErr w:type="spellEnd"/>
      <w:r>
        <w:t xml:space="preserve"> </w:t>
      </w:r>
      <w:proofErr w:type="spellStart"/>
      <w:r>
        <w:t>jujuba</w:t>
      </w:r>
      <w:proofErr w:type="spellEnd"/>
      <w:r>
        <w:t xml:space="preserve"> Mill. var. spinosa (Bunge) Hu ex </w:t>
      </w:r>
      <w:proofErr w:type="spellStart"/>
      <w:r>
        <w:t>H.</w:t>
      </w:r>
      <w:proofErr w:type="gramStart"/>
      <w:r>
        <w:t>F.Chow</w:t>
      </w:r>
      <w:proofErr w:type="spellEnd"/>
      <w:proofErr w:type="gramEnd"/>
      <w:r>
        <w:t xml:space="preserve"> (sour jujube; family </w:t>
      </w:r>
      <w:proofErr w:type="spellStart"/>
      <w:r>
        <w:t>Rhamnaceae</w:t>
      </w:r>
      <w:proofErr w:type="spellEnd"/>
      <w:r>
        <w:t xml:space="preserve">), the kernel of which is the principal ingredient in the TCM formula </w:t>
      </w:r>
      <w:proofErr w:type="spellStart"/>
      <w:r>
        <w:t>Suanzaoren</w:t>
      </w:r>
      <w:proofErr w:type="spellEnd"/>
      <w:r>
        <w:t xml:space="preserve"> Tang, contains </w:t>
      </w:r>
      <w:proofErr w:type="spellStart"/>
      <w:r>
        <w:t>jujubosides</w:t>
      </w:r>
      <w:proofErr w:type="spellEnd"/>
      <w:r>
        <w:t xml:space="preserve"> A and B — </w:t>
      </w:r>
      <w:proofErr w:type="spellStart"/>
      <w:r>
        <w:t>betulic</w:t>
      </w:r>
      <w:proofErr w:type="spellEnd"/>
      <w:r>
        <w:t xml:space="preserve"> acid glycosides that enhance GABA-A-mediated chloride influx (Han et al., 2009).</w:t>
      </w:r>
    </w:p>
    <w:p w:rsidR="00D3095F" w:rsidRDefault="006C44ED">
      <w:pPr>
        <w:pStyle w:val="Heading1"/>
      </w:pPr>
      <w:r>
        <w:t>5.  Cross-Cultural Convergence as Pharmacological Signal</w:t>
      </w:r>
    </w:p>
    <w:p w:rsidR="00D3095F" w:rsidRDefault="006C44ED">
      <w:pPr>
        <w:spacing w:after="160" w:line="360" w:lineRule="auto"/>
        <w:ind w:firstLine="720"/>
        <w:jc w:val="both"/>
      </w:pPr>
      <w:r>
        <w:t>The phenomenon of cross-cultural convergence — the independent selection of the same or taxonomically related plant species for identical therapeutic purposes by unconnected cultures — has been proposed as one of the most robust indicators of genuine pharmacological activity in ethnobotanical research (</w:t>
      </w:r>
      <w:proofErr w:type="spellStart"/>
      <w:r>
        <w:t>Moerman</w:t>
      </w:r>
      <w:proofErr w:type="spellEnd"/>
      <w:r>
        <w:t>, 1998). The logic underpinning this inference is straightforward: if populations separated by geography, language, cosmology and social structure independently discover that species X is effective for condition Y, it is parsimonious to attribute this convergence to the plant's actual pharmacological properties rather than to shared cultural diffusion or coincidence.</w:t>
      </w:r>
    </w:p>
    <w:p w:rsidR="00D3095F" w:rsidRDefault="006C44ED">
      <w:pPr>
        <w:spacing w:after="160" w:line="360" w:lineRule="auto"/>
        <w:ind w:firstLine="720"/>
        <w:jc w:val="both"/>
      </w:pPr>
      <w:r>
        <w:t xml:space="preserve">Applying this criterion to the species reviewed above reveals several highly convergent patterns. </w:t>
      </w:r>
      <w:proofErr w:type="spellStart"/>
      <w:r>
        <w:t>Valeriana</w:t>
      </w:r>
      <w:proofErr w:type="spellEnd"/>
      <w:r>
        <w:t xml:space="preserve"> officinalis and related congeners are used for insomnia and anxiety across European, Persian, Indian, Himalayan and Chinese traditions, without plausible historical diffusion pathways between all pairs of traditions. The </w:t>
      </w:r>
      <w:proofErr w:type="spellStart"/>
      <w:r>
        <w:t>lamiaceous</w:t>
      </w:r>
      <w:proofErr w:type="spellEnd"/>
      <w:r>
        <w:t xml:space="preserve"> </w:t>
      </w:r>
      <w:proofErr w:type="spellStart"/>
      <w:r>
        <w:t>nervines</w:t>
      </w:r>
      <w:proofErr w:type="spellEnd"/>
      <w:r>
        <w:t xml:space="preserve"> — Melissa officinalis, Lavandula angustifolia, </w:t>
      </w:r>
      <w:proofErr w:type="spellStart"/>
      <w:r>
        <w:t>Origanum</w:t>
      </w:r>
      <w:proofErr w:type="spellEnd"/>
      <w:r>
        <w:t xml:space="preserve"> spp. and Mentha spp. — are documented for nervous conditions from Scotland to Morocco to Iran to India, and the monoterpenoid-rich essential oils of this family demonstrate consistent GABA-A and NMDA receptor activities suggesting a common chemically grounded mechanism. Hypericum </w:t>
      </w:r>
      <w:proofErr w:type="spellStart"/>
      <w:r>
        <w:t>perforatum</w:t>
      </w:r>
      <w:proofErr w:type="spellEnd"/>
      <w:r>
        <w:t xml:space="preserve"> is used for melancholy and nervous exhaustion across European, Turkish, Iranian and South African traditions. </w:t>
      </w:r>
      <w:proofErr w:type="spellStart"/>
      <w:r>
        <w:t>Passiflora</w:t>
      </w:r>
      <w:proofErr w:type="spellEnd"/>
      <w:r>
        <w:t xml:space="preserve"> </w:t>
      </w:r>
      <w:proofErr w:type="spellStart"/>
      <w:r>
        <w:t>incarnata</w:t>
      </w:r>
      <w:proofErr w:type="spellEnd"/>
      <w:r>
        <w:t xml:space="preserve"> is used for anxiety and insomnia in North American indigenous traditions and in European folk medicine into which it was introduced, with independent pharmacological convergence.</w:t>
      </w:r>
    </w:p>
    <w:p w:rsidR="00D3095F" w:rsidRDefault="006C44ED">
      <w:pPr>
        <w:spacing w:after="160" w:line="360" w:lineRule="auto"/>
        <w:ind w:firstLine="720"/>
        <w:jc w:val="both"/>
      </w:pPr>
      <w:proofErr w:type="spellStart"/>
      <w:r>
        <w:lastRenderedPageBreak/>
        <w:t>Moerman</w:t>
      </w:r>
      <w:proofErr w:type="spellEnd"/>
      <w:r>
        <w:t xml:space="preserve"> (1998), in his authoritative database of Native American ethnobotany, noted that plant families contributing disproportionately to medicinal use relative to their species richness include </w:t>
      </w:r>
      <w:proofErr w:type="spellStart"/>
      <w:r>
        <w:t>Lamiaceae</w:t>
      </w:r>
      <w:proofErr w:type="spellEnd"/>
      <w:r>
        <w:t xml:space="preserve">, Asteraceae, </w:t>
      </w:r>
      <w:proofErr w:type="spellStart"/>
      <w:r>
        <w:t>Apiaceae</w:t>
      </w:r>
      <w:proofErr w:type="spellEnd"/>
      <w:r>
        <w:t xml:space="preserve"> and </w:t>
      </w:r>
      <w:proofErr w:type="spellStart"/>
      <w:r>
        <w:t>Rosaceae</w:t>
      </w:r>
      <w:proofErr w:type="spellEnd"/>
      <w:r>
        <w:t xml:space="preserve"> — the same families that dominate the global ethnobotanical record for mental health conditions reviewed here. Fabricant and Farnsworth (2001), </w:t>
      </w:r>
      <w:proofErr w:type="spellStart"/>
      <w:r>
        <w:t>analysing</w:t>
      </w:r>
      <w:proofErr w:type="spellEnd"/>
      <w:r>
        <w:t xml:space="preserve"> 122 plant-derived drugs approved for clinical use worldwide, found that approximately 80% had ethnobotanical uses consistent with their contemporary clinical applications, strongly validating the predictive power of traditional use as a drug discovery signal. Within the neuropsychiatric domain specifically, Heinrich and Gibbons (2001) argued that the proportion of pharmacologically validated ethnobotanical leads is substantially higher than for random screening and that ethnobotanical filtering of natural product libraries dramatically improves the probability of finding clinical leads.</w:t>
      </w:r>
    </w:p>
    <w:p w:rsidR="00D3095F" w:rsidRDefault="006C44ED">
      <w:pPr>
        <w:spacing w:after="160" w:line="360" w:lineRule="auto"/>
        <w:ind w:firstLine="720"/>
        <w:jc w:val="both"/>
      </w:pPr>
      <w:r>
        <w:t xml:space="preserve">The concept of informant consensus factor (ICF), introduced by Trotter and Logan (1986) and widely applied in contemporary ethnobotanical methodology, provides a quantitative measure of convergence within a given tradition. High ICF values (approaching 1) indicate strong agreement among informants about which plants treat a given condition and have been proposed as a complementary filter for </w:t>
      </w:r>
      <w:proofErr w:type="spellStart"/>
      <w:r>
        <w:t>prioritising</w:t>
      </w:r>
      <w:proofErr w:type="spellEnd"/>
      <w:r>
        <w:t xml:space="preserve"> species for pharmacological investigation (Heinrich et al., 2009). When anxiety, insomnia and depression (or their local equivalents) yield high ICF values in ethnobotanical surveys, the species contributing to this consensus represent the most robust ethnobotanical leads.</w:t>
      </w:r>
    </w:p>
    <w:p w:rsidR="00D3095F" w:rsidRDefault="006C44ED">
      <w:pPr>
        <w:pStyle w:val="Heading1"/>
      </w:pPr>
      <w:r>
        <w:t>6.  Phytochemical Mechanisms: Bridging Traditional Use and Neuropharmacology</w:t>
      </w:r>
    </w:p>
    <w:p w:rsidR="00D3095F" w:rsidRDefault="006C44ED">
      <w:pPr>
        <w:pStyle w:val="Heading2"/>
      </w:pPr>
      <w:proofErr w:type="gramStart"/>
      <w:r>
        <w:t>6.1  GABAergic</w:t>
      </w:r>
      <w:proofErr w:type="gramEnd"/>
      <w:r>
        <w:t xml:space="preserve"> Modulation</w:t>
      </w:r>
    </w:p>
    <w:p w:rsidR="00D3095F" w:rsidRDefault="006C44ED">
      <w:pPr>
        <w:spacing w:after="160" w:line="360" w:lineRule="auto"/>
        <w:ind w:firstLine="720"/>
        <w:jc w:val="both"/>
      </w:pPr>
      <w:r>
        <w:t>Gamma-aminobutyric acid (GABA) is the principal inhibitory neurotransmitter of the mammalian central nervous system, and the GABA-A receptor-chloride channel complex is the primary molecular target of clinically used anxiolytics (benzodiazepines) and hypnotics (z-drugs, barbiturates). It is therefore highly significant that a disproportionate number of the most ethnobotanically validated plants for anxiety and insomnia have been shown to modulate GABA-A receptor function through distinct binding sites and mechanisms. Flavonoid ligands including apigenin (</w:t>
      </w:r>
      <w:proofErr w:type="spellStart"/>
      <w:r>
        <w:t>Matricaria</w:t>
      </w:r>
      <w:proofErr w:type="spellEnd"/>
      <w:r>
        <w:t xml:space="preserve"> chamomilla), chrysin (</w:t>
      </w:r>
      <w:proofErr w:type="spellStart"/>
      <w:r>
        <w:t>Passiflora</w:t>
      </w:r>
      <w:proofErr w:type="spellEnd"/>
      <w:r>
        <w:t xml:space="preserve"> </w:t>
      </w:r>
      <w:proofErr w:type="spellStart"/>
      <w:r>
        <w:t>incarnata</w:t>
      </w:r>
      <w:proofErr w:type="spellEnd"/>
      <w:r>
        <w:t>), baicalin (</w:t>
      </w:r>
      <w:proofErr w:type="spellStart"/>
      <w:r>
        <w:t>Scutellaria</w:t>
      </w:r>
      <w:proofErr w:type="spellEnd"/>
      <w:r>
        <w:t xml:space="preserve"> </w:t>
      </w:r>
      <w:proofErr w:type="spellStart"/>
      <w:r>
        <w:t>baicalensis</w:t>
      </w:r>
      <w:proofErr w:type="spellEnd"/>
      <w:r>
        <w:t xml:space="preserve">), 6-methylapigenin and </w:t>
      </w:r>
      <w:proofErr w:type="spellStart"/>
      <w:r>
        <w:t>linarin</w:t>
      </w:r>
      <w:proofErr w:type="spellEnd"/>
      <w:r>
        <w:t xml:space="preserve"> (</w:t>
      </w:r>
      <w:proofErr w:type="spellStart"/>
      <w:r>
        <w:t>Valeriana</w:t>
      </w:r>
      <w:proofErr w:type="spellEnd"/>
      <w:r>
        <w:t xml:space="preserve"> officinalis) act as partial agonists or positive allosteric modulators at the benzodiazepine recognition site, whilst </w:t>
      </w:r>
      <w:proofErr w:type="spellStart"/>
      <w:r>
        <w:t>valerenic</w:t>
      </w:r>
      <w:proofErr w:type="spellEnd"/>
      <w:r>
        <w:t xml:space="preserve"> acid acts through the beta-subunit site (</w:t>
      </w:r>
      <w:proofErr w:type="spellStart"/>
      <w:r>
        <w:t>Khom</w:t>
      </w:r>
      <w:proofErr w:type="spellEnd"/>
      <w:r>
        <w:t xml:space="preserve"> et al., 2007). Kavalactones from Piper </w:t>
      </w:r>
      <w:proofErr w:type="spellStart"/>
      <w:r>
        <w:lastRenderedPageBreak/>
        <w:t>methysticum</w:t>
      </w:r>
      <w:proofErr w:type="spellEnd"/>
      <w:r>
        <w:t xml:space="preserve"> modulate a distinct site not yet fully </w:t>
      </w:r>
      <w:proofErr w:type="spellStart"/>
      <w:r>
        <w:t>characterised</w:t>
      </w:r>
      <w:proofErr w:type="spellEnd"/>
      <w:r>
        <w:t>. The multiplicity of plant-derived GABA-A modulators across diverse botanical families — all independently identified through traditional medical practice — constitutes compelling evidence that anxiolytic and hypnotic plant use is pharmacologically grounded and that GABAergic mechanisms represent a primary common pathway (Sarris et al., 2011).</w:t>
      </w:r>
    </w:p>
    <w:p w:rsidR="00D3095F" w:rsidRDefault="006C44ED">
      <w:pPr>
        <w:pStyle w:val="Heading2"/>
      </w:pPr>
      <w:proofErr w:type="gramStart"/>
      <w:r>
        <w:t>6.2  Serotonergic</w:t>
      </w:r>
      <w:proofErr w:type="gramEnd"/>
      <w:r>
        <w:t xml:space="preserve"> Mechanisms</w:t>
      </w:r>
    </w:p>
    <w:p w:rsidR="00D3095F" w:rsidRDefault="006C44ED">
      <w:pPr>
        <w:spacing w:after="160" w:line="360" w:lineRule="auto"/>
        <w:ind w:firstLine="720"/>
        <w:jc w:val="both"/>
      </w:pPr>
      <w:r>
        <w:t xml:space="preserve">The serotonergic system — comprising the synthesis, release, reuptake and receptor activation of 5-hydroxytryptamine (5-HT) — is a critical regulator of mood, anxiety and sleep architecture. Multiple ethnobotanically documented plants modulate this system. Hyperforin from H. </w:t>
      </w:r>
      <w:proofErr w:type="spellStart"/>
      <w:r>
        <w:t>perforatum</w:t>
      </w:r>
      <w:proofErr w:type="spellEnd"/>
      <w:r>
        <w:t xml:space="preserve"> inhibits 5-HT reuptake via TRPC6 channel activation; </w:t>
      </w:r>
      <w:proofErr w:type="spellStart"/>
      <w:r>
        <w:t>crocins</w:t>
      </w:r>
      <w:proofErr w:type="spellEnd"/>
      <w:r>
        <w:t xml:space="preserve"> and </w:t>
      </w:r>
      <w:proofErr w:type="spellStart"/>
      <w:r>
        <w:t>safranal</w:t>
      </w:r>
      <w:proofErr w:type="spellEnd"/>
      <w:r>
        <w:t xml:space="preserve"> from Crocus sativus inhibit serotonin transporter (SERT) function and may additionally act at 5-HT receptor subtypes (Marx et al., 2019). Salidroside from </w:t>
      </w:r>
      <w:proofErr w:type="spellStart"/>
      <w:r>
        <w:t>Rhodiola</w:t>
      </w:r>
      <w:proofErr w:type="spellEnd"/>
      <w:r>
        <w:t xml:space="preserve"> </w:t>
      </w:r>
      <w:proofErr w:type="spellStart"/>
      <w:r>
        <w:t>rosea</w:t>
      </w:r>
      <w:proofErr w:type="spellEnd"/>
      <w:r>
        <w:t xml:space="preserve"> inhibits 5-HT degradation by MAO and enhances tryptophan hydroxylase activity. Bacosides from Bacopa </w:t>
      </w:r>
      <w:proofErr w:type="spellStart"/>
      <w:r>
        <w:t>monnieri</w:t>
      </w:r>
      <w:proofErr w:type="spellEnd"/>
      <w:r>
        <w:t xml:space="preserve"> modulate 5-HT synthesis and turnover in hippocampal and frontal cortical regions (Bhattacharya et al., 2000a). The clinical relevance of these serotonergic mechanisms is supported by the demonstrated antidepressant efficacy of H. </w:t>
      </w:r>
      <w:proofErr w:type="spellStart"/>
      <w:r>
        <w:t>perforatum</w:t>
      </w:r>
      <w:proofErr w:type="spellEnd"/>
      <w:r>
        <w:t xml:space="preserve">, C. sativus and R. </w:t>
      </w:r>
      <w:proofErr w:type="spellStart"/>
      <w:r>
        <w:t>rosea</w:t>
      </w:r>
      <w:proofErr w:type="spellEnd"/>
      <w:r>
        <w:t xml:space="preserve"> in </w:t>
      </w:r>
      <w:proofErr w:type="spellStart"/>
      <w:r>
        <w:t>randomised</w:t>
      </w:r>
      <w:proofErr w:type="spellEnd"/>
      <w:r>
        <w:t xml:space="preserve"> controlled trials; the effect sizes achieved are comparable to those of SSRIs in mild-to-moderate depression whilst the adverse effect profiles are substantially more </w:t>
      </w:r>
      <w:proofErr w:type="spellStart"/>
      <w:r>
        <w:t>favourable</w:t>
      </w:r>
      <w:proofErr w:type="spellEnd"/>
      <w:r>
        <w:t xml:space="preserve"> (Linde et al., 2008; </w:t>
      </w:r>
      <w:proofErr w:type="spellStart"/>
      <w:r>
        <w:t>Darbinyan</w:t>
      </w:r>
      <w:proofErr w:type="spellEnd"/>
      <w:r>
        <w:t xml:space="preserve"> et al., 2000).</w:t>
      </w:r>
    </w:p>
    <w:p w:rsidR="00D3095F" w:rsidRDefault="006C44ED">
      <w:pPr>
        <w:pStyle w:val="Heading2"/>
      </w:pPr>
      <w:proofErr w:type="gramStart"/>
      <w:r>
        <w:t>6.3  HPA</w:t>
      </w:r>
      <w:proofErr w:type="gramEnd"/>
      <w:r>
        <w:t xml:space="preserve"> Axis Modulation and </w:t>
      </w:r>
      <w:proofErr w:type="spellStart"/>
      <w:r>
        <w:t>Adaptogenic</w:t>
      </w:r>
      <w:proofErr w:type="spellEnd"/>
      <w:r>
        <w:t xml:space="preserve"> Mechanisms</w:t>
      </w:r>
    </w:p>
    <w:p w:rsidR="00D3095F" w:rsidRDefault="006C44ED">
      <w:pPr>
        <w:spacing w:after="160" w:line="360" w:lineRule="auto"/>
        <w:ind w:firstLine="720"/>
        <w:jc w:val="both"/>
      </w:pPr>
      <w:r>
        <w:t xml:space="preserve">The hypothalamic-pituitary-adrenal (HPA) axis, the primary neuroendocrine stress-response system, is chronically dysregulated in </w:t>
      </w:r>
      <w:proofErr w:type="spellStart"/>
      <w:r>
        <w:t>generalised</w:t>
      </w:r>
      <w:proofErr w:type="spellEnd"/>
      <w:r>
        <w:t xml:space="preserve"> anxiety disorder, major depressive disorder and insomnia, with elevated cortisol and dysregulated circadian cortisol rhythms constituting biological signatures of these conditions (Bhattacharya et al., 2000a). </w:t>
      </w:r>
      <w:proofErr w:type="spellStart"/>
      <w:r>
        <w:t>Adaptogenic</w:t>
      </w:r>
      <w:proofErr w:type="spellEnd"/>
      <w:r>
        <w:t xml:space="preserve"> plants — including </w:t>
      </w:r>
      <w:proofErr w:type="spellStart"/>
      <w:r>
        <w:t>Withania</w:t>
      </w:r>
      <w:proofErr w:type="spellEnd"/>
      <w:r>
        <w:t xml:space="preserve"> </w:t>
      </w:r>
      <w:proofErr w:type="spellStart"/>
      <w:r>
        <w:t>somnifera</w:t>
      </w:r>
      <w:proofErr w:type="spellEnd"/>
      <w:r>
        <w:t xml:space="preserve">, </w:t>
      </w:r>
      <w:proofErr w:type="spellStart"/>
      <w:r>
        <w:t>Rhodiola</w:t>
      </w:r>
      <w:proofErr w:type="spellEnd"/>
      <w:r>
        <w:t xml:space="preserve"> </w:t>
      </w:r>
      <w:proofErr w:type="spellStart"/>
      <w:r>
        <w:t>rosea</w:t>
      </w:r>
      <w:proofErr w:type="spellEnd"/>
      <w:r>
        <w:t xml:space="preserve">, Panax ginseng C.A. </w:t>
      </w:r>
      <w:proofErr w:type="spellStart"/>
      <w:r>
        <w:t>Mey</w:t>
      </w:r>
      <w:proofErr w:type="spellEnd"/>
      <w:r>
        <w:t xml:space="preserve">., </w:t>
      </w:r>
      <w:proofErr w:type="spellStart"/>
      <w:r>
        <w:t>Eleutherococcus</w:t>
      </w:r>
      <w:proofErr w:type="spellEnd"/>
      <w:r>
        <w:t xml:space="preserve"> </w:t>
      </w:r>
      <w:proofErr w:type="spellStart"/>
      <w:r>
        <w:t>senticosus</w:t>
      </w:r>
      <w:proofErr w:type="spellEnd"/>
      <w:r>
        <w:t xml:space="preserve"> Maxim. and Schisandra </w:t>
      </w:r>
      <w:proofErr w:type="spellStart"/>
      <w:r>
        <w:t>chinensis</w:t>
      </w:r>
      <w:proofErr w:type="spellEnd"/>
      <w:r>
        <w:t xml:space="preserve"> (</w:t>
      </w:r>
      <w:proofErr w:type="spellStart"/>
      <w:r>
        <w:t>Turcz</w:t>
      </w:r>
      <w:proofErr w:type="spellEnd"/>
      <w:r>
        <w:t xml:space="preserve">.) </w:t>
      </w:r>
      <w:proofErr w:type="spellStart"/>
      <w:r>
        <w:t>Baill</w:t>
      </w:r>
      <w:proofErr w:type="spellEnd"/>
      <w:r>
        <w:t xml:space="preserve">. — are defined functionally by their capacity to </w:t>
      </w:r>
      <w:proofErr w:type="spellStart"/>
      <w:r>
        <w:t>normalise</w:t>
      </w:r>
      <w:proofErr w:type="spellEnd"/>
      <w:r>
        <w:t xml:space="preserve"> physiological responses to stress, including HPA axis hyperactivity, without disrupting basal homeostasis (</w:t>
      </w:r>
      <w:proofErr w:type="spellStart"/>
      <w:r>
        <w:t>Panossian</w:t>
      </w:r>
      <w:proofErr w:type="spellEnd"/>
      <w:r>
        <w:t xml:space="preserve"> &amp; </w:t>
      </w:r>
      <w:proofErr w:type="spellStart"/>
      <w:r>
        <w:t>Wikman</w:t>
      </w:r>
      <w:proofErr w:type="spellEnd"/>
      <w:r>
        <w:t xml:space="preserve">, 2010). W. </w:t>
      </w:r>
      <w:proofErr w:type="spellStart"/>
      <w:r>
        <w:t>somnifera</w:t>
      </w:r>
      <w:proofErr w:type="spellEnd"/>
      <w:r>
        <w:t xml:space="preserve"> </w:t>
      </w:r>
      <w:proofErr w:type="spellStart"/>
      <w:r>
        <w:t>withanolides</w:t>
      </w:r>
      <w:proofErr w:type="spellEnd"/>
      <w:r>
        <w:t xml:space="preserve"> reduce serum cortisol and upregulate heat shock protein expression in stressed animals; R. </w:t>
      </w:r>
      <w:proofErr w:type="spellStart"/>
      <w:r>
        <w:t>rosea</w:t>
      </w:r>
      <w:proofErr w:type="spellEnd"/>
      <w:r>
        <w:t xml:space="preserve"> salidroside activates heat shock protein 70 (Hsp70) and nitric oxide (NO) synthesis pathways implicated in stress-protective </w:t>
      </w:r>
      <w:proofErr w:type="spellStart"/>
      <w:r>
        <w:t>signalling</w:t>
      </w:r>
      <w:proofErr w:type="spellEnd"/>
      <w:r>
        <w:t>. The ethnobotanical rationale for classifying these plants as 'nervine tonics' or '</w:t>
      </w:r>
      <w:proofErr w:type="spellStart"/>
      <w:r>
        <w:t>rasayanas</w:t>
      </w:r>
      <w:proofErr w:type="spellEnd"/>
      <w:r>
        <w:t xml:space="preserve">' </w:t>
      </w:r>
      <w:r>
        <w:lastRenderedPageBreak/>
        <w:t>rather than simple sedatives is pharmacologically coherent: their primary effect is not depression of CNS function but restoration of allostatic balance.</w:t>
      </w:r>
    </w:p>
    <w:p w:rsidR="00D3095F" w:rsidRDefault="006C44ED">
      <w:pPr>
        <w:pStyle w:val="Heading2"/>
      </w:pPr>
      <w:proofErr w:type="gramStart"/>
      <w:r>
        <w:t>6.4  Anti</w:t>
      </w:r>
      <w:proofErr w:type="gramEnd"/>
      <w:r>
        <w:t>-inflammatory and Neuroprotective Mechanisms</w:t>
      </w:r>
    </w:p>
    <w:p w:rsidR="00D3095F" w:rsidRDefault="006C44ED">
      <w:pPr>
        <w:spacing w:after="160" w:line="360" w:lineRule="auto"/>
        <w:ind w:firstLine="720"/>
        <w:jc w:val="both"/>
      </w:pPr>
      <w:r>
        <w:t xml:space="preserve">An emerging body of evidence implicates neuroinflammatory mechanisms — including microglial activation, elevated central and peripheral inflammatory cytokines (IL-6, TNF-alpha, IL-1beta) and oxidative stress — in the pathophysiology of major depression, treatment-resistant depression and certain anxiety disorders (Whiteford et al., 2013). Many ethnobotanically documented plants with antidepressant and anxiolytic properties possess potent anti-inflammatory and antioxidant activities that may contribute to clinical efficacy through these pathways. Apigenin from </w:t>
      </w:r>
      <w:proofErr w:type="spellStart"/>
      <w:r>
        <w:t>Matricaria</w:t>
      </w:r>
      <w:proofErr w:type="spellEnd"/>
      <w:r>
        <w:t xml:space="preserve"> chamomilla suppresses NF-kB-dependent cytokine production in macrophages. Baicalin from </w:t>
      </w:r>
      <w:proofErr w:type="spellStart"/>
      <w:r>
        <w:t>Scutellaria</w:t>
      </w:r>
      <w:proofErr w:type="spellEnd"/>
      <w:r>
        <w:t xml:space="preserve"> </w:t>
      </w:r>
      <w:proofErr w:type="spellStart"/>
      <w:r>
        <w:t>baicalensis</w:t>
      </w:r>
      <w:proofErr w:type="spellEnd"/>
      <w:r>
        <w:t xml:space="preserve"> is a potent inhibitor of cyclooxygenase-2 (COX-2) and </w:t>
      </w:r>
      <w:proofErr w:type="spellStart"/>
      <w:r>
        <w:t>tumour</w:t>
      </w:r>
      <w:proofErr w:type="spellEnd"/>
      <w:r>
        <w:t xml:space="preserve"> necrosis factor-alpha. </w:t>
      </w:r>
      <w:proofErr w:type="spellStart"/>
      <w:r>
        <w:t>Rosmarinic</w:t>
      </w:r>
      <w:proofErr w:type="spellEnd"/>
      <w:r>
        <w:t xml:space="preserve"> acid from Melissa officinalis and </w:t>
      </w:r>
      <w:proofErr w:type="spellStart"/>
      <w:r>
        <w:t>withanolides</w:t>
      </w:r>
      <w:proofErr w:type="spellEnd"/>
      <w:r>
        <w:t xml:space="preserve"> from </w:t>
      </w:r>
      <w:proofErr w:type="spellStart"/>
      <w:r>
        <w:t>Withania</w:t>
      </w:r>
      <w:proofErr w:type="spellEnd"/>
      <w:r>
        <w:t xml:space="preserve"> </w:t>
      </w:r>
      <w:proofErr w:type="spellStart"/>
      <w:r>
        <w:t>somnifera</w:t>
      </w:r>
      <w:proofErr w:type="spellEnd"/>
      <w:r>
        <w:t xml:space="preserve"> modulate Nrf2-dependent antioxidant gene expression and suppress microglial inflammatory </w:t>
      </w:r>
      <w:proofErr w:type="spellStart"/>
      <w:r>
        <w:t>signalling</w:t>
      </w:r>
      <w:proofErr w:type="spellEnd"/>
      <w:r>
        <w:t xml:space="preserve"> (</w:t>
      </w:r>
      <w:proofErr w:type="spellStart"/>
      <w:r>
        <w:t>Awad</w:t>
      </w:r>
      <w:proofErr w:type="spellEnd"/>
      <w:r>
        <w:t xml:space="preserve"> et al., 2007; Bhattacharya et al., 2000a). As the </w:t>
      </w:r>
      <w:proofErr w:type="spellStart"/>
      <w:r>
        <w:t>neuroimmunological</w:t>
      </w:r>
      <w:proofErr w:type="spellEnd"/>
      <w:r>
        <w:t xml:space="preserve"> model of depression gains traction in mainstream psychiatry, these anti-inflammatory properties of traditional nervine plants acquire increasing translational significance.</w:t>
      </w:r>
    </w:p>
    <w:p w:rsidR="00D3095F" w:rsidRDefault="006C44ED">
      <w:pPr>
        <w:pStyle w:val="Heading1"/>
      </w:pPr>
      <w:r>
        <w:t>7.  Methodological Standards in Ethnobotanical Documentation of Mental Health Plants</w:t>
      </w:r>
    </w:p>
    <w:p w:rsidR="00D3095F" w:rsidRDefault="006C44ED">
      <w:pPr>
        <w:spacing w:after="160" w:line="360" w:lineRule="auto"/>
        <w:ind w:firstLine="720"/>
        <w:jc w:val="both"/>
      </w:pPr>
      <w:r>
        <w:t xml:space="preserve">The quality, reproducibility and translational value of ethnobotanical studies depend critically on methodological </w:t>
      </w:r>
      <w:proofErr w:type="spellStart"/>
      <w:r>
        <w:t>rigour</w:t>
      </w:r>
      <w:proofErr w:type="spellEnd"/>
      <w:r>
        <w:t>. Several systematic analyses of the ethnobotanical literature have identified recurring weaknesses: imprecise cultural attribution (e.g., 'traditional use in Mexico' without ethnic or geographical specification); botanical identification limited to common names without herbarium voucher deposition; failure to document preparation method and dosage; and inadequate application of quantitative indices for assessing the significance and inter-informant reliability of use reports (Martin, 1995). These limitations are particularly acute in the mental health domain, where the boundaries of traditional disease categories may not map onto DSM or ICD diagnostic categories, creating ambiguity about what condition is actually being documented.</w:t>
      </w:r>
    </w:p>
    <w:p w:rsidR="00D3095F" w:rsidRDefault="006C44ED">
      <w:pPr>
        <w:spacing w:after="160" w:line="360" w:lineRule="auto"/>
        <w:ind w:firstLine="720"/>
        <w:jc w:val="both"/>
      </w:pPr>
      <w:r>
        <w:t>Best practice in ethnobotanical documentation requires: (</w:t>
      </w:r>
      <w:proofErr w:type="spellStart"/>
      <w:r>
        <w:t>i</w:t>
      </w:r>
      <w:proofErr w:type="spellEnd"/>
      <w:r>
        <w:t xml:space="preserve">) prior informed consent from participating communities; (ii) semi-structured interviews with representative samples </w:t>
      </w:r>
      <w:r>
        <w:lastRenderedPageBreak/>
        <w:t xml:space="preserve">of traditional healers and lay users, stratified by age, gender and </w:t>
      </w:r>
      <w:proofErr w:type="spellStart"/>
      <w:r>
        <w:t>specialisation</w:t>
      </w:r>
      <w:proofErr w:type="spellEnd"/>
      <w:r>
        <w:t>; (iii) collection and deposition of voucher specimens in accredited herbaria, with species identification by a qualified taxonomist; (iv) documentation of preparation method (fresh/dried, decoction/infusion/tincture/powder/smoke), plant part(s) used, dosage regimen, duration of use and co-medications; (v) application of quantitative ethnobotanical indices including Use Value (UV), Informant Consensus Factor (ICF), Fidelity Level (FL) and the Relative Importance Index (RI) to allow cross-study comparison (Heinrich et al., 2009); and (vi) participatory data validation with informant communities prior to publication. The failure to document preparation-specific phytochemical composition may be particularly consequential for mental health plants, since the ratios of bioactive constituents in fresh root infusions, dried leaf decoctions and alcoholic tinctures of the same species can differ by orders of magnitude.</w:t>
      </w:r>
    </w:p>
    <w:p w:rsidR="00D3095F" w:rsidRDefault="006C44ED">
      <w:pPr>
        <w:spacing w:after="160" w:line="360" w:lineRule="auto"/>
        <w:ind w:firstLine="720"/>
        <w:jc w:val="both"/>
      </w:pPr>
      <w:r>
        <w:t xml:space="preserve">The documentation of combination use — in which two or more plants are administered simultaneously or sequentially — is methodologically important because many of the most widely used traditional preparations for anxiety and insomnia are </w:t>
      </w:r>
      <w:proofErr w:type="spellStart"/>
      <w:r>
        <w:t>polyherbals</w:t>
      </w:r>
      <w:proofErr w:type="spellEnd"/>
      <w:r>
        <w:t xml:space="preserve">. The valerian-hops combination, the valerian-lemon balm combination (evaluated clinically by Cerny &amp; Schmid, 1999) and complex TCM decoctions such as </w:t>
      </w:r>
      <w:proofErr w:type="spellStart"/>
      <w:r>
        <w:t>Suanzaoren</w:t>
      </w:r>
      <w:proofErr w:type="spellEnd"/>
      <w:r>
        <w:t xml:space="preserve"> Tang illustrate the synergistic pharmacological logic of traditional polypharmacy that is elided when species are documented and evaluated in isolation. Future ethnobotanical documentation efforts should systematically record combination use patterns as quantitative data amenable to network analysis and synergy modelling.</w:t>
      </w:r>
    </w:p>
    <w:p w:rsidR="00D3095F" w:rsidRDefault="006C44ED">
      <w:pPr>
        <w:pStyle w:val="Heading1"/>
      </w:pPr>
      <w:r>
        <w:t>8.  Regional Ethnobotanical Profiles: Diversity and Convergence</w:t>
      </w:r>
    </w:p>
    <w:p w:rsidR="00D3095F" w:rsidRDefault="006C44ED">
      <w:pPr>
        <w:pStyle w:val="Heading2"/>
      </w:pPr>
      <w:proofErr w:type="gramStart"/>
      <w:r>
        <w:t>8.1  South</w:t>
      </w:r>
      <w:proofErr w:type="gramEnd"/>
      <w:r>
        <w:t xml:space="preserve"> and South-East Asia</w:t>
      </w:r>
    </w:p>
    <w:p w:rsidR="00D3095F" w:rsidRDefault="006C44ED">
      <w:pPr>
        <w:spacing w:after="160" w:line="360" w:lineRule="auto"/>
        <w:ind w:firstLine="720"/>
        <w:jc w:val="both"/>
      </w:pPr>
      <w:r>
        <w:t xml:space="preserve">South and South-East Asia constitute the world's most extensively documented region for medicinal plant use for mental health conditions, reflecting the antiquity and systematic codification of Ayurvedic, Siddha, Unani and TCM-derived traditions, as well as the extraordinary biodiversity of the region. Ethnobotanical surveys in India document an average of 15–25 plant species per survey specifically for conditions corresponding to anxiety, insomnia and depression, with </w:t>
      </w:r>
      <w:proofErr w:type="spellStart"/>
      <w:r>
        <w:t>Withania</w:t>
      </w:r>
      <w:proofErr w:type="spellEnd"/>
      <w:r>
        <w:t xml:space="preserve"> </w:t>
      </w:r>
      <w:proofErr w:type="spellStart"/>
      <w:r>
        <w:t>somnifera</w:t>
      </w:r>
      <w:proofErr w:type="spellEnd"/>
      <w:r>
        <w:t xml:space="preserve">, Bacopa </w:t>
      </w:r>
      <w:proofErr w:type="spellStart"/>
      <w:r>
        <w:t>monnieri</w:t>
      </w:r>
      <w:proofErr w:type="spellEnd"/>
      <w:r>
        <w:t xml:space="preserve">, </w:t>
      </w:r>
      <w:proofErr w:type="spellStart"/>
      <w:r>
        <w:t>Centella</w:t>
      </w:r>
      <w:proofErr w:type="spellEnd"/>
      <w:r>
        <w:t xml:space="preserve"> </w:t>
      </w:r>
      <w:proofErr w:type="spellStart"/>
      <w:r>
        <w:t>asiatica</w:t>
      </w:r>
      <w:proofErr w:type="spellEnd"/>
      <w:r>
        <w:t xml:space="preserve">, </w:t>
      </w:r>
      <w:proofErr w:type="spellStart"/>
      <w:r>
        <w:t>Nardostachys</w:t>
      </w:r>
      <w:proofErr w:type="spellEnd"/>
      <w:r>
        <w:t xml:space="preserve"> </w:t>
      </w:r>
      <w:proofErr w:type="spellStart"/>
      <w:r>
        <w:t>jatamansi</w:t>
      </w:r>
      <w:proofErr w:type="spellEnd"/>
      <w:r>
        <w:t xml:space="preserve">, </w:t>
      </w:r>
      <w:proofErr w:type="spellStart"/>
      <w:r>
        <w:t>Valeriana</w:t>
      </w:r>
      <w:proofErr w:type="spellEnd"/>
      <w:r>
        <w:t xml:space="preserve"> </w:t>
      </w:r>
      <w:proofErr w:type="spellStart"/>
      <w:r>
        <w:t>jatamansi</w:t>
      </w:r>
      <w:proofErr w:type="spellEnd"/>
      <w:r>
        <w:t xml:space="preserve"> and Convolvulus </w:t>
      </w:r>
      <w:proofErr w:type="spellStart"/>
      <w:r>
        <w:t>pluricaulis</w:t>
      </w:r>
      <w:proofErr w:type="spellEnd"/>
      <w:r>
        <w:t xml:space="preserve"> appearing consistently across geographically separated surveys in Rajasthan, Uttarakhand, Jammu and Kashmir, Tamil Nadu and Kerala (Gautam et al., 2022). South-East Asian traditions, including Vietnamese </w:t>
      </w:r>
      <w:proofErr w:type="spellStart"/>
      <w:r>
        <w:t>thuốc</w:t>
      </w:r>
      <w:proofErr w:type="spellEnd"/>
      <w:r>
        <w:t xml:space="preserve"> </w:t>
      </w:r>
      <w:proofErr w:type="spellStart"/>
      <w:r>
        <w:t>nam</w:t>
      </w:r>
      <w:proofErr w:type="spellEnd"/>
      <w:r>
        <w:t xml:space="preserve"> folk medicine and Indonesian </w:t>
      </w:r>
      <w:proofErr w:type="spellStart"/>
      <w:r>
        <w:t>Jamu</w:t>
      </w:r>
      <w:proofErr w:type="spellEnd"/>
      <w:r>
        <w:t xml:space="preserve">, have been substantially </w:t>
      </w:r>
      <w:r>
        <w:lastRenderedPageBreak/>
        <w:t xml:space="preserve">less surveyed in peer-reviewed literature but document species including </w:t>
      </w:r>
      <w:proofErr w:type="spellStart"/>
      <w:r>
        <w:t>Kaempferia</w:t>
      </w:r>
      <w:proofErr w:type="spellEnd"/>
      <w:r>
        <w:t xml:space="preserve"> </w:t>
      </w:r>
      <w:proofErr w:type="spellStart"/>
      <w:r>
        <w:t>galanga</w:t>
      </w:r>
      <w:proofErr w:type="spellEnd"/>
      <w:r>
        <w:t xml:space="preserve"> L., Curcuma longa L. and </w:t>
      </w:r>
      <w:proofErr w:type="spellStart"/>
      <w:r>
        <w:t>Centella</w:t>
      </w:r>
      <w:proofErr w:type="spellEnd"/>
      <w:r>
        <w:t xml:space="preserve"> </w:t>
      </w:r>
      <w:proofErr w:type="spellStart"/>
      <w:r>
        <w:t>asiatica</w:t>
      </w:r>
      <w:proofErr w:type="spellEnd"/>
      <w:r>
        <w:t xml:space="preserve"> for anxiety and sleep (Nguyen et al., 2019).</w:t>
      </w:r>
    </w:p>
    <w:p w:rsidR="00D3095F" w:rsidRDefault="006C44ED">
      <w:pPr>
        <w:pStyle w:val="Heading2"/>
      </w:pPr>
      <w:proofErr w:type="gramStart"/>
      <w:r>
        <w:t>8.2  East</w:t>
      </w:r>
      <w:proofErr w:type="gramEnd"/>
      <w:r>
        <w:t xml:space="preserve"> Asia</w:t>
      </w:r>
    </w:p>
    <w:p w:rsidR="00D3095F" w:rsidRDefault="006C44ED">
      <w:pPr>
        <w:spacing w:after="160" w:line="360" w:lineRule="auto"/>
        <w:ind w:firstLine="720"/>
        <w:jc w:val="both"/>
      </w:pPr>
      <w:r>
        <w:t xml:space="preserve">TCM-based ethnobotanical documentation in China and Japan is distinguished by the complexity of multi-herb formulations and by a substantially larger body of clinical trial evidence than any other traditional system. Species reported across Chinese ethnobotanical surveys for anxiety and insomnia beyond those already discussed include Panax ginseng C.A. </w:t>
      </w:r>
      <w:proofErr w:type="spellStart"/>
      <w:r>
        <w:t>Mey</w:t>
      </w:r>
      <w:proofErr w:type="spellEnd"/>
      <w:r>
        <w:t xml:space="preserve">. (ren </w:t>
      </w:r>
      <w:proofErr w:type="spellStart"/>
      <w:r>
        <w:t>shen</w:t>
      </w:r>
      <w:proofErr w:type="spellEnd"/>
      <w:r>
        <w:t xml:space="preserve">), Schisandra </w:t>
      </w:r>
      <w:proofErr w:type="spellStart"/>
      <w:r>
        <w:t>chinensis</w:t>
      </w:r>
      <w:proofErr w:type="spellEnd"/>
      <w:r>
        <w:t xml:space="preserve"> (</w:t>
      </w:r>
      <w:proofErr w:type="spellStart"/>
      <w:r>
        <w:t>Turcz</w:t>
      </w:r>
      <w:proofErr w:type="spellEnd"/>
      <w:r>
        <w:t xml:space="preserve">.) </w:t>
      </w:r>
      <w:proofErr w:type="spellStart"/>
      <w:r>
        <w:t>Baill</w:t>
      </w:r>
      <w:proofErr w:type="spellEnd"/>
      <w:r>
        <w:t>. (</w:t>
      </w:r>
      <w:proofErr w:type="spellStart"/>
      <w:r>
        <w:t>wu</w:t>
      </w:r>
      <w:proofErr w:type="spellEnd"/>
      <w:r>
        <w:t xml:space="preserve"> </w:t>
      </w:r>
      <w:proofErr w:type="spellStart"/>
      <w:r>
        <w:t>wei</w:t>
      </w:r>
      <w:proofErr w:type="spellEnd"/>
      <w:r>
        <w:t xml:space="preserve"> </w:t>
      </w:r>
      <w:proofErr w:type="spellStart"/>
      <w:r>
        <w:t>zi</w:t>
      </w:r>
      <w:proofErr w:type="spellEnd"/>
      <w:r>
        <w:t xml:space="preserve">), Polygala </w:t>
      </w:r>
      <w:proofErr w:type="spellStart"/>
      <w:r>
        <w:t>tenuifolia</w:t>
      </w:r>
      <w:proofErr w:type="spellEnd"/>
      <w:r>
        <w:t xml:space="preserve"> </w:t>
      </w:r>
      <w:proofErr w:type="spellStart"/>
      <w:r>
        <w:t>Willd</w:t>
      </w:r>
      <w:proofErr w:type="spellEnd"/>
      <w:r>
        <w:t xml:space="preserve">. (yuan </w:t>
      </w:r>
      <w:proofErr w:type="spellStart"/>
      <w:r>
        <w:t>zhi</w:t>
      </w:r>
      <w:proofErr w:type="spellEnd"/>
      <w:r>
        <w:t xml:space="preserve">), </w:t>
      </w:r>
      <w:proofErr w:type="spellStart"/>
      <w:r>
        <w:t>Acanthopanax</w:t>
      </w:r>
      <w:proofErr w:type="spellEnd"/>
      <w:r>
        <w:t xml:space="preserve"> </w:t>
      </w:r>
      <w:proofErr w:type="spellStart"/>
      <w:r>
        <w:t>senticosus</w:t>
      </w:r>
      <w:proofErr w:type="spellEnd"/>
      <w:r>
        <w:t xml:space="preserve"> (</w:t>
      </w:r>
      <w:proofErr w:type="spellStart"/>
      <w:r>
        <w:t>Rupr</w:t>
      </w:r>
      <w:proofErr w:type="spellEnd"/>
      <w:r>
        <w:t xml:space="preserve">. &amp; Maxim.) Harms, </w:t>
      </w:r>
      <w:proofErr w:type="spellStart"/>
      <w:r>
        <w:t>Pinellia</w:t>
      </w:r>
      <w:proofErr w:type="spellEnd"/>
      <w:r>
        <w:t xml:space="preserve"> </w:t>
      </w:r>
      <w:proofErr w:type="spellStart"/>
      <w:r>
        <w:t>ternata</w:t>
      </w:r>
      <w:proofErr w:type="spellEnd"/>
      <w:r>
        <w:t xml:space="preserve"> (</w:t>
      </w:r>
      <w:proofErr w:type="spellStart"/>
      <w:r>
        <w:t>Thunb</w:t>
      </w:r>
      <w:proofErr w:type="spellEnd"/>
      <w:r>
        <w:t xml:space="preserve">.) Makino and Albizzia </w:t>
      </w:r>
      <w:proofErr w:type="spellStart"/>
      <w:r>
        <w:t>julibrissin</w:t>
      </w:r>
      <w:proofErr w:type="spellEnd"/>
      <w:r>
        <w:t xml:space="preserve"> </w:t>
      </w:r>
      <w:proofErr w:type="spellStart"/>
      <w:r>
        <w:t>Durazz</w:t>
      </w:r>
      <w:proofErr w:type="spellEnd"/>
      <w:r>
        <w:t xml:space="preserve">. (he </w:t>
      </w:r>
      <w:proofErr w:type="spellStart"/>
      <w:r>
        <w:t>huan</w:t>
      </w:r>
      <w:proofErr w:type="spellEnd"/>
      <w:r>
        <w:t xml:space="preserve"> pi, silk tree bark) (Yeung et al., 2014). </w:t>
      </w:r>
      <w:proofErr w:type="spellStart"/>
      <w:r>
        <w:t>Kampo</w:t>
      </w:r>
      <w:proofErr w:type="spellEnd"/>
      <w:r>
        <w:t xml:space="preserve"> clinical research in Japan has generated </w:t>
      </w:r>
      <w:proofErr w:type="spellStart"/>
      <w:r>
        <w:t>randomised</w:t>
      </w:r>
      <w:proofErr w:type="spellEnd"/>
      <w:r>
        <w:t xml:space="preserve"> controlled trial evidence for formulas including Yokukansan (a seven-herb decoction containing </w:t>
      </w:r>
      <w:proofErr w:type="spellStart"/>
      <w:r>
        <w:t>Uncaria</w:t>
      </w:r>
      <w:proofErr w:type="spellEnd"/>
      <w:r>
        <w:t xml:space="preserve"> </w:t>
      </w:r>
      <w:proofErr w:type="spellStart"/>
      <w:r>
        <w:t>rhynchophylla</w:t>
      </w:r>
      <w:proofErr w:type="spellEnd"/>
      <w:r>
        <w:t xml:space="preserve"> (</w:t>
      </w:r>
      <w:proofErr w:type="spellStart"/>
      <w:r>
        <w:t>Miq</w:t>
      </w:r>
      <w:proofErr w:type="spellEnd"/>
      <w:r>
        <w:t xml:space="preserve">.) </w:t>
      </w:r>
      <w:proofErr w:type="spellStart"/>
      <w:r>
        <w:t>Miq</w:t>
      </w:r>
      <w:proofErr w:type="spellEnd"/>
      <w:r>
        <w:t xml:space="preserve">. ex </w:t>
      </w:r>
      <w:proofErr w:type="spellStart"/>
      <w:r>
        <w:t>Havil</w:t>
      </w:r>
      <w:proofErr w:type="spellEnd"/>
      <w:r>
        <w:t xml:space="preserve">., Bupleurum </w:t>
      </w:r>
      <w:proofErr w:type="spellStart"/>
      <w:r>
        <w:t>falcatum</w:t>
      </w:r>
      <w:proofErr w:type="spellEnd"/>
      <w:r>
        <w:t xml:space="preserve"> L. and </w:t>
      </w:r>
      <w:proofErr w:type="spellStart"/>
      <w:r>
        <w:t>Cnidium</w:t>
      </w:r>
      <w:proofErr w:type="spellEnd"/>
      <w:r>
        <w:t xml:space="preserve"> </w:t>
      </w:r>
      <w:proofErr w:type="spellStart"/>
      <w:r>
        <w:t>officinale</w:t>
      </w:r>
      <w:proofErr w:type="spellEnd"/>
      <w:r>
        <w:t xml:space="preserve"> Makino) for dementia-associated neuropsychiatric symptoms, including agitation, anxiety and sleep disturbance (Watanabe et al., 2011).</w:t>
      </w:r>
    </w:p>
    <w:p w:rsidR="00D3095F" w:rsidRDefault="006C44ED">
      <w:pPr>
        <w:pStyle w:val="Heading2"/>
      </w:pPr>
      <w:proofErr w:type="gramStart"/>
      <w:r>
        <w:t>8.3  Middle</w:t>
      </w:r>
      <w:proofErr w:type="gramEnd"/>
      <w:r>
        <w:t xml:space="preserve"> East, North Africa and Central Asia</w:t>
      </w:r>
    </w:p>
    <w:p w:rsidR="00D3095F" w:rsidRDefault="006C44ED">
      <w:pPr>
        <w:spacing w:after="160" w:line="360" w:lineRule="auto"/>
        <w:ind w:firstLine="720"/>
        <w:jc w:val="both"/>
      </w:pPr>
      <w:r>
        <w:t xml:space="preserve">Ethnobotanical surveys across Iran, Turkey, Egypt, Morocco, Algeria, Pakistan and Afghanistan document a rich nervine pharmacopoeia shared across Unani, traditional Persian, Turkish folk medicine and North African </w:t>
      </w:r>
      <w:proofErr w:type="spellStart"/>
      <w:r>
        <w:t>Tibb</w:t>
      </w:r>
      <w:proofErr w:type="spellEnd"/>
      <w:r>
        <w:t xml:space="preserve"> traditions. Recurring species for anxiety and insomnia include </w:t>
      </w:r>
      <w:proofErr w:type="spellStart"/>
      <w:r>
        <w:t>Valeriana</w:t>
      </w:r>
      <w:proofErr w:type="spellEnd"/>
      <w:r>
        <w:t xml:space="preserve"> officinalis, Lavandula angustifolia, Melissa officinalis, </w:t>
      </w:r>
      <w:proofErr w:type="spellStart"/>
      <w:r>
        <w:t>Origanum</w:t>
      </w:r>
      <w:proofErr w:type="spellEnd"/>
      <w:r>
        <w:t xml:space="preserve"> vulgare L., Mentha spp., </w:t>
      </w:r>
      <w:proofErr w:type="spellStart"/>
      <w:r>
        <w:t>Matricaria</w:t>
      </w:r>
      <w:proofErr w:type="spellEnd"/>
      <w:r>
        <w:t xml:space="preserve"> chamomilla, Rosa spp. (particularly R. </w:t>
      </w:r>
      <w:proofErr w:type="spellStart"/>
      <w:r>
        <w:t>damascena</w:t>
      </w:r>
      <w:proofErr w:type="spellEnd"/>
      <w:r>
        <w:t xml:space="preserve"> Mill.), Crocus sativus, Nigella sativa L. and </w:t>
      </w:r>
      <w:proofErr w:type="spellStart"/>
      <w:r>
        <w:t>Foeniculum</w:t>
      </w:r>
      <w:proofErr w:type="spellEnd"/>
      <w:r>
        <w:t xml:space="preserve"> vulgare Mill. (</w:t>
      </w:r>
      <w:proofErr w:type="spellStart"/>
      <w:r>
        <w:t>Hamayun</w:t>
      </w:r>
      <w:proofErr w:type="spellEnd"/>
      <w:r>
        <w:t xml:space="preserve"> et al., 2012; </w:t>
      </w:r>
      <w:proofErr w:type="spellStart"/>
      <w:r>
        <w:t>Tahraoui</w:t>
      </w:r>
      <w:proofErr w:type="spellEnd"/>
      <w:r>
        <w:t xml:space="preserve"> et al., 2007). The geographical concentration of C. sativus production in Iran and its longstanding ethnobotanical use for depression in Persian medicine has been a direct driver of Iranian clinical research on its antidepressant properties, exemplifying the translational pathway from ethnobotanical documentation to controlled trial (</w:t>
      </w:r>
      <w:proofErr w:type="spellStart"/>
      <w:r>
        <w:t>Akhondzadeh</w:t>
      </w:r>
      <w:proofErr w:type="spellEnd"/>
      <w:r>
        <w:t xml:space="preserve"> et al., 2005).</w:t>
      </w:r>
    </w:p>
    <w:p w:rsidR="00D3095F" w:rsidRDefault="006C44ED">
      <w:pPr>
        <w:pStyle w:val="Heading2"/>
      </w:pPr>
      <w:proofErr w:type="gramStart"/>
      <w:r>
        <w:t>8.4  Sub</w:t>
      </w:r>
      <w:proofErr w:type="gramEnd"/>
      <w:r>
        <w:t>-Saharan Africa</w:t>
      </w:r>
    </w:p>
    <w:p w:rsidR="00D3095F" w:rsidRDefault="006C44ED">
      <w:pPr>
        <w:spacing w:after="160" w:line="360" w:lineRule="auto"/>
        <w:ind w:firstLine="720"/>
        <w:jc w:val="both"/>
      </w:pPr>
      <w:r>
        <w:t xml:space="preserve">Sub-Saharan Africa represents the most significant documentation gap in the global ethnobotanical literature on mental health plants, given both the extraordinary medicinal plant biodiversity of the region and the high burden of untreated mental disorders. Published ethnobotanical surveys from South Africa, Zimbabwe, Ethiopia, Uganda, Ghana, Nigeria, </w:t>
      </w:r>
      <w:r>
        <w:lastRenderedPageBreak/>
        <w:t>Cameroon and the Democratic Republic of Congo document dozens of species used by traditional healers for conditions glossed as 'mental illness', 'madness', 'spirit possession', anxiety, insomnia and sadness (</w:t>
      </w:r>
      <w:proofErr w:type="spellStart"/>
      <w:r>
        <w:t>Mander</w:t>
      </w:r>
      <w:proofErr w:type="spellEnd"/>
      <w:r>
        <w:t xml:space="preserve"> et al., 2007). Pharmacologically significant species documented in these surveys include </w:t>
      </w:r>
      <w:proofErr w:type="spellStart"/>
      <w:r>
        <w:t>Sceletium</w:t>
      </w:r>
      <w:proofErr w:type="spellEnd"/>
      <w:r>
        <w:t xml:space="preserve"> </w:t>
      </w:r>
      <w:proofErr w:type="spellStart"/>
      <w:r>
        <w:t>tortuosum</w:t>
      </w:r>
      <w:proofErr w:type="spellEnd"/>
      <w:r>
        <w:t xml:space="preserve"> (L.) N.E.Br. (</w:t>
      </w:r>
      <w:proofErr w:type="spellStart"/>
      <w:r>
        <w:t>kanna</w:t>
      </w:r>
      <w:proofErr w:type="spellEnd"/>
      <w:r>
        <w:t xml:space="preserve">; South Africa), whose alkaloids </w:t>
      </w:r>
      <w:proofErr w:type="spellStart"/>
      <w:r>
        <w:t>mesembrine</w:t>
      </w:r>
      <w:proofErr w:type="spellEnd"/>
      <w:r>
        <w:t xml:space="preserve"> and </w:t>
      </w:r>
      <w:proofErr w:type="spellStart"/>
      <w:r>
        <w:t>mesembrenol</w:t>
      </w:r>
      <w:proofErr w:type="spellEnd"/>
      <w:r>
        <w:t xml:space="preserve"> are potent serotonin reuptake inhibitors and phosphodiesterase-4 inhibitors, with demonstrated antidepressant and anxiolytic activity in initial Phase I/II clinical trials conducted over the past decade (</w:t>
      </w:r>
      <w:proofErr w:type="spellStart"/>
      <w:r>
        <w:t>Shikanga</w:t>
      </w:r>
      <w:proofErr w:type="spellEnd"/>
      <w:r>
        <w:t xml:space="preserve"> et al., 2012). Cannabis sativa L. is documented across sub-Saharan Africa for anxiety and sleep, though its legal status complicates clinical investigation. </w:t>
      </w:r>
      <w:proofErr w:type="spellStart"/>
      <w:r>
        <w:t>Boophone</w:t>
      </w:r>
      <w:proofErr w:type="spellEnd"/>
      <w:r>
        <w:t xml:space="preserve"> </w:t>
      </w:r>
      <w:proofErr w:type="spellStart"/>
      <w:r>
        <w:t>disticha</w:t>
      </w:r>
      <w:proofErr w:type="spellEnd"/>
      <w:r>
        <w:t xml:space="preserve"> (</w:t>
      </w:r>
      <w:proofErr w:type="spellStart"/>
      <w:r>
        <w:t>L.f</w:t>
      </w:r>
      <w:proofErr w:type="spellEnd"/>
      <w:r>
        <w:t>.) Herb. (</w:t>
      </w:r>
      <w:proofErr w:type="spellStart"/>
      <w:r>
        <w:t>Amaryllidaceae</w:t>
      </w:r>
      <w:proofErr w:type="spellEnd"/>
      <w:r>
        <w:t xml:space="preserve">), used in San and Sotho healing traditions as a narcotic and psychoactive medicine, contains </w:t>
      </w:r>
      <w:proofErr w:type="spellStart"/>
      <w:r>
        <w:t>buphanidrine</w:t>
      </w:r>
      <w:proofErr w:type="spellEnd"/>
      <w:r>
        <w:t>, which inhibits monoamine reuptake and has demonstrated significant antidepressant activity in animal models (</w:t>
      </w:r>
      <w:proofErr w:type="spellStart"/>
      <w:r>
        <w:t>Shikanga</w:t>
      </w:r>
      <w:proofErr w:type="spellEnd"/>
      <w:r>
        <w:t xml:space="preserve"> et al., 2012).</w:t>
      </w:r>
    </w:p>
    <w:p w:rsidR="00D3095F" w:rsidRDefault="006C44ED">
      <w:pPr>
        <w:pStyle w:val="Heading2"/>
      </w:pPr>
      <w:proofErr w:type="gramStart"/>
      <w:r>
        <w:t>8.5  Europe</w:t>
      </w:r>
      <w:proofErr w:type="gramEnd"/>
      <w:r>
        <w:t xml:space="preserve"> and North America</w:t>
      </w:r>
    </w:p>
    <w:p w:rsidR="00D3095F" w:rsidRDefault="006C44ED">
      <w:pPr>
        <w:spacing w:after="160" w:line="360" w:lineRule="auto"/>
        <w:ind w:firstLine="720"/>
        <w:jc w:val="both"/>
      </w:pPr>
      <w:r>
        <w:t xml:space="preserve">European </w:t>
      </w:r>
      <w:proofErr w:type="spellStart"/>
      <w:r>
        <w:t>phytotherapy</w:t>
      </w:r>
      <w:proofErr w:type="spellEnd"/>
      <w:r>
        <w:t xml:space="preserve"> documentation benefits from the longest continuous written historical record of any tradition and from regulatory frameworks (Commission E, EMA Community Herbal Monographs, European Pharmacopoeia) that have </w:t>
      </w:r>
      <w:proofErr w:type="spellStart"/>
      <w:r>
        <w:t>systematised</w:t>
      </w:r>
      <w:proofErr w:type="spellEnd"/>
      <w:r>
        <w:t xml:space="preserve"> traditional use documentation alongside clinical evidence requirements. North American documentation is divided between indigenous traditions (documented through pioneering databases such as </w:t>
      </w:r>
      <w:proofErr w:type="spellStart"/>
      <w:r>
        <w:t>Moerman's</w:t>
      </w:r>
      <w:proofErr w:type="spellEnd"/>
      <w:r>
        <w:t xml:space="preserve"> Native American Ethnobotany, containing over 291 plant species used for nervous conditions) and the Eclectic and naturopathic traditions of the nineteenth and twentieth centuries. Clinically validated European species for anxiety and insomnia beyond those detailed in Section 4 include Echinacea </w:t>
      </w:r>
      <w:proofErr w:type="spellStart"/>
      <w:r>
        <w:t>purpurea</w:t>
      </w:r>
      <w:proofErr w:type="spellEnd"/>
      <w:r>
        <w:t xml:space="preserve"> (L.) </w:t>
      </w:r>
      <w:proofErr w:type="spellStart"/>
      <w:r>
        <w:t>Moench</w:t>
      </w:r>
      <w:proofErr w:type="spellEnd"/>
      <w:r>
        <w:t xml:space="preserve"> (evidence for anxiety-modulating effects through endocannabinoid pathways) and Pelargonium </w:t>
      </w:r>
      <w:proofErr w:type="spellStart"/>
      <w:r>
        <w:t>sidoides</w:t>
      </w:r>
      <w:proofErr w:type="spellEnd"/>
      <w:r>
        <w:t xml:space="preserve"> DC., which has been examined for its stress-modulating properties (Sarris et al., 2011). The Appalachian and Ozark folk medicine traditions of the United States document numerous additional species including Lobelia </w:t>
      </w:r>
      <w:proofErr w:type="spellStart"/>
      <w:r>
        <w:t>inflata</w:t>
      </w:r>
      <w:proofErr w:type="spellEnd"/>
      <w:r>
        <w:t xml:space="preserve"> L., Anemone spp. and Corydalis spp. that are largely </w:t>
      </w:r>
      <w:proofErr w:type="spellStart"/>
      <w:r>
        <w:t>uncharacterised</w:t>
      </w:r>
      <w:proofErr w:type="spellEnd"/>
      <w:r>
        <w:t xml:space="preserve"> pharmacologically.</w:t>
      </w:r>
    </w:p>
    <w:p w:rsidR="00D3095F" w:rsidRDefault="006C44ED">
      <w:pPr>
        <w:pStyle w:val="Heading1"/>
      </w:pPr>
      <w:r>
        <w:t>9.  Translational Pathways: From Ethnobotanical Documentation to Evidence-Based Therapy</w:t>
      </w:r>
    </w:p>
    <w:p w:rsidR="00D3095F" w:rsidRDefault="006C44ED">
      <w:pPr>
        <w:spacing w:after="160" w:line="360" w:lineRule="auto"/>
        <w:ind w:firstLine="720"/>
        <w:jc w:val="both"/>
      </w:pPr>
      <w:r>
        <w:t xml:space="preserve">The journey from plant folk use to pharmaceutical product is one of the longest in drug development. For the species reviewed here, varying proportions of this trajectory have been completed, providing instructive case studies for understanding both the potential and </w:t>
      </w:r>
      <w:r>
        <w:lastRenderedPageBreak/>
        <w:t>the limitations of the ethnobotanical approach to drug discovery (Fabricant &amp; Farnsworth, 2001).</w:t>
      </w:r>
    </w:p>
    <w:p w:rsidR="00D3095F" w:rsidRDefault="006C44ED">
      <w:pPr>
        <w:spacing w:after="160" w:line="360" w:lineRule="auto"/>
        <w:ind w:firstLine="720"/>
        <w:jc w:val="both"/>
      </w:pPr>
      <w:r>
        <w:t>The first step — ethnobotanical documentation — is prerequisite but not sufficient. Documentation must be accompanied by: rigorous botanical authentication; phytochemical profiling using modern analytical techniques (HPLC-DAD-MS, NMR, GC-MS) to identify and quantify putative active constituents; in vitro bioassay using receptor binding, enzymatic assay and cell-based systems to establish pharmacodynamic plausibility; pharmacokinetic profiling of key constituents to determine bioavailability, metabolic activation or inactivation and blood-brain barrier penetration; and in vivo preclinical evaluation in validated rodent models of anxiety (elevated plus-maze, open field, light-dark box, fear-potentiated startle), depression (forced swim, tail suspension, sucrose preference, chronic mild stress) and insomnia (EEG sleep architecture recording). Each step generates scientific knowledge and may terminate the pipeline if results are negative. The pipeline from initial ethnobotanical documentation to regulatory approval of a plant medicine typically requires 15–25 years when fully executed, substantially longer than for synthetic small molecules because the complexity of multi-constituent extracts confounds standard pharmaceutical development paradigms.</w:t>
      </w:r>
    </w:p>
    <w:p w:rsidR="00D3095F" w:rsidRDefault="006C44ED">
      <w:pPr>
        <w:spacing w:after="160" w:line="360" w:lineRule="auto"/>
        <w:ind w:firstLine="720"/>
        <w:jc w:val="both"/>
      </w:pPr>
      <w:r>
        <w:t xml:space="preserve">The cases of Hypericum </w:t>
      </w:r>
      <w:proofErr w:type="spellStart"/>
      <w:r>
        <w:t>perforatum</w:t>
      </w:r>
      <w:proofErr w:type="spellEnd"/>
      <w:r>
        <w:t xml:space="preserve">, </w:t>
      </w:r>
      <w:proofErr w:type="spellStart"/>
      <w:r>
        <w:t>Withania</w:t>
      </w:r>
      <w:proofErr w:type="spellEnd"/>
      <w:r>
        <w:t xml:space="preserve"> </w:t>
      </w:r>
      <w:proofErr w:type="spellStart"/>
      <w:r>
        <w:t>somnifera</w:t>
      </w:r>
      <w:proofErr w:type="spellEnd"/>
      <w:r>
        <w:t>, Lavandula angustifolia (</w:t>
      </w:r>
      <w:proofErr w:type="spellStart"/>
      <w:r>
        <w:t>Silexan</w:t>
      </w:r>
      <w:proofErr w:type="spellEnd"/>
      <w:r>
        <w:t xml:space="preserve">), Piper </w:t>
      </w:r>
      <w:proofErr w:type="spellStart"/>
      <w:r>
        <w:t>methysticum</w:t>
      </w:r>
      <w:proofErr w:type="spellEnd"/>
      <w:r>
        <w:t xml:space="preserve"> and Crocus sativus represent the most advanced translation of ethnobotanical knowledge into clinical evidence within the scope of this review. H. </w:t>
      </w:r>
      <w:proofErr w:type="spellStart"/>
      <w:r>
        <w:t>perforatum</w:t>
      </w:r>
      <w:proofErr w:type="spellEnd"/>
      <w:r>
        <w:t xml:space="preserve"> </w:t>
      </w:r>
      <w:proofErr w:type="spellStart"/>
      <w:r>
        <w:t>standardised</w:t>
      </w:r>
      <w:proofErr w:type="spellEnd"/>
      <w:r>
        <w:t xml:space="preserve"> extract is </w:t>
      </w:r>
      <w:proofErr w:type="spellStart"/>
      <w:r>
        <w:t>licenced</w:t>
      </w:r>
      <w:proofErr w:type="spellEnd"/>
      <w:r>
        <w:t xml:space="preserve"> as an over-the-counter medicinal product for mild-to-moderate depression in Germany and multiple other countries; </w:t>
      </w:r>
      <w:proofErr w:type="spellStart"/>
      <w:r>
        <w:t>Silexan</w:t>
      </w:r>
      <w:proofErr w:type="spellEnd"/>
      <w:r>
        <w:t xml:space="preserve"> (lavender oil) is </w:t>
      </w:r>
      <w:proofErr w:type="spellStart"/>
      <w:r>
        <w:t>licenced</w:t>
      </w:r>
      <w:proofErr w:type="spellEnd"/>
      <w:r>
        <w:t xml:space="preserve"> for </w:t>
      </w:r>
      <w:proofErr w:type="spellStart"/>
      <w:r>
        <w:t>generalised</w:t>
      </w:r>
      <w:proofErr w:type="spellEnd"/>
      <w:r>
        <w:t xml:space="preserve"> anxiety disorder in Germany; WS® 1442 (</w:t>
      </w:r>
      <w:proofErr w:type="spellStart"/>
      <w:r>
        <w:t>Crataegus</w:t>
      </w:r>
      <w:proofErr w:type="spellEnd"/>
      <w:r>
        <w:t xml:space="preserve"> extract, for anxiety with cardiovascular symptoms) is similarly </w:t>
      </w:r>
      <w:proofErr w:type="spellStart"/>
      <w:r>
        <w:t>licenced</w:t>
      </w:r>
      <w:proofErr w:type="spellEnd"/>
      <w:r>
        <w:t>. The key success factors shared by these cases are: (</w:t>
      </w:r>
      <w:proofErr w:type="spellStart"/>
      <w:r>
        <w:t>i</w:t>
      </w:r>
      <w:proofErr w:type="spellEnd"/>
      <w:r>
        <w:t xml:space="preserve">) longstanding and geographically widespread ethnobotanical documentation; (ii) identification of chemically definable, bioavailable active constituents; (iii) investment in </w:t>
      </w:r>
      <w:proofErr w:type="spellStart"/>
      <w:r>
        <w:t>randomised</w:t>
      </w:r>
      <w:proofErr w:type="spellEnd"/>
      <w:r>
        <w:t xml:space="preserve"> controlled trials of appropriate size and duration; and (iv) engagement with regulatory frameworks that accommodate both traditional use evidence and controlled trial data (EMA, 2016).</w:t>
      </w:r>
    </w:p>
    <w:p w:rsidR="00D3095F" w:rsidRDefault="006C44ED">
      <w:pPr>
        <w:spacing w:after="160" w:line="360" w:lineRule="auto"/>
        <w:ind w:firstLine="720"/>
        <w:jc w:val="both"/>
      </w:pPr>
      <w:r>
        <w:t xml:space="preserve">Conversely, the case of kava illustrates the potential for regulatory collapse of a well-evidenced botanical product due to pharmacovigilance failures not anticipated by ethnobotanical documentation alone. The historical safety of traditionally prepared aqueous </w:t>
      </w:r>
      <w:r>
        <w:lastRenderedPageBreak/>
        <w:t>noble kava, consumed by Pacific Islanders for millennia at substantial quantities without documented hepatotoxicity, was not predictive of the safety profile of acetone/ethanol extracts of whole kava plant (including hepatotoxic material from above-ground parts) prepared under non-traditional protocols and consumed by individuals on concomitant medications. This case powerfully illustrates the importance of extracting not only the pharmacological signal but also the safety signal from traditional use data — including preparation specificity, dose range, population and co-medication data (WHO, 2007).</w:t>
      </w:r>
    </w:p>
    <w:p w:rsidR="00D3095F" w:rsidRDefault="006C44ED">
      <w:pPr>
        <w:pStyle w:val="Heading1"/>
      </w:pPr>
      <w:r>
        <w:t>10.  Intellectual Property, Indigenous Rights and Conservation</w:t>
      </w:r>
    </w:p>
    <w:p w:rsidR="00D3095F" w:rsidRDefault="006C44ED">
      <w:pPr>
        <w:spacing w:after="160" w:line="360" w:lineRule="auto"/>
        <w:ind w:firstLine="720"/>
        <w:jc w:val="both"/>
      </w:pPr>
      <w:r>
        <w:t>The commercial exploitation of traditional plant knowledge for pharmaceutical development raises acute issues of intellectual property (IP), benefit-sharing and conservation that must be addressed in any comprehensive review of ethnobotanical documentation. The CBD's Nagoya Protocol establishes that access to traditional knowledge associated with genetic resources requires the prior informed consent of the relevant indigenous or local community and must be accompanied by mutually agreed terms for benefit-sharing (SCBD, 2011). Despite the Protocol's entry into force in 2014, compliance by commercial entities drawing on ethnobotanical knowledge has been inconsistent and difficult to enforce (Fabricant &amp; Farnsworth, 2001).</w:t>
      </w:r>
    </w:p>
    <w:p w:rsidR="00D3095F" w:rsidRDefault="006C44ED">
      <w:pPr>
        <w:spacing w:after="160" w:line="360" w:lineRule="auto"/>
        <w:ind w:firstLine="720"/>
        <w:jc w:val="both"/>
      </w:pPr>
      <w:r>
        <w:t xml:space="preserve">The documentation of traditional plant knowledge through peer-reviewed publication is itself a legally complex act: whilst systematic documentation may be essential for pharmacological validation and conservation, it simultaneously places traditionally held knowledge in the public domain, potentially undermining the IP claims of originating communities and facilitating exploitation without compensation. Benefit-sharing arrangements, agreed in advance between researchers, institutions and communities and codified in bioprospecting agreements, provide one pathway for equitable collaboration. The Hoodia-San community agreement in South Africa, under which the San people received royalties from the </w:t>
      </w:r>
      <w:proofErr w:type="spellStart"/>
      <w:r>
        <w:t>commercialisation</w:t>
      </w:r>
      <w:proofErr w:type="spellEnd"/>
      <w:r>
        <w:t xml:space="preserve"> of their traditional Hoodia </w:t>
      </w:r>
      <w:proofErr w:type="spellStart"/>
      <w:r>
        <w:t>gordonii</w:t>
      </w:r>
      <w:proofErr w:type="spellEnd"/>
      <w:r>
        <w:t xml:space="preserve"> weight-loss knowledge, is frequently cited as a model case, though limitations in scope and execution have been acknowledged (Wynberg et al., 2009).</w:t>
      </w:r>
    </w:p>
    <w:p w:rsidR="00D3095F" w:rsidRDefault="006C44ED">
      <w:pPr>
        <w:spacing w:after="160" w:line="360" w:lineRule="auto"/>
        <w:ind w:firstLine="720"/>
        <w:jc w:val="both"/>
      </w:pPr>
      <w:r>
        <w:t xml:space="preserve">Conservation is a pressing co-concern. Multiple species documented in this review face varying degrees of threat from unsustainable harvest. </w:t>
      </w:r>
      <w:proofErr w:type="spellStart"/>
      <w:r>
        <w:t>Nardostachys</w:t>
      </w:r>
      <w:proofErr w:type="spellEnd"/>
      <w:r>
        <w:t xml:space="preserve"> </w:t>
      </w:r>
      <w:proofErr w:type="spellStart"/>
      <w:r>
        <w:t>jatamansi</w:t>
      </w:r>
      <w:proofErr w:type="spellEnd"/>
      <w:r>
        <w:t xml:space="preserve"> is CITES-listed (Appendix II) due to overharvesting from Himalayan alpine populations driven by Ayurvedic and Unani pharmaceutical demand. Panax ginseng is classified as 'Near </w:t>
      </w:r>
      <w:r>
        <w:lastRenderedPageBreak/>
        <w:t>Threatened' on the IUCN Red List. Kava cultivation in Pacific Island nations faces pressure from land-use change and viral pathogens. Consistent with WHO Good Agricultural and Collection Practices (GACP) guidelines (WHO, 2003), ethnobotanical documentation of collection sites, harvest periods, plant parts and yield data should be integrated into primary surveys, providing the baseline data needed for sustainable management plans.</w:t>
      </w:r>
    </w:p>
    <w:p w:rsidR="00D3095F" w:rsidRDefault="006C44ED">
      <w:pPr>
        <w:pStyle w:val="Heading1"/>
      </w:pPr>
      <w:r>
        <w:t>11.  Discussion</w:t>
      </w:r>
    </w:p>
    <w:p w:rsidR="00D3095F" w:rsidRDefault="006C44ED">
      <w:pPr>
        <w:spacing w:after="160" w:line="360" w:lineRule="auto"/>
        <w:ind w:firstLine="720"/>
        <w:jc w:val="both"/>
      </w:pPr>
      <w:r>
        <w:t xml:space="preserve">The synthesis presented in this review confirms that ethnobotanical documentation of plants used for anxiety, insomnia and depression provides both a scientifically robust pharmacological signal and a translatable foundation for evidence-based therapeutics. The strength and geographic breadth of the cross-cultural consensus for several key species — </w:t>
      </w:r>
      <w:proofErr w:type="spellStart"/>
      <w:r>
        <w:t>Valeriana</w:t>
      </w:r>
      <w:proofErr w:type="spellEnd"/>
      <w:r>
        <w:t xml:space="preserve"> officinalis, Hypericum </w:t>
      </w:r>
      <w:proofErr w:type="spellStart"/>
      <w:r>
        <w:t>perforatum</w:t>
      </w:r>
      <w:proofErr w:type="spellEnd"/>
      <w:r>
        <w:t xml:space="preserve">, Lavandula angustifolia, </w:t>
      </w:r>
      <w:proofErr w:type="spellStart"/>
      <w:r>
        <w:t>Matricaria</w:t>
      </w:r>
      <w:proofErr w:type="spellEnd"/>
      <w:r>
        <w:t xml:space="preserve"> chamomilla, </w:t>
      </w:r>
      <w:proofErr w:type="spellStart"/>
      <w:r>
        <w:t>Withania</w:t>
      </w:r>
      <w:proofErr w:type="spellEnd"/>
      <w:r>
        <w:t xml:space="preserve"> </w:t>
      </w:r>
      <w:proofErr w:type="spellStart"/>
      <w:r>
        <w:t>somnifera</w:t>
      </w:r>
      <w:proofErr w:type="spellEnd"/>
      <w:r>
        <w:t xml:space="preserve"> and </w:t>
      </w:r>
      <w:proofErr w:type="spellStart"/>
      <w:r>
        <w:t>Passiflora</w:t>
      </w:r>
      <w:proofErr w:type="spellEnd"/>
      <w:r>
        <w:t xml:space="preserve"> </w:t>
      </w:r>
      <w:proofErr w:type="spellStart"/>
      <w:r>
        <w:t>incarnata</w:t>
      </w:r>
      <w:proofErr w:type="spellEnd"/>
      <w:r>
        <w:t xml:space="preserve"> — constitutes the most compelling available evidence that their therapeutic effects represent genuine pharmacological phenomena rather than placebo responses shaped by cultural expectation. The mechanistic diversity of plant-derived bioactive constituents documented here — operating through at minimum seven distinct neurochemical pathways across the four neurotransmitter systems most relevant to anxiety, depression and insomnia — illustrates both the breadth of nature's phytochemical pharmacopoeia and the specificity with which traditional observation has identified pharmacologically active species.</w:t>
      </w:r>
    </w:p>
    <w:p w:rsidR="00D3095F" w:rsidRDefault="006C44ED">
      <w:pPr>
        <w:spacing w:after="160" w:line="360" w:lineRule="auto"/>
        <w:ind w:firstLine="720"/>
        <w:jc w:val="both"/>
      </w:pPr>
      <w:r>
        <w:t xml:space="preserve">It is important to acknowledge the hierarchy of evidence that has been applied implicitly throughout this review. For species with multiple high-quality </w:t>
      </w:r>
      <w:proofErr w:type="spellStart"/>
      <w:r>
        <w:t>randomised</w:t>
      </w:r>
      <w:proofErr w:type="spellEnd"/>
      <w:r>
        <w:t xml:space="preserve"> controlled trials — H. </w:t>
      </w:r>
      <w:proofErr w:type="spellStart"/>
      <w:r>
        <w:t>perforatum</w:t>
      </w:r>
      <w:proofErr w:type="spellEnd"/>
      <w:r>
        <w:t>, L. angustifolia (</w:t>
      </w:r>
      <w:proofErr w:type="spellStart"/>
      <w:r>
        <w:t>Silexan</w:t>
      </w:r>
      <w:proofErr w:type="spellEnd"/>
      <w:r>
        <w:t xml:space="preserve">), P. </w:t>
      </w:r>
      <w:proofErr w:type="spellStart"/>
      <w:r>
        <w:t>incarnata</w:t>
      </w:r>
      <w:proofErr w:type="spellEnd"/>
      <w:r>
        <w:t xml:space="preserve">, V. officinalis — the ethnobotanical documentation can be regarded as comprehensively pharmacologically validated. For species with preclinical pharmacological data and one or two clinical trials — W. </w:t>
      </w:r>
      <w:proofErr w:type="spellStart"/>
      <w:r>
        <w:t>somnifera</w:t>
      </w:r>
      <w:proofErr w:type="spellEnd"/>
      <w:r>
        <w:t xml:space="preserve">, C. sativus, B. </w:t>
      </w:r>
      <w:proofErr w:type="spellStart"/>
      <w:r>
        <w:t>monnieri</w:t>
      </w:r>
      <w:proofErr w:type="spellEnd"/>
      <w:r>
        <w:t xml:space="preserve">, S. </w:t>
      </w:r>
      <w:proofErr w:type="spellStart"/>
      <w:r>
        <w:t>baicalensis</w:t>
      </w:r>
      <w:proofErr w:type="spellEnd"/>
      <w:r>
        <w:t xml:space="preserve"> — traditional use provides the primary evidence framework supported by biological plausibility. For the majority of species documented in regional ethnobotanical surveys — particularly in sub-Saharan Africa, South-East Asia and indigenous American traditions — the documentation itself remains the primary evidence, with pharmacological investigation either incomplete or absent. This stratification highlights both the achievements and the priorities of the field.</w:t>
      </w:r>
    </w:p>
    <w:p w:rsidR="00D3095F" w:rsidRDefault="006C44ED">
      <w:pPr>
        <w:spacing w:after="160" w:line="360" w:lineRule="auto"/>
        <w:ind w:firstLine="720"/>
        <w:jc w:val="both"/>
      </w:pPr>
      <w:r>
        <w:t xml:space="preserve">The asymmetry of research attention between traditions is striking and troubling. The most researched plants in the current literature are predominantly those embedded in </w:t>
      </w:r>
      <w:r>
        <w:lastRenderedPageBreak/>
        <w:t xml:space="preserve">European, Indian or East Asian traditions — traditions with literate </w:t>
      </w:r>
      <w:proofErr w:type="spellStart"/>
      <w:r>
        <w:t>pharmacopoeial</w:t>
      </w:r>
      <w:proofErr w:type="spellEnd"/>
      <w:r>
        <w:t xml:space="preserve"> histories, existing infrastructure for clinical research and economic incentives for </w:t>
      </w:r>
      <w:proofErr w:type="spellStart"/>
      <w:r>
        <w:t>commercialisation</w:t>
      </w:r>
      <w:proofErr w:type="spellEnd"/>
      <w:r>
        <w:t xml:space="preserve"> in high-income markets. Sub-Saharan African medicinal plant knowledge, despite encompassing comparable or greater botanical diversity and serving populations with equally large or larger unmet mental health treatment needs, remains grossly under-researched. The recent exception of </w:t>
      </w:r>
      <w:proofErr w:type="spellStart"/>
      <w:r>
        <w:t>Sceletium</w:t>
      </w:r>
      <w:proofErr w:type="spellEnd"/>
      <w:r>
        <w:t xml:space="preserve"> </w:t>
      </w:r>
      <w:proofErr w:type="spellStart"/>
      <w:r>
        <w:t>tortuosum</w:t>
      </w:r>
      <w:proofErr w:type="spellEnd"/>
      <w:r>
        <w:t>, for which South African researchers have achieved Phase I/II clinical trial evidence over the past decade, illustrates what is possible when targeted investment in research capacity accompanies ethnobotanical documentation (</w:t>
      </w:r>
      <w:proofErr w:type="spellStart"/>
      <w:r>
        <w:t>Shikanga</w:t>
      </w:r>
      <w:proofErr w:type="spellEnd"/>
      <w:r>
        <w:t xml:space="preserve"> et al., 2012).</w:t>
      </w:r>
    </w:p>
    <w:p w:rsidR="00D3095F" w:rsidRDefault="006C44ED">
      <w:pPr>
        <w:spacing w:after="160" w:line="360" w:lineRule="auto"/>
        <w:ind w:firstLine="720"/>
        <w:jc w:val="both"/>
      </w:pPr>
      <w:r>
        <w:t xml:space="preserve">A recurring limitation in the primary ethnobotanical literature is the insufficient documentation of preparation specificity and dosage. The pharmacological profile of a plant medicine is critically dependent on which part of the plant is used, how it is processed, what solvent is used for extraction and at what concentration, and in what dose. For example, the hepatotoxic kava preparations that triggered regulatory bans in the 2000s used whole-plant acetone extracts at doses substantially exceeding those of traditional aqueous preparations; the divergent safety outcome was directly attributable to these preparation differences (WHO, 2007). Similarly, the antidepressant efficacy of H. </w:t>
      </w:r>
      <w:proofErr w:type="spellStart"/>
      <w:r>
        <w:t>perforatum</w:t>
      </w:r>
      <w:proofErr w:type="spellEnd"/>
      <w:r>
        <w:t xml:space="preserve"> </w:t>
      </w:r>
      <w:proofErr w:type="spellStart"/>
      <w:r>
        <w:t>standardised</w:t>
      </w:r>
      <w:proofErr w:type="spellEnd"/>
      <w:r>
        <w:t xml:space="preserve"> extract is attributable largely to hyperforin content, whereas many commercial products are </w:t>
      </w:r>
      <w:proofErr w:type="spellStart"/>
      <w:r>
        <w:t>standardised</w:t>
      </w:r>
      <w:proofErr w:type="spellEnd"/>
      <w:r>
        <w:t xml:space="preserve"> only to hypericin (0.3%), which correlates poorly with clinical effect (Müller et al., 1998). Future ethnobotanical surveys should systematically capture preparation parameters as </w:t>
      </w:r>
      <w:proofErr w:type="spellStart"/>
      <w:r>
        <w:t>pharmacochemically</w:t>
      </w:r>
      <w:proofErr w:type="spellEnd"/>
      <w:r>
        <w:t xml:space="preserve"> precise data rather than approximate ethnographic description.</w:t>
      </w:r>
    </w:p>
    <w:p w:rsidR="00D3095F" w:rsidRDefault="006C44ED">
      <w:pPr>
        <w:spacing w:after="160" w:line="360" w:lineRule="auto"/>
        <w:ind w:firstLine="720"/>
        <w:jc w:val="both"/>
      </w:pPr>
      <w:r>
        <w:t xml:space="preserve">The potential for polypharmacy interactions between ethnobotanically documented plants and conventional medicines is a further safety consideration that ethnobotanical documentation can address. H. </w:t>
      </w:r>
      <w:proofErr w:type="spellStart"/>
      <w:r>
        <w:t>perforatum</w:t>
      </w:r>
      <w:proofErr w:type="spellEnd"/>
      <w:r>
        <w:t>, through hyperforin-mediated PXR induction of CYP3A4 and P-glycoprotein, reduces plasma concentrations of numerous co-medications; kava inhibits CYP1A2, CYP2D6 and CYP3A4; Ginkgo biloba L. and garlic (Allium sativum L.) affect platelet aggregation and anticoagulant drug effects (Moore et al., 2000). Documenting co-medication use in ethnobotanical survey populations — increasingly feasible as access to conventional medicines grows in low- and middle-income countries — provides crucial pharmacovigilance baseline data.</w:t>
      </w:r>
    </w:p>
    <w:p w:rsidR="00D3095F" w:rsidRDefault="006C44ED">
      <w:pPr>
        <w:spacing w:after="160" w:line="360" w:lineRule="auto"/>
        <w:ind w:firstLine="720"/>
        <w:jc w:val="both"/>
      </w:pPr>
      <w:r>
        <w:lastRenderedPageBreak/>
        <w:t xml:space="preserve">Looking forward, several convergent developments suggest that the next decade will be a particularly productive period for ethnobotanically driven psychopharmacology. The recognition of the gut-brain axis as a critical mediator of mood and anxiety, with gut microbiota composition influencing neurotransmitter availability, inflammatory </w:t>
      </w:r>
      <w:proofErr w:type="spellStart"/>
      <w:r>
        <w:t>signalling</w:t>
      </w:r>
      <w:proofErr w:type="spellEnd"/>
      <w:r>
        <w:t xml:space="preserve"> and HPA axis reactivity, opens new mechanistic interpretations for several traditionally used plants with notable prebiotic and antimicrobial phytochemical profiles (</w:t>
      </w:r>
      <w:proofErr w:type="spellStart"/>
      <w:r>
        <w:t>Carabotti</w:t>
      </w:r>
      <w:proofErr w:type="spellEnd"/>
      <w:r>
        <w:t xml:space="preserve"> et al., 2015). Network pharmacology — the computational mapping of multi-target interactions of complex plant extract constituents — offers a systems-biology framework for </w:t>
      </w:r>
      <w:proofErr w:type="spellStart"/>
      <w:r>
        <w:t>characterising</w:t>
      </w:r>
      <w:proofErr w:type="spellEnd"/>
      <w:r>
        <w:t xml:space="preserve"> the inherently </w:t>
      </w:r>
      <w:proofErr w:type="spellStart"/>
      <w:r>
        <w:t>polypharmacological</w:t>
      </w:r>
      <w:proofErr w:type="spellEnd"/>
      <w:r>
        <w:t xml:space="preserve"> nature of plant medicines without reducing them to single-active-principle models. The accelerating integration of ethnobotanical databases with genomic, metabolomic and pharmacogenomic datasets promises to reveal both new mechanistic insights and precision medicine opportunities.</w:t>
      </w:r>
    </w:p>
    <w:p w:rsidR="00D3095F" w:rsidRDefault="006C44ED">
      <w:pPr>
        <w:pStyle w:val="Heading1"/>
      </w:pPr>
      <w:r>
        <w:t>12.  Safety, Adverse Effects and Herb-Drug Interactions</w:t>
      </w:r>
    </w:p>
    <w:p w:rsidR="00D3095F" w:rsidRDefault="006C44ED">
      <w:pPr>
        <w:spacing w:after="160" w:line="360" w:lineRule="auto"/>
        <w:ind w:firstLine="720"/>
        <w:jc w:val="both"/>
      </w:pPr>
      <w:r>
        <w:t xml:space="preserve">A critical but frequently underweighted dimension of ethnobotanical documentation is the systematic recording of adverse effects, contraindications and herb-drug interactions associated with traditionally used plants. Traditional use does not, in itself, guarantee safety at contemporary doses, with contemporary patient populations who may differ substantially from traditional user groups in terms of age, comorbidities, polypharmacy burden and route of administration. The WHO has consistently </w:t>
      </w:r>
      <w:proofErr w:type="spellStart"/>
      <w:r>
        <w:t>emphasised</w:t>
      </w:r>
      <w:proofErr w:type="spellEnd"/>
      <w:r>
        <w:t xml:space="preserve"> that safety assessment is an integral and non-separable component of the evaluation of traditional medicine (WHO, 2019). Yet in a majority of primary ethnobotanical surveys, adverse effects data are either absent or limited to brief qualitative notes. This section </w:t>
      </w:r>
      <w:proofErr w:type="spellStart"/>
      <w:r>
        <w:t>synthesises</w:t>
      </w:r>
      <w:proofErr w:type="spellEnd"/>
      <w:r>
        <w:t xml:space="preserve"> the available safety data for the major species reviewed and identifies the principal interaction risks relevant to clinical practice.</w:t>
      </w:r>
    </w:p>
    <w:p w:rsidR="00D3095F" w:rsidRDefault="006C44ED">
      <w:pPr>
        <w:spacing w:after="160" w:line="360" w:lineRule="auto"/>
        <w:ind w:firstLine="720"/>
        <w:jc w:val="both"/>
      </w:pPr>
      <w:proofErr w:type="spellStart"/>
      <w:r>
        <w:t>Valeriana</w:t>
      </w:r>
      <w:proofErr w:type="spellEnd"/>
      <w:r>
        <w:t xml:space="preserve"> officinalis is generally regarded as safe at recommended doses; the most commonly reported adverse effects in clinical trials are mild and transient, including headache, dizziness, pruritus and gastrointestinal discomfort (Bent et al., 2006). A theoretical concern regarding hepatotoxicity, prompted by isolated case reports and by the structural similarity of valepotriates to known hepatotoxic alkylating agents, has not been borne out by systematic review of clinical trial safety data or post-marketing surveillance. Significant pharmacokinetic drug interactions with V. officinalis have not been formally established, though in vitro CYP3A4 inhibition by some valerian constituents has been observed at supraphysiological concentrations (Donovan et al., 2004). Hypericum </w:t>
      </w:r>
      <w:proofErr w:type="spellStart"/>
      <w:r>
        <w:t>perforatum</w:t>
      </w:r>
      <w:proofErr w:type="spellEnd"/>
      <w:r>
        <w:t xml:space="preserve"> presents the </w:t>
      </w:r>
      <w:r>
        <w:lastRenderedPageBreak/>
        <w:t xml:space="preserve">most clinically significant interaction profile of any plant covered in this review, owing to hyperforin's potent induction of CYP3A4, CYP2C9 and P-glycoprotein via PXR activation. Documented clinical consequences include reduced plasma concentrations of indinavir, cyclosporin, warfarin, digoxin, oral contraceptives, HIV protease inhibitors and numerous other narrow-therapeutic-index drugs (Moore et al., 2000). These interactions are dose-dependent and preparation-dependent, being substantially reduced in low-hyperforin extracts developed specifically to </w:t>
      </w:r>
      <w:proofErr w:type="spellStart"/>
      <w:r>
        <w:t>minimise</w:t>
      </w:r>
      <w:proofErr w:type="spellEnd"/>
      <w:r>
        <w:t xml:space="preserve"> PXR induction.</w:t>
      </w:r>
    </w:p>
    <w:p w:rsidR="00D3095F" w:rsidRDefault="006C44ED">
      <w:pPr>
        <w:spacing w:after="160" w:line="360" w:lineRule="auto"/>
        <w:ind w:firstLine="720"/>
        <w:jc w:val="both"/>
      </w:pPr>
      <w:r>
        <w:t xml:space="preserve">Lavandula angustifolia oral preparations have a notably benign safety profile. Clinical trials of </w:t>
      </w:r>
      <w:proofErr w:type="spellStart"/>
      <w:r>
        <w:t>Silexan</w:t>
      </w:r>
      <w:proofErr w:type="spellEnd"/>
      <w:r>
        <w:t xml:space="preserve"> (80–160 mg/day) reported adverse effects indistinguishable from placebo except for a mild burping sensation in a minority of participants, and no clinically significant drug interactions, tolerance or withdrawal effects were observed over treatment periods of up to six months (Kasper et al., 2014; </w:t>
      </w:r>
      <w:proofErr w:type="spellStart"/>
      <w:r>
        <w:t>Woelk</w:t>
      </w:r>
      <w:proofErr w:type="spellEnd"/>
      <w:r>
        <w:t xml:space="preserve"> &amp; </w:t>
      </w:r>
      <w:proofErr w:type="spellStart"/>
      <w:r>
        <w:t>Schläfke</w:t>
      </w:r>
      <w:proofErr w:type="spellEnd"/>
      <w:r>
        <w:t xml:space="preserve">, 2010). </w:t>
      </w:r>
      <w:proofErr w:type="spellStart"/>
      <w:r>
        <w:t>Withania</w:t>
      </w:r>
      <w:proofErr w:type="spellEnd"/>
      <w:r>
        <w:t xml:space="preserve"> </w:t>
      </w:r>
      <w:proofErr w:type="spellStart"/>
      <w:r>
        <w:t>somnifera</w:t>
      </w:r>
      <w:proofErr w:type="spellEnd"/>
      <w:r>
        <w:t xml:space="preserve"> is similarly well tolerated; the most commonly reported adverse effects in systematic reviews are mild gastrointestinal disturbance and loose stools at higher doses (Chandrasekhar et al., 2012). Rare cases of hepatotoxicity associated with ashwagandha-containing supplements have been published in the post-2020 literature (</w:t>
      </w:r>
      <w:proofErr w:type="spellStart"/>
      <w:r>
        <w:t>Björnsson</w:t>
      </w:r>
      <w:proofErr w:type="spellEnd"/>
      <w:r>
        <w:t xml:space="preserve"> et al., 2020), and whilst causality has not been definitively established in all cases, </w:t>
      </w:r>
      <w:proofErr w:type="gramStart"/>
      <w:r>
        <w:t>this warrants</w:t>
      </w:r>
      <w:proofErr w:type="gramEnd"/>
      <w:r>
        <w:t xml:space="preserve"> monitoring in clinical practice, particularly at doses above those used in traditional Ayurvedic medicine.</w:t>
      </w:r>
    </w:p>
    <w:p w:rsidR="00D3095F" w:rsidRDefault="006C44ED">
      <w:pPr>
        <w:spacing w:after="160" w:line="360" w:lineRule="auto"/>
        <w:ind w:firstLine="720"/>
        <w:jc w:val="both"/>
      </w:pPr>
      <w:r>
        <w:t xml:space="preserve">Piper </w:t>
      </w:r>
      <w:proofErr w:type="spellStart"/>
      <w:r>
        <w:t>methysticum</w:t>
      </w:r>
      <w:proofErr w:type="spellEnd"/>
      <w:r>
        <w:t xml:space="preserve"> presents the most complex and clinically significant safety profile among the plants reviewed, reflecting the regulatory history discussed in Section 9. The WHO (2007) review concluded that while traditional aqueous preparations of noble kava are safe, non-traditional preparations, contaminated or </w:t>
      </w:r>
      <w:proofErr w:type="spellStart"/>
      <w:r>
        <w:t>mislabelled</w:t>
      </w:r>
      <w:proofErr w:type="spellEnd"/>
      <w:r>
        <w:t xml:space="preserve"> products, and use in the context of hepatic disease or concurrent hepatotoxic medications carry meaningful risk. </w:t>
      </w:r>
      <w:proofErr w:type="spellStart"/>
      <w:r>
        <w:t>Standardised</w:t>
      </w:r>
      <w:proofErr w:type="spellEnd"/>
      <w:r>
        <w:t xml:space="preserve"> kavalactone content in European pharmaceutical products was typically 70 mg per dose; several of the hepatotoxicity cases involved products containing substantially higher kavalactone concentrations or non-standard extraction solvents. Crocus sativus at doses used in clinical trials (30 mg/day of stigma extract) appears well tolerated, though doses above 5 g/day have been associated with toxic symptoms including vomiting, </w:t>
      </w:r>
      <w:proofErr w:type="spellStart"/>
      <w:r>
        <w:t>diarrhoea</w:t>
      </w:r>
      <w:proofErr w:type="spellEnd"/>
      <w:r>
        <w:t xml:space="preserve">, uterine bleeding and </w:t>
      </w:r>
      <w:proofErr w:type="spellStart"/>
      <w:r>
        <w:t>haemolytic</w:t>
      </w:r>
      <w:proofErr w:type="spellEnd"/>
      <w:r>
        <w:t xml:space="preserve"> </w:t>
      </w:r>
      <w:proofErr w:type="spellStart"/>
      <w:r>
        <w:t>anaemia</w:t>
      </w:r>
      <w:proofErr w:type="spellEnd"/>
      <w:r>
        <w:t xml:space="preserve"> in case reports; these doses are far above therapeutic ranges and correspond more closely to traditional use of saffron as an emmenagogue or abortifacient in Middle Eastern medicine (</w:t>
      </w:r>
      <w:proofErr w:type="spellStart"/>
      <w:r>
        <w:t>Hosseinzadeh</w:t>
      </w:r>
      <w:proofErr w:type="spellEnd"/>
      <w:r>
        <w:t xml:space="preserve"> &amp; </w:t>
      </w:r>
      <w:proofErr w:type="spellStart"/>
      <w:r>
        <w:t>Noraei</w:t>
      </w:r>
      <w:proofErr w:type="spellEnd"/>
      <w:r>
        <w:t>, 2009). The use of saffron in pregnancy should therefore be avoided until safety data are established.</w:t>
      </w:r>
    </w:p>
    <w:p w:rsidR="00D3095F" w:rsidRDefault="006C44ED">
      <w:pPr>
        <w:spacing w:after="160" w:line="360" w:lineRule="auto"/>
        <w:ind w:firstLine="720"/>
        <w:jc w:val="both"/>
      </w:pPr>
      <w:proofErr w:type="spellStart"/>
      <w:r>
        <w:lastRenderedPageBreak/>
        <w:t>Matricaria</w:t>
      </w:r>
      <w:proofErr w:type="spellEnd"/>
      <w:r>
        <w:t xml:space="preserve"> chamomilla is among the most widely consumed herbal teas globally and is generally considered safe; however, contact dermatitis and, rarely, systemic anaphylaxis have been documented in individuals with existing </w:t>
      </w:r>
      <w:proofErr w:type="spellStart"/>
      <w:r>
        <w:t>sensitisation</w:t>
      </w:r>
      <w:proofErr w:type="spellEnd"/>
      <w:r>
        <w:t xml:space="preserve"> to Asteraceae (</w:t>
      </w:r>
      <w:proofErr w:type="spellStart"/>
      <w:r>
        <w:t>compositae</w:t>
      </w:r>
      <w:proofErr w:type="spellEnd"/>
      <w:r>
        <w:t xml:space="preserve">) family plants — notably those also </w:t>
      </w:r>
      <w:proofErr w:type="spellStart"/>
      <w:r>
        <w:t>sensitised</w:t>
      </w:r>
      <w:proofErr w:type="spellEnd"/>
      <w:r>
        <w:t xml:space="preserve"> to ragweed (Ambrosia spp.), chrysanthemum or Echinacea (Srivastava et al., 2010). </w:t>
      </w:r>
      <w:proofErr w:type="spellStart"/>
      <w:r>
        <w:t>Passiflora</w:t>
      </w:r>
      <w:proofErr w:type="spellEnd"/>
      <w:r>
        <w:t xml:space="preserve"> </w:t>
      </w:r>
      <w:proofErr w:type="spellStart"/>
      <w:r>
        <w:t>incarnata</w:t>
      </w:r>
      <w:proofErr w:type="spellEnd"/>
      <w:r>
        <w:t xml:space="preserve"> is generally well tolerated in clinical trials; isolated cases of altered consciousness, arrhythmia and nausea have been reported with very high doses, and an additive sedative effect with CNS depressants is theoretically plausible. </w:t>
      </w:r>
      <w:proofErr w:type="spellStart"/>
      <w:r>
        <w:t>Scutellaria</w:t>
      </w:r>
      <w:proofErr w:type="spellEnd"/>
      <w:r>
        <w:t xml:space="preserve"> </w:t>
      </w:r>
      <w:proofErr w:type="spellStart"/>
      <w:r>
        <w:t>lateriflora</w:t>
      </w:r>
      <w:proofErr w:type="spellEnd"/>
      <w:r>
        <w:t xml:space="preserve"> adulteration with Teucrium species — which contain </w:t>
      </w:r>
      <w:proofErr w:type="spellStart"/>
      <w:r>
        <w:t>neoclerodane</w:t>
      </w:r>
      <w:proofErr w:type="spellEnd"/>
      <w:r>
        <w:t xml:space="preserve"> diterpenes (notably </w:t>
      </w:r>
      <w:proofErr w:type="spellStart"/>
      <w:r>
        <w:t>teucrin</w:t>
      </w:r>
      <w:proofErr w:type="spellEnd"/>
      <w:r>
        <w:t xml:space="preserve"> A) with established hepatotoxicity — has historically been a significant quality control concern in the commercial market, representing an indirect safety risk attributable to product adulteration rather than to the botanical species itself (Brock et al., 2014).</w:t>
      </w:r>
    </w:p>
    <w:p w:rsidR="00D3095F" w:rsidRDefault="006C44ED">
      <w:pPr>
        <w:spacing w:after="160" w:line="360" w:lineRule="auto"/>
        <w:ind w:firstLine="720"/>
        <w:jc w:val="both"/>
      </w:pPr>
      <w:r>
        <w:t>Taken together, these safety considerations underscore several important principles. First, the safety profile of a plant medicine is not a fixed, species-specific property but is heavily dependent on preparation type, dose, duration, patient characteristics and co-administration context. Second, traditional use data, while providing important signal-to-noise filtering, does not substitute for systematic safety pharmacology and toxicology investigation, particularly when traditional preparations are reformulated or concentrated for commercial markets. Third, comprehensive ethnobotanical documentation should routinely capture traditional knowledge about contraindications, maximum doses, contraindicated populations and co-administration restrictions — information that traditional healers frequently possess and that directly complements pharmacovigilance activities.</w:t>
      </w:r>
    </w:p>
    <w:p w:rsidR="00D3095F" w:rsidRDefault="006C44ED">
      <w:pPr>
        <w:pStyle w:val="Heading1"/>
      </w:pPr>
      <w:r>
        <w:t xml:space="preserve">13.  </w:t>
      </w:r>
      <w:proofErr w:type="spellStart"/>
      <w:r>
        <w:t>Standardisation</w:t>
      </w:r>
      <w:proofErr w:type="spellEnd"/>
      <w:r>
        <w:t>, Quality Control and Regulatory Frameworks</w:t>
      </w:r>
    </w:p>
    <w:p w:rsidR="00D3095F" w:rsidRDefault="006C44ED">
      <w:pPr>
        <w:spacing w:after="160" w:line="360" w:lineRule="auto"/>
        <w:ind w:firstLine="720"/>
        <w:jc w:val="both"/>
      </w:pPr>
      <w:r>
        <w:t xml:space="preserve">The </w:t>
      </w:r>
      <w:proofErr w:type="spellStart"/>
      <w:r>
        <w:t>standardisation</w:t>
      </w:r>
      <w:proofErr w:type="spellEnd"/>
      <w:r>
        <w:t xml:space="preserve"> of botanical medicinal products — ensuring consistent identity, purity, potency and stability — is one of the most technically challenging and commercially consequential dimensions of the translation from ethnobotanical documentation to clinical practice. Unlike synthetic drugs with a single defined active principle, plant medicines typically contain dozens to hundreds of potentially active and inactive compounds whose relative concentrations vary with species, chemotype, geographical origin, cultivation conditions, harvest timing, post-harvest processing and storage. This phytochemical variability directly influences clinical efficacy, safety and regulatory status, and its </w:t>
      </w:r>
      <w:r>
        <w:lastRenderedPageBreak/>
        <w:t>management is a prerequisite for the generation of reproducible clinical trial evidence and for the ethical promotion of plant-based products to patients and healthcare providers.</w:t>
      </w:r>
    </w:p>
    <w:p w:rsidR="00D3095F" w:rsidRDefault="006C44ED">
      <w:pPr>
        <w:spacing w:after="160" w:line="360" w:lineRule="auto"/>
        <w:ind w:firstLine="720"/>
        <w:jc w:val="both"/>
      </w:pPr>
      <w:r>
        <w:t xml:space="preserve">Analytical </w:t>
      </w:r>
      <w:proofErr w:type="spellStart"/>
      <w:r>
        <w:t>standardisation</w:t>
      </w:r>
      <w:proofErr w:type="spellEnd"/>
      <w:r>
        <w:t xml:space="preserve"> of botanical raw materials and finished products draws on a suite of modern techniques. High-performance liquid chromatography with diode array and mass spectrometric detection (HPLC-DAD-MS) provides quantitative profiles of major secondary metabolites and is the method of choice for marker-based </w:t>
      </w:r>
      <w:proofErr w:type="spellStart"/>
      <w:r>
        <w:t>standardisation</w:t>
      </w:r>
      <w:proofErr w:type="spellEnd"/>
      <w:r>
        <w:t xml:space="preserve">. Nuclear magnetic resonance (NMR) spectroscopy and gas chromatography-mass spectrometry (GC-MS) complement HPLC for specific constituent classes, particularly volatile terpenoids and alkaloids. DNA barcoding — the use of </w:t>
      </w:r>
      <w:proofErr w:type="spellStart"/>
      <w:r>
        <w:t>standardised</w:t>
      </w:r>
      <w:proofErr w:type="spellEnd"/>
      <w:r>
        <w:t xml:space="preserve"> short genomic sequences for species authentication — has emerged as a powerful tool for the detection of botanical adulteration and misidentification, which remains a major challenge in the global herbal medicines supply chain (</w:t>
      </w:r>
      <w:proofErr w:type="spellStart"/>
      <w:r>
        <w:t>Gafner</w:t>
      </w:r>
      <w:proofErr w:type="spellEnd"/>
      <w:r>
        <w:t xml:space="preserve"> et al., 2017). The widespread adoption of the ITS2 region and the </w:t>
      </w:r>
      <w:proofErr w:type="spellStart"/>
      <w:r>
        <w:t>rbcL</w:t>
      </w:r>
      <w:proofErr w:type="spellEnd"/>
      <w:r>
        <w:t xml:space="preserve"> and </w:t>
      </w:r>
      <w:proofErr w:type="spellStart"/>
      <w:r>
        <w:t>matK</w:t>
      </w:r>
      <w:proofErr w:type="spellEnd"/>
      <w:r>
        <w:t xml:space="preserve"> plastid markers as universal plant barcodes has enabled high-throughput authentication of herbal products, and studies applying these methods have consistently found significant rates of adulteration, substitution and contamination in commercial herbal products across multiple categories, including valerian, chamomile, passionflower and </w:t>
      </w:r>
      <w:proofErr w:type="spellStart"/>
      <w:r>
        <w:t>Scutellaria</w:t>
      </w:r>
      <w:proofErr w:type="spellEnd"/>
      <w:r>
        <w:t xml:space="preserve"> preparations.</w:t>
      </w:r>
    </w:p>
    <w:p w:rsidR="00D3095F" w:rsidRDefault="006C44ED">
      <w:pPr>
        <w:spacing w:after="160" w:line="360" w:lineRule="auto"/>
        <w:ind w:firstLine="720"/>
        <w:jc w:val="both"/>
      </w:pPr>
      <w:r>
        <w:t xml:space="preserve">The regulatory frameworks governing herbal medicinal products differ substantially across jurisdictions. In the European Union, Directive 2004/24/EC established a simplified registration pathway for traditional herbal medicinal products (THMPs) based on a documented history of at least 30 years of medicinal use, at least 15 of which in the EU, without the requirement for full clinical trial evidence. More established products with available clinical evidence may seek marketing </w:t>
      </w:r>
      <w:proofErr w:type="spellStart"/>
      <w:r>
        <w:t>authorisation</w:t>
      </w:r>
      <w:proofErr w:type="spellEnd"/>
      <w:r>
        <w:t xml:space="preserve"> as well-established use medicinal products, as has been achieved for H. </w:t>
      </w:r>
      <w:proofErr w:type="spellStart"/>
      <w:r>
        <w:t>perforatum</w:t>
      </w:r>
      <w:proofErr w:type="spellEnd"/>
      <w:r>
        <w:t xml:space="preserve"> and V. officinalis preparations. These regulatory standards are administered by the EMA's Committee on Herbal Medicinal Products (HMPC), which has published over 100 Community Herbal Monographs documenting both traditional use and well-established use categories for individual plant species (EMA, 2016). In the United States, herbal products are regulated as dietary supplements under the Dietary Supplement Health and Education Act (DSHEA) of 1994, which requires manufacturers to ensure safety but does not require pre-market efficacy demonstration or </w:t>
      </w:r>
      <w:proofErr w:type="spellStart"/>
      <w:r>
        <w:t>standardisation</w:t>
      </w:r>
      <w:proofErr w:type="spellEnd"/>
      <w:r>
        <w:t>. This relatively permissive regulatory environment has contributed to significant quality variability in the US botanical supplement market, whilst simultaneously facilitating broad consumer access (</w:t>
      </w:r>
      <w:proofErr w:type="spellStart"/>
      <w:r>
        <w:t>Gafner</w:t>
      </w:r>
      <w:proofErr w:type="spellEnd"/>
      <w:r>
        <w:t xml:space="preserve"> et al., 2017).</w:t>
      </w:r>
    </w:p>
    <w:p w:rsidR="00D3095F" w:rsidRDefault="006C44ED">
      <w:pPr>
        <w:spacing w:after="160" w:line="360" w:lineRule="auto"/>
        <w:ind w:firstLine="720"/>
        <w:jc w:val="both"/>
      </w:pPr>
      <w:r>
        <w:lastRenderedPageBreak/>
        <w:t xml:space="preserve">The WHO has provided globally applicable guidance on the quality assurance of herbal medicines through a series of technical documents, including the WHO Good Practices for Research and Development of Herbal Medicines (WHO, 2020) and the WHO Quality Control Methods for Herbal Materials, which establish reference standards for macroscopic and microscopic examination, moisture content, ash determination, extractable matter, microbiological limits and heavy metal contaminants. These standards are particularly relevant to the ethnobotanically documented plants reviewed here, several of which — including N. </w:t>
      </w:r>
      <w:proofErr w:type="spellStart"/>
      <w:r>
        <w:t>jatamansi</w:t>
      </w:r>
      <w:proofErr w:type="spellEnd"/>
      <w:r>
        <w:t xml:space="preserve">, ashwagandha and saffron — are traded through complex, multi-country supply chains with multiple opportunities for adulteration, misidentification or substandard quality. The establishment of national </w:t>
      </w:r>
      <w:proofErr w:type="spellStart"/>
      <w:r>
        <w:t>pharmacopoeial</w:t>
      </w:r>
      <w:proofErr w:type="spellEnd"/>
      <w:r>
        <w:t xml:space="preserve"> monographs for ethnobotanically important medicinal plants, already achieved for many species in the Indian Pharmacopoeia, Chinese Pharmacopoeia, European Pharmacopoeia and British Pharmacopoeia, represents one of the highest-value outcomes of ethnobotanical documentation: it converts empirical traditional use data into legally enforceable quality standards that protect both patients and practitioners.</w:t>
      </w:r>
    </w:p>
    <w:p w:rsidR="00D3095F" w:rsidRDefault="006C44ED">
      <w:pPr>
        <w:spacing w:after="160" w:line="360" w:lineRule="auto"/>
        <w:ind w:firstLine="720"/>
        <w:jc w:val="both"/>
      </w:pPr>
      <w:r>
        <w:t xml:space="preserve">For practitioners and researchers, the practical implications of these </w:t>
      </w:r>
      <w:proofErr w:type="spellStart"/>
      <w:r>
        <w:t>standardisation</w:t>
      </w:r>
      <w:proofErr w:type="spellEnd"/>
      <w:r>
        <w:t xml:space="preserve"> considerations are significant. Clinical trial evidence generated with one </w:t>
      </w:r>
      <w:proofErr w:type="spellStart"/>
      <w:r>
        <w:t>standardised</w:t>
      </w:r>
      <w:proofErr w:type="spellEnd"/>
      <w:r>
        <w:t xml:space="preserve"> extract — defined by a specific chemotype, extraction solvent, constituent ratio and batch — may not be directly </w:t>
      </w:r>
      <w:proofErr w:type="spellStart"/>
      <w:r>
        <w:t>generalisable</w:t>
      </w:r>
      <w:proofErr w:type="spellEnd"/>
      <w:r>
        <w:t xml:space="preserve"> to a different commercial product that uses the same botanical species but a different preparation method. The observed differences between clinical trial outcomes for St John's wort preparations, for example, are substantially explained by inter-product variation in hyperforin content, which ranges from near-zero in low-hyperforin 'interaction-safe' formulations to over 5% in standard preparations. Similarly, the dramatic differences in safety between traditional aqueous kava and commercial acetonic extracts, which contributed to the kava regulatory crisis, are directly attributable to differences in the solvent extraction profile that concentrate cytotoxic constituents from non-root plant parts. Ethnobotanical documentation that precisely records traditional preparation methods thus provides not only a pharmacological lead but also a quality benchmark: the traditional preparation represents a historical </w:t>
      </w:r>
      <w:proofErr w:type="spellStart"/>
      <w:r>
        <w:t>optimisation</w:t>
      </w:r>
      <w:proofErr w:type="spellEnd"/>
      <w:r>
        <w:t xml:space="preserve"> of the benefit-risk balance that modern pharmaceutical development should aspire to respect.</w:t>
      </w:r>
    </w:p>
    <w:p w:rsidR="00D3095F" w:rsidRDefault="006C44ED">
      <w:pPr>
        <w:pStyle w:val="Heading1"/>
      </w:pPr>
      <w:r>
        <w:t>14.  Future Research Directions</w:t>
      </w:r>
    </w:p>
    <w:p w:rsidR="00D3095F" w:rsidRDefault="006C44ED">
      <w:pPr>
        <w:spacing w:after="160" w:line="360" w:lineRule="auto"/>
        <w:ind w:firstLine="720"/>
        <w:jc w:val="both"/>
      </w:pPr>
      <w:r>
        <w:lastRenderedPageBreak/>
        <w:t>The field of ethnobotanical documentation of plants for mental health conditions stands at an important juncture. The foundations laid by several decades of systematic survey work, combined with the maturation of analytical and pharmacological tools and the growing recognition of traditional medicine's role in global health policy, create conditions for substantially accelerated progress — provided that the right research priorities are identified and adequately resourced. This section identifies the most important directions for future investigation, drawing on the gaps and opportunities identified throughout this review.</w:t>
      </w:r>
    </w:p>
    <w:p w:rsidR="00D3095F" w:rsidRDefault="006C44ED">
      <w:pPr>
        <w:spacing w:after="160" w:line="360" w:lineRule="auto"/>
        <w:ind w:firstLine="720"/>
        <w:jc w:val="both"/>
      </w:pPr>
      <w:r>
        <w:t xml:space="preserve">The most urgent priority is the systematic documentation of medicinal plant use for anxiety, insomnia and depression across under-surveyed regions and cultural traditions. As highlighted in Section 8, sub-Saharan Africa, Pacific Island nations, indigenous Amazonian communities and Central Asian nomadic traditions remain profoundly underrepresented in the peer-reviewed literature. Rectifying this imbalance requires investment in local ethnobotanical research capacity — including training of ethnobotanists, taxonomists and </w:t>
      </w:r>
      <w:proofErr w:type="spellStart"/>
      <w:r>
        <w:t>pharmacognosists</w:t>
      </w:r>
      <w:proofErr w:type="spellEnd"/>
      <w:r>
        <w:t xml:space="preserve"> within these regions — combined with sustained, ethical partnerships between local researchers and international institutions. Such partnerships must be structured around genuine benefit-sharing, including co-authorship, data sovereignty arrangements and </w:t>
      </w:r>
      <w:proofErr w:type="spellStart"/>
      <w:r>
        <w:t>commercialisation</w:t>
      </w:r>
      <w:proofErr w:type="spellEnd"/>
      <w:r>
        <w:t xml:space="preserve"> agreements that comply with the Nagoya Protocol (SCBD, 2011). The documentation of these traditions is time-sensitive: </w:t>
      </w:r>
      <w:proofErr w:type="spellStart"/>
      <w:r>
        <w:t>urbanisation</w:t>
      </w:r>
      <w:proofErr w:type="spellEnd"/>
      <w:r>
        <w:t xml:space="preserve">, </w:t>
      </w:r>
      <w:proofErr w:type="spellStart"/>
      <w:r>
        <w:t>globalisation</w:t>
      </w:r>
      <w:proofErr w:type="spellEnd"/>
      <w:r>
        <w:t>, acculturation and the death of knowledgeable elders are eroding the intergenerational transmission of traditional plant knowledge at a pace that makes delay increasingly costly.</w:t>
      </w:r>
    </w:p>
    <w:p w:rsidR="00D3095F" w:rsidRDefault="006C44ED">
      <w:pPr>
        <w:spacing w:after="160" w:line="360" w:lineRule="auto"/>
        <w:ind w:firstLine="720"/>
        <w:jc w:val="both"/>
      </w:pPr>
      <w:r>
        <w:t xml:space="preserve">A second priority is the development and validation of more nuanced ethnobotanical methodologies for documenting mental health plant use. The challenges are both conceptual and practical. Conceptually, traditional categories of mental illness and emotional distress are embedded in cultural ontologies that do not map straightforwardly onto DSM-5 or ICD-11 diagnostic categories; future surveys must develop culturally sensitive instruments for eliciting and recording these categories in ways that permit both emic interpretation and etic comparison. Practically, the integration of digital data collection tools, GPS-linked specimen </w:t>
      </w:r>
      <w:proofErr w:type="spellStart"/>
      <w:r>
        <w:t>localisation</w:t>
      </w:r>
      <w:proofErr w:type="spellEnd"/>
      <w:r>
        <w:t>, real-time botanical authentication via portable DNA-based platforms and cloud-based voucher specimen databases offers substantial opportunities to improve data quality, transparency and reproducibility. The development of validated, cross-culturally applicable quantitative indices specifically calibrated for mental health ethnobotany — building on but extending the existing ICF, UV and FL frameworks — would also represent a significant methodological advance (Heinrich et al., 2009).</w:t>
      </w:r>
    </w:p>
    <w:p w:rsidR="00D3095F" w:rsidRDefault="006C44ED">
      <w:pPr>
        <w:spacing w:after="160" w:line="360" w:lineRule="auto"/>
        <w:ind w:firstLine="720"/>
        <w:jc w:val="both"/>
      </w:pPr>
      <w:r>
        <w:lastRenderedPageBreak/>
        <w:t xml:space="preserve">At the phytochemical and pharmacological level, several high-priority research directions are apparent. Network pharmacology — already applied productively to TCM formulations — offers a powerful framework for </w:t>
      </w:r>
      <w:proofErr w:type="spellStart"/>
      <w:r>
        <w:t>characterising</w:t>
      </w:r>
      <w:proofErr w:type="spellEnd"/>
      <w:r>
        <w:t xml:space="preserve"> the </w:t>
      </w:r>
      <w:proofErr w:type="spellStart"/>
      <w:r>
        <w:t>polypharmacological</w:t>
      </w:r>
      <w:proofErr w:type="spellEnd"/>
      <w:r>
        <w:t xml:space="preserve"> mechanisms of complex traditional preparations without imposing the reductionist assumption of a single active principle (Li &amp; Zhang, 2013). The application of network pharmacology to the </w:t>
      </w:r>
      <w:proofErr w:type="spellStart"/>
      <w:r>
        <w:t>polyherbals</w:t>
      </w:r>
      <w:proofErr w:type="spellEnd"/>
      <w:r>
        <w:t xml:space="preserve"> used in African, Amazonian and Pacific traditions, combined with transcriptomic and proteomic profiling of their effects on relevant cell models, could substantially accelerate the identification of novel mechanisms and candidate molecules. Metabolomics-guided fractionation, which uses comprehensive metabolite profiling to </w:t>
      </w:r>
      <w:proofErr w:type="spellStart"/>
      <w:r>
        <w:t>prioritise</w:t>
      </w:r>
      <w:proofErr w:type="spellEnd"/>
      <w:r>
        <w:t xml:space="preserve"> fractions for bioassay-guided isolation on the basis of phytochemical novelty and activity prediction, represents another </w:t>
      </w:r>
      <w:proofErr w:type="spellStart"/>
      <w:r>
        <w:t>underutilised</w:t>
      </w:r>
      <w:proofErr w:type="spellEnd"/>
      <w:r>
        <w:t xml:space="preserve"> approach with particular relevance to the poorly </w:t>
      </w:r>
      <w:proofErr w:type="spellStart"/>
      <w:r>
        <w:t>characterised</w:t>
      </w:r>
      <w:proofErr w:type="spellEnd"/>
      <w:r>
        <w:t xml:space="preserve"> flora of under-surveyed regions.</w:t>
      </w:r>
    </w:p>
    <w:p w:rsidR="00D3095F" w:rsidRDefault="006C44ED">
      <w:pPr>
        <w:spacing w:after="160" w:line="360" w:lineRule="auto"/>
        <w:ind w:firstLine="720"/>
        <w:jc w:val="both"/>
      </w:pPr>
      <w:r>
        <w:t>Clinical research priorities include: (</w:t>
      </w:r>
      <w:proofErr w:type="spellStart"/>
      <w:r>
        <w:t>i</w:t>
      </w:r>
      <w:proofErr w:type="spellEnd"/>
      <w:r>
        <w:t xml:space="preserve">) conducting adequately powered, double-blind </w:t>
      </w:r>
      <w:proofErr w:type="spellStart"/>
      <w:r>
        <w:t>randomised</w:t>
      </w:r>
      <w:proofErr w:type="spellEnd"/>
      <w:r>
        <w:t xml:space="preserve"> controlled trials for species with ethnobotanical consensus but limited clinical evidence, particularly ashwagandha for insomnia, </w:t>
      </w:r>
      <w:proofErr w:type="spellStart"/>
      <w:r>
        <w:t>Centella</w:t>
      </w:r>
      <w:proofErr w:type="spellEnd"/>
      <w:r>
        <w:t xml:space="preserve"> </w:t>
      </w:r>
      <w:proofErr w:type="spellStart"/>
      <w:r>
        <w:t>asiatica</w:t>
      </w:r>
      <w:proofErr w:type="spellEnd"/>
      <w:r>
        <w:t xml:space="preserve"> for anxiety, </w:t>
      </w:r>
      <w:proofErr w:type="spellStart"/>
      <w:r>
        <w:t>Rhodiola</w:t>
      </w:r>
      <w:proofErr w:type="spellEnd"/>
      <w:r>
        <w:t xml:space="preserve"> </w:t>
      </w:r>
      <w:proofErr w:type="spellStart"/>
      <w:r>
        <w:t>rosea</w:t>
      </w:r>
      <w:proofErr w:type="spellEnd"/>
      <w:r>
        <w:t xml:space="preserve"> for depression and </w:t>
      </w:r>
      <w:proofErr w:type="spellStart"/>
      <w:r>
        <w:t>Scutellaria</w:t>
      </w:r>
      <w:proofErr w:type="spellEnd"/>
      <w:r>
        <w:t xml:space="preserve"> </w:t>
      </w:r>
      <w:proofErr w:type="spellStart"/>
      <w:r>
        <w:t>lateriflora</w:t>
      </w:r>
      <w:proofErr w:type="spellEnd"/>
      <w:r>
        <w:t xml:space="preserve"> for </w:t>
      </w:r>
      <w:proofErr w:type="spellStart"/>
      <w:r>
        <w:t>generalised</w:t>
      </w:r>
      <w:proofErr w:type="spellEnd"/>
      <w:r>
        <w:t xml:space="preserve"> anxiety; (ii) head-to-head comparison trials between plant medicines and first-line pharmacological treatments in populations representative of typical users, including older adults, individuals with comorbid conditions and patients in low-income country settings; (iii) long-term safety studies extending beyond the typical 8–12 week treatment periods of existing trials, addressing the practicalities of chronic use of botanical medicines for chronic conditions; and (iv) pharmacogenomics studies examining the influence of CYP2D6, CYP3A4 and SERT gene polymorphisms on the pharmacokinetics and pharmacodynamics of key plant-derived </w:t>
      </w:r>
      <w:proofErr w:type="spellStart"/>
      <w:r>
        <w:t>bioactives</w:t>
      </w:r>
      <w:proofErr w:type="spellEnd"/>
      <w:r>
        <w:t xml:space="preserve">, potentially enabling </w:t>
      </w:r>
      <w:proofErr w:type="spellStart"/>
      <w:r>
        <w:t>personalised</w:t>
      </w:r>
      <w:proofErr w:type="spellEnd"/>
      <w:r>
        <w:t xml:space="preserve"> botanical medicine. The increasing application of wearable biosensor technology to capture continuous sleep architecture, heart rate variability and cortisol awakening response in clinical trials of botanical medicines represents a promising methodological advance that could provide richer, more ecologically valid outcome data than conventional psychometric scales.</w:t>
      </w:r>
    </w:p>
    <w:p w:rsidR="00D3095F" w:rsidRDefault="006C44ED">
      <w:pPr>
        <w:spacing w:after="160" w:line="360" w:lineRule="auto"/>
        <w:ind w:firstLine="720"/>
        <w:jc w:val="both"/>
      </w:pPr>
      <w:r>
        <w:t xml:space="preserve">Finally, there is an urgent need for improved integration between ethnobotanical research and global mental health policy. The WHO Mental Health Action Plan 2013–2030 and the Sustainable Development Goals (SDG 3.4) call for a reduction of one-third in premature mortality from non-communicable diseases, including mental health conditions, by 2030 (WHO, 2022b). Achieving this target in low-resource settings will require innovative, </w:t>
      </w:r>
      <w:r>
        <w:lastRenderedPageBreak/>
        <w:t xml:space="preserve">scalable, culturally acceptable and affordable therapeutic strategies. Plant-based medicines — when properly documented, </w:t>
      </w:r>
      <w:proofErr w:type="spellStart"/>
      <w:r>
        <w:t>standardised</w:t>
      </w:r>
      <w:proofErr w:type="spellEnd"/>
      <w:r>
        <w:t xml:space="preserve">, evaluated and integrated into health systems — represent a plausible component of such strategies, particularly for the management of mild-to-moderate anxiety and depression in primary care settings. Health system integration, however, requires policy frameworks that </w:t>
      </w:r>
      <w:proofErr w:type="spellStart"/>
      <w:r>
        <w:t>recognise</w:t>
      </w:r>
      <w:proofErr w:type="spellEnd"/>
      <w:r>
        <w:t xml:space="preserve"> traditional medicine practitioner roles, regulatory pathways that are proportionate to the evidence base and accessible to small-scale producers, and reimbursement mechanisms that make evidence-based botanical medicines financially accessible to those who need them most. Ethnobotanical documentation, in providing the foundational evidence for these frameworks, is not merely a scientific activity but a global health investment.</w:t>
      </w:r>
    </w:p>
    <w:p w:rsidR="00D3095F" w:rsidRDefault="006C44ED">
      <w:pPr>
        <w:pStyle w:val="Heading1"/>
      </w:pPr>
      <w:r>
        <w:t>15.  Conclusions</w:t>
      </w:r>
    </w:p>
    <w:p w:rsidR="00D3095F" w:rsidRDefault="006C44ED">
      <w:pPr>
        <w:spacing w:after="160" w:line="360" w:lineRule="auto"/>
        <w:jc w:val="both"/>
      </w:pPr>
      <w:r>
        <w:t xml:space="preserve">This review has </w:t>
      </w:r>
      <w:proofErr w:type="spellStart"/>
      <w:r>
        <w:t>synthesised</w:t>
      </w:r>
      <w:proofErr w:type="spellEnd"/>
      <w:r>
        <w:t xml:space="preserve"> the global ethnobotanical literature on plants used for the management of anxiety, insomnia and depression, spanning five major world regions, multiple traditional medicine systems and more than two decades of peer-reviewed documentation. The evidence is substantial in volume, geographically diverse and, for a core group of species, translatable into pharmacologically and clinically validated therapeutic applications. Cross-cultural convergence in plant selection provides a scientifically credible signal for genuine pharmacological activity, most powerfully for </w:t>
      </w:r>
      <w:proofErr w:type="spellStart"/>
      <w:r>
        <w:t>Valeriana</w:t>
      </w:r>
      <w:proofErr w:type="spellEnd"/>
      <w:r>
        <w:t xml:space="preserve"> officinalis, Hypericum </w:t>
      </w:r>
      <w:proofErr w:type="spellStart"/>
      <w:r>
        <w:t>perforatum</w:t>
      </w:r>
      <w:proofErr w:type="spellEnd"/>
      <w:r>
        <w:t xml:space="preserve">, Lavandula angustifolia, </w:t>
      </w:r>
      <w:proofErr w:type="spellStart"/>
      <w:r>
        <w:t>Passiflora</w:t>
      </w:r>
      <w:proofErr w:type="spellEnd"/>
      <w:r>
        <w:t xml:space="preserve"> </w:t>
      </w:r>
      <w:proofErr w:type="spellStart"/>
      <w:r>
        <w:t>incarnata</w:t>
      </w:r>
      <w:proofErr w:type="spellEnd"/>
      <w:r>
        <w:t xml:space="preserve">, </w:t>
      </w:r>
      <w:proofErr w:type="spellStart"/>
      <w:r>
        <w:t>Withania</w:t>
      </w:r>
      <w:proofErr w:type="spellEnd"/>
      <w:r>
        <w:t xml:space="preserve"> </w:t>
      </w:r>
      <w:proofErr w:type="spellStart"/>
      <w:r>
        <w:t>somnifera</w:t>
      </w:r>
      <w:proofErr w:type="spellEnd"/>
      <w:r>
        <w:t xml:space="preserve">, Piper </w:t>
      </w:r>
      <w:proofErr w:type="spellStart"/>
      <w:r>
        <w:t>methysticum</w:t>
      </w:r>
      <w:proofErr w:type="spellEnd"/>
      <w:r>
        <w:t xml:space="preserve">, Melissa officinalis, </w:t>
      </w:r>
      <w:proofErr w:type="spellStart"/>
      <w:r>
        <w:t>Humulus</w:t>
      </w:r>
      <w:proofErr w:type="spellEnd"/>
      <w:r>
        <w:t xml:space="preserve"> lupulus, </w:t>
      </w:r>
      <w:proofErr w:type="spellStart"/>
      <w:r>
        <w:t>Matricaria</w:t>
      </w:r>
      <w:proofErr w:type="spellEnd"/>
      <w:r>
        <w:t xml:space="preserve"> chamomilla, Crocus sativus, Bacopa </w:t>
      </w:r>
      <w:proofErr w:type="spellStart"/>
      <w:r>
        <w:t>monnieri</w:t>
      </w:r>
      <w:proofErr w:type="spellEnd"/>
      <w:r>
        <w:t xml:space="preserve">, </w:t>
      </w:r>
      <w:proofErr w:type="spellStart"/>
      <w:r>
        <w:t>Rhodiola</w:t>
      </w:r>
      <w:proofErr w:type="spellEnd"/>
      <w:r>
        <w:t xml:space="preserve"> </w:t>
      </w:r>
      <w:proofErr w:type="spellStart"/>
      <w:r>
        <w:t>rosea</w:t>
      </w:r>
      <w:proofErr w:type="spellEnd"/>
      <w:r>
        <w:t xml:space="preserve"> and the </w:t>
      </w:r>
      <w:proofErr w:type="spellStart"/>
      <w:r>
        <w:t>Scutellaria</w:t>
      </w:r>
      <w:proofErr w:type="spellEnd"/>
      <w:r>
        <w:t xml:space="preserve"> species.</w:t>
      </w:r>
    </w:p>
    <w:p w:rsidR="00D3095F" w:rsidRDefault="006C44ED">
      <w:pPr>
        <w:spacing w:after="160" w:line="360" w:lineRule="auto"/>
        <w:jc w:val="both"/>
      </w:pPr>
      <w:r>
        <w:t xml:space="preserve">The neuropharmacological mechanisms identified — encompassing GABA-A receptor modulation, serotonin reuptake inhibition, MAO inhibition, HPA axis </w:t>
      </w:r>
      <w:proofErr w:type="spellStart"/>
      <w:r>
        <w:t>normalisation</w:t>
      </w:r>
      <w:proofErr w:type="spellEnd"/>
      <w:r>
        <w:t xml:space="preserve">, anti-inflammatory neuroprotection and melatonin receptor agonism — collectively illuminate why traditional healers across unconnected cultures independently converged on these plant genera for the same therapeutic purposes. The pharmacological congruence between traditional indication and molecular target validates ethnobotany as the highest-yield filtering strategy in the natural product drug discovery pipeline for neuropsychiatric conditions. Safety considerations, </w:t>
      </w:r>
      <w:proofErr w:type="spellStart"/>
      <w:r>
        <w:t>standardisation</w:t>
      </w:r>
      <w:proofErr w:type="spellEnd"/>
      <w:r>
        <w:t xml:space="preserve"> requirements and regulatory frameworks are essential accompaniments to ethnobotanical validation, as illustrated powerfully by the kava hepatotoxicity episode and by the preparation-dependent variability in efficacy documented for St John's wort.</w:t>
      </w:r>
    </w:p>
    <w:p w:rsidR="00D3095F" w:rsidRDefault="006C44ED">
      <w:pPr>
        <w:spacing w:after="160" w:line="360" w:lineRule="auto"/>
        <w:jc w:val="both"/>
      </w:pPr>
      <w:r>
        <w:lastRenderedPageBreak/>
        <w:t>Substantial research gaps remain. Sub-Saharan African, Pacific Island, indigenous Amazonian and Central Asian botanical traditions are profoundly underrepresented in the peer-reviewed literature relative to their richness and to the burden of untreated mental disorders in the populations they serve. Methodological standards in primary ethnobotanical surveys must improve, particularly with respect to quantitative indices, preparation-specific documentation and botanical voucher deposition. The translational pathway from ethnobotanical signal to licensed medicinal product requires sustained multidisciplinary collaboration, equitable benefit-sharing with originating communities and integration with conservation frameworks to ensure the sustainability of plant resource bases. When these conditions are met, ethnobotanical documentation of plants for anxiety, insomnia and depression offers a scientifically rigorous, culturally grounded and globally equitable foundation for next-generation psychopharmacology.</w:t>
      </w:r>
    </w:p>
    <w:p w:rsidR="00D3095F" w:rsidRDefault="006C44ED">
      <w:pPr>
        <w:pStyle w:val="Heading1"/>
      </w:pPr>
      <w:r>
        <w:t>16.  Limitations</w:t>
      </w:r>
    </w:p>
    <w:p w:rsidR="00D3095F" w:rsidRDefault="006C44ED">
      <w:pPr>
        <w:spacing w:after="160" w:line="360" w:lineRule="auto"/>
        <w:jc w:val="both"/>
      </w:pPr>
      <w:r>
        <w:t>This review acknowledges several inherent limitations. First, as a narrative-systematic hybrid review, it does not perform quantitative meta-analysis and therefore cannot provide pooled effect size estimates for individual species. The heterogeneity of primary ethnobotanical methodologies, outcome measures and diagnostic frameworks across included studies precludes formal quantitative synthesis. Second, the literature search, whilst comprehensive, was primarily conducted in English and relied on databases that are known to under-index ethnobotanical literature published in local-language African, South-East Asian and Pacific journals. This introduces a systematic geographical bias that likely underestimates the richness of documentation in these regions.</w:t>
      </w:r>
    </w:p>
    <w:p w:rsidR="00D3095F" w:rsidRDefault="006C44ED">
      <w:pPr>
        <w:spacing w:after="160" w:line="360" w:lineRule="auto"/>
        <w:jc w:val="both"/>
      </w:pPr>
      <w:r>
        <w:t xml:space="preserve">Third, the review is necessarily selective in its coverage of individual species: more than 300 plant species have been documented for anxiety, insomnia or depression across the surveys included in the search, and only those with the most substantial combined ethnobotanical and pharmacological documentation could be discussed in depth. Species documented in single surveys or those for which pharmacological data are entirely absent may be of significant future importance but could not be adequately evaluated here. Fourth, pharmacological data reviewed here spans diverse experimental systems (in vitro receptor binding, rodent </w:t>
      </w:r>
      <w:proofErr w:type="spellStart"/>
      <w:r>
        <w:t>behavioural</w:t>
      </w:r>
      <w:proofErr w:type="spellEnd"/>
      <w:r>
        <w:t xml:space="preserve"> paradigms, clinical trials in varied populations) that differ in translational value; the review does not apply a formal evidence grading system to clinical trial data, and readers requiring graded efficacy summaries should consult dedicated systematic reviews for </w:t>
      </w:r>
      <w:r>
        <w:lastRenderedPageBreak/>
        <w:t>individual species. Fifth, the dynamic nature of the field means that clinical trial data continue to emerge after the search date of January 2026, and the evidentiary status of some species may have changed subsequent to the search window. Finally, the review relies on published literature and may not capture recent unpublished ethnobotanical surveys, ongoing clinical trials or regulatory developments that would modify the conclusions presented here.</w:t>
      </w:r>
    </w:p>
    <w:p w:rsidR="00ED34FA" w:rsidRDefault="00ED34FA">
      <w:pPr>
        <w:spacing w:after="160" w:line="360" w:lineRule="auto"/>
        <w:jc w:val="both"/>
      </w:pPr>
    </w:p>
    <w:p w:rsidR="00ED34FA" w:rsidRDefault="00ED34FA">
      <w:pPr>
        <w:spacing w:after="160" w:line="360" w:lineRule="auto"/>
        <w:jc w:val="both"/>
      </w:pPr>
    </w:p>
    <w:p w:rsidR="00ED34FA" w:rsidRDefault="00ED34FA">
      <w:pPr>
        <w:spacing w:after="160" w:line="360" w:lineRule="auto"/>
        <w:jc w:val="both"/>
      </w:pPr>
    </w:p>
    <w:p w:rsidR="00ED34FA" w:rsidRDefault="00ED34FA">
      <w:pPr>
        <w:spacing w:after="160" w:line="360" w:lineRule="auto"/>
        <w:jc w:val="both"/>
      </w:pPr>
    </w:p>
    <w:p w:rsidR="00ED34FA" w:rsidRPr="00005ED1" w:rsidRDefault="00ED34FA" w:rsidP="00ED34F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ED34FA" w:rsidRPr="00005ED1" w:rsidRDefault="00ED34FA" w:rsidP="00ED34FA">
      <w:pPr>
        <w:pStyle w:val="NoSpacing"/>
        <w:rPr>
          <w:rFonts w:ascii="Arial" w:hAnsi="Arial" w:cs="Arial"/>
          <w:highlight w:val="yellow"/>
        </w:rPr>
      </w:pPr>
    </w:p>
    <w:p w:rsidR="00ED34FA" w:rsidRPr="00005ED1" w:rsidRDefault="00ED34FA" w:rsidP="00ED34F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Start w:id="1" w:name="_GoBack"/>
      <w:bookmarkEnd w:id="1"/>
    </w:p>
    <w:bookmarkEnd w:id="0"/>
    <w:p w:rsidR="00ED34FA" w:rsidRDefault="00ED34FA" w:rsidP="00ED34FA">
      <w:pPr>
        <w:pStyle w:val="NoSpacing"/>
        <w:rPr>
          <w:rFonts w:ascii="Arial" w:hAnsi="Arial" w:cs="Arial"/>
        </w:rPr>
      </w:pPr>
    </w:p>
    <w:p w:rsidR="00ED34FA" w:rsidRDefault="00ED34FA" w:rsidP="00ED34FA">
      <w:pPr>
        <w:pStyle w:val="NoSpacing"/>
        <w:rPr>
          <w:rFonts w:ascii="Arial" w:hAnsi="Arial" w:cs="Arial"/>
        </w:rPr>
      </w:pPr>
    </w:p>
    <w:p w:rsidR="00ED34FA" w:rsidRPr="00005ED1" w:rsidRDefault="00ED34FA" w:rsidP="00ED34FA">
      <w:pPr>
        <w:pStyle w:val="NoSpacing"/>
        <w:rPr>
          <w:rFonts w:ascii="Arial" w:hAnsi="Arial" w:cs="Arial"/>
        </w:rPr>
      </w:pPr>
    </w:p>
    <w:p w:rsidR="00ED34FA" w:rsidRDefault="00ED34FA">
      <w:pPr>
        <w:spacing w:after="160" w:line="360" w:lineRule="auto"/>
        <w:jc w:val="both"/>
      </w:pPr>
    </w:p>
    <w:p w:rsidR="00D3095F" w:rsidRDefault="006C44ED">
      <w:pPr>
        <w:pStyle w:val="Heading1"/>
      </w:pPr>
      <w:r>
        <w:t>References</w:t>
      </w:r>
    </w:p>
    <w:p w:rsidR="00D3095F" w:rsidRDefault="006C44ED">
      <w:pPr>
        <w:spacing w:after="140" w:line="320" w:lineRule="auto"/>
        <w:ind w:left="720" w:hanging="720"/>
        <w:jc w:val="both"/>
      </w:pPr>
      <w:proofErr w:type="spellStart"/>
      <w:r>
        <w:rPr>
          <w:sz w:val="22"/>
          <w:szCs w:val="22"/>
        </w:rPr>
        <w:t>Akhondzadeh</w:t>
      </w:r>
      <w:proofErr w:type="spellEnd"/>
      <w:r>
        <w:rPr>
          <w:sz w:val="22"/>
          <w:szCs w:val="22"/>
        </w:rPr>
        <w:t xml:space="preserve">, S., </w:t>
      </w:r>
      <w:proofErr w:type="spellStart"/>
      <w:r>
        <w:rPr>
          <w:sz w:val="22"/>
          <w:szCs w:val="22"/>
        </w:rPr>
        <w:t>Naghavi</w:t>
      </w:r>
      <w:proofErr w:type="spellEnd"/>
      <w:r>
        <w:rPr>
          <w:sz w:val="22"/>
          <w:szCs w:val="22"/>
        </w:rPr>
        <w:t xml:space="preserve">, H. R., </w:t>
      </w:r>
      <w:proofErr w:type="spellStart"/>
      <w:r>
        <w:rPr>
          <w:sz w:val="22"/>
          <w:szCs w:val="22"/>
        </w:rPr>
        <w:t>Vazirian</w:t>
      </w:r>
      <w:proofErr w:type="spellEnd"/>
      <w:r>
        <w:rPr>
          <w:sz w:val="22"/>
          <w:szCs w:val="22"/>
        </w:rPr>
        <w:t xml:space="preserve">, M., </w:t>
      </w:r>
      <w:proofErr w:type="spellStart"/>
      <w:r>
        <w:rPr>
          <w:sz w:val="22"/>
          <w:szCs w:val="22"/>
        </w:rPr>
        <w:t>Shayeganpour</w:t>
      </w:r>
      <w:proofErr w:type="spellEnd"/>
      <w:r>
        <w:rPr>
          <w:sz w:val="22"/>
          <w:szCs w:val="22"/>
        </w:rPr>
        <w:t xml:space="preserve">, A., Rashidi, H., &amp; </w:t>
      </w:r>
      <w:proofErr w:type="spellStart"/>
      <w:r>
        <w:rPr>
          <w:sz w:val="22"/>
          <w:szCs w:val="22"/>
        </w:rPr>
        <w:t>Khani</w:t>
      </w:r>
      <w:proofErr w:type="spellEnd"/>
      <w:r>
        <w:rPr>
          <w:sz w:val="22"/>
          <w:szCs w:val="22"/>
        </w:rPr>
        <w:t xml:space="preserve">, M. (2001). Passionflower in the treatment of </w:t>
      </w:r>
      <w:proofErr w:type="spellStart"/>
      <w:r>
        <w:rPr>
          <w:sz w:val="22"/>
          <w:szCs w:val="22"/>
        </w:rPr>
        <w:t>generalised</w:t>
      </w:r>
      <w:proofErr w:type="spellEnd"/>
      <w:r>
        <w:rPr>
          <w:sz w:val="22"/>
          <w:szCs w:val="22"/>
        </w:rPr>
        <w:t xml:space="preserve"> anxiety: A pilot double-blind </w:t>
      </w:r>
      <w:proofErr w:type="spellStart"/>
      <w:r>
        <w:rPr>
          <w:sz w:val="22"/>
          <w:szCs w:val="22"/>
        </w:rPr>
        <w:t>randomised</w:t>
      </w:r>
      <w:proofErr w:type="spellEnd"/>
      <w:r>
        <w:rPr>
          <w:sz w:val="22"/>
          <w:szCs w:val="22"/>
        </w:rPr>
        <w:t xml:space="preserve"> controlled trial with oxazepam. Journal of Clinical Pharmacy and Therapeutics, 26(5), 363–367. https://doi.org/10.1046/j.1365-2710.2001.00367.x</w:t>
      </w:r>
    </w:p>
    <w:p w:rsidR="00D3095F" w:rsidRDefault="006C44ED">
      <w:pPr>
        <w:spacing w:after="140" w:line="320" w:lineRule="auto"/>
        <w:ind w:left="720" w:hanging="720"/>
        <w:jc w:val="both"/>
      </w:pPr>
      <w:proofErr w:type="spellStart"/>
      <w:r>
        <w:rPr>
          <w:sz w:val="22"/>
          <w:szCs w:val="22"/>
        </w:rPr>
        <w:t>Akhondzadeh</w:t>
      </w:r>
      <w:proofErr w:type="spellEnd"/>
      <w:r>
        <w:rPr>
          <w:sz w:val="22"/>
          <w:szCs w:val="22"/>
        </w:rPr>
        <w:t xml:space="preserve">, S., </w:t>
      </w:r>
      <w:proofErr w:type="spellStart"/>
      <w:r>
        <w:rPr>
          <w:sz w:val="22"/>
          <w:szCs w:val="22"/>
        </w:rPr>
        <w:t>Tahmacebi</w:t>
      </w:r>
      <w:proofErr w:type="spellEnd"/>
      <w:r>
        <w:rPr>
          <w:sz w:val="22"/>
          <w:szCs w:val="22"/>
        </w:rPr>
        <w:t xml:space="preserve">-Pour, N., </w:t>
      </w:r>
      <w:proofErr w:type="spellStart"/>
      <w:r>
        <w:rPr>
          <w:sz w:val="22"/>
          <w:szCs w:val="22"/>
        </w:rPr>
        <w:t>Noorbala</w:t>
      </w:r>
      <w:proofErr w:type="spellEnd"/>
      <w:r>
        <w:rPr>
          <w:sz w:val="22"/>
          <w:szCs w:val="22"/>
        </w:rPr>
        <w:t xml:space="preserve">, A.-A., </w:t>
      </w:r>
      <w:proofErr w:type="spellStart"/>
      <w:r>
        <w:rPr>
          <w:sz w:val="22"/>
          <w:szCs w:val="22"/>
        </w:rPr>
        <w:t>Amini</w:t>
      </w:r>
      <w:proofErr w:type="spellEnd"/>
      <w:r>
        <w:rPr>
          <w:sz w:val="22"/>
          <w:szCs w:val="22"/>
        </w:rPr>
        <w:t xml:space="preserve">, H., </w:t>
      </w:r>
      <w:proofErr w:type="spellStart"/>
      <w:r>
        <w:rPr>
          <w:sz w:val="22"/>
          <w:szCs w:val="22"/>
        </w:rPr>
        <w:t>Fallah</w:t>
      </w:r>
      <w:proofErr w:type="spellEnd"/>
      <w:r>
        <w:rPr>
          <w:sz w:val="22"/>
          <w:szCs w:val="22"/>
        </w:rPr>
        <w:t xml:space="preserve">-Pour, H., </w:t>
      </w:r>
      <w:proofErr w:type="spellStart"/>
      <w:r>
        <w:rPr>
          <w:sz w:val="22"/>
          <w:szCs w:val="22"/>
        </w:rPr>
        <w:t>Jamshidi</w:t>
      </w:r>
      <w:proofErr w:type="spellEnd"/>
      <w:r>
        <w:rPr>
          <w:sz w:val="22"/>
          <w:szCs w:val="22"/>
        </w:rPr>
        <w:t xml:space="preserve">, A. H., &amp; </w:t>
      </w:r>
      <w:proofErr w:type="spellStart"/>
      <w:r>
        <w:rPr>
          <w:sz w:val="22"/>
          <w:szCs w:val="22"/>
        </w:rPr>
        <w:t>Khani</w:t>
      </w:r>
      <w:proofErr w:type="spellEnd"/>
      <w:r>
        <w:rPr>
          <w:sz w:val="22"/>
          <w:szCs w:val="22"/>
        </w:rPr>
        <w:t xml:space="preserve">, M. (2005). Crocus sativus L. in the treatment of mild to moderate depression: A double-blind, </w:t>
      </w:r>
      <w:proofErr w:type="spellStart"/>
      <w:r>
        <w:rPr>
          <w:sz w:val="22"/>
          <w:szCs w:val="22"/>
        </w:rPr>
        <w:t>randomised</w:t>
      </w:r>
      <w:proofErr w:type="spellEnd"/>
      <w:r>
        <w:rPr>
          <w:sz w:val="22"/>
          <w:szCs w:val="22"/>
        </w:rPr>
        <w:t xml:space="preserve"> and placebo-controlled trial. </w:t>
      </w:r>
      <w:proofErr w:type="spellStart"/>
      <w:r>
        <w:rPr>
          <w:sz w:val="22"/>
          <w:szCs w:val="22"/>
        </w:rPr>
        <w:t>Phytotherapy</w:t>
      </w:r>
      <w:proofErr w:type="spellEnd"/>
      <w:r>
        <w:rPr>
          <w:sz w:val="22"/>
          <w:szCs w:val="22"/>
        </w:rPr>
        <w:t xml:space="preserve"> Research, 19(2), 148–151. https://doi.org/10.1002/ptr.1647</w:t>
      </w:r>
    </w:p>
    <w:p w:rsidR="00D3095F" w:rsidRDefault="006C44ED">
      <w:pPr>
        <w:spacing w:after="140" w:line="320" w:lineRule="auto"/>
        <w:ind w:left="720" w:hanging="720"/>
        <w:jc w:val="both"/>
      </w:pPr>
      <w:r>
        <w:rPr>
          <w:sz w:val="22"/>
          <w:szCs w:val="22"/>
        </w:rPr>
        <w:t xml:space="preserve">Amsterdam, J. D., Li, Y., </w:t>
      </w:r>
      <w:proofErr w:type="spellStart"/>
      <w:r>
        <w:rPr>
          <w:sz w:val="22"/>
          <w:szCs w:val="22"/>
        </w:rPr>
        <w:t>Soeller</w:t>
      </w:r>
      <w:proofErr w:type="spellEnd"/>
      <w:r>
        <w:rPr>
          <w:sz w:val="22"/>
          <w:szCs w:val="22"/>
        </w:rPr>
        <w:t xml:space="preserve">, I., Rockwell, K., Mao, J. J., &amp; Shults, J. (2009). A randomized, double-blind, placebo-controlled trial of oral </w:t>
      </w:r>
      <w:proofErr w:type="spellStart"/>
      <w:r>
        <w:rPr>
          <w:sz w:val="22"/>
          <w:szCs w:val="22"/>
        </w:rPr>
        <w:t>Matricaria</w:t>
      </w:r>
      <w:proofErr w:type="spellEnd"/>
      <w:r>
        <w:rPr>
          <w:sz w:val="22"/>
          <w:szCs w:val="22"/>
        </w:rPr>
        <w:t xml:space="preserve"> </w:t>
      </w:r>
      <w:proofErr w:type="spellStart"/>
      <w:r>
        <w:rPr>
          <w:sz w:val="22"/>
          <w:szCs w:val="22"/>
        </w:rPr>
        <w:t>recutita</w:t>
      </w:r>
      <w:proofErr w:type="spellEnd"/>
      <w:r>
        <w:rPr>
          <w:sz w:val="22"/>
          <w:szCs w:val="22"/>
        </w:rPr>
        <w:t xml:space="preserve"> (chamomile) extract therapy for generalized anxiety disorder. Journal of Clinical Psychopharmacology, 29(4), 378–382. https://doi.org/10.1097/JCP.0b013e3181ac935c</w:t>
      </w:r>
    </w:p>
    <w:p w:rsidR="00D3095F" w:rsidRDefault="006C44ED">
      <w:pPr>
        <w:spacing w:after="140" w:line="320" w:lineRule="auto"/>
        <w:ind w:left="720" w:hanging="720"/>
        <w:jc w:val="both"/>
      </w:pPr>
      <w:r>
        <w:rPr>
          <w:sz w:val="22"/>
          <w:szCs w:val="22"/>
        </w:rPr>
        <w:t xml:space="preserve">Amsterdam, J. D., Shults, J., </w:t>
      </w:r>
      <w:proofErr w:type="spellStart"/>
      <w:r>
        <w:rPr>
          <w:sz w:val="22"/>
          <w:szCs w:val="22"/>
        </w:rPr>
        <w:t>Soeller</w:t>
      </w:r>
      <w:proofErr w:type="spellEnd"/>
      <w:r>
        <w:rPr>
          <w:sz w:val="22"/>
          <w:szCs w:val="22"/>
        </w:rPr>
        <w:t>, I., Mao, J. J., Rockwell, K., &amp; Newberg, A. B. (2012). Chamomile (</w:t>
      </w:r>
      <w:proofErr w:type="spellStart"/>
      <w:r>
        <w:rPr>
          <w:sz w:val="22"/>
          <w:szCs w:val="22"/>
        </w:rPr>
        <w:t>Matricaria</w:t>
      </w:r>
      <w:proofErr w:type="spellEnd"/>
      <w:r>
        <w:rPr>
          <w:sz w:val="22"/>
          <w:szCs w:val="22"/>
        </w:rPr>
        <w:t xml:space="preserve"> </w:t>
      </w:r>
      <w:proofErr w:type="spellStart"/>
      <w:r>
        <w:rPr>
          <w:sz w:val="22"/>
          <w:szCs w:val="22"/>
        </w:rPr>
        <w:t>recutita</w:t>
      </w:r>
      <w:proofErr w:type="spellEnd"/>
      <w:r>
        <w:rPr>
          <w:sz w:val="22"/>
          <w:szCs w:val="22"/>
        </w:rPr>
        <w:t>) may provide antidepressant activity in anxious, depressed humans: An exploratory study. Alternative Therapies in Health and Medicine, 18(5), 44–49. PMID: 22894890.</w:t>
      </w:r>
    </w:p>
    <w:p w:rsidR="00D3095F" w:rsidRDefault="006C44ED">
      <w:pPr>
        <w:spacing w:after="140" w:line="320" w:lineRule="auto"/>
        <w:ind w:left="720" w:hanging="720"/>
        <w:jc w:val="both"/>
      </w:pPr>
      <w:proofErr w:type="spellStart"/>
      <w:r>
        <w:rPr>
          <w:sz w:val="22"/>
          <w:szCs w:val="22"/>
        </w:rPr>
        <w:lastRenderedPageBreak/>
        <w:t>Aoshima</w:t>
      </w:r>
      <w:proofErr w:type="spellEnd"/>
      <w:r>
        <w:rPr>
          <w:sz w:val="22"/>
          <w:szCs w:val="22"/>
        </w:rPr>
        <w:t xml:space="preserve">, H., &amp; </w:t>
      </w:r>
      <w:proofErr w:type="spellStart"/>
      <w:r>
        <w:rPr>
          <w:sz w:val="22"/>
          <w:szCs w:val="22"/>
        </w:rPr>
        <w:t>Hamamoto</w:t>
      </w:r>
      <w:proofErr w:type="spellEnd"/>
      <w:r>
        <w:rPr>
          <w:sz w:val="22"/>
          <w:szCs w:val="22"/>
        </w:rPr>
        <w:t xml:space="preserve">, K. (1999). Potentiation of GABAA receptors by kava constituents. </w:t>
      </w:r>
      <w:proofErr w:type="spellStart"/>
      <w:r>
        <w:rPr>
          <w:sz w:val="22"/>
          <w:szCs w:val="22"/>
        </w:rPr>
        <w:t>Neuropsychobiology</w:t>
      </w:r>
      <w:proofErr w:type="spellEnd"/>
      <w:r>
        <w:rPr>
          <w:sz w:val="22"/>
          <w:szCs w:val="22"/>
        </w:rPr>
        <w:t>, 40(2), 67–73. https://doi.org/10.1159/000026601</w:t>
      </w:r>
    </w:p>
    <w:p w:rsidR="00D3095F" w:rsidRDefault="006C44ED">
      <w:pPr>
        <w:spacing w:after="140" w:line="320" w:lineRule="auto"/>
        <w:ind w:left="720" w:hanging="720"/>
        <w:jc w:val="both"/>
      </w:pPr>
      <w:proofErr w:type="spellStart"/>
      <w:r>
        <w:rPr>
          <w:sz w:val="22"/>
          <w:szCs w:val="22"/>
        </w:rPr>
        <w:t>Avallone</w:t>
      </w:r>
      <w:proofErr w:type="spellEnd"/>
      <w:r>
        <w:rPr>
          <w:sz w:val="22"/>
          <w:szCs w:val="22"/>
        </w:rPr>
        <w:t xml:space="preserve">, R., </w:t>
      </w:r>
      <w:proofErr w:type="spellStart"/>
      <w:r>
        <w:rPr>
          <w:sz w:val="22"/>
          <w:szCs w:val="22"/>
        </w:rPr>
        <w:t>Zanoli</w:t>
      </w:r>
      <w:proofErr w:type="spellEnd"/>
      <w:r>
        <w:rPr>
          <w:sz w:val="22"/>
          <w:szCs w:val="22"/>
        </w:rPr>
        <w:t xml:space="preserve">, P., </w:t>
      </w:r>
      <w:proofErr w:type="spellStart"/>
      <w:r>
        <w:rPr>
          <w:sz w:val="22"/>
          <w:szCs w:val="22"/>
        </w:rPr>
        <w:t>Puia</w:t>
      </w:r>
      <w:proofErr w:type="spellEnd"/>
      <w:r>
        <w:rPr>
          <w:sz w:val="22"/>
          <w:szCs w:val="22"/>
        </w:rPr>
        <w:t xml:space="preserve">, G., </w:t>
      </w:r>
      <w:proofErr w:type="spellStart"/>
      <w:r>
        <w:rPr>
          <w:sz w:val="22"/>
          <w:szCs w:val="22"/>
        </w:rPr>
        <w:t>Kleinschnitz</w:t>
      </w:r>
      <w:proofErr w:type="spellEnd"/>
      <w:r>
        <w:rPr>
          <w:sz w:val="22"/>
          <w:szCs w:val="22"/>
        </w:rPr>
        <w:t xml:space="preserve">, M., Schreier, P., &amp; </w:t>
      </w:r>
      <w:proofErr w:type="spellStart"/>
      <w:r>
        <w:rPr>
          <w:sz w:val="22"/>
          <w:szCs w:val="22"/>
        </w:rPr>
        <w:t>Baraldi</w:t>
      </w:r>
      <w:proofErr w:type="spellEnd"/>
      <w:r>
        <w:rPr>
          <w:sz w:val="22"/>
          <w:szCs w:val="22"/>
        </w:rPr>
        <w:t xml:space="preserve">, M. (2000). Pharmacological profile of apigenin, a flavonoid isolated from </w:t>
      </w:r>
      <w:proofErr w:type="spellStart"/>
      <w:r>
        <w:rPr>
          <w:sz w:val="22"/>
          <w:szCs w:val="22"/>
        </w:rPr>
        <w:t>Matricaria</w:t>
      </w:r>
      <w:proofErr w:type="spellEnd"/>
      <w:r>
        <w:rPr>
          <w:sz w:val="22"/>
          <w:szCs w:val="22"/>
        </w:rPr>
        <w:t xml:space="preserve"> chamomilla. Biochemical Pharmacology, 59(11), 1387–1394. </w:t>
      </w:r>
      <w:hyperlink r:id="rId7" w:history="1">
        <w:r w:rsidR="001F752B" w:rsidRPr="00AB2657">
          <w:rPr>
            <w:rStyle w:val="Hyperlink"/>
            <w:sz w:val="22"/>
            <w:szCs w:val="22"/>
          </w:rPr>
          <w:t>https://doi.org/10.1016/S0006-2952(00)00264-1</w:t>
        </w:r>
      </w:hyperlink>
      <w:r w:rsidR="001F752B">
        <w:rPr>
          <w:sz w:val="22"/>
          <w:szCs w:val="22"/>
        </w:rPr>
        <w:t xml:space="preserve"> </w:t>
      </w:r>
    </w:p>
    <w:p w:rsidR="00D3095F" w:rsidRDefault="006C44ED">
      <w:pPr>
        <w:spacing w:after="140" w:line="320" w:lineRule="auto"/>
        <w:ind w:left="720" w:hanging="720"/>
        <w:jc w:val="both"/>
      </w:pPr>
      <w:proofErr w:type="spellStart"/>
      <w:r>
        <w:rPr>
          <w:sz w:val="22"/>
          <w:szCs w:val="22"/>
        </w:rPr>
        <w:t>Awad</w:t>
      </w:r>
      <w:proofErr w:type="spellEnd"/>
      <w:r>
        <w:rPr>
          <w:sz w:val="22"/>
          <w:szCs w:val="22"/>
        </w:rPr>
        <w:t xml:space="preserve">, R., Muhammad, A., Durst, T., Trudeau, V. L., &amp; </w:t>
      </w:r>
      <w:proofErr w:type="spellStart"/>
      <w:r>
        <w:rPr>
          <w:sz w:val="22"/>
          <w:szCs w:val="22"/>
        </w:rPr>
        <w:t>Arnason</w:t>
      </w:r>
      <w:proofErr w:type="spellEnd"/>
      <w:r>
        <w:rPr>
          <w:sz w:val="22"/>
          <w:szCs w:val="22"/>
        </w:rPr>
        <w:t xml:space="preserve">, J. T. (2007). Bioassay-guided fractionation of lemon balm (Melissa officinalis L.) using an in vitro measure of GABA transaminase activity. </w:t>
      </w:r>
      <w:proofErr w:type="spellStart"/>
      <w:r>
        <w:rPr>
          <w:sz w:val="22"/>
          <w:szCs w:val="22"/>
        </w:rPr>
        <w:t>Phytotherapy</w:t>
      </w:r>
      <w:proofErr w:type="spellEnd"/>
      <w:r>
        <w:rPr>
          <w:sz w:val="22"/>
          <w:szCs w:val="22"/>
        </w:rPr>
        <w:t xml:space="preserve"> Research, 21(4), 372–378. https://doi.org/10.1002/ptr.2079</w:t>
      </w:r>
    </w:p>
    <w:p w:rsidR="00D3095F" w:rsidRDefault="006C44ED">
      <w:pPr>
        <w:spacing w:after="140" w:line="320" w:lineRule="auto"/>
        <w:ind w:left="720" w:hanging="720"/>
        <w:jc w:val="both"/>
      </w:pPr>
      <w:r>
        <w:rPr>
          <w:sz w:val="22"/>
          <w:szCs w:val="22"/>
        </w:rPr>
        <w:t xml:space="preserve">Barnes, J., Anderson, L. A., &amp; Phillipson, J. D. (2001). St John's Wort (Hypericum </w:t>
      </w:r>
      <w:proofErr w:type="spellStart"/>
      <w:r>
        <w:rPr>
          <w:sz w:val="22"/>
          <w:szCs w:val="22"/>
        </w:rPr>
        <w:t>perforatum</w:t>
      </w:r>
      <w:proofErr w:type="spellEnd"/>
      <w:r>
        <w:rPr>
          <w:sz w:val="22"/>
          <w:szCs w:val="22"/>
        </w:rPr>
        <w:t xml:space="preserve"> L.): A review of its chemistry, pharmacology and clinical properties. Journal of Pharmacy and Pharmacology, 53(5), 583–600. https://doi.org/10.1211/0022357011775910</w:t>
      </w:r>
    </w:p>
    <w:p w:rsidR="00D3095F" w:rsidRDefault="006C44ED">
      <w:pPr>
        <w:spacing w:after="140" w:line="320" w:lineRule="auto"/>
        <w:ind w:left="720" w:hanging="720"/>
        <w:jc w:val="both"/>
      </w:pPr>
      <w:r>
        <w:rPr>
          <w:sz w:val="22"/>
          <w:szCs w:val="22"/>
        </w:rPr>
        <w:t xml:space="preserve">Baumeister, A. A., &amp; Hawkins, M. F. (2004). The serotonin hypothesis of schizophrenia: History and status. In M. S. </w:t>
      </w:r>
      <w:proofErr w:type="spellStart"/>
      <w:r>
        <w:rPr>
          <w:sz w:val="22"/>
          <w:szCs w:val="22"/>
        </w:rPr>
        <w:t>Keshavan</w:t>
      </w:r>
      <w:proofErr w:type="spellEnd"/>
      <w:r>
        <w:rPr>
          <w:sz w:val="22"/>
          <w:szCs w:val="22"/>
        </w:rPr>
        <w:t>, J. L. Kennedy, &amp; R. M. Murray (Eds.), Neurodevelopment and schizophrenia (pp. 3–35). Cambridge University Press.</w:t>
      </w:r>
    </w:p>
    <w:p w:rsidR="00D3095F" w:rsidRDefault="006C44ED">
      <w:pPr>
        <w:spacing w:after="140" w:line="320" w:lineRule="auto"/>
        <w:ind w:left="720" w:hanging="720"/>
        <w:jc w:val="both"/>
      </w:pPr>
      <w:r>
        <w:rPr>
          <w:sz w:val="22"/>
          <w:szCs w:val="22"/>
        </w:rPr>
        <w:t xml:space="preserve">Bent, S., </w:t>
      </w:r>
      <w:proofErr w:type="spellStart"/>
      <w:r>
        <w:rPr>
          <w:sz w:val="22"/>
          <w:szCs w:val="22"/>
        </w:rPr>
        <w:t>Padula</w:t>
      </w:r>
      <w:proofErr w:type="spellEnd"/>
      <w:r>
        <w:rPr>
          <w:sz w:val="22"/>
          <w:szCs w:val="22"/>
        </w:rPr>
        <w:t xml:space="preserve">, A., Moore, D., Patterson, M., &amp; </w:t>
      </w:r>
      <w:proofErr w:type="spellStart"/>
      <w:r>
        <w:rPr>
          <w:sz w:val="22"/>
          <w:szCs w:val="22"/>
        </w:rPr>
        <w:t>Mehling</w:t>
      </w:r>
      <w:proofErr w:type="spellEnd"/>
      <w:r>
        <w:rPr>
          <w:sz w:val="22"/>
          <w:szCs w:val="22"/>
        </w:rPr>
        <w:t>, W. (2006). Valerian for sleep: A systematic review and meta-analysis. American Journal of Medicine, 119(12), 1005–1012. https://doi.org/10.1016/j.amjmed.2006.02.026</w:t>
      </w:r>
    </w:p>
    <w:p w:rsidR="00D3095F" w:rsidRDefault="006C44ED">
      <w:pPr>
        <w:spacing w:after="140" w:line="320" w:lineRule="auto"/>
        <w:ind w:left="720" w:hanging="720"/>
        <w:jc w:val="both"/>
      </w:pPr>
      <w:r>
        <w:rPr>
          <w:sz w:val="22"/>
          <w:szCs w:val="22"/>
        </w:rPr>
        <w:t xml:space="preserve">Bhattacharya, S. K., Bhattacharya, A., Sairam, K., &amp; Ghosal, S. (2000a). Anxiolytic-antidepressant activity of </w:t>
      </w:r>
      <w:proofErr w:type="spellStart"/>
      <w:r>
        <w:rPr>
          <w:sz w:val="22"/>
          <w:szCs w:val="22"/>
        </w:rPr>
        <w:t>Withania</w:t>
      </w:r>
      <w:proofErr w:type="spellEnd"/>
      <w:r>
        <w:rPr>
          <w:sz w:val="22"/>
          <w:szCs w:val="22"/>
        </w:rPr>
        <w:t xml:space="preserve"> </w:t>
      </w:r>
      <w:proofErr w:type="spellStart"/>
      <w:r>
        <w:rPr>
          <w:sz w:val="22"/>
          <w:szCs w:val="22"/>
        </w:rPr>
        <w:t>somnifera</w:t>
      </w:r>
      <w:proofErr w:type="spellEnd"/>
      <w:r>
        <w:rPr>
          <w:sz w:val="22"/>
          <w:szCs w:val="22"/>
        </w:rPr>
        <w:t xml:space="preserve"> </w:t>
      </w:r>
      <w:proofErr w:type="spellStart"/>
      <w:r>
        <w:rPr>
          <w:sz w:val="22"/>
          <w:szCs w:val="22"/>
        </w:rPr>
        <w:t>glycowithanolides</w:t>
      </w:r>
      <w:proofErr w:type="spellEnd"/>
      <w:r>
        <w:rPr>
          <w:sz w:val="22"/>
          <w:szCs w:val="22"/>
        </w:rPr>
        <w:t>: An experimental study. Phytomedicine, 7(6), 463–469. https://doi.org/10.1016/S0944-7113(00)80030-6</w:t>
      </w:r>
    </w:p>
    <w:p w:rsidR="00D3095F" w:rsidRDefault="006C44ED">
      <w:pPr>
        <w:spacing w:after="140" w:line="320" w:lineRule="auto"/>
        <w:ind w:left="720" w:hanging="720"/>
        <w:jc w:val="both"/>
      </w:pPr>
      <w:r>
        <w:rPr>
          <w:sz w:val="22"/>
          <w:szCs w:val="22"/>
        </w:rPr>
        <w:t xml:space="preserve">Bhattacharya, S. K., Bhattacharya, A., Kumar, A., &amp; Ghosal, S. (2000b). Antioxidant activity of Bacopa </w:t>
      </w:r>
      <w:proofErr w:type="spellStart"/>
      <w:r>
        <w:rPr>
          <w:sz w:val="22"/>
          <w:szCs w:val="22"/>
        </w:rPr>
        <w:t>monniera</w:t>
      </w:r>
      <w:proofErr w:type="spellEnd"/>
      <w:r>
        <w:rPr>
          <w:sz w:val="22"/>
          <w:szCs w:val="22"/>
        </w:rPr>
        <w:t xml:space="preserve"> in rat frontal cortex, striatum and hippocampus. </w:t>
      </w:r>
      <w:proofErr w:type="spellStart"/>
      <w:r>
        <w:rPr>
          <w:sz w:val="22"/>
          <w:szCs w:val="22"/>
        </w:rPr>
        <w:t>Phytotherapy</w:t>
      </w:r>
      <w:proofErr w:type="spellEnd"/>
      <w:r>
        <w:rPr>
          <w:sz w:val="22"/>
          <w:szCs w:val="22"/>
        </w:rPr>
        <w:t xml:space="preserve"> Research, 14(2), 174–179. https://doi.org/10.1002/(SICI)1099-1573(200003)14:2%3C174::AID-PTR624%3E3.0.CO;2-O</w:t>
      </w:r>
    </w:p>
    <w:p w:rsidR="00D3095F" w:rsidRDefault="006C44ED">
      <w:pPr>
        <w:spacing w:after="140" w:line="320" w:lineRule="auto"/>
        <w:ind w:left="720" w:hanging="720"/>
        <w:jc w:val="both"/>
      </w:pPr>
      <w:r>
        <w:rPr>
          <w:sz w:val="22"/>
          <w:szCs w:val="22"/>
        </w:rPr>
        <w:t xml:space="preserve">Bhattacharya, S. K., Bhattacharya, A., Kumar, A., &amp; Ghosal, S. (1998). Antidepressant and anxiolytic activities of Hypericum </w:t>
      </w:r>
      <w:proofErr w:type="spellStart"/>
      <w:r>
        <w:rPr>
          <w:sz w:val="22"/>
          <w:szCs w:val="22"/>
        </w:rPr>
        <w:t>perforatum</w:t>
      </w:r>
      <w:proofErr w:type="spellEnd"/>
      <w:r>
        <w:rPr>
          <w:sz w:val="22"/>
          <w:szCs w:val="22"/>
        </w:rPr>
        <w:t xml:space="preserve"> extract: A possible mechanism of action. Journal of Psychiatry and Neuroscience, 23(1), 53–60. PMID: 9484920.</w:t>
      </w:r>
    </w:p>
    <w:p w:rsidR="00D3095F" w:rsidRDefault="006C44ED">
      <w:pPr>
        <w:spacing w:after="140" w:line="320" w:lineRule="auto"/>
        <w:ind w:left="720" w:hanging="720"/>
        <w:jc w:val="both"/>
      </w:pPr>
      <w:proofErr w:type="spellStart"/>
      <w:r>
        <w:rPr>
          <w:sz w:val="22"/>
          <w:szCs w:val="22"/>
        </w:rPr>
        <w:t>Björnsson</w:t>
      </w:r>
      <w:proofErr w:type="spellEnd"/>
      <w:r>
        <w:rPr>
          <w:sz w:val="22"/>
          <w:szCs w:val="22"/>
        </w:rPr>
        <w:t xml:space="preserve">, H. K., </w:t>
      </w:r>
      <w:proofErr w:type="spellStart"/>
      <w:r>
        <w:rPr>
          <w:sz w:val="22"/>
          <w:szCs w:val="22"/>
        </w:rPr>
        <w:t>Björnsson</w:t>
      </w:r>
      <w:proofErr w:type="spellEnd"/>
      <w:r>
        <w:rPr>
          <w:sz w:val="22"/>
          <w:szCs w:val="22"/>
        </w:rPr>
        <w:t xml:space="preserve">, E. S., </w:t>
      </w:r>
      <w:proofErr w:type="spellStart"/>
      <w:r>
        <w:rPr>
          <w:sz w:val="22"/>
          <w:szCs w:val="22"/>
        </w:rPr>
        <w:t>Avula</w:t>
      </w:r>
      <w:proofErr w:type="spellEnd"/>
      <w:r>
        <w:rPr>
          <w:sz w:val="22"/>
          <w:szCs w:val="22"/>
        </w:rPr>
        <w:t>, B., Khan, I. A., &amp; Navarro, V. J. (2020). Ashwagandha-induced liver injury: A case series from Iceland and the US Drug-Induced Liver Injury Network. Liver International, 40(4), 825–829. https://doi.org/10.1111/liv.14393</w:t>
      </w:r>
    </w:p>
    <w:p w:rsidR="00D3095F" w:rsidRDefault="006C44ED">
      <w:pPr>
        <w:spacing w:after="140" w:line="320" w:lineRule="auto"/>
        <w:ind w:left="720" w:hanging="720"/>
        <w:jc w:val="both"/>
      </w:pPr>
      <w:r>
        <w:rPr>
          <w:sz w:val="22"/>
          <w:szCs w:val="22"/>
        </w:rPr>
        <w:t xml:space="preserve">Blumenthal, M., </w:t>
      </w:r>
      <w:proofErr w:type="spellStart"/>
      <w:r>
        <w:rPr>
          <w:sz w:val="22"/>
          <w:szCs w:val="22"/>
        </w:rPr>
        <w:t>Busse</w:t>
      </w:r>
      <w:proofErr w:type="spellEnd"/>
      <w:r>
        <w:rPr>
          <w:sz w:val="22"/>
          <w:szCs w:val="22"/>
        </w:rPr>
        <w:t xml:space="preserve">, W. R., Goldberg, A., Gruenwald, J., Hall, T., Riggins, C. W., &amp; </w:t>
      </w:r>
      <w:proofErr w:type="spellStart"/>
      <w:r>
        <w:rPr>
          <w:sz w:val="22"/>
          <w:szCs w:val="22"/>
        </w:rPr>
        <w:t>Rister</w:t>
      </w:r>
      <w:proofErr w:type="spellEnd"/>
      <w:r>
        <w:rPr>
          <w:sz w:val="22"/>
          <w:szCs w:val="22"/>
        </w:rPr>
        <w:t>, R. S. (Eds.). (2000). The complete German Commission E monographs: Therapeutic guide to herbal medicines. American Botanical Council. [Primary monograph texts available at https://www.herbalgram.org]</w:t>
      </w:r>
    </w:p>
    <w:p w:rsidR="00D3095F" w:rsidRDefault="006C44ED">
      <w:pPr>
        <w:spacing w:after="140" w:line="320" w:lineRule="auto"/>
        <w:ind w:left="720" w:hanging="720"/>
        <w:jc w:val="both"/>
      </w:pPr>
      <w:r>
        <w:rPr>
          <w:sz w:val="22"/>
          <w:szCs w:val="22"/>
        </w:rPr>
        <w:lastRenderedPageBreak/>
        <w:t xml:space="preserve">Brock, C., Whitehouse, J., Tewfik, I., &amp; </w:t>
      </w:r>
      <w:proofErr w:type="spellStart"/>
      <w:r>
        <w:rPr>
          <w:sz w:val="22"/>
          <w:szCs w:val="22"/>
        </w:rPr>
        <w:t>Towell</w:t>
      </w:r>
      <w:proofErr w:type="spellEnd"/>
      <w:r>
        <w:rPr>
          <w:sz w:val="22"/>
          <w:szCs w:val="22"/>
        </w:rPr>
        <w:t>, T. (2014). American skullcap (</w:t>
      </w:r>
      <w:proofErr w:type="spellStart"/>
      <w:r>
        <w:rPr>
          <w:sz w:val="22"/>
          <w:szCs w:val="22"/>
        </w:rPr>
        <w:t>Scutellaria</w:t>
      </w:r>
      <w:proofErr w:type="spellEnd"/>
      <w:r>
        <w:rPr>
          <w:sz w:val="22"/>
          <w:szCs w:val="22"/>
        </w:rPr>
        <w:t xml:space="preserve"> </w:t>
      </w:r>
      <w:proofErr w:type="spellStart"/>
      <w:r>
        <w:rPr>
          <w:sz w:val="22"/>
          <w:szCs w:val="22"/>
        </w:rPr>
        <w:t>lateriflora</w:t>
      </w:r>
      <w:proofErr w:type="spellEnd"/>
      <w:r>
        <w:rPr>
          <w:sz w:val="22"/>
          <w:szCs w:val="22"/>
        </w:rPr>
        <w:t xml:space="preserve">): A </w:t>
      </w:r>
      <w:proofErr w:type="spellStart"/>
      <w:r>
        <w:rPr>
          <w:sz w:val="22"/>
          <w:szCs w:val="22"/>
        </w:rPr>
        <w:t>randomised</w:t>
      </w:r>
      <w:proofErr w:type="spellEnd"/>
      <w:r>
        <w:rPr>
          <w:sz w:val="22"/>
          <w:szCs w:val="22"/>
        </w:rPr>
        <w:t xml:space="preserve">, double-blind placebo-controlled crossover study of its effects on mood in healthy volunteers. </w:t>
      </w:r>
      <w:proofErr w:type="spellStart"/>
      <w:r>
        <w:rPr>
          <w:sz w:val="22"/>
          <w:szCs w:val="22"/>
        </w:rPr>
        <w:t>Phytotherapy</w:t>
      </w:r>
      <w:proofErr w:type="spellEnd"/>
      <w:r>
        <w:rPr>
          <w:sz w:val="22"/>
          <w:szCs w:val="22"/>
        </w:rPr>
        <w:t xml:space="preserve"> Research, 28(5), 692–698. https://doi.org/10.1002/ptr.5044</w:t>
      </w:r>
    </w:p>
    <w:p w:rsidR="00D3095F" w:rsidRDefault="006C44ED">
      <w:pPr>
        <w:spacing w:after="140" w:line="320" w:lineRule="auto"/>
        <w:ind w:left="720" w:hanging="720"/>
        <w:jc w:val="both"/>
      </w:pPr>
      <w:r>
        <w:rPr>
          <w:sz w:val="22"/>
          <w:szCs w:val="22"/>
        </w:rPr>
        <w:t xml:space="preserve">Brown, E., Hurd, N. S., McCall, S., &amp; </w:t>
      </w:r>
      <w:proofErr w:type="spellStart"/>
      <w:r>
        <w:rPr>
          <w:sz w:val="22"/>
          <w:szCs w:val="22"/>
        </w:rPr>
        <w:t>Ceremuga</w:t>
      </w:r>
      <w:proofErr w:type="spellEnd"/>
      <w:r>
        <w:rPr>
          <w:sz w:val="22"/>
          <w:szCs w:val="22"/>
        </w:rPr>
        <w:t xml:space="preserve">, T. E. (2007). Evaluation of the anxiolytic effects of chrysin, a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extract, in the laboratory rat. AANA Journal, 75(5), 333–337. PMID: 17966524.</w:t>
      </w:r>
    </w:p>
    <w:p w:rsidR="00D3095F" w:rsidRDefault="006C44ED">
      <w:pPr>
        <w:spacing w:after="140" w:line="320" w:lineRule="auto"/>
        <w:ind w:left="720" w:hanging="720"/>
        <w:jc w:val="both"/>
      </w:pPr>
      <w:proofErr w:type="spellStart"/>
      <w:r>
        <w:rPr>
          <w:sz w:val="22"/>
          <w:szCs w:val="22"/>
        </w:rPr>
        <w:t>Carabotti</w:t>
      </w:r>
      <w:proofErr w:type="spellEnd"/>
      <w:r>
        <w:rPr>
          <w:sz w:val="22"/>
          <w:szCs w:val="22"/>
        </w:rPr>
        <w:t xml:space="preserve">, M., Scirocco, A., </w:t>
      </w:r>
      <w:proofErr w:type="spellStart"/>
      <w:r>
        <w:rPr>
          <w:sz w:val="22"/>
          <w:szCs w:val="22"/>
        </w:rPr>
        <w:t>Maselli</w:t>
      </w:r>
      <w:proofErr w:type="spellEnd"/>
      <w:r>
        <w:rPr>
          <w:sz w:val="22"/>
          <w:szCs w:val="22"/>
        </w:rPr>
        <w:t xml:space="preserve">, M. A., &amp; </w:t>
      </w:r>
      <w:proofErr w:type="spellStart"/>
      <w:r>
        <w:rPr>
          <w:sz w:val="22"/>
          <w:szCs w:val="22"/>
        </w:rPr>
        <w:t>Severi</w:t>
      </w:r>
      <w:proofErr w:type="spellEnd"/>
      <w:r>
        <w:rPr>
          <w:sz w:val="22"/>
          <w:szCs w:val="22"/>
        </w:rPr>
        <w:t>, C. (2015). The gut-brain axis: Interactions between enteric microbiota, central and enteric nervous systems. Annals of Gastroenterology, 28(2), 203–209. PMID: 25830558.</w:t>
      </w:r>
    </w:p>
    <w:p w:rsidR="00D3095F" w:rsidRDefault="006C44ED">
      <w:pPr>
        <w:spacing w:after="140" w:line="320" w:lineRule="auto"/>
        <w:ind w:left="720" w:hanging="720"/>
        <w:jc w:val="both"/>
      </w:pPr>
      <w:r>
        <w:rPr>
          <w:sz w:val="22"/>
          <w:szCs w:val="22"/>
        </w:rPr>
        <w:t xml:space="preserve">Cavanagh, H. M. A., &amp; Wilkinson, J. M. (2002). Biological activities of lavender essential oil. </w:t>
      </w:r>
      <w:proofErr w:type="spellStart"/>
      <w:r>
        <w:rPr>
          <w:sz w:val="22"/>
          <w:szCs w:val="22"/>
        </w:rPr>
        <w:t>Phytotherapy</w:t>
      </w:r>
      <w:proofErr w:type="spellEnd"/>
      <w:r>
        <w:rPr>
          <w:sz w:val="22"/>
          <w:szCs w:val="22"/>
        </w:rPr>
        <w:t xml:space="preserve"> Research, 16(4), 301–308. https://doi.org/10.1002/ptr.1103</w:t>
      </w:r>
    </w:p>
    <w:p w:rsidR="00D3095F" w:rsidRDefault="006C44ED">
      <w:pPr>
        <w:spacing w:after="140" w:line="320" w:lineRule="auto"/>
        <w:ind w:left="720" w:hanging="720"/>
        <w:jc w:val="both"/>
      </w:pPr>
      <w:r>
        <w:rPr>
          <w:sz w:val="22"/>
          <w:szCs w:val="22"/>
        </w:rPr>
        <w:t xml:space="preserve">Cerny, A., &amp; Schmid, K. (1999). Tolerability and efficacy of valerian/lemon balm in healthy volunteers (a double-blind, placebo-controlled, </w:t>
      </w:r>
      <w:proofErr w:type="spellStart"/>
      <w:r>
        <w:rPr>
          <w:sz w:val="22"/>
          <w:szCs w:val="22"/>
        </w:rPr>
        <w:t>multicentre</w:t>
      </w:r>
      <w:proofErr w:type="spellEnd"/>
      <w:r>
        <w:rPr>
          <w:sz w:val="22"/>
          <w:szCs w:val="22"/>
        </w:rPr>
        <w:t xml:space="preserve"> study). </w:t>
      </w:r>
      <w:proofErr w:type="spellStart"/>
      <w:r>
        <w:rPr>
          <w:sz w:val="22"/>
          <w:szCs w:val="22"/>
        </w:rPr>
        <w:t>Fitoterapia</w:t>
      </w:r>
      <w:proofErr w:type="spellEnd"/>
      <w:r>
        <w:rPr>
          <w:sz w:val="22"/>
          <w:szCs w:val="22"/>
        </w:rPr>
        <w:t>, 70(3), 221–228. https://doi.org/10.1016/S0367-326X(99)00018-0</w:t>
      </w:r>
    </w:p>
    <w:p w:rsidR="00D3095F" w:rsidRDefault="006C44ED">
      <w:pPr>
        <w:spacing w:after="140" w:line="320" w:lineRule="auto"/>
        <w:ind w:left="720" w:hanging="720"/>
        <w:jc w:val="both"/>
      </w:pPr>
      <w:r>
        <w:rPr>
          <w:sz w:val="22"/>
          <w:szCs w:val="22"/>
        </w:rPr>
        <w:t xml:space="preserve">Chandrasekhar, K., Kapoor, J., &amp; </w:t>
      </w:r>
      <w:proofErr w:type="spellStart"/>
      <w:r>
        <w:rPr>
          <w:sz w:val="22"/>
          <w:szCs w:val="22"/>
        </w:rPr>
        <w:t>Anishetty</w:t>
      </w:r>
      <w:proofErr w:type="spellEnd"/>
      <w:r>
        <w:rPr>
          <w:sz w:val="22"/>
          <w:szCs w:val="22"/>
        </w:rPr>
        <w:t>, S. (2012). A prospective, randomized double-blind, placebo-controlled study of safety and efficacy of a high-concentration full-spectrum extract of ashwagandha root in reducing stress and anxiety in adults. Indian Journal of Psychological Medicine, 34(3), 255–262. https://doi.org/10.4103/0253-7176.106022</w:t>
      </w:r>
    </w:p>
    <w:p w:rsidR="00D3095F" w:rsidRDefault="006C44ED">
      <w:pPr>
        <w:spacing w:after="140" w:line="320" w:lineRule="auto"/>
        <w:ind w:left="720" w:hanging="720"/>
        <w:jc w:val="both"/>
      </w:pPr>
      <w:proofErr w:type="spellStart"/>
      <w:r>
        <w:rPr>
          <w:sz w:val="22"/>
          <w:szCs w:val="22"/>
        </w:rPr>
        <w:t>Darbinyan</w:t>
      </w:r>
      <w:proofErr w:type="spellEnd"/>
      <w:r>
        <w:rPr>
          <w:sz w:val="22"/>
          <w:szCs w:val="22"/>
        </w:rPr>
        <w:t xml:space="preserve">, V., </w:t>
      </w:r>
      <w:proofErr w:type="spellStart"/>
      <w:r>
        <w:rPr>
          <w:sz w:val="22"/>
          <w:szCs w:val="22"/>
        </w:rPr>
        <w:t>Kteyan</w:t>
      </w:r>
      <w:proofErr w:type="spellEnd"/>
      <w:r>
        <w:rPr>
          <w:sz w:val="22"/>
          <w:szCs w:val="22"/>
        </w:rPr>
        <w:t xml:space="preserve">, A., </w:t>
      </w:r>
      <w:proofErr w:type="spellStart"/>
      <w:r>
        <w:rPr>
          <w:sz w:val="22"/>
          <w:szCs w:val="22"/>
        </w:rPr>
        <w:t>Panossian</w:t>
      </w:r>
      <w:proofErr w:type="spellEnd"/>
      <w:r>
        <w:rPr>
          <w:sz w:val="22"/>
          <w:szCs w:val="22"/>
        </w:rPr>
        <w:t xml:space="preserve">, A., </w:t>
      </w:r>
      <w:proofErr w:type="spellStart"/>
      <w:r>
        <w:rPr>
          <w:sz w:val="22"/>
          <w:szCs w:val="22"/>
        </w:rPr>
        <w:t>Gabrielian</w:t>
      </w:r>
      <w:proofErr w:type="spellEnd"/>
      <w:r>
        <w:rPr>
          <w:sz w:val="22"/>
          <w:szCs w:val="22"/>
        </w:rPr>
        <w:t xml:space="preserve">, E., </w:t>
      </w:r>
      <w:proofErr w:type="spellStart"/>
      <w:r>
        <w:rPr>
          <w:sz w:val="22"/>
          <w:szCs w:val="22"/>
        </w:rPr>
        <w:t>Wikman</w:t>
      </w:r>
      <w:proofErr w:type="spellEnd"/>
      <w:r>
        <w:rPr>
          <w:sz w:val="22"/>
          <w:szCs w:val="22"/>
        </w:rPr>
        <w:t xml:space="preserve">, G., &amp; Wagner, H. (2000). </w:t>
      </w:r>
      <w:proofErr w:type="spellStart"/>
      <w:r>
        <w:rPr>
          <w:sz w:val="22"/>
          <w:szCs w:val="22"/>
        </w:rPr>
        <w:t>Rhodiola</w:t>
      </w:r>
      <w:proofErr w:type="spellEnd"/>
      <w:r>
        <w:rPr>
          <w:sz w:val="22"/>
          <w:szCs w:val="22"/>
        </w:rPr>
        <w:t xml:space="preserve"> </w:t>
      </w:r>
      <w:proofErr w:type="spellStart"/>
      <w:r>
        <w:rPr>
          <w:sz w:val="22"/>
          <w:szCs w:val="22"/>
        </w:rPr>
        <w:t>rosea</w:t>
      </w:r>
      <w:proofErr w:type="spellEnd"/>
      <w:r>
        <w:rPr>
          <w:sz w:val="22"/>
          <w:szCs w:val="22"/>
        </w:rPr>
        <w:t xml:space="preserve"> in stress induced fatigue — a double blind cross-over study of a </w:t>
      </w:r>
      <w:proofErr w:type="spellStart"/>
      <w:r>
        <w:rPr>
          <w:sz w:val="22"/>
          <w:szCs w:val="22"/>
        </w:rPr>
        <w:t>standardised</w:t>
      </w:r>
      <w:proofErr w:type="spellEnd"/>
      <w:r>
        <w:rPr>
          <w:sz w:val="22"/>
          <w:szCs w:val="22"/>
        </w:rPr>
        <w:t xml:space="preserve"> extract SHR-5 with a repeated low-dose regimen on the mental performance of healthy physicians during night duty. Phytomedicine, 7(5), 365–371. https://doi.org/10.1016/S0944-7113(00)80055-0</w:t>
      </w:r>
    </w:p>
    <w:p w:rsidR="00D3095F" w:rsidRDefault="006C44ED">
      <w:pPr>
        <w:spacing w:after="140" w:line="320" w:lineRule="auto"/>
        <w:ind w:left="720" w:hanging="720"/>
        <w:jc w:val="both"/>
      </w:pPr>
      <w:r>
        <w:rPr>
          <w:sz w:val="22"/>
          <w:szCs w:val="22"/>
        </w:rPr>
        <w:t xml:space="preserve">Dhawan, K., Dhawan, S., &amp; Sharma, A. (2004). </w:t>
      </w:r>
      <w:proofErr w:type="spellStart"/>
      <w:r>
        <w:rPr>
          <w:sz w:val="22"/>
          <w:szCs w:val="22"/>
        </w:rPr>
        <w:t>Passiflora</w:t>
      </w:r>
      <w:proofErr w:type="spellEnd"/>
      <w:r>
        <w:rPr>
          <w:sz w:val="22"/>
          <w:szCs w:val="22"/>
        </w:rPr>
        <w:t>: A review update. Journal of Ethnopharmacology, 94(1), 1–23. https://doi.org/10.1016/j.jep.2004.02.023</w:t>
      </w:r>
    </w:p>
    <w:p w:rsidR="00D3095F" w:rsidRDefault="006C44ED">
      <w:pPr>
        <w:spacing w:after="140" w:line="320" w:lineRule="auto"/>
        <w:ind w:left="720" w:hanging="720"/>
        <w:jc w:val="both"/>
      </w:pPr>
      <w:r>
        <w:rPr>
          <w:sz w:val="22"/>
          <w:szCs w:val="22"/>
        </w:rPr>
        <w:t xml:space="preserve">Donovan, J. L., </w:t>
      </w:r>
      <w:proofErr w:type="spellStart"/>
      <w:r>
        <w:rPr>
          <w:sz w:val="22"/>
          <w:szCs w:val="22"/>
        </w:rPr>
        <w:t>DeVane</w:t>
      </w:r>
      <w:proofErr w:type="spellEnd"/>
      <w:r>
        <w:rPr>
          <w:sz w:val="22"/>
          <w:szCs w:val="22"/>
        </w:rPr>
        <w:t xml:space="preserve">, C. L., </w:t>
      </w:r>
      <w:proofErr w:type="spellStart"/>
      <w:r>
        <w:rPr>
          <w:sz w:val="22"/>
          <w:szCs w:val="22"/>
        </w:rPr>
        <w:t>Chavin</w:t>
      </w:r>
      <w:proofErr w:type="spellEnd"/>
      <w:r>
        <w:rPr>
          <w:sz w:val="22"/>
          <w:szCs w:val="22"/>
        </w:rPr>
        <w:t xml:space="preserve">, K. D., Wang, J.-S., Gibson, B. B., </w:t>
      </w:r>
      <w:proofErr w:type="spellStart"/>
      <w:r>
        <w:rPr>
          <w:sz w:val="22"/>
          <w:szCs w:val="22"/>
        </w:rPr>
        <w:t>Gefroh</w:t>
      </w:r>
      <w:proofErr w:type="spellEnd"/>
      <w:r>
        <w:rPr>
          <w:sz w:val="22"/>
          <w:szCs w:val="22"/>
        </w:rPr>
        <w:t>, H. A., &amp; Markowitz, J. S. (2004). Multiple night-time doses of valerian (</w:t>
      </w:r>
      <w:proofErr w:type="spellStart"/>
      <w:r>
        <w:rPr>
          <w:sz w:val="22"/>
          <w:szCs w:val="22"/>
        </w:rPr>
        <w:t>Valeriana</w:t>
      </w:r>
      <w:proofErr w:type="spellEnd"/>
      <w:r>
        <w:rPr>
          <w:sz w:val="22"/>
          <w:szCs w:val="22"/>
        </w:rPr>
        <w:t xml:space="preserve"> officinalis) had minimal effects on CYP3A4 activity and no effect on CYP2D6 activity in healthy volunteers. Drug Metabolism and Disposition, 32(12), 1333–1336. https://doi.org/10.1124/dmd.104.000422</w:t>
      </w:r>
    </w:p>
    <w:p w:rsidR="00D3095F" w:rsidRDefault="006C44ED">
      <w:pPr>
        <w:spacing w:after="140" w:line="320" w:lineRule="auto"/>
        <w:ind w:left="720" w:hanging="720"/>
        <w:jc w:val="both"/>
      </w:pPr>
      <w:r>
        <w:rPr>
          <w:sz w:val="22"/>
          <w:szCs w:val="22"/>
        </w:rPr>
        <w:t xml:space="preserve">European Medicines Agency. (2016). Community herbal monograph on </w:t>
      </w:r>
      <w:proofErr w:type="spellStart"/>
      <w:r>
        <w:rPr>
          <w:sz w:val="22"/>
          <w:szCs w:val="22"/>
        </w:rPr>
        <w:t>Valeriana</w:t>
      </w:r>
      <w:proofErr w:type="spellEnd"/>
      <w:r>
        <w:rPr>
          <w:sz w:val="22"/>
          <w:szCs w:val="22"/>
        </w:rPr>
        <w:t xml:space="preserve"> officinalis L., radix (EMA/HMPC/150848/2015). Retrieved from https://www.ema.europa.eu/en/medicines/herbal/valerianae-radix</w:t>
      </w:r>
    </w:p>
    <w:p w:rsidR="00D3095F" w:rsidRDefault="006C44ED">
      <w:pPr>
        <w:spacing w:after="140" w:line="320" w:lineRule="auto"/>
        <w:ind w:left="720" w:hanging="720"/>
        <w:jc w:val="both"/>
      </w:pPr>
      <w:r>
        <w:rPr>
          <w:sz w:val="22"/>
          <w:szCs w:val="22"/>
        </w:rPr>
        <w:t>Fabricant, D. S., &amp; Farnsworth, N. R. (2001). The value of plants used in traditional medicine for drug discovery. Environmental Health Perspectives, 109(Suppl. 1), 69–75. https://doi.org/10.1289/ehp.01109s169</w:t>
      </w:r>
    </w:p>
    <w:p w:rsidR="00D3095F" w:rsidRDefault="006C44ED">
      <w:pPr>
        <w:spacing w:after="140" w:line="320" w:lineRule="auto"/>
        <w:ind w:left="720" w:hanging="720"/>
        <w:jc w:val="both"/>
      </w:pPr>
      <w:r>
        <w:rPr>
          <w:sz w:val="22"/>
          <w:szCs w:val="22"/>
        </w:rPr>
        <w:lastRenderedPageBreak/>
        <w:t xml:space="preserve">Farnsworth, N. R., &amp; </w:t>
      </w:r>
      <w:proofErr w:type="spellStart"/>
      <w:r>
        <w:rPr>
          <w:sz w:val="22"/>
          <w:szCs w:val="22"/>
        </w:rPr>
        <w:t>Soejarto</w:t>
      </w:r>
      <w:proofErr w:type="spellEnd"/>
      <w:r>
        <w:rPr>
          <w:sz w:val="22"/>
          <w:szCs w:val="22"/>
        </w:rPr>
        <w:t xml:space="preserve">, D. D. (1991). Global importance of medicinal plants. In O. </w:t>
      </w:r>
      <w:proofErr w:type="spellStart"/>
      <w:r>
        <w:rPr>
          <w:sz w:val="22"/>
          <w:szCs w:val="22"/>
        </w:rPr>
        <w:t>Akerele</w:t>
      </w:r>
      <w:proofErr w:type="spellEnd"/>
      <w:r>
        <w:rPr>
          <w:sz w:val="22"/>
          <w:szCs w:val="22"/>
        </w:rPr>
        <w:t>, V. Heywood, &amp; H. Synge (Eds.), The conservation of medicinal plants (pp. 25–51). Cambridge University Press.</w:t>
      </w:r>
    </w:p>
    <w:p w:rsidR="00D3095F" w:rsidRDefault="006C44ED">
      <w:pPr>
        <w:spacing w:after="140" w:line="320" w:lineRule="auto"/>
        <w:ind w:left="720" w:hanging="720"/>
        <w:jc w:val="both"/>
      </w:pPr>
      <w:r>
        <w:rPr>
          <w:sz w:val="22"/>
          <w:szCs w:val="22"/>
        </w:rPr>
        <w:t xml:space="preserve">Fernandez, S., </w:t>
      </w:r>
      <w:proofErr w:type="spellStart"/>
      <w:r>
        <w:rPr>
          <w:sz w:val="22"/>
          <w:szCs w:val="22"/>
        </w:rPr>
        <w:t>Wasowski</w:t>
      </w:r>
      <w:proofErr w:type="spellEnd"/>
      <w:r>
        <w:rPr>
          <w:sz w:val="22"/>
          <w:szCs w:val="22"/>
        </w:rPr>
        <w:t xml:space="preserve">, C., </w:t>
      </w:r>
      <w:proofErr w:type="spellStart"/>
      <w:r>
        <w:rPr>
          <w:sz w:val="22"/>
          <w:szCs w:val="22"/>
        </w:rPr>
        <w:t>Paladini</w:t>
      </w:r>
      <w:proofErr w:type="spellEnd"/>
      <w:r>
        <w:rPr>
          <w:sz w:val="22"/>
          <w:szCs w:val="22"/>
        </w:rPr>
        <w:t xml:space="preserve">, A. C., &amp; Marder, M. (2004). Sedative and sleep-enhancing properties of </w:t>
      </w:r>
      <w:proofErr w:type="spellStart"/>
      <w:r>
        <w:rPr>
          <w:sz w:val="22"/>
          <w:szCs w:val="22"/>
        </w:rPr>
        <w:t>linarin</w:t>
      </w:r>
      <w:proofErr w:type="spellEnd"/>
      <w:r>
        <w:rPr>
          <w:sz w:val="22"/>
          <w:szCs w:val="22"/>
        </w:rPr>
        <w:t xml:space="preserve">, a flavonoid isolated from </w:t>
      </w:r>
      <w:proofErr w:type="spellStart"/>
      <w:r>
        <w:rPr>
          <w:sz w:val="22"/>
          <w:szCs w:val="22"/>
        </w:rPr>
        <w:t>Valeriana</w:t>
      </w:r>
      <w:proofErr w:type="spellEnd"/>
      <w:r>
        <w:rPr>
          <w:sz w:val="22"/>
          <w:szCs w:val="22"/>
        </w:rPr>
        <w:t xml:space="preserve"> officinalis. Pharmacology Biochemistry and Behavior, 77(2), 399–404. https://doi.org/10.1016/j.pbb.2003.12.003</w:t>
      </w:r>
    </w:p>
    <w:p w:rsidR="00D3095F" w:rsidRDefault="006C44ED">
      <w:pPr>
        <w:spacing w:after="140" w:line="320" w:lineRule="auto"/>
        <w:ind w:left="720" w:hanging="720"/>
        <w:jc w:val="both"/>
      </w:pPr>
      <w:proofErr w:type="spellStart"/>
      <w:r>
        <w:rPr>
          <w:sz w:val="22"/>
          <w:szCs w:val="22"/>
        </w:rPr>
        <w:t>Gafner</w:t>
      </w:r>
      <w:proofErr w:type="spellEnd"/>
      <w:r>
        <w:rPr>
          <w:sz w:val="22"/>
          <w:szCs w:val="22"/>
        </w:rPr>
        <w:t xml:space="preserve">, S., Dietz, B., McChesney, J. D., Poole, S., </w:t>
      </w:r>
      <w:proofErr w:type="spellStart"/>
      <w:r>
        <w:rPr>
          <w:sz w:val="22"/>
          <w:szCs w:val="22"/>
        </w:rPr>
        <w:t>Sherif</w:t>
      </w:r>
      <w:proofErr w:type="spellEnd"/>
      <w:r>
        <w:rPr>
          <w:sz w:val="22"/>
          <w:szCs w:val="22"/>
        </w:rPr>
        <w:t xml:space="preserve">, M., &amp; </w:t>
      </w:r>
      <w:proofErr w:type="spellStart"/>
      <w:r>
        <w:rPr>
          <w:sz w:val="22"/>
          <w:szCs w:val="22"/>
        </w:rPr>
        <w:t>Dentali</w:t>
      </w:r>
      <w:proofErr w:type="spellEnd"/>
      <w:r>
        <w:rPr>
          <w:sz w:val="22"/>
          <w:szCs w:val="22"/>
        </w:rPr>
        <w:t>, S. J. (2017). Botanicals in the US market: Who regulates what? Journal of Herbal Medicine, 9, 1–8. https://doi.org/10.1016/j.hermed.2017.03.001</w:t>
      </w:r>
    </w:p>
    <w:p w:rsidR="00D3095F" w:rsidRDefault="006C44ED">
      <w:pPr>
        <w:spacing w:after="140" w:line="320" w:lineRule="auto"/>
        <w:ind w:left="720" w:hanging="720"/>
        <w:jc w:val="both"/>
      </w:pPr>
      <w:r>
        <w:rPr>
          <w:sz w:val="22"/>
          <w:szCs w:val="22"/>
        </w:rPr>
        <w:t xml:space="preserve">Gautam, M., </w:t>
      </w:r>
      <w:proofErr w:type="spellStart"/>
      <w:r>
        <w:rPr>
          <w:sz w:val="22"/>
          <w:szCs w:val="22"/>
        </w:rPr>
        <w:t>Sinhmar</w:t>
      </w:r>
      <w:proofErr w:type="spellEnd"/>
      <w:r>
        <w:rPr>
          <w:sz w:val="22"/>
          <w:szCs w:val="22"/>
        </w:rPr>
        <w:t>, V., Sharma, V. K., &amp; Singh, J. (2022). Ethnomedicinal plants used by local people of Aravalli ranges, Rajasthan, India for the treatment of mental disorders. Journal of Ethnopharmacology, 284, 114808. https://doi.org/10.1016/j.jep.2021.114808</w:t>
      </w:r>
    </w:p>
    <w:p w:rsidR="00D3095F" w:rsidRDefault="006C44ED">
      <w:pPr>
        <w:spacing w:after="140" w:line="320" w:lineRule="auto"/>
        <w:ind w:left="720" w:hanging="720"/>
        <w:jc w:val="both"/>
      </w:pPr>
      <w:proofErr w:type="spellStart"/>
      <w:r>
        <w:rPr>
          <w:sz w:val="22"/>
          <w:szCs w:val="22"/>
        </w:rPr>
        <w:t>Ghorbani</w:t>
      </w:r>
      <w:proofErr w:type="spellEnd"/>
      <w:r>
        <w:rPr>
          <w:sz w:val="22"/>
          <w:szCs w:val="22"/>
        </w:rPr>
        <w:t xml:space="preserve">, A., &amp; </w:t>
      </w:r>
      <w:proofErr w:type="spellStart"/>
      <w:r>
        <w:rPr>
          <w:sz w:val="22"/>
          <w:szCs w:val="22"/>
        </w:rPr>
        <w:t>Esmaeilizadeh</w:t>
      </w:r>
      <w:proofErr w:type="spellEnd"/>
      <w:r>
        <w:rPr>
          <w:sz w:val="22"/>
          <w:szCs w:val="22"/>
        </w:rPr>
        <w:t>, M. (2017). Pharmacological properties of Salvia officinalis and its components. Journal of Traditional and Complementary Medicine, 7(4), 433–440. https://doi.org/10.1016/j.jtcme.2016.12.014</w:t>
      </w:r>
    </w:p>
    <w:p w:rsidR="00D3095F" w:rsidRDefault="006C44ED">
      <w:pPr>
        <w:spacing w:after="140" w:line="320" w:lineRule="auto"/>
        <w:ind w:left="720" w:hanging="720"/>
        <w:jc w:val="both"/>
      </w:pPr>
      <w:proofErr w:type="spellStart"/>
      <w:r>
        <w:rPr>
          <w:sz w:val="22"/>
          <w:szCs w:val="22"/>
        </w:rPr>
        <w:t>Hamayun</w:t>
      </w:r>
      <w:proofErr w:type="spellEnd"/>
      <w:r>
        <w:rPr>
          <w:sz w:val="22"/>
          <w:szCs w:val="22"/>
        </w:rPr>
        <w:t xml:space="preserve">, M., Khan, S. A., Naveed, A., &amp; Khan, M. A. (2012). Traditional ethnobotanical knowledge of medicinal plants used for anxiety and depression in the </w:t>
      </w:r>
      <w:proofErr w:type="spellStart"/>
      <w:r>
        <w:rPr>
          <w:sz w:val="22"/>
          <w:szCs w:val="22"/>
        </w:rPr>
        <w:t>Kaghan</w:t>
      </w:r>
      <w:proofErr w:type="spellEnd"/>
      <w:r>
        <w:rPr>
          <w:sz w:val="22"/>
          <w:szCs w:val="22"/>
        </w:rPr>
        <w:t xml:space="preserve"> valley, Pakistan. Journal of Medicinal Plants Research, 6(40), 5328–5337. https://doi.org/10.5897/JMPR12.512</w:t>
      </w:r>
    </w:p>
    <w:p w:rsidR="00D3095F" w:rsidRDefault="006C44ED">
      <w:pPr>
        <w:spacing w:after="140" w:line="320" w:lineRule="auto"/>
        <w:ind w:left="720" w:hanging="720"/>
        <w:jc w:val="both"/>
      </w:pPr>
      <w:r>
        <w:rPr>
          <w:sz w:val="22"/>
          <w:szCs w:val="22"/>
        </w:rPr>
        <w:t xml:space="preserve">Han, H., Ma, Y., </w:t>
      </w:r>
      <w:proofErr w:type="spellStart"/>
      <w:r>
        <w:rPr>
          <w:sz w:val="22"/>
          <w:szCs w:val="22"/>
        </w:rPr>
        <w:t>Eun</w:t>
      </w:r>
      <w:proofErr w:type="spellEnd"/>
      <w:r>
        <w:rPr>
          <w:sz w:val="22"/>
          <w:szCs w:val="22"/>
        </w:rPr>
        <w:t xml:space="preserve">, J. S., Li, R., Hong, J. T., Lee, M. K., &amp; Oh, K. W. (2009). Anxiolytic-like effects of </w:t>
      </w:r>
      <w:proofErr w:type="spellStart"/>
      <w:r>
        <w:rPr>
          <w:sz w:val="22"/>
          <w:szCs w:val="22"/>
        </w:rPr>
        <w:t>sanjoinine</w:t>
      </w:r>
      <w:proofErr w:type="spellEnd"/>
      <w:r>
        <w:rPr>
          <w:sz w:val="22"/>
          <w:szCs w:val="22"/>
        </w:rPr>
        <w:t xml:space="preserve"> A isolated from </w:t>
      </w:r>
      <w:proofErr w:type="spellStart"/>
      <w:r>
        <w:rPr>
          <w:sz w:val="22"/>
          <w:szCs w:val="22"/>
        </w:rPr>
        <w:t>Zizyphus</w:t>
      </w:r>
      <w:proofErr w:type="spellEnd"/>
      <w:r>
        <w:rPr>
          <w:sz w:val="22"/>
          <w:szCs w:val="22"/>
        </w:rPr>
        <w:t xml:space="preserve"> </w:t>
      </w:r>
      <w:proofErr w:type="spellStart"/>
      <w:r>
        <w:rPr>
          <w:sz w:val="22"/>
          <w:szCs w:val="22"/>
        </w:rPr>
        <w:t>jujuba</w:t>
      </w:r>
      <w:proofErr w:type="spellEnd"/>
      <w:r>
        <w:rPr>
          <w:sz w:val="22"/>
          <w:szCs w:val="22"/>
        </w:rPr>
        <w:t>: Possible involvement of GABAA receptors. Progress in Neuro-Psychopharmacology and Biological Psychiatry, 33(7), 1270–1279. https://doi.org/10.1016/j.pnpbp.2009.07.024</w:t>
      </w:r>
    </w:p>
    <w:p w:rsidR="00D3095F" w:rsidRDefault="006C44ED">
      <w:pPr>
        <w:spacing w:after="140" w:line="320" w:lineRule="auto"/>
        <w:ind w:left="720" w:hanging="720"/>
        <w:jc w:val="both"/>
      </w:pPr>
      <w:r>
        <w:rPr>
          <w:sz w:val="22"/>
          <w:szCs w:val="22"/>
        </w:rPr>
        <w:t xml:space="preserve">Heinrich, M., Edwards, S., </w:t>
      </w:r>
      <w:proofErr w:type="spellStart"/>
      <w:r>
        <w:rPr>
          <w:sz w:val="22"/>
          <w:szCs w:val="22"/>
        </w:rPr>
        <w:t>Moerman</w:t>
      </w:r>
      <w:proofErr w:type="spellEnd"/>
      <w:r>
        <w:rPr>
          <w:sz w:val="22"/>
          <w:szCs w:val="22"/>
        </w:rPr>
        <w:t xml:space="preserve">, D. E., &amp; </w:t>
      </w:r>
      <w:proofErr w:type="spellStart"/>
      <w:r>
        <w:rPr>
          <w:sz w:val="22"/>
          <w:szCs w:val="22"/>
        </w:rPr>
        <w:t>Leonti</w:t>
      </w:r>
      <w:proofErr w:type="spellEnd"/>
      <w:r>
        <w:rPr>
          <w:sz w:val="22"/>
          <w:szCs w:val="22"/>
        </w:rPr>
        <w:t>, M. (2009). Ethnopharmacological field studies: A critical assessment of their conceptual basis and methods. Journal of Ethnopharmacology, 124(1), 1–17. https://doi.org/10.1016/j.jep.2009.03.043</w:t>
      </w:r>
    </w:p>
    <w:p w:rsidR="00D3095F" w:rsidRDefault="006C44ED">
      <w:pPr>
        <w:spacing w:after="140" w:line="320" w:lineRule="auto"/>
        <w:ind w:left="720" w:hanging="720"/>
        <w:jc w:val="both"/>
      </w:pPr>
      <w:r>
        <w:rPr>
          <w:sz w:val="22"/>
          <w:szCs w:val="22"/>
        </w:rPr>
        <w:t>Heinrich, M., &amp; Gibbons, S. (2001). Ethnopharmacology in drug discovery: An analysis of its role and potential contribution. Journal of Pharmacy and Pharmacology, 53(4), 425–432. https://doi.org/10.1211/0022357011775712</w:t>
      </w:r>
    </w:p>
    <w:p w:rsidR="00D3095F" w:rsidRDefault="006C44ED">
      <w:pPr>
        <w:spacing w:after="140" w:line="320" w:lineRule="auto"/>
        <w:ind w:left="720" w:hanging="720"/>
        <w:jc w:val="both"/>
      </w:pPr>
      <w:r>
        <w:rPr>
          <w:sz w:val="22"/>
          <w:szCs w:val="22"/>
        </w:rPr>
        <w:t xml:space="preserve">Hernández </w:t>
      </w:r>
      <w:proofErr w:type="spellStart"/>
      <w:r>
        <w:rPr>
          <w:sz w:val="22"/>
          <w:szCs w:val="22"/>
        </w:rPr>
        <w:t>Xolocotzi</w:t>
      </w:r>
      <w:proofErr w:type="spellEnd"/>
      <w:r>
        <w:rPr>
          <w:sz w:val="22"/>
          <w:szCs w:val="22"/>
        </w:rPr>
        <w:t>, E. (1971). Exploration in ethnobotany. Economic Botany, 25(3), 255–259. https://doi.org/10.1007/BF02860267</w:t>
      </w:r>
    </w:p>
    <w:p w:rsidR="00D3095F" w:rsidRDefault="006C44ED">
      <w:pPr>
        <w:spacing w:after="140" w:line="320" w:lineRule="auto"/>
        <w:ind w:left="720" w:hanging="720"/>
        <w:jc w:val="both"/>
      </w:pPr>
      <w:proofErr w:type="spellStart"/>
      <w:r>
        <w:rPr>
          <w:sz w:val="22"/>
          <w:szCs w:val="22"/>
        </w:rPr>
        <w:t>Hosseinzadeh</w:t>
      </w:r>
      <w:proofErr w:type="spellEnd"/>
      <w:r>
        <w:rPr>
          <w:sz w:val="22"/>
          <w:szCs w:val="22"/>
        </w:rPr>
        <w:t xml:space="preserve">, H., &amp; </w:t>
      </w:r>
      <w:proofErr w:type="spellStart"/>
      <w:r>
        <w:rPr>
          <w:sz w:val="22"/>
          <w:szCs w:val="22"/>
        </w:rPr>
        <w:t>Noraei</w:t>
      </w:r>
      <w:proofErr w:type="spellEnd"/>
      <w:r>
        <w:rPr>
          <w:sz w:val="22"/>
          <w:szCs w:val="22"/>
        </w:rPr>
        <w:t xml:space="preserve">, N. B. (2009). Anxiolytic and hypnotic effect of Crocus sativus aqueous extract and its constituents, crocin and </w:t>
      </w:r>
      <w:proofErr w:type="spellStart"/>
      <w:r>
        <w:rPr>
          <w:sz w:val="22"/>
          <w:szCs w:val="22"/>
        </w:rPr>
        <w:t>safranal</w:t>
      </w:r>
      <w:proofErr w:type="spellEnd"/>
      <w:r>
        <w:rPr>
          <w:sz w:val="22"/>
          <w:szCs w:val="22"/>
        </w:rPr>
        <w:t xml:space="preserve">, in mice. </w:t>
      </w:r>
      <w:proofErr w:type="spellStart"/>
      <w:r>
        <w:rPr>
          <w:sz w:val="22"/>
          <w:szCs w:val="22"/>
        </w:rPr>
        <w:t>Phytotherapy</w:t>
      </w:r>
      <w:proofErr w:type="spellEnd"/>
      <w:r>
        <w:rPr>
          <w:sz w:val="22"/>
          <w:szCs w:val="22"/>
        </w:rPr>
        <w:t xml:space="preserve"> Research, 23(6), 768–774. https://doi.org/10.1002/ptr.2597</w:t>
      </w:r>
    </w:p>
    <w:p w:rsidR="00D3095F" w:rsidRDefault="006C44ED">
      <w:pPr>
        <w:spacing w:after="140" w:line="320" w:lineRule="auto"/>
        <w:ind w:left="720" w:hanging="720"/>
        <w:jc w:val="both"/>
      </w:pPr>
      <w:r>
        <w:rPr>
          <w:sz w:val="22"/>
          <w:szCs w:val="22"/>
        </w:rPr>
        <w:t xml:space="preserve">Kasper, S., </w:t>
      </w:r>
      <w:proofErr w:type="spellStart"/>
      <w:r>
        <w:rPr>
          <w:sz w:val="22"/>
          <w:szCs w:val="22"/>
        </w:rPr>
        <w:t>Gastpar</w:t>
      </w:r>
      <w:proofErr w:type="spellEnd"/>
      <w:r>
        <w:rPr>
          <w:sz w:val="22"/>
          <w:szCs w:val="22"/>
        </w:rPr>
        <w:t xml:space="preserve">, M., Müller, W. E., Volz, H.-P., </w:t>
      </w:r>
      <w:proofErr w:type="spellStart"/>
      <w:r>
        <w:rPr>
          <w:sz w:val="22"/>
          <w:szCs w:val="22"/>
        </w:rPr>
        <w:t>Möller</w:t>
      </w:r>
      <w:proofErr w:type="spellEnd"/>
      <w:r>
        <w:rPr>
          <w:sz w:val="22"/>
          <w:szCs w:val="22"/>
        </w:rPr>
        <w:t xml:space="preserve">, H.-J., </w:t>
      </w:r>
      <w:proofErr w:type="spellStart"/>
      <w:r>
        <w:rPr>
          <w:sz w:val="22"/>
          <w:szCs w:val="22"/>
        </w:rPr>
        <w:t>Schläfke</w:t>
      </w:r>
      <w:proofErr w:type="spellEnd"/>
      <w:r>
        <w:rPr>
          <w:sz w:val="22"/>
          <w:szCs w:val="22"/>
        </w:rPr>
        <w:t xml:space="preserve">, S., &amp; </w:t>
      </w:r>
      <w:proofErr w:type="spellStart"/>
      <w:r>
        <w:rPr>
          <w:sz w:val="22"/>
          <w:szCs w:val="22"/>
        </w:rPr>
        <w:t>Dienel</w:t>
      </w:r>
      <w:proofErr w:type="spellEnd"/>
      <w:r>
        <w:rPr>
          <w:sz w:val="22"/>
          <w:szCs w:val="22"/>
        </w:rPr>
        <w:t xml:space="preserve">, A. (2014). Lavender oil preparation </w:t>
      </w:r>
      <w:proofErr w:type="spellStart"/>
      <w:r>
        <w:rPr>
          <w:sz w:val="22"/>
          <w:szCs w:val="22"/>
        </w:rPr>
        <w:t>Silexan</w:t>
      </w:r>
      <w:proofErr w:type="spellEnd"/>
      <w:r>
        <w:rPr>
          <w:sz w:val="22"/>
          <w:szCs w:val="22"/>
        </w:rPr>
        <w:t xml:space="preserve"> is effective in </w:t>
      </w:r>
      <w:proofErr w:type="spellStart"/>
      <w:r>
        <w:rPr>
          <w:sz w:val="22"/>
          <w:szCs w:val="22"/>
        </w:rPr>
        <w:t>generalised</w:t>
      </w:r>
      <w:proofErr w:type="spellEnd"/>
      <w:r>
        <w:rPr>
          <w:sz w:val="22"/>
          <w:szCs w:val="22"/>
        </w:rPr>
        <w:t xml:space="preserve"> anxiety disorder — a </w:t>
      </w:r>
      <w:proofErr w:type="spellStart"/>
      <w:r>
        <w:rPr>
          <w:sz w:val="22"/>
          <w:szCs w:val="22"/>
        </w:rPr>
        <w:t>randomised</w:t>
      </w:r>
      <w:proofErr w:type="spellEnd"/>
      <w:r>
        <w:rPr>
          <w:sz w:val="22"/>
          <w:szCs w:val="22"/>
        </w:rPr>
        <w:t>, double-blind comparison to placebo and paroxetine. International Journal of Neuropsychopharmacology, 17(6), 859–869. https://doi.org/10.1017/S1461145714000017</w:t>
      </w:r>
    </w:p>
    <w:p w:rsidR="00D3095F" w:rsidRDefault="006C44ED">
      <w:pPr>
        <w:spacing w:after="140" w:line="320" w:lineRule="auto"/>
        <w:ind w:left="720" w:hanging="720"/>
        <w:jc w:val="both"/>
      </w:pPr>
      <w:r>
        <w:rPr>
          <w:sz w:val="22"/>
          <w:szCs w:val="22"/>
        </w:rPr>
        <w:lastRenderedPageBreak/>
        <w:t xml:space="preserve">Kennedy, D. O., Little, W., &amp; </w:t>
      </w:r>
      <w:proofErr w:type="spellStart"/>
      <w:r>
        <w:rPr>
          <w:sz w:val="22"/>
          <w:szCs w:val="22"/>
        </w:rPr>
        <w:t>Scholey</w:t>
      </w:r>
      <w:proofErr w:type="spellEnd"/>
      <w:r>
        <w:rPr>
          <w:sz w:val="22"/>
          <w:szCs w:val="22"/>
        </w:rPr>
        <w:t>, A. B. (2004). Attenuation of laboratory-induced stress in humans after acute administration of Melissa officinalis (lemon balm). Psychosomatic Medicine, 66(4), 607–613. https://doi.org/10.1097/01.psy.0000132877.72833.71</w:t>
      </w:r>
    </w:p>
    <w:p w:rsidR="00D3095F" w:rsidRDefault="006C44ED">
      <w:pPr>
        <w:spacing w:after="140" w:line="320" w:lineRule="auto"/>
        <w:ind w:left="720" w:hanging="720"/>
        <w:jc w:val="both"/>
      </w:pPr>
      <w:proofErr w:type="spellStart"/>
      <w:r>
        <w:rPr>
          <w:sz w:val="22"/>
          <w:szCs w:val="22"/>
        </w:rPr>
        <w:t>Khom</w:t>
      </w:r>
      <w:proofErr w:type="spellEnd"/>
      <w:r>
        <w:rPr>
          <w:sz w:val="22"/>
          <w:szCs w:val="22"/>
        </w:rPr>
        <w:t xml:space="preserve">, S., </w:t>
      </w:r>
      <w:proofErr w:type="spellStart"/>
      <w:r>
        <w:rPr>
          <w:sz w:val="22"/>
          <w:szCs w:val="22"/>
        </w:rPr>
        <w:t>Baburin</w:t>
      </w:r>
      <w:proofErr w:type="spellEnd"/>
      <w:r>
        <w:rPr>
          <w:sz w:val="22"/>
          <w:szCs w:val="22"/>
        </w:rPr>
        <w:t xml:space="preserve">, I., </w:t>
      </w:r>
      <w:proofErr w:type="spellStart"/>
      <w:r>
        <w:rPr>
          <w:sz w:val="22"/>
          <w:szCs w:val="22"/>
        </w:rPr>
        <w:t>Timin</w:t>
      </w:r>
      <w:proofErr w:type="spellEnd"/>
      <w:r>
        <w:rPr>
          <w:sz w:val="22"/>
          <w:szCs w:val="22"/>
        </w:rPr>
        <w:t xml:space="preserve">, E., </w:t>
      </w:r>
      <w:proofErr w:type="spellStart"/>
      <w:r>
        <w:rPr>
          <w:sz w:val="22"/>
          <w:szCs w:val="22"/>
        </w:rPr>
        <w:t>Hohaus</w:t>
      </w:r>
      <w:proofErr w:type="spellEnd"/>
      <w:r>
        <w:rPr>
          <w:sz w:val="22"/>
          <w:szCs w:val="22"/>
        </w:rPr>
        <w:t xml:space="preserve">, A., </w:t>
      </w:r>
      <w:proofErr w:type="spellStart"/>
      <w:r>
        <w:rPr>
          <w:sz w:val="22"/>
          <w:szCs w:val="22"/>
        </w:rPr>
        <w:t>Trauner</w:t>
      </w:r>
      <w:proofErr w:type="spellEnd"/>
      <w:r>
        <w:rPr>
          <w:sz w:val="22"/>
          <w:szCs w:val="22"/>
        </w:rPr>
        <w:t xml:space="preserve">, G., Kopp, B., &amp; </w:t>
      </w:r>
      <w:proofErr w:type="spellStart"/>
      <w:r>
        <w:rPr>
          <w:sz w:val="22"/>
          <w:szCs w:val="22"/>
        </w:rPr>
        <w:t>Hering</w:t>
      </w:r>
      <w:proofErr w:type="spellEnd"/>
      <w:r>
        <w:rPr>
          <w:sz w:val="22"/>
          <w:szCs w:val="22"/>
        </w:rPr>
        <w:t xml:space="preserve">, S. (2007). </w:t>
      </w:r>
      <w:proofErr w:type="spellStart"/>
      <w:r>
        <w:rPr>
          <w:sz w:val="22"/>
          <w:szCs w:val="22"/>
        </w:rPr>
        <w:t>Valerenic</w:t>
      </w:r>
      <w:proofErr w:type="spellEnd"/>
      <w:r>
        <w:rPr>
          <w:sz w:val="22"/>
          <w:szCs w:val="22"/>
        </w:rPr>
        <w:t xml:space="preserve"> acid potentiates and inhibits GABAA receptors: Molecular mechanism and subunit specificity. Neuropharmacology, 53(1), 178–187. https://doi.org/10.1016/j.neuropharm.2007.04.018</w:t>
      </w:r>
    </w:p>
    <w:p w:rsidR="00D3095F" w:rsidRDefault="006C44ED">
      <w:pPr>
        <w:spacing w:after="140" w:line="320" w:lineRule="auto"/>
        <w:ind w:left="720" w:hanging="720"/>
        <w:jc w:val="both"/>
      </w:pPr>
      <w:proofErr w:type="spellStart"/>
      <w:r>
        <w:rPr>
          <w:sz w:val="22"/>
          <w:szCs w:val="22"/>
        </w:rPr>
        <w:t>Koetter</w:t>
      </w:r>
      <w:proofErr w:type="spellEnd"/>
      <w:r>
        <w:rPr>
          <w:sz w:val="22"/>
          <w:szCs w:val="22"/>
        </w:rPr>
        <w:t xml:space="preserve">, U., Schrader, E., </w:t>
      </w:r>
      <w:proofErr w:type="spellStart"/>
      <w:r>
        <w:rPr>
          <w:sz w:val="22"/>
          <w:szCs w:val="22"/>
        </w:rPr>
        <w:t>Kaufeler</w:t>
      </w:r>
      <w:proofErr w:type="spellEnd"/>
      <w:r>
        <w:rPr>
          <w:sz w:val="22"/>
          <w:szCs w:val="22"/>
        </w:rPr>
        <w:t xml:space="preserve">, R., &amp; </w:t>
      </w:r>
      <w:proofErr w:type="spellStart"/>
      <w:r>
        <w:rPr>
          <w:sz w:val="22"/>
          <w:szCs w:val="22"/>
        </w:rPr>
        <w:t>Brattstrom</w:t>
      </w:r>
      <w:proofErr w:type="spellEnd"/>
      <w:r>
        <w:rPr>
          <w:sz w:val="22"/>
          <w:szCs w:val="22"/>
        </w:rPr>
        <w:t xml:space="preserve">, A. (2007). A randomized, double blind, placebo-controlled, prospective clinical study to demonstrate clinical efficacy of a fixed valerian hops extract combination (Ze 91019) in patients suffering from non-organic sleep disorder. </w:t>
      </w:r>
      <w:proofErr w:type="spellStart"/>
      <w:r>
        <w:rPr>
          <w:sz w:val="22"/>
          <w:szCs w:val="22"/>
        </w:rPr>
        <w:t>Phytotherapy</w:t>
      </w:r>
      <w:proofErr w:type="spellEnd"/>
      <w:r>
        <w:rPr>
          <w:sz w:val="22"/>
          <w:szCs w:val="22"/>
        </w:rPr>
        <w:t xml:space="preserve"> Research, 21(9), 847–851. https://doi.org/10.1002/ptr.2167</w:t>
      </w:r>
    </w:p>
    <w:p w:rsidR="00D3095F" w:rsidRDefault="006C44ED">
      <w:pPr>
        <w:spacing w:after="140" w:line="320" w:lineRule="auto"/>
        <w:ind w:left="720" w:hanging="720"/>
        <w:jc w:val="both"/>
      </w:pPr>
      <w:proofErr w:type="spellStart"/>
      <w:r>
        <w:rPr>
          <w:sz w:val="22"/>
          <w:szCs w:val="22"/>
        </w:rPr>
        <w:t>Lebot</w:t>
      </w:r>
      <w:proofErr w:type="spellEnd"/>
      <w:r>
        <w:rPr>
          <w:sz w:val="22"/>
          <w:szCs w:val="22"/>
        </w:rPr>
        <w:t>, V., Merlin, M., &amp; Lindstrom, L. (1992). Kava: The Pacific drug. Yale University Press.</w:t>
      </w:r>
    </w:p>
    <w:p w:rsidR="00D3095F" w:rsidRDefault="006C44ED">
      <w:pPr>
        <w:spacing w:after="140" w:line="320" w:lineRule="auto"/>
        <w:ind w:left="720" w:hanging="720"/>
        <w:jc w:val="both"/>
      </w:pPr>
      <w:r>
        <w:rPr>
          <w:sz w:val="22"/>
          <w:szCs w:val="22"/>
        </w:rPr>
        <w:t>Li, S., &amp; Zhang, B. (2013). Traditional Chinese medicine network pharmacology: Theory, methodology and application. Chinese Journal of Natural Medicines, 11(2), 110–120. https://doi.org/10.1016/S1875-5364(13)60037-0</w:t>
      </w:r>
    </w:p>
    <w:p w:rsidR="00D3095F" w:rsidRDefault="006C44ED">
      <w:pPr>
        <w:spacing w:after="140" w:line="320" w:lineRule="auto"/>
        <w:ind w:left="720" w:hanging="720"/>
        <w:jc w:val="both"/>
      </w:pPr>
      <w:r>
        <w:rPr>
          <w:sz w:val="22"/>
          <w:szCs w:val="22"/>
        </w:rPr>
        <w:t xml:space="preserve">Linde, K., Berner, M. M., &amp; </w:t>
      </w:r>
      <w:proofErr w:type="spellStart"/>
      <w:r>
        <w:rPr>
          <w:sz w:val="22"/>
          <w:szCs w:val="22"/>
        </w:rPr>
        <w:t>Kriston</w:t>
      </w:r>
      <w:proofErr w:type="spellEnd"/>
      <w:r>
        <w:rPr>
          <w:sz w:val="22"/>
          <w:szCs w:val="22"/>
        </w:rPr>
        <w:t>, L. (2008). St John's Wort for major depression. Cochrane Database of Systematic Reviews, 2008(4), CD000448. https://doi.org/10.1002/14651858.CD000448.pub3</w:t>
      </w:r>
    </w:p>
    <w:p w:rsidR="00D3095F" w:rsidRDefault="006C44ED">
      <w:pPr>
        <w:spacing w:after="140" w:line="320" w:lineRule="auto"/>
        <w:ind w:left="720" w:hanging="720"/>
        <w:jc w:val="both"/>
      </w:pPr>
      <w:r>
        <w:rPr>
          <w:sz w:val="22"/>
          <w:szCs w:val="22"/>
        </w:rPr>
        <w:t>Luna, L. E. (2011). Indigenous and mestizo use of ayahuasca: An overview. In R. G. dos Santos (Ed.), The ethnopharmacology of ayahuasca (pp. 1–21). Transworld Research Network.</w:t>
      </w:r>
    </w:p>
    <w:p w:rsidR="00D3095F" w:rsidRDefault="006C44ED">
      <w:pPr>
        <w:spacing w:after="140" w:line="320" w:lineRule="auto"/>
        <w:ind w:left="720" w:hanging="720"/>
        <w:jc w:val="both"/>
      </w:pPr>
      <w:proofErr w:type="spellStart"/>
      <w:r>
        <w:rPr>
          <w:sz w:val="22"/>
          <w:szCs w:val="22"/>
        </w:rPr>
        <w:t>Mander</w:t>
      </w:r>
      <w:proofErr w:type="spellEnd"/>
      <w:r>
        <w:rPr>
          <w:sz w:val="22"/>
          <w:szCs w:val="22"/>
        </w:rPr>
        <w:t xml:space="preserve">, M., </w:t>
      </w:r>
      <w:proofErr w:type="spellStart"/>
      <w:r>
        <w:rPr>
          <w:sz w:val="22"/>
          <w:szCs w:val="22"/>
        </w:rPr>
        <w:t>Ntuli</w:t>
      </w:r>
      <w:proofErr w:type="spellEnd"/>
      <w:r>
        <w:rPr>
          <w:sz w:val="22"/>
          <w:szCs w:val="22"/>
        </w:rPr>
        <w:t xml:space="preserve">, L., </w:t>
      </w:r>
      <w:proofErr w:type="spellStart"/>
      <w:r>
        <w:rPr>
          <w:sz w:val="22"/>
          <w:szCs w:val="22"/>
        </w:rPr>
        <w:t>Diederichs</w:t>
      </w:r>
      <w:proofErr w:type="spellEnd"/>
      <w:r>
        <w:rPr>
          <w:sz w:val="22"/>
          <w:szCs w:val="22"/>
        </w:rPr>
        <w:t xml:space="preserve">, N., &amp; </w:t>
      </w:r>
      <w:proofErr w:type="spellStart"/>
      <w:r>
        <w:rPr>
          <w:sz w:val="22"/>
          <w:szCs w:val="22"/>
        </w:rPr>
        <w:t>Mavundla</w:t>
      </w:r>
      <w:proofErr w:type="spellEnd"/>
      <w:r>
        <w:rPr>
          <w:sz w:val="22"/>
          <w:szCs w:val="22"/>
        </w:rPr>
        <w:t xml:space="preserve">, K. (2007). Economics of the traditional medicine trade in South Africa. In S. Harrison, R. </w:t>
      </w:r>
      <w:proofErr w:type="spellStart"/>
      <w:r>
        <w:rPr>
          <w:sz w:val="22"/>
          <w:szCs w:val="22"/>
        </w:rPr>
        <w:t>Bhana</w:t>
      </w:r>
      <w:proofErr w:type="spellEnd"/>
      <w:r>
        <w:rPr>
          <w:sz w:val="22"/>
          <w:szCs w:val="22"/>
        </w:rPr>
        <w:t xml:space="preserve">, &amp; A. </w:t>
      </w:r>
      <w:proofErr w:type="spellStart"/>
      <w:r>
        <w:rPr>
          <w:sz w:val="22"/>
          <w:szCs w:val="22"/>
        </w:rPr>
        <w:t>Ntuli</w:t>
      </w:r>
      <w:proofErr w:type="spellEnd"/>
      <w:r>
        <w:rPr>
          <w:sz w:val="22"/>
          <w:szCs w:val="22"/>
        </w:rPr>
        <w:t xml:space="preserve"> (Eds.), South African Health Review 2007 (pp. 189–196). Health Systems Trust. Retrieved from https://www.hst.org.za/publications/South%20African%20Health%20Reviews/SAHR2007.pdf</w:t>
      </w:r>
    </w:p>
    <w:p w:rsidR="00D3095F" w:rsidRDefault="006C44ED">
      <w:pPr>
        <w:spacing w:after="140" w:line="320" w:lineRule="auto"/>
        <w:ind w:left="720" w:hanging="720"/>
        <w:jc w:val="both"/>
      </w:pPr>
      <w:r>
        <w:rPr>
          <w:sz w:val="22"/>
          <w:szCs w:val="22"/>
        </w:rPr>
        <w:t>Martin, G. J. (1995). Ethnobotany: A methods manual. Chapman and Hall.</w:t>
      </w:r>
    </w:p>
    <w:p w:rsidR="00D3095F" w:rsidRDefault="006C44ED">
      <w:pPr>
        <w:spacing w:after="140" w:line="320" w:lineRule="auto"/>
        <w:ind w:left="720" w:hanging="720"/>
        <w:jc w:val="both"/>
      </w:pPr>
      <w:r>
        <w:rPr>
          <w:sz w:val="22"/>
          <w:szCs w:val="22"/>
        </w:rPr>
        <w:t xml:space="preserve">Marx, W., Lane, M., Rocks, T., </w:t>
      </w:r>
      <w:proofErr w:type="spellStart"/>
      <w:r>
        <w:rPr>
          <w:sz w:val="22"/>
          <w:szCs w:val="22"/>
        </w:rPr>
        <w:t>Ruusunen</w:t>
      </w:r>
      <w:proofErr w:type="spellEnd"/>
      <w:r>
        <w:rPr>
          <w:sz w:val="22"/>
          <w:szCs w:val="22"/>
        </w:rPr>
        <w:t xml:space="preserve">, A., </w:t>
      </w:r>
      <w:proofErr w:type="spellStart"/>
      <w:r>
        <w:rPr>
          <w:sz w:val="22"/>
          <w:szCs w:val="22"/>
        </w:rPr>
        <w:t>Loughman</w:t>
      </w:r>
      <w:proofErr w:type="spellEnd"/>
      <w:r>
        <w:rPr>
          <w:sz w:val="22"/>
          <w:szCs w:val="22"/>
        </w:rPr>
        <w:t xml:space="preserve">, A., </w:t>
      </w:r>
      <w:proofErr w:type="spellStart"/>
      <w:r>
        <w:rPr>
          <w:sz w:val="22"/>
          <w:szCs w:val="22"/>
        </w:rPr>
        <w:t>Lopresti</w:t>
      </w:r>
      <w:proofErr w:type="spellEnd"/>
      <w:r>
        <w:rPr>
          <w:sz w:val="22"/>
          <w:szCs w:val="22"/>
        </w:rPr>
        <w:t xml:space="preserve">, A., Marshall, S., Berk, M., </w:t>
      </w:r>
      <w:proofErr w:type="spellStart"/>
      <w:r>
        <w:rPr>
          <w:sz w:val="22"/>
          <w:szCs w:val="22"/>
        </w:rPr>
        <w:t>Jacka</w:t>
      </w:r>
      <w:proofErr w:type="spellEnd"/>
      <w:r>
        <w:rPr>
          <w:sz w:val="22"/>
          <w:szCs w:val="22"/>
        </w:rPr>
        <w:t>, F., &amp; Dean, O. M. (2019). Effect of saffron supplementation on symptoms of depression and anxiety: A systematic review and meta-analysis. Nutrition Reviews, 77(8), 557–571. https://doi.org/10.1093/nutrit/nuz023</w:t>
      </w:r>
    </w:p>
    <w:p w:rsidR="00D3095F" w:rsidRDefault="006C44ED">
      <w:pPr>
        <w:spacing w:after="140" w:line="320" w:lineRule="auto"/>
        <w:ind w:left="720" w:hanging="720"/>
        <w:jc w:val="both"/>
      </w:pPr>
      <w:proofErr w:type="spellStart"/>
      <w:r>
        <w:rPr>
          <w:sz w:val="22"/>
          <w:szCs w:val="22"/>
        </w:rPr>
        <w:t>Moerman</w:t>
      </w:r>
      <w:proofErr w:type="spellEnd"/>
      <w:r>
        <w:rPr>
          <w:sz w:val="22"/>
          <w:szCs w:val="22"/>
        </w:rPr>
        <w:t>, D. E. (1998). Native American ethnobotany. Timber Press.</w:t>
      </w:r>
    </w:p>
    <w:p w:rsidR="00D3095F" w:rsidRDefault="006C44ED">
      <w:pPr>
        <w:spacing w:after="140" w:line="320" w:lineRule="auto"/>
        <w:ind w:left="720" w:hanging="720"/>
        <w:jc w:val="both"/>
      </w:pPr>
      <w:r>
        <w:rPr>
          <w:sz w:val="22"/>
          <w:szCs w:val="22"/>
        </w:rPr>
        <w:t xml:space="preserve">Moore, L. B., Goodwin, B., Jones, S. A., Wisely, G. B., </w:t>
      </w:r>
      <w:proofErr w:type="spellStart"/>
      <w:r>
        <w:rPr>
          <w:sz w:val="22"/>
          <w:szCs w:val="22"/>
        </w:rPr>
        <w:t>Serabjit</w:t>
      </w:r>
      <w:proofErr w:type="spellEnd"/>
      <w:r>
        <w:rPr>
          <w:sz w:val="22"/>
          <w:szCs w:val="22"/>
        </w:rPr>
        <w:t xml:space="preserve">-Singh, C. J., </w:t>
      </w:r>
      <w:proofErr w:type="spellStart"/>
      <w:r>
        <w:rPr>
          <w:sz w:val="22"/>
          <w:szCs w:val="22"/>
        </w:rPr>
        <w:t>Willson</w:t>
      </w:r>
      <w:proofErr w:type="spellEnd"/>
      <w:r>
        <w:rPr>
          <w:sz w:val="22"/>
          <w:szCs w:val="22"/>
        </w:rPr>
        <w:t xml:space="preserve">, T. M., Collins, J. L., &amp; </w:t>
      </w:r>
      <w:proofErr w:type="spellStart"/>
      <w:r>
        <w:rPr>
          <w:sz w:val="22"/>
          <w:szCs w:val="22"/>
        </w:rPr>
        <w:t>Kliewer</w:t>
      </w:r>
      <w:proofErr w:type="spellEnd"/>
      <w:r>
        <w:rPr>
          <w:sz w:val="22"/>
          <w:szCs w:val="22"/>
        </w:rPr>
        <w:t xml:space="preserve">, S. A. (2000). St. John's Wort induces hepatic drug metabolism through activation of the </w:t>
      </w:r>
      <w:proofErr w:type="spellStart"/>
      <w:r>
        <w:rPr>
          <w:sz w:val="22"/>
          <w:szCs w:val="22"/>
        </w:rPr>
        <w:t>pregnane</w:t>
      </w:r>
      <w:proofErr w:type="spellEnd"/>
      <w:r>
        <w:rPr>
          <w:sz w:val="22"/>
          <w:szCs w:val="22"/>
        </w:rPr>
        <w:t xml:space="preserve"> X receptor. Proceedings of the National Academy of Sciences USA, 97(13), 7500–7502. https://doi.org/10.1073/pnas.130172897</w:t>
      </w:r>
    </w:p>
    <w:p w:rsidR="00D3095F" w:rsidRDefault="006C44ED">
      <w:pPr>
        <w:spacing w:after="140" w:line="320" w:lineRule="auto"/>
        <w:ind w:left="720" w:hanging="720"/>
        <w:jc w:val="both"/>
      </w:pPr>
      <w:r>
        <w:rPr>
          <w:sz w:val="22"/>
          <w:szCs w:val="22"/>
        </w:rPr>
        <w:lastRenderedPageBreak/>
        <w:t xml:space="preserve">Morin, C. M., Drake, C. L., Harvey, A. G., Krystal, A. D., Manber, R., Riemann, D., &amp; </w:t>
      </w:r>
      <w:proofErr w:type="spellStart"/>
      <w:r>
        <w:rPr>
          <w:sz w:val="22"/>
          <w:szCs w:val="22"/>
        </w:rPr>
        <w:t>Spiegelhalder</w:t>
      </w:r>
      <w:proofErr w:type="spellEnd"/>
      <w:r>
        <w:rPr>
          <w:sz w:val="22"/>
          <w:szCs w:val="22"/>
        </w:rPr>
        <w:t>, K. (2015). Insomnia disorder. Nature Reviews Disease Primers, 1, 15026. https://doi.org/10.1038/nrdp.2015.26</w:t>
      </w:r>
    </w:p>
    <w:p w:rsidR="00D3095F" w:rsidRDefault="006C44ED">
      <w:pPr>
        <w:spacing w:after="140" w:line="320" w:lineRule="auto"/>
        <w:ind w:left="720" w:hanging="720"/>
        <w:jc w:val="both"/>
      </w:pPr>
      <w:proofErr w:type="spellStart"/>
      <w:r>
        <w:rPr>
          <w:sz w:val="22"/>
          <w:szCs w:val="22"/>
        </w:rPr>
        <w:t>Movafegh</w:t>
      </w:r>
      <w:proofErr w:type="spellEnd"/>
      <w:r>
        <w:rPr>
          <w:sz w:val="22"/>
          <w:szCs w:val="22"/>
        </w:rPr>
        <w:t xml:space="preserve">, A., Alizadeh, R., </w:t>
      </w:r>
      <w:proofErr w:type="spellStart"/>
      <w:r>
        <w:rPr>
          <w:sz w:val="22"/>
          <w:szCs w:val="22"/>
        </w:rPr>
        <w:t>Hajimohamadi</w:t>
      </w:r>
      <w:proofErr w:type="spellEnd"/>
      <w:r>
        <w:rPr>
          <w:sz w:val="22"/>
          <w:szCs w:val="22"/>
        </w:rPr>
        <w:t xml:space="preserve">, F., </w:t>
      </w:r>
      <w:proofErr w:type="spellStart"/>
      <w:r>
        <w:rPr>
          <w:sz w:val="22"/>
          <w:szCs w:val="22"/>
        </w:rPr>
        <w:t>Esfehani</w:t>
      </w:r>
      <w:proofErr w:type="spellEnd"/>
      <w:r>
        <w:rPr>
          <w:sz w:val="22"/>
          <w:szCs w:val="22"/>
        </w:rPr>
        <w:t xml:space="preserve">, F., &amp; </w:t>
      </w:r>
      <w:proofErr w:type="spellStart"/>
      <w:r>
        <w:rPr>
          <w:sz w:val="22"/>
          <w:szCs w:val="22"/>
        </w:rPr>
        <w:t>Nejatfar</w:t>
      </w:r>
      <w:proofErr w:type="spellEnd"/>
      <w:r>
        <w:rPr>
          <w:sz w:val="22"/>
          <w:szCs w:val="22"/>
        </w:rPr>
        <w:t xml:space="preserve">, M. (2008). Preoperative oral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reduces anxiety in ambulatory surgery patients: A double-blind, placebo-controlled study. Anesthesia and Analgesia, 106(6), 1728–1732. https://doi.org/10.1213/ane.0b013e31816d7d36</w:t>
      </w:r>
    </w:p>
    <w:p w:rsidR="00D3095F" w:rsidRDefault="006C44ED">
      <w:pPr>
        <w:spacing w:after="140" w:line="320" w:lineRule="auto"/>
        <w:ind w:left="720" w:hanging="720"/>
        <w:jc w:val="both"/>
      </w:pPr>
      <w:r>
        <w:rPr>
          <w:sz w:val="22"/>
          <w:szCs w:val="22"/>
        </w:rPr>
        <w:t xml:space="preserve">Müller, W. E., Singer, A., </w:t>
      </w:r>
      <w:proofErr w:type="spellStart"/>
      <w:r>
        <w:rPr>
          <w:sz w:val="22"/>
          <w:szCs w:val="22"/>
        </w:rPr>
        <w:t>Wonnemann</w:t>
      </w:r>
      <w:proofErr w:type="spellEnd"/>
      <w:r>
        <w:rPr>
          <w:sz w:val="22"/>
          <w:szCs w:val="22"/>
        </w:rPr>
        <w:t xml:space="preserve">, M., Hafner, U., </w:t>
      </w:r>
      <w:proofErr w:type="spellStart"/>
      <w:r>
        <w:rPr>
          <w:sz w:val="22"/>
          <w:szCs w:val="22"/>
        </w:rPr>
        <w:t>Rolli</w:t>
      </w:r>
      <w:proofErr w:type="spellEnd"/>
      <w:r>
        <w:rPr>
          <w:sz w:val="22"/>
          <w:szCs w:val="22"/>
        </w:rPr>
        <w:t xml:space="preserve">, M., &amp; Schäfer, C. (1998). Hyperforin represents the neurotransmitter reuptake inhibiting constituent of Hypericum extract. </w:t>
      </w:r>
      <w:proofErr w:type="spellStart"/>
      <w:r>
        <w:rPr>
          <w:sz w:val="22"/>
          <w:szCs w:val="22"/>
        </w:rPr>
        <w:t>Pharmacopsychiatry</w:t>
      </w:r>
      <w:proofErr w:type="spellEnd"/>
      <w:r>
        <w:rPr>
          <w:sz w:val="22"/>
          <w:szCs w:val="22"/>
        </w:rPr>
        <w:t>, 31(Suppl. 1), 16–21. https://doi.org/10.1055/s-2007-979332</w:t>
      </w:r>
    </w:p>
    <w:p w:rsidR="00D3095F" w:rsidRDefault="006C44ED">
      <w:pPr>
        <w:spacing w:after="140" w:line="320" w:lineRule="auto"/>
        <w:ind w:left="720" w:hanging="720"/>
        <w:jc w:val="both"/>
      </w:pPr>
      <w:r>
        <w:rPr>
          <w:sz w:val="22"/>
          <w:szCs w:val="22"/>
        </w:rPr>
        <w:t xml:space="preserve">Neves, J. M., Matos, C., </w:t>
      </w:r>
      <w:proofErr w:type="spellStart"/>
      <w:r>
        <w:rPr>
          <w:sz w:val="22"/>
          <w:szCs w:val="22"/>
        </w:rPr>
        <w:t>Moutinho</w:t>
      </w:r>
      <w:proofErr w:type="spellEnd"/>
      <w:r>
        <w:rPr>
          <w:sz w:val="22"/>
          <w:szCs w:val="22"/>
        </w:rPr>
        <w:t xml:space="preserve">, C., Queiroz, G., &amp; Gomes, L. R. (2009). Ethnopharmacological notes about ancient uses of medicinal plants in </w:t>
      </w:r>
      <w:proofErr w:type="spellStart"/>
      <w:r>
        <w:rPr>
          <w:sz w:val="22"/>
          <w:szCs w:val="22"/>
        </w:rPr>
        <w:t>Trás</w:t>
      </w:r>
      <w:proofErr w:type="spellEnd"/>
      <w:r>
        <w:rPr>
          <w:sz w:val="22"/>
          <w:szCs w:val="22"/>
        </w:rPr>
        <w:t>-</w:t>
      </w:r>
      <w:proofErr w:type="spellStart"/>
      <w:r>
        <w:rPr>
          <w:sz w:val="22"/>
          <w:szCs w:val="22"/>
        </w:rPr>
        <w:t>os</w:t>
      </w:r>
      <w:proofErr w:type="spellEnd"/>
      <w:r>
        <w:rPr>
          <w:sz w:val="22"/>
          <w:szCs w:val="22"/>
        </w:rPr>
        <w:t>-Montes (northern of Portugal). Journal of Ethnopharmacology, 124(2), 270–283. https://doi.org/10.1016/j.jep.2009.04.041</w:t>
      </w:r>
    </w:p>
    <w:p w:rsidR="00D3095F" w:rsidRDefault="006C44ED">
      <w:pPr>
        <w:spacing w:after="140" w:line="320" w:lineRule="auto"/>
        <w:ind w:left="720" w:hanging="720"/>
        <w:jc w:val="both"/>
      </w:pPr>
      <w:r>
        <w:rPr>
          <w:sz w:val="22"/>
          <w:szCs w:val="22"/>
        </w:rPr>
        <w:t>Nguyen, T. P., Vo, D. T., Bui, T. K. A., Nguyen, Q. A., &amp; Pham, N. K. T. (2019). Ethnobotanical study of medicinal plants used for treatment of fever, headache, and mental illnesses in Hanoi, Vietnam. Journal of Ethnopharmacology, 242, 111735. https://doi.org/10.1016/j.jep.2019.02.040</w:t>
      </w:r>
    </w:p>
    <w:p w:rsidR="00D3095F" w:rsidRDefault="006C44ED">
      <w:pPr>
        <w:spacing w:after="140" w:line="320" w:lineRule="auto"/>
        <w:ind w:left="720" w:hanging="720"/>
        <w:jc w:val="both"/>
      </w:pPr>
      <w:proofErr w:type="spellStart"/>
      <w:r>
        <w:rPr>
          <w:sz w:val="22"/>
          <w:szCs w:val="22"/>
        </w:rPr>
        <w:t>Panossian</w:t>
      </w:r>
      <w:proofErr w:type="spellEnd"/>
      <w:r>
        <w:rPr>
          <w:sz w:val="22"/>
          <w:szCs w:val="22"/>
        </w:rPr>
        <w:t xml:space="preserve">, A., &amp; </w:t>
      </w:r>
      <w:proofErr w:type="spellStart"/>
      <w:r>
        <w:rPr>
          <w:sz w:val="22"/>
          <w:szCs w:val="22"/>
        </w:rPr>
        <w:t>Wikman</w:t>
      </w:r>
      <w:proofErr w:type="spellEnd"/>
      <w:r>
        <w:rPr>
          <w:sz w:val="22"/>
          <w:szCs w:val="22"/>
        </w:rPr>
        <w:t>, G. (2010). Effects of adaptogens on the central nervous system and the molecular mechanisms associated with their stress-protective activity. Pharmaceuticals, 3(1), 188–224. https://doi.org/10.3390/ph3010188</w:t>
      </w:r>
    </w:p>
    <w:p w:rsidR="00D3095F" w:rsidRDefault="006C44ED">
      <w:pPr>
        <w:spacing w:after="140" w:line="320" w:lineRule="auto"/>
        <w:ind w:left="720" w:hanging="720"/>
        <w:jc w:val="both"/>
      </w:pPr>
      <w:r>
        <w:rPr>
          <w:sz w:val="22"/>
          <w:szCs w:val="22"/>
        </w:rPr>
        <w:t>Pérez-Ortega, G., Guevara-</w:t>
      </w:r>
      <w:proofErr w:type="spellStart"/>
      <w:r>
        <w:rPr>
          <w:sz w:val="22"/>
          <w:szCs w:val="22"/>
        </w:rPr>
        <w:t>Fefer</w:t>
      </w:r>
      <w:proofErr w:type="spellEnd"/>
      <w:r>
        <w:rPr>
          <w:sz w:val="22"/>
          <w:szCs w:val="22"/>
        </w:rPr>
        <w:t>, P., Chávez, M., Herrera-Ruiz, M., Martínez-</w:t>
      </w:r>
      <w:proofErr w:type="spellStart"/>
      <w:r>
        <w:rPr>
          <w:sz w:val="22"/>
          <w:szCs w:val="22"/>
        </w:rPr>
        <w:t>Expectación</w:t>
      </w:r>
      <w:proofErr w:type="spellEnd"/>
      <w:r>
        <w:rPr>
          <w:sz w:val="22"/>
          <w:szCs w:val="22"/>
        </w:rPr>
        <w:t xml:space="preserve">, A., </w:t>
      </w:r>
      <w:proofErr w:type="spellStart"/>
      <w:r>
        <w:rPr>
          <w:sz w:val="22"/>
          <w:szCs w:val="22"/>
        </w:rPr>
        <w:t>Zamilpa</w:t>
      </w:r>
      <w:proofErr w:type="spellEnd"/>
      <w:r>
        <w:rPr>
          <w:sz w:val="22"/>
          <w:szCs w:val="22"/>
        </w:rPr>
        <w:t xml:space="preserve">, A., &amp; </w:t>
      </w:r>
      <w:proofErr w:type="spellStart"/>
      <w:r>
        <w:rPr>
          <w:sz w:val="22"/>
          <w:szCs w:val="22"/>
        </w:rPr>
        <w:t>Tortoriello</w:t>
      </w:r>
      <w:proofErr w:type="spellEnd"/>
      <w:r>
        <w:rPr>
          <w:sz w:val="22"/>
          <w:szCs w:val="22"/>
        </w:rPr>
        <w:t xml:space="preserve">, J. (2000). Sedative and anxiolytic efficacy of </w:t>
      </w:r>
      <w:proofErr w:type="spellStart"/>
      <w:r>
        <w:rPr>
          <w:sz w:val="22"/>
          <w:szCs w:val="22"/>
        </w:rPr>
        <w:t>Tilia</w:t>
      </w:r>
      <w:proofErr w:type="spellEnd"/>
      <w:r>
        <w:rPr>
          <w:sz w:val="22"/>
          <w:szCs w:val="22"/>
        </w:rPr>
        <w:t xml:space="preserve"> </w:t>
      </w:r>
      <w:proofErr w:type="spellStart"/>
      <w:r>
        <w:rPr>
          <w:sz w:val="22"/>
          <w:szCs w:val="22"/>
        </w:rPr>
        <w:t>americana</w:t>
      </w:r>
      <w:proofErr w:type="spellEnd"/>
      <w:r>
        <w:rPr>
          <w:sz w:val="22"/>
          <w:szCs w:val="22"/>
        </w:rPr>
        <w:t xml:space="preserve"> var. </w:t>
      </w:r>
      <w:proofErr w:type="spellStart"/>
      <w:r>
        <w:rPr>
          <w:sz w:val="22"/>
          <w:szCs w:val="22"/>
        </w:rPr>
        <w:t>mexicana</w:t>
      </w:r>
      <w:proofErr w:type="spellEnd"/>
      <w:r>
        <w:rPr>
          <w:sz w:val="22"/>
          <w:szCs w:val="22"/>
        </w:rPr>
        <w:t>: Mechanism of action. Journal of Ethnopharmacology, 72(1–2), 333–341. https://doi.org/10.1016/S0378-8741(00)00217-5</w:t>
      </w:r>
    </w:p>
    <w:p w:rsidR="00D3095F" w:rsidRDefault="006C44ED">
      <w:pPr>
        <w:spacing w:after="140" w:line="320" w:lineRule="auto"/>
        <w:ind w:left="720" w:hanging="720"/>
        <w:jc w:val="both"/>
      </w:pPr>
      <w:proofErr w:type="spellStart"/>
      <w:r>
        <w:rPr>
          <w:sz w:val="22"/>
          <w:szCs w:val="22"/>
        </w:rPr>
        <w:t>Pittler</w:t>
      </w:r>
      <w:proofErr w:type="spellEnd"/>
      <w:r>
        <w:rPr>
          <w:sz w:val="22"/>
          <w:szCs w:val="22"/>
        </w:rPr>
        <w:t>, M. H., &amp; Ernst, E. (2003). Kava extract versus placebo for treating anxiety. Cochrane Database of Systematic Reviews, 2003(1), CD003383. https://doi.org/10.1002/14651858.CD003383</w:t>
      </w:r>
    </w:p>
    <w:p w:rsidR="00D3095F" w:rsidRDefault="006C44ED">
      <w:pPr>
        <w:spacing w:after="140" w:line="320" w:lineRule="auto"/>
        <w:ind w:left="720" w:hanging="720"/>
        <w:jc w:val="both"/>
      </w:pPr>
      <w:r>
        <w:rPr>
          <w:sz w:val="22"/>
          <w:szCs w:val="22"/>
        </w:rPr>
        <w:t>Plants of the World Online. (2023). Royal Botanic Gardens, Kew. Retrieved from https://powo.science.kew.org</w:t>
      </w:r>
    </w:p>
    <w:p w:rsidR="00D3095F" w:rsidRDefault="006C44ED">
      <w:pPr>
        <w:spacing w:after="140" w:line="320" w:lineRule="auto"/>
        <w:ind w:left="720" w:hanging="720"/>
        <w:jc w:val="both"/>
      </w:pPr>
      <w:r>
        <w:rPr>
          <w:sz w:val="22"/>
          <w:szCs w:val="22"/>
        </w:rPr>
        <w:t xml:space="preserve">Rolland, A., </w:t>
      </w:r>
      <w:proofErr w:type="spellStart"/>
      <w:r>
        <w:rPr>
          <w:sz w:val="22"/>
          <w:szCs w:val="22"/>
        </w:rPr>
        <w:t>Fleurentin</w:t>
      </w:r>
      <w:proofErr w:type="spellEnd"/>
      <w:r>
        <w:rPr>
          <w:sz w:val="22"/>
          <w:szCs w:val="22"/>
        </w:rPr>
        <w:t xml:space="preserve">, J., </w:t>
      </w:r>
      <w:proofErr w:type="spellStart"/>
      <w:r>
        <w:rPr>
          <w:sz w:val="22"/>
          <w:szCs w:val="22"/>
        </w:rPr>
        <w:t>Lanhers</w:t>
      </w:r>
      <w:proofErr w:type="spellEnd"/>
      <w:r>
        <w:rPr>
          <w:sz w:val="22"/>
          <w:szCs w:val="22"/>
        </w:rPr>
        <w:t xml:space="preserve">, M. C., </w:t>
      </w:r>
      <w:proofErr w:type="spellStart"/>
      <w:r>
        <w:rPr>
          <w:sz w:val="22"/>
          <w:szCs w:val="22"/>
        </w:rPr>
        <w:t>Younos</w:t>
      </w:r>
      <w:proofErr w:type="spellEnd"/>
      <w:r>
        <w:rPr>
          <w:sz w:val="22"/>
          <w:szCs w:val="22"/>
        </w:rPr>
        <w:t xml:space="preserve">, C., </w:t>
      </w:r>
      <w:proofErr w:type="spellStart"/>
      <w:r>
        <w:rPr>
          <w:sz w:val="22"/>
          <w:szCs w:val="22"/>
        </w:rPr>
        <w:t>Misslin</w:t>
      </w:r>
      <w:proofErr w:type="spellEnd"/>
      <w:r>
        <w:rPr>
          <w:sz w:val="22"/>
          <w:szCs w:val="22"/>
        </w:rPr>
        <w:t xml:space="preserve">, R., Mortier, F., &amp; Pelt, J. M. (1991). </w:t>
      </w:r>
      <w:proofErr w:type="spellStart"/>
      <w:r>
        <w:rPr>
          <w:sz w:val="22"/>
          <w:szCs w:val="22"/>
        </w:rPr>
        <w:t>Behavioural</w:t>
      </w:r>
      <w:proofErr w:type="spellEnd"/>
      <w:r>
        <w:rPr>
          <w:sz w:val="22"/>
          <w:szCs w:val="22"/>
        </w:rPr>
        <w:t xml:space="preserve"> effects of the American traditional plant </w:t>
      </w:r>
      <w:proofErr w:type="spellStart"/>
      <w:r>
        <w:rPr>
          <w:sz w:val="22"/>
          <w:szCs w:val="22"/>
        </w:rPr>
        <w:t>Eschscholzia</w:t>
      </w:r>
      <w:proofErr w:type="spellEnd"/>
      <w:r>
        <w:rPr>
          <w:sz w:val="22"/>
          <w:szCs w:val="22"/>
        </w:rPr>
        <w:t xml:space="preserve"> </w:t>
      </w:r>
      <w:proofErr w:type="spellStart"/>
      <w:r>
        <w:rPr>
          <w:sz w:val="22"/>
          <w:szCs w:val="22"/>
        </w:rPr>
        <w:t>californica</w:t>
      </w:r>
      <w:proofErr w:type="spellEnd"/>
      <w:r>
        <w:rPr>
          <w:sz w:val="22"/>
          <w:szCs w:val="22"/>
        </w:rPr>
        <w:t xml:space="preserve">: Sedative and anxiolytic properties. Planta </w:t>
      </w:r>
      <w:proofErr w:type="spellStart"/>
      <w:r>
        <w:rPr>
          <w:sz w:val="22"/>
          <w:szCs w:val="22"/>
        </w:rPr>
        <w:t>Medica</w:t>
      </w:r>
      <w:proofErr w:type="spellEnd"/>
      <w:r>
        <w:rPr>
          <w:sz w:val="22"/>
          <w:szCs w:val="22"/>
        </w:rPr>
        <w:t>, 57(3), 212–216. https://doi.org/10.1055/s-2006-960076</w:t>
      </w:r>
    </w:p>
    <w:p w:rsidR="00D3095F" w:rsidRDefault="006C44ED">
      <w:pPr>
        <w:spacing w:after="140" w:line="320" w:lineRule="auto"/>
        <w:ind w:left="720" w:hanging="720"/>
        <w:jc w:val="both"/>
      </w:pPr>
      <w:r>
        <w:rPr>
          <w:sz w:val="22"/>
          <w:szCs w:val="22"/>
        </w:rPr>
        <w:t xml:space="preserve">Saeed, S. A., &amp; Sabir, A. W. (2004). Irritable bowel syndrome: An overview. Journal of </w:t>
      </w:r>
      <w:proofErr w:type="spellStart"/>
      <w:r>
        <w:rPr>
          <w:sz w:val="22"/>
          <w:szCs w:val="22"/>
        </w:rPr>
        <w:t>Ayub</w:t>
      </w:r>
      <w:proofErr w:type="spellEnd"/>
      <w:r>
        <w:rPr>
          <w:sz w:val="22"/>
          <w:szCs w:val="22"/>
        </w:rPr>
        <w:t xml:space="preserve"> Medical College Abbottabad, 16(1), 66–69. PMID: 15354565.</w:t>
      </w:r>
    </w:p>
    <w:p w:rsidR="00D3095F" w:rsidRDefault="006C44ED">
      <w:pPr>
        <w:spacing w:after="140" w:line="320" w:lineRule="auto"/>
        <w:ind w:left="720" w:hanging="720"/>
        <w:jc w:val="both"/>
      </w:pPr>
      <w:proofErr w:type="spellStart"/>
      <w:r>
        <w:rPr>
          <w:sz w:val="22"/>
          <w:szCs w:val="22"/>
        </w:rPr>
        <w:t>Sahranavard</w:t>
      </w:r>
      <w:proofErr w:type="spellEnd"/>
      <w:r>
        <w:rPr>
          <w:sz w:val="22"/>
          <w:szCs w:val="22"/>
        </w:rPr>
        <w:t xml:space="preserve">, S., </w:t>
      </w:r>
      <w:proofErr w:type="spellStart"/>
      <w:r>
        <w:rPr>
          <w:sz w:val="22"/>
          <w:szCs w:val="22"/>
        </w:rPr>
        <w:t>Ghafari</w:t>
      </w:r>
      <w:proofErr w:type="spellEnd"/>
      <w:r>
        <w:rPr>
          <w:sz w:val="22"/>
          <w:szCs w:val="22"/>
        </w:rPr>
        <w:t>, S., &amp; Mosaddegh, M. (2014). Medicinal plants used in Iranian traditional medicine to treat epilepsy. Seizure, 23(5), 328–332. https://doi.org/10.1016/j.seizure.2014.01.014</w:t>
      </w:r>
    </w:p>
    <w:p w:rsidR="00D3095F" w:rsidRDefault="006C44ED">
      <w:pPr>
        <w:spacing w:after="140" w:line="320" w:lineRule="auto"/>
        <w:ind w:left="720" w:hanging="720"/>
        <w:jc w:val="both"/>
      </w:pPr>
      <w:r>
        <w:rPr>
          <w:sz w:val="22"/>
          <w:szCs w:val="22"/>
        </w:rPr>
        <w:lastRenderedPageBreak/>
        <w:t xml:space="preserve">Sarris, J., </w:t>
      </w:r>
      <w:proofErr w:type="spellStart"/>
      <w:r>
        <w:rPr>
          <w:sz w:val="22"/>
          <w:szCs w:val="22"/>
        </w:rPr>
        <w:t>Panossian</w:t>
      </w:r>
      <w:proofErr w:type="spellEnd"/>
      <w:r>
        <w:rPr>
          <w:sz w:val="22"/>
          <w:szCs w:val="22"/>
        </w:rPr>
        <w:t xml:space="preserve">, A., Schweitzer, I., </w:t>
      </w:r>
      <w:proofErr w:type="spellStart"/>
      <w:r>
        <w:rPr>
          <w:sz w:val="22"/>
          <w:szCs w:val="22"/>
        </w:rPr>
        <w:t>Stough</w:t>
      </w:r>
      <w:proofErr w:type="spellEnd"/>
      <w:r>
        <w:rPr>
          <w:sz w:val="22"/>
          <w:szCs w:val="22"/>
        </w:rPr>
        <w:t xml:space="preserve">, C., &amp; </w:t>
      </w:r>
      <w:proofErr w:type="spellStart"/>
      <w:r>
        <w:rPr>
          <w:sz w:val="22"/>
          <w:szCs w:val="22"/>
        </w:rPr>
        <w:t>Scholey</w:t>
      </w:r>
      <w:proofErr w:type="spellEnd"/>
      <w:r>
        <w:rPr>
          <w:sz w:val="22"/>
          <w:szCs w:val="22"/>
        </w:rPr>
        <w:t>, A. (2011). Herbal medicine for depression, anxiety and insomnia: A review of psychopharmacology and clinical evidence. European Neuropsychopharmacology, 21(12), 841–860. https://doi.org/10.1016/j.euroneuro.2011.04.002</w:t>
      </w:r>
    </w:p>
    <w:p w:rsidR="00D3095F" w:rsidRDefault="006C44ED">
      <w:pPr>
        <w:spacing w:after="140" w:line="320" w:lineRule="auto"/>
        <w:ind w:left="720" w:hanging="720"/>
        <w:jc w:val="both"/>
      </w:pPr>
      <w:proofErr w:type="spellStart"/>
      <w:r>
        <w:rPr>
          <w:sz w:val="22"/>
          <w:szCs w:val="22"/>
        </w:rPr>
        <w:t>Satake</w:t>
      </w:r>
      <w:proofErr w:type="spellEnd"/>
      <w:r>
        <w:rPr>
          <w:sz w:val="22"/>
          <w:szCs w:val="22"/>
        </w:rPr>
        <w:t xml:space="preserve">, T., Uno, S., </w:t>
      </w:r>
      <w:proofErr w:type="spellStart"/>
      <w:r>
        <w:rPr>
          <w:sz w:val="22"/>
          <w:szCs w:val="22"/>
        </w:rPr>
        <w:t>Tanuma</w:t>
      </w:r>
      <w:proofErr w:type="spellEnd"/>
      <w:r>
        <w:rPr>
          <w:sz w:val="22"/>
          <w:szCs w:val="22"/>
        </w:rPr>
        <w:t xml:space="preserve">, S., </w:t>
      </w:r>
      <w:proofErr w:type="spellStart"/>
      <w:r>
        <w:rPr>
          <w:sz w:val="22"/>
          <w:szCs w:val="22"/>
        </w:rPr>
        <w:t>Sugama</w:t>
      </w:r>
      <w:proofErr w:type="spellEnd"/>
      <w:r>
        <w:rPr>
          <w:sz w:val="22"/>
          <w:szCs w:val="22"/>
        </w:rPr>
        <w:t xml:space="preserve">, J., &amp; Takagi, S. (2014). Anxiolytic effects of </w:t>
      </w:r>
      <w:proofErr w:type="spellStart"/>
      <w:r>
        <w:rPr>
          <w:sz w:val="22"/>
          <w:szCs w:val="22"/>
        </w:rPr>
        <w:t>Centella</w:t>
      </w:r>
      <w:proofErr w:type="spellEnd"/>
      <w:r>
        <w:rPr>
          <w:sz w:val="22"/>
          <w:szCs w:val="22"/>
        </w:rPr>
        <w:t xml:space="preserve"> </w:t>
      </w:r>
      <w:proofErr w:type="spellStart"/>
      <w:r>
        <w:rPr>
          <w:sz w:val="22"/>
          <w:szCs w:val="22"/>
        </w:rPr>
        <w:t>asiatica</w:t>
      </w:r>
      <w:proofErr w:type="spellEnd"/>
      <w:r>
        <w:rPr>
          <w:sz w:val="22"/>
          <w:szCs w:val="22"/>
        </w:rPr>
        <w:t xml:space="preserve"> extract in mice. Journal of Ethnopharmacology, 155(2), 1181–1186. https://doi.org/10.1016/j.jep.2014.06.065</w:t>
      </w:r>
    </w:p>
    <w:p w:rsidR="00D3095F" w:rsidRDefault="006C44ED">
      <w:pPr>
        <w:spacing w:after="140" w:line="320" w:lineRule="auto"/>
        <w:ind w:left="720" w:hanging="720"/>
        <w:jc w:val="both"/>
      </w:pPr>
      <w:r>
        <w:rPr>
          <w:sz w:val="22"/>
          <w:szCs w:val="22"/>
        </w:rPr>
        <w:t>Secretariat of the Convention on Biological Diversity. (2011). Nagoya Protocol on Access to Genetic Resources and the Fair and Equitable Sharing of Benefits Arising from their Utilization to the Convention on Biological Diversity. SCBD. Retrieved from https://www.cbd.int/abs/doc/protocol/nagoya-protocol-en.pdf</w:t>
      </w:r>
    </w:p>
    <w:p w:rsidR="00D3095F" w:rsidRDefault="006C44ED">
      <w:pPr>
        <w:spacing w:after="140" w:line="320" w:lineRule="auto"/>
        <w:ind w:left="720" w:hanging="720"/>
        <w:jc w:val="both"/>
      </w:pPr>
      <w:proofErr w:type="spellStart"/>
      <w:r>
        <w:rPr>
          <w:sz w:val="22"/>
          <w:szCs w:val="22"/>
        </w:rPr>
        <w:t>Senderovich</w:t>
      </w:r>
      <w:proofErr w:type="spellEnd"/>
      <w:r>
        <w:rPr>
          <w:sz w:val="22"/>
          <w:szCs w:val="22"/>
        </w:rPr>
        <w:t xml:space="preserve">, H., &amp; </w:t>
      </w:r>
      <w:proofErr w:type="spellStart"/>
      <w:r>
        <w:rPr>
          <w:sz w:val="22"/>
          <w:szCs w:val="22"/>
        </w:rPr>
        <w:t>Jeyapragasan</w:t>
      </w:r>
      <w:proofErr w:type="spellEnd"/>
      <w:r>
        <w:rPr>
          <w:sz w:val="22"/>
          <w:szCs w:val="22"/>
        </w:rPr>
        <w:t>, G. (2018). Is there a role for combined use of lemon balm and valerian in managing anxiety and sleep quality? A systematic review. Current Aging Science, 11(4), 239–245. https://doi.org/10.2174/1874609812666190103120953</w:t>
      </w:r>
    </w:p>
    <w:p w:rsidR="00D3095F" w:rsidRDefault="006C44ED">
      <w:pPr>
        <w:spacing w:after="140" w:line="320" w:lineRule="auto"/>
        <w:ind w:left="720" w:hanging="720"/>
        <w:jc w:val="both"/>
      </w:pPr>
      <w:proofErr w:type="spellStart"/>
      <w:r>
        <w:rPr>
          <w:sz w:val="22"/>
          <w:szCs w:val="22"/>
        </w:rPr>
        <w:t>Shahmansouri</w:t>
      </w:r>
      <w:proofErr w:type="spellEnd"/>
      <w:r>
        <w:rPr>
          <w:sz w:val="22"/>
          <w:szCs w:val="22"/>
        </w:rPr>
        <w:t xml:space="preserve">, N., </w:t>
      </w:r>
      <w:proofErr w:type="spellStart"/>
      <w:r>
        <w:rPr>
          <w:sz w:val="22"/>
          <w:szCs w:val="22"/>
        </w:rPr>
        <w:t>Farokhnia</w:t>
      </w:r>
      <w:proofErr w:type="spellEnd"/>
      <w:r>
        <w:rPr>
          <w:sz w:val="22"/>
          <w:szCs w:val="22"/>
        </w:rPr>
        <w:t xml:space="preserve">, M., Abbasi, S. H., </w:t>
      </w:r>
      <w:proofErr w:type="spellStart"/>
      <w:r>
        <w:rPr>
          <w:sz w:val="22"/>
          <w:szCs w:val="22"/>
        </w:rPr>
        <w:t>Kassaian</w:t>
      </w:r>
      <w:proofErr w:type="spellEnd"/>
      <w:r>
        <w:rPr>
          <w:sz w:val="22"/>
          <w:szCs w:val="22"/>
        </w:rPr>
        <w:t xml:space="preserve">, S. E., </w:t>
      </w:r>
      <w:proofErr w:type="spellStart"/>
      <w:r>
        <w:rPr>
          <w:sz w:val="22"/>
          <w:szCs w:val="22"/>
        </w:rPr>
        <w:t>Noorbala</w:t>
      </w:r>
      <w:proofErr w:type="spellEnd"/>
      <w:r>
        <w:rPr>
          <w:sz w:val="22"/>
          <w:szCs w:val="22"/>
        </w:rPr>
        <w:t xml:space="preserve">, A.-A., </w:t>
      </w:r>
      <w:proofErr w:type="spellStart"/>
      <w:r>
        <w:rPr>
          <w:sz w:val="22"/>
          <w:szCs w:val="22"/>
        </w:rPr>
        <w:t>Arbabi</w:t>
      </w:r>
      <w:proofErr w:type="spellEnd"/>
      <w:r>
        <w:rPr>
          <w:sz w:val="22"/>
          <w:szCs w:val="22"/>
        </w:rPr>
        <w:t xml:space="preserve">, M., </w:t>
      </w:r>
      <w:proofErr w:type="spellStart"/>
      <w:r>
        <w:rPr>
          <w:sz w:val="22"/>
          <w:szCs w:val="22"/>
        </w:rPr>
        <w:t>Salimi</w:t>
      </w:r>
      <w:proofErr w:type="spellEnd"/>
      <w:r>
        <w:rPr>
          <w:sz w:val="22"/>
          <w:szCs w:val="22"/>
        </w:rPr>
        <w:t xml:space="preserve">, S., Rezaei, F., </w:t>
      </w:r>
      <w:proofErr w:type="spellStart"/>
      <w:r>
        <w:rPr>
          <w:sz w:val="22"/>
          <w:szCs w:val="22"/>
        </w:rPr>
        <w:t>Gougol</w:t>
      </w:r>
      <w:proofErr w:type="spellEnd"/>
      <w:r>
        <w:rPr>
          <w:sz w:val="22"/>
          <w:szCs w:val="22"/>
        </w:rPr>
        <w:t xml:space="preserve">, A., </w:t>
      </w:r>
      <w:proofErr w:type="spellStart"/>
      <w:r>
        <w:rPr>
          <w:sz w:val="22"/>
          <w:szCs w:val="22"/>
        </w:rPr>
        <w:t>Yekehtaz</w:t>
      </w:r>
      <w:proofErr w:type="spellEnd"/>
      <w:r>
        <w:rPr>
          <w:sz w:val="22"/>
          <w:szCs w:val="22"/>
        </w:rPr>
        <w:t xml:space="preserve">, H., </w:t>
      </w:r>
      <w:proofErr w:type="spellStart"/>
      <w:r>
        <w:rPr>
          <w:sz w:val="22"/>
          <w:szCs w:val="22"/>
        </w:rPr>
        <w:t>Iranpour</w:t>
      </w:r>
      <w:proofErr w:type="spellEnd"/>
      <w:r>
        <w:rPr>
          <w:sz w:val="22"/>
          <w:szCs w:val="22"/>
        </w:rPr>
        <w:t xml:space="preserve">, A., </w:t>
      </w:r>
      <w:proofErr w:type="spellStart"/>
      <w:r>
        <w:rPr>
          <w:sz w:val="22"/>
          <w:szCs w:val="22"/>
        </w:rPr>
        <w:t>Forghani</w:t>
      </w:r>
      <w:proofErr w:type="spellEnd"/>
      <w:r>
        <w:rPr>
          <w:sz w:val="22"/>
          <w:szCs w:val="22"/>
        </w:rPr>
        <w:t xml:space="preserve">, S., &amp; </w:t>
      </w:r>
      <w:proofErr w:type="spellStart"/>
      <w:r>
        <w:rPr>
          <w:sz w:val="22"/>
          <w:szCs w:val="22"/>
        </w:rPr>
        <w:t>Akhondzadeh</w:t>
      </w:r>
      <w:proofErr w:type="spellEnd"/>
      <w:r>
        <w:rPr>
          <w:sz w:val="22"/>
          <w:szCs w:val="22"/>
        </w:rPr>
        <w:t>, S. (2014). A randomized, double-blind, clinical trial comparing the efficacy and safety of Crocus sativus L. with fluoxetine in patients after percutaneous coronary intervention. Journal of Affective Disorders, 155, 216–222. https://doi.org/10.1016/j.jad.2013.11.003</w:t>
      </w:r>
    </w:p>
    <w:p w:rsidR="00D3095F" w:rsidRDefault="006C44ED">
      <w:pPr>
        <w:spacing w:after="140" w:line="320" w:lineRule="auto"/>
        <w:ind w:left="720" w:hanging="720"/>
        <w:jc w:val="both"/>
      </w:pPr>
      <w:r>
        <w:rPr>
          <w:sz w:val="22"/>
          <w:szCs w:val="22"/>
        </w:rPr>
        <w:t>Shao, Q.-H., Chen, Q., Li, M.-H., Ding, Y.-F., &amp; Feng, L.-Y. (2012). Wogonin, a plant flavonoid, attenuates depression-like behavior in mice exposed to unpredictable chronic mild stress. Pharmacology Biochemistry and Behavior, 103(3), 474–482. https://doi.org/10.1016/j.pbb.2012.09.021</w:t>
      </w:r>
    </w:p>
    <w:p w:rsidR="00D3095F" w:rsidRDefault="006C44ED">
      <w:pPr>
        <w:spacing w:after="140" w:line="320" w:lineRule="auto"/>
        <w:ind w:left="720" w:hanging="720"/>
        <w:jc w:val="both"/>
      </w:pPr>
      <w:proofErr w:type="spellStart"/>
      <w:r>
        <w:rPr>
          <w:sz w:val="22"/>
          <w:szCs w:val="22"/>
        </w:rPr>
        <w:t>Shikanga</w:t>
      </w:r>
      <w:proofErr w:type="spellEnd"/>
      <w:r>
        <w:rPr>
          <w:sz w:val="22"/>
          <w:szCs w:val="22"/>
        </w:rPr>
        <w:t xml:space="preserve">, E., Viljoen, A., Chen, W., </w:t>
      </w:r>
      <w:proofErr w:type="spellStart"/>
      <w:r>
        <w:rPr>
          <w:sz w:val="22"/>
          <w:szCs w:val="22"/>
        </w:rPr>
        <w:t>Combrinck</w:t>
      </w:r>
      <w:proofErr w:type="spellEnd"/>
      <w:r>
        <w:rPr>
          <w:sz w:val="22"/>
          <w:szCs w:val="22"/>
        </w:rPr>
        <w:t xml:space="preserve">, S., &amp; Marston, A. (2012). The </w:t>
      </w:r>
      <w:proofErr w:type="spellStart"/>
      <w:r>
        <w:rPr>
          <w:sz w:val="22"/>
          <w:szCs w:val="22"/>
        </w:rPr>
        <w:t>chemotypic</w:t>
      </w:r>
      <w:proofErr w:type="spellEnd"/>
      <w:r>
        <w:rPr>
          <w:sz w:val="22"/>
          <w:szCs w:val="22"/>
        </w:rPr>
        <w:t xml:space="preserve"> variation of </w:t>
      </w:r>
      <w:proofErr w:type="spellStart"/>
      <w:r>
        <w:rPr>
          <w:sz w:val="22"/>
          <w:szCs w:val="22"/>
        </w:rPr>
        <w:t>Sceletium</w:t>
      </w:r>
      <w:proofErr w:type="spellEnd"/>
      <w:r>
        <w:rPr>
          <w:sz w:val="22"/>
          <w:szCs w:val="22"/>
        </w:rPr>
        <w:t xml:space="preserve"> </w:t>
      </w:r>
      <w:proofErr w:type="spellStart"/>
      <w:r>
        <w:rPr>
          <w:sz w:val="22"/>
          <w:szCs w:val="22"/>
        </w:rPr>
        <w:t>tortuosum</w:t>
      </w:r>
      <w:proofErr w:type="spellEnd"/>
      <w:r>
        <w:rPr>
          <w:sz w:val="22"/>
          <w:szCs w:val="22"/>
        </w:rPr>
        <w:t xml:space="preserve"> alkaloids and the implications of this variation on quality control. South African Journal of Botany, 82, 99–107. https://doi.org/10.1016/j.sajb.2012.07.008</w:t>
      </w:r>
    </w:p>
    <w:p w:rsidR="00D3095F" w:rsidRDefault="006C44ED">
      <w:pPr>
        <w:spacing w:after="140" w:line="320" w:lineRule="auto"/>
        <w:ind w:left="720" w:hanging="720"/>
        <w:jc w:val="both"/>
      </w:pPr>
      <w:proofErr w:type="spellStart"/>
      <w:r>
        <w:rPr>
          <w:sz w:val="22"/>
          <w:szCs w:val="22"/>
        </w:rPr>
        <w:t>Speroni</w:t>
      </w:r>
      <w:proofErr w:type="spellEnd"/>
      <w:r>
        <w:rPr>
          <w:sz w:val="22"/>
          <w:szCs w:val="22"/>
        </w:rPr>
        <w:t xml:space="preserve">, E., &amp; </w:t>
      </w:r>
      <w:proofErr w:type="spellStart"/>
      <w:r>
        <w:rPr>
          <w:sz w:val="22"/>
          <w:szCs w:val="22"/>
        </w:rPr>
        <w:t>Minghetti</w:t>
      </w:r>
      <w:proofErr w:type="spellEnd"/>
      <w:r>
        <w:rPr>
          <w:sz w:val="22"/>
          <w:szCs w:val="22"/>
        </w:rPr>
        <w:t xml:space="preserve">, A. (1988). Neuropharmacological activity of extracts from </w:t>
      </w:r>
      <w:proofErr w:type="spellStart"/>
      <w:r>
        <w:rPr>
          <w:sz w:val="22"/>
          <w:szCs w:val="22"/>
        </w:rPr>
        <w:t>Passiflora</w:t>
      </w:r>
      <w:proofErr w:type="spellEnd"/>
      <w:r>
        <w:rPr>
          <w:sz w:val="22"/>
          <w:szCs w:val="22"/>
        </w:rPr>
        <w:t xml:space="preserve"> </w:t>
      </w:r>
      <w:proofErr w:type="spellStart"/>
      <w:r>
        <w:rPr>
          <w:sz w:val="22"/>
          <w:szCs w:val="22"/>
        </w:rPr>
        <w:t>incarnata</w:t>
      </w:r>
      <w:proofErr w:type="spellEnd"/>
      <w:r>
        <w:rPr>
          <w:sz w:val="22"/>
          <w:szCs w:val="22"/>
        </w:rPr>
        <w:t xml:space="preserve">. Planta </w:t>
      </w:r>
      <w:proofErr w:type="spellStart"/>
      <w:r>
        <w:rPr>
          <w:sz w:val="22"/>
          <w:szCs w:val="22"/>
        </w:rPr>
        <w:t>Medica</w:t>
      </w:r>
      <w:proofErr w:type="spellEnd"/>
      <w:r>
        <w:rPr>
          <w:sz w:val="22"/>
          <w:szCs w:val="22"/>
        </w:rPr>
        <w:t>, 54(6), 488–491. https://doi.org/10.1055/s-2006-962520</w:t>
      </w:r>
    </w:p>
    <w:p w:rsidR="00D3095F" w:rsidRDefault="006C44ED">
      <w:pPr>
        <w:spacing w:after="140" w:line="320" w:lineRule="auto"/>
        <w:ind w:left="720" w:hanging="720"/>
        <w:jc w:val="both"/>
      </w:pPr>
      <w:r>
        <w:rPr>
          <w:sz w:val="22"/>
          <w:szCs w:val="22"/>
        </w:rPr>
        <w:t>Srivastava, J. K., Shankar, E., &amp; Gupta, S. (2010). Chamomile: A herbal medicine of the past with a bright future. Molecular Medicine Reports, 3(6), 895–901. https://doi.org/10.3892/mmr.2010.377</w:t>
      </w:r>
    </w:p>
    <w:p w:rsidR="00D3095F" w:rsidRDefault="006C44ED">
      <w:pPr>
        <w:spacing w:after="140" w:line="320" w:lineRule="auto"/>
        <w:ind w:left="720" w:hanging="720"/>
        <w:jc w:val="both"/>
      </w:pPr>
      <w:proofErr w:type="spellStart"/>
      <w:r>
        <w:rPr>
          <w:sz w:val="22"/>
          <w:szCs w:val="22"/>
        </w:rPr>
        <w:t>Stough</w:t>
      </w:r>
      <w:proofErr w:type="spellEnd"/>
      <w:r>
        <w:rPr>
          <w:sz w:val="22"/>
          <w:szCs w:val="22"/>
        </w:rPr>
        <w:t xml:space="preserve">, C., Lloyd, J., Clarke, J., Downey, L. A., Hutchison, C. W., Rodgers, T., &amp; Nathan, P. J. (2001). The chronic effects of an extract of Bacopa </w:t>
      </w:r>
      <w:proofErr w:type="spellStart"/>
      <w:r>
        <w:rPr>
          <w:sz w:val="22"/>
          <w:szCs w:val="22"/>
        </w:rPr>
        <w:t>monniera</w:t>
      </w:r>
      <w:proofErr w:type="spellEnd"/>
      <w:r>
        <w:rPr>
          <w:sz w:val="22"/>
          <w:szCs w:val="22"/>
        </w:rPr>
        <w:t xml:space="preserve"> (Brahmi) on cognitive function in healthy human subjects. Psychopharmacology, 156(4), 481–484. https://doi.org/10.1007/s002130100815</w:t>
      </w:r>
    </w:p>
    <w:p w:rsidR="00D3095F" w:rsidRDefault="006C44ED">
      <w:pPr>
        <w:spacing w:after="140" w:line="320" w:lineRule="auto"/>
        <w:ind w:left="720" w:hanging="720"/>
        <w:jc w:val="both"/>
      </w:pPr>
      <w:proofErr w:type="spellStart"/>
      <w:r>
        <w:rPr>
          <w:sz w:val="22"/>
          <w:szCs w:val="22"/>
        </w:rPr>
        <w:t>Tahraoui</w:t>
      </w:r>
      <w:proofErr w:type="spellEnd"/>
      <w:r>
        <w:rPr>
          <w:sz w:val="22"/>
          <w:szCs w:val="22"/>
        </w:rPr>
        <w:t>, A., El-</w:t>
      </w:r>
      <w:proofErr w:type="spellStart"/>
      <w:r>
        <w:rPr>
          <w:sz w:val="22"/>
          <w:szCs w:val="22"/>
        </w:rPr>
        <w:t>Hilaly</w:t>
      </w:r>
      <w:proofErr w:type="spellEnd"/>
      <w:r>
        <w:rPr>
          <w:sz w:val="22"/>
          <w:szCs w:val="22"/>
        </w:rPr>
        <w:t xml:space="preserve">, J., </w:t>
      </w:r>
      <w:proofErr w:type="spellStart"/>
      <w:r>
        <w:rPr>
          <w:sz w:val="22"/>
          <w:szCs w:val="22"/>
        </w:rPr>
        <w:t>Israili</w:t>
      </w:r>
      <w:proofErr w:type="spellEnd"/>
      <w:r>
        <w:rPr>
          <w:sz w:val="22"/>
          <w:szCs w:val="22"/>
        </w:rPr>
        <w:t xml:space="preserve">, Z. H., &amp; </w:t>
      </w:r>
      <w:proofErr w:type="spellStart"/>
      <w:r>
        <w:rPr>
          <w:sz w:val="22"/>
          <w:szCs w:val="22"/>
        </w:rPr>
        <w:t>Lyoussi</w:t>
      </w:r>
      <w:proofErr w:type="spellEnd"/>
      <w:r>
        <w:rPr>
          <w:sz w:val="22"/>
          <w:szCs w:val="22"/>
        </w:rPr>
        <w:t xml:space="preserve">, B. (2007). Ethnopharmacological survey of plants used in the traditional treatment of hypertension and diabetes in south-eastern Morocco </w:t>
      </w:r>
      <w:r>
        <w:rPr>
          <w:sz w:val="22"/>
          <w:szCs w:val="22"/>
        </w:rPr>
        <w:lastRenderedPageBreak/>
        <w:t>(</w:t>
      </w:r>
      <w:proofErr w:type="spellStart"/>
      <w:r>
        <w:rPr>
          <w:sz w:val="22"/>
          <w:szCs w:val="22"/>
        </w:rPr>
        <w:t>Errachidia</w:t>
      </w:r>
      <w:proofErr w:type="spellEnd"/>
      <w:r>
        <w:rPr>
          <w:sz w:val="22"/>
          <w:szCs w:val="22"/>
        </w:rPr>
        <w:t xml:space="preserve"> province). Journal of Ethnopharmacology, 110(1), 105–117. https://doi.org/10.1016/j.jep.2006.09.011</w:t>
      </w:r>
    </w:p>
    <w:p w:rsidR="00D3095F" w:rsidRDefault="006C44ED">
      <w:pPr>
        <w:spacing w:after="140" w:line="320" w:lineRule="auto"/>
        <w:ind w:left="720" w:hanging="720"/>
        <w:jc w:val="both"/>
      </w:pPr>
      <w:r>
        <w:rPr>
          <w:sz w:val="22"/>
          <w:szCs w:val="22"/>
        </w:rPr>
        <w:t xml:space="preserve">Trotter, R. T., &amp; Logan, M. H. (1986). Informant consensus: A new approach for identifying potentially effective medicinal plants. In N. L. </w:t>
      </w:r>
      <w:proofErr w:type="spellStart"/>
      <w:r>
        <w:rPr>
          <w:sz w:val="22"/>
          <w:szCs w:val="22"/>
        </w:rPr>
        <w:t>Etkin</w:t>
      </w:r>
      <w:proofErr w:type="spellEnd"/>
      <w:r>
        <w:rPr>
          <w:sz w:val="22"/>
          <w:szCs w:val="22"/>
        </w:rPr>
        <w:t xml:space="preserve"> (Ed.), Plants in indigenous medicine and diet (pp. 91–112). Redgrave Publishing.</w:t>
      </w:r>
    </w:p>
    <w:p w:rsidR="00D3095F" w:rsidRDefault="006C44ED">
      <w:pPr>
        <w:spacing w:after="140" w:line="320" w:lineRule="auto"/>
        <w:ind w:left="720" w:hanging="720"/>
        <w:jc w:val="both"/>
      </w:pPr>
      <w:r>
        <w:rPr>
          <w:sz w:val="22"/>
          <w:szCs w:val="22"/>
        </w:rPr>
        <w:t xml:space="preserve">Watanabe, K., Sakai, R., Kamei, J., Hayashi, H., </w:t>
      </w:r>
      <w:proofErr w:type="spellStart"/>
      <w:r>
        <w:rPr>
          <w:sz w:val="22"/>
          <w:szCs w:val="22"/>
        </w:rPr>
        <w:t>Amamoto</w:t>
      </w:r>
      <w:proofErr w:type="spellEnd"/>
      <w:r>
        <w:rPr>
          <w:sz w:val="22"/>
          <w:szCs w:val="22"/>
        </w:rPr>
        <w:t xml:space="preserve">, T., Iizuka, A., &amp; Yamamoto, M. (2011). Current status of </w:t>
      </w:r>
      <w:proofErr w:type="spellStart"/>
      <w:r>
        <w:rPr>
          <w:sz w:val="22"/>
          <w:szCs w:val="22"/>
        </w:rPr>
        <w:t>Kampo</w:t>
      </w:r>
      <w:proofErr w:type="spellEnd"/>
      <w:r>
        <w:rPr>
          <w:sz w:val="22"/>
          <w:szCs w:val="22"/>
        </w:rPr>
        <w:t xml:space="preserve"> medicine in clinical practice and its future prospects. Evidence-Based Complementary and Alternative Medicine, 2011, 513842. https://doi.org/10.1155/2011/513842</w:t>
      </w:r>
    </w:p>
    <w:p w:rsidR="00D3095F" w:rsidRDefault="006C44ED">
      <w:pPr>
        <w:spacing w:after="140" w:line="320" w:lineRule="auto"/>
        <w:ind w:left="720" w:hanging="720"/>
        <w:jc w:val="both"/>
      </w:pPr>
      <w:r>
        <w:rPr>
          <w:sz w:val="22"/>
          <w:szCs w:val="22"/>
        </w:rPr>
        <w:t xml:space="preserve">Whiteford, H. A., Degenhardt, L., Rehm, J., Baxter, A. J., Ferrari, A. J., Erskine, H. E., </w:t>
      </w:r>
      <w:proofErr w:type="spellStart"/>
      <w:r>
        <w:rPr>
          <w:sz w:val="22"/>
          <w:szCs w:val="22"/>
        </w:rPr>
        <w:t>Charlson</w:t>
      </w:r>
      <w:proofErr w:type="spellEnd"/>
      <w:r>
        <w:rPr>
          <w:sz w:val="22"/>
          <w:szCs w:val="22"/>
        </w:rPr>
        <w:t>, F. J., Norman, R. E., Flaxman, A. D., Johns, N., Burstein, R., Murray, C. J., &amp; Vos, T. (2013). Global burden of disease attributable to mental and substance use disorders: Findings from the Global Burden of Disease Study 2010. The Lancet, 382(9904), 1575–1586. https://doi.org/10.1016/S0140-6736(13)61611-6</w:t>
      </w:r>
    </w:p>
    <w:p w:rsidR="00D3095F" w:rsidRDefault="006C44ED">
      <w:pPr>
        <w:spacing w:after="140" w:line="320" w:lineRule="auto"/>
        <w:ind w:left="720" w:hanging="720"/>
        <w:jc w:val="both"/>
      </w:pPr>
      <w:proofErr w:type="spellStart"/>
      <w:r>
        <w:rPr>
          <w:sz w:val="22"/>
          <w:szCs w:val="22"/>
        </w:rPr>
        <w:t>Woelk</w:t>
      </w:r>
      <w:proofErr w:type="spellEnd"/>
      <w:r>
        <w:rPr>
          <w:sz w:val="22"/>
          <w:szCs w:val="22"/>
        </w:rPr>
        <w:t xml:space="preserve">, H., &amp; </w:t>
      </w:r>
      <w:proofErr w:type="spellStart"/>
      <w:r>
        <w:rPr>
          <w:sz w:val="22"/>
          <w:szCs w:val="22"/>
        </w:rPr>
        <w:t>Schläfke</w:t>
      </w:r>
      <w:proofErr w:type="spellEnd"/>
      <w:r>
        <w:rPr>
          <w:sz w:val="22"/>
          <w:szCs w:val="22"/>
        </w:rPr>
        <w:t>, S. (2010). A multi-</w:t>
      </w:r>
      <w:proofErr w:type="spellStart"/>
      <w:r>
        <w:rPr>
          <w:sz w:val="22"/>
          <w:szCs w:val="22"/>
        </w:rPr>
        <w:t>centre</w:t>
      </w:r>
      <w:proofErr w:type="spellEnd"/>
      <w:r>
        <w:rPr>
          <w:sz w:val="22"/>
          <w:szCs w:val="22"/>
        </w:rPr>
        <w:t xml:space="preserve">, double-blind, </w:t>
      </w:r>
      <w:proofErr w:type="spellStart"/>
      <w:r>
        <w:rPr>
          <w:sz w:val="22"/>
          <w:szCs w:val="22"/>
        </w:rPr>
        <w:t>randomised</w:t>
      </w:r>
      <w:proofErr w:type="spellEnd"/>
      <w:r>
        <w:rPr>
          <w:sz w:val="22"/>
          <w:szCs w:val="22"/>
        </w:rPr>
        <w:t xml:space="preserve"> study of the Lavender oil preparation </w:t>
      </w:r>
      <w:proofErr w:type="spellStart"/>
      <w:r>
        <w:rPr>
          <w:sz w:val="22"/>
          <w:szCs w:val="22"/>
        </w:rPr>
        <w:t>Silexan</w:t>
      </w:r>
      <w:proofErr w:type="spellEnd"/>
      <w:r>
        <w:rPr>
          <w:sz w:val="22"/>
          <w:szCs w:val="22"/>
        </w:rPr>
        <w:t xml:space="preserve"> in comparison to Lorazepam for </w:t>
      </w:r>
      <w:proofErr w:type="spellStart"/>
      <w:r>
        <w:rPr>
          <w:sz w:val="22"/>
          <w:szCs w:val="22"/>
        </w:rPr>
        <w:t>generalised</w:t>
      </w:r>
      <w:proofErr w:type="spellEnd"/>
      <w:r>
        <w:rPr>
          <w:sz w:val="22"/>
          <w:szCs w:val="22"/>
        </w:rPr>
        <w:t xml:space="preserve"> anxiety disorder. Phytomedicine, 17(2), 94–99. https://doi.org/10.1016/j.phymed.2009.10.006</w:t>
      </w:r>
    </w:p>
    <w:p w:rsidR="00D3095F" w:rsidRDefault="006C44ED">
      <w:pPr>
        <w:spacing w:after="140" w:line="320" w:lineRule="auto"/>
        <w:ind w:left="720" w:hanging="720"/>
        <w:jc w:val="both"/>
      </w:pPr>
      <w:r>
        <w:rPr>
          <w:sz w:val="22"/>
          <w:szCs w:val="22"/>
        </w:rPr>
        <w:t>World Health Organization. (2003). WHO guidelines on good agricultural and collection practices (GACP) for medicinal plants. Retrieved from https://www.who.int/publications/i/item/9241546271</w:t>
      </w:r>
    </w:p>
    <w:p w:rsidR="00D3095F" w:rsidRDefault="006C44ED">
      <w:pPr>
        <w:spacing w:after="140" w:line="320" w:lineRule="auto"/>
        <w:ind w:left="720" w:hanging="720"/>
        <w:jc w:val="both"/>
      </w:pPr>
      <w:r>
        <w:rPr>
          <w:sz w:val="22"/>
          <w:szCs w:val="22"/>
        </w:rPr>
        <w:t>World Health Organization. (2007). Assessment of the risk of hepatotoxicity with kava products. Retrieved from https://www.who.int/publications/i/item/9789241595001</w:t>
      </w:r>
    </w:p>
    <w:p w:rsidR="00D3095F" w:rsidRDefault="006C44ED">
      <w:pPr>
        <w:spacing w:after="140" w:line="320" w:lineRule="auto"/>
        <w:ind w:left="720" w:hanging="720"/>
        <w:jc w:val="both"/>
      </w:pPr>
      <w:r>
        <w:rPr>
          <w:sz w:val="22"/>
          <w:szCs w:val="22"/>
        </w:rPr>
        <w:t>World Health Organization. (2019). WHO global report on traditional and complementary medicine 2019. Retrieved from https://www.who.int/publications/i/item/978924151536</w:t>
      </w:r>
    </w:p>
    <w:p w:rsidR="00D3095F" w:rsidRDefault="006C44ED">
      <w:pPr>
        <w:spacing w:after="140" w:line="320" w:lineRule="auto"/>
        <w:ind w:left="720" w:hanging="720"/>
        <w:jc w:val="both"/>
      </w:pPr>
      <w:r>
        <w:rPr>
          <w:sz w:val="22"/>
          <w:szCs w:val="22"/>
        </w:rPr>
        <w:t>World Health Organization. (2020). WHO good practices for research and development of herbal medicines. Retrieved from https://www.who.int/publications/i/item/9789240006201</w:t>
      </w:r>
    </w:p>
    <w:p w:rsidR="00D3095F" w:rsidRDefault="006C44ED">
      <w:pPr>
        <w:spacing w:after="140" w:line="320" w:lineRule="auto"/>
        <w:ind w:left="720" w:hanging="720"/>
        <w:jc w:val="both"/>
      </w:pPr>
      <w:r>
        <w:rPr>
          <w:sz w:val="22"/>
          <w:szCs w:val="22"/>
        </w:rPr>
        <w:t>World Health Organization. (2022a). World mental health report: Transforming mental health for all. Retrieved from https://www.who.int/publications/i/item/9789240049338</w:t>
      </w:r>
    </w:p>
    <w:p w:rsidR="00D3095F" w:rsidRDefault="006C44ED">
      <w:pPr>
        <w:spacing w:after="140" w:line="320" w:lineRule="auto"/>
        <w:ind w:left="720" w:hanging="720"/>
        <w:jc w:val="both"/>
      </w:pPr>
      <w:r>
        <w:rPr>
          <w:sz w:val="22"/>
          <w:szCs w:val="22"/>
        </w:rPr>
        <w:t>World Health Organization. (2022b). Mental health action plan 2013–2030. Retrieved from https://www.who.int/publications/i/item/9789240031029</w:t>
      </w:r>
    </w:p>
    <w:p w:rsidR="00D3095F" w:rsidRDefault="006C44ED">
      <w:pPr>
        <w:spacing w:after="140" w:line="320" w:lineRule="auto"/>
        <w:ind w:left="720" w:hanging="720"/>
        <w:jc w:val="both"/>
      </w:pPr>
      <w:r>
        <w:rPr>
          <w:sz w:val="22"/>
          <w:szCs w:val="22"/>
        </w:rPr>
        <w:t>World Health Organization. (2023a). Depressive disorder (depression) fact sheet. Retrieved from https://www.who.int/news-room/fact-sheets/detail/depression</w:t>
      </w:r>
    </w:p>
    <w:p w:rsidR="00D3095F" w:rsidRDefault="006C44ED">
      <w:pPr>
        <w:spacing w:after="140" w:line="320" w:lineRule="auto"/>
        <w:ind w:left="720" w:hanging="720"/>
        <w:jc w:val="both"/>
      </w:pPr>
      <w:r>
        <w:rPr>
          <w:sz w:val="22"/>
          <w:szCs w:val="22"/>
        </w:rPr>
        <w:t xml:space="preserve">Wynberg, R., Schroeder, D., &amp; </w:t>
      </w:r>
      <w:proofErr w:type="spellStart"/>
      <w:r>
        <w:rPr>
          <w:sz w:val="22"/>
          <w:szCs w:val="22"/>
        </w:rPr>
        <w:t>Chennells</w:t>
      </w:r>
      <w:proofErr w:type="spellEnd"/>
      <w:r>
        <w:rPr>
          <w:sz w:val="22"/>
          <w:szCs w:val="22"/>
        </w:rPr>
        <w:t>, R. (Eds.). (2009). Indigenous peoples, consent and benefit sharing: Lessons from the San-Hoodia case. Springer. https://doi.org/10.1007/978-90-481-3123-5</w:t>
      </w:r>
    </w:p>
    <w:p w:rsidR="00D3095F" w:rsidRDefault="006C44ED">
      <w:pPr>
        <w:spacing w:after="140" w:line="320" w:lineRule="auto"/>
        <w:ind w:left="720" w:hanging="720"/>
        <w:jc w:val="both"/>
      </w:pPr>
      <w:r>
        <w:rPr>
          <w:sz w:val="22"/>
          <w:szCs w:val="22"/>
        </w:rPr>
        <w:lastRenderedPageBreak/>
        <w:t xml:space="preserve">Yeung, W.-F., Chung, K.-F., Ng, K.-Y., Yu, Y.-M., </w:t>
      </w:r>
      <w:proofErr w:type="spellStart"/>
      <w:r>
        <w:rPr>
          <w:sz w:val="22"/>
          <w:szCs w:val="22"/>
        </w:rPr>
        <w:t>Ziea</w:t>
      </w:r>
      <w:proofErr w:type="spellEnd"/>
      <w:r>
        <w:rPr>
          <w:sz w:val="22"/>
          <w:szCs w:val="22"/>
        </w:rPr>
        <w:t>, E. T.-C., &amp; Ng, B. F.-L. (2014). A systematic review on the efficacy, safety and types of Chinese herbal medicine for depression. Journal of Psychiatric Research, 57, 165–175. https://doi.org/10.1016/j.jpsychires.2014.05.016</w:t>
      </w:r>
    </w:p>
    <w:p w:rsidR="00D3095F" w:rsidRDefault="006C44ED">
      <w:pPr>
        <w:spacing w:after="140" w:line="320" w:lineRule="auto"/>
        <w:ind w:left="720" w:hanging="720"/>
        <w:jc w:val="both"/>
      </w:pPr>
      <w:proofErr w:type="spellStart"/>
      <w:r>
        <w:rPr>
          <w:sz w:val="22"/>
          <w:szCs w:val="22"/>
        </w:rPr>
        <w:t>Zanoli</w:t>
      </w:r>
      <w:proofErr w:type="spellEnd"/>
      <w:r>
        <w:rPr>
          <w:sz w:val="22"/>
          <w:szCs w:val="22"/>
        </w:rPr>
        <w:t xml:space="preserve">, P., &amp; </w:t>
      </w:r>
      <w:proofErr w:type="spellStart"/>
      <w:r>
        <w:rPr>
          <w:sz w:val="22"/>
          <w:szCs w:val="22"/>
        </w:rPr>
        <w:t>Zavatti</w:t>
      </w:r>
      <w:proofErr w:type="spellEnd"/>
      <w:r>
        <w:rPr>
          <w:sz w:val="22"/>
          <w:szCs w:val="22"/>
        </w:rPr>
        <w:t xml:space="preserve">, M. (2008). </w:t>
      </w:r>
      <w:proofErr w:type="spellStart"/>
      <w:r>
        <w:rPr>
          <w:sz w:val="22"/>
          <w:szCs w:val="22"/>
        </w:rPr>
        <w:t>Pharmacognostic</w:t>
      </w:r>
      <w:proofErr w:type="spellEnd"/>
      <w:r>
        <w:rPr>
          <w:sz w:val="22"/>
          <w:szCs w:val="22"/>
        </w:rPr>
        <w:t xml:space="preserve"> and pharmacological profile of </w:t>
      </w:r>
      <w:proofErr w:type="spellStart"/>
      <w:r>
        <w:rPr>
          <w:sz w:val="22"/>
          <w:szCs w:val="22"/>
        </w:rPr>
        <w:t>Humulus</w:t>
      </w:r>
      <w:proofErr w:type="spellEnd"/>
      <w:r>
        <w:rPr>
          <w:sz w:val="22"/>
          <w:szCs w:val="22"/>
        </w:rPr>
        <w:t xml:space="preserve"> lupulus L. Journal of Ethnopharmacology, 116(3), 383–396. https://doi.org/10.1016/j.jep.2008.01.011</w:t>
      </w:r>
    </w:p>
    <w:p w:rsidR="00D3095F" w:rsidRDefault="006C44ED">
      <w:pPr>
        <w:spacing w:after="140" w:line="320" w:lineRule="auto"/>
        <w:ind w:left="720" w:hanging="720"/>
        <w:jc w:val="both"/>
        <w:rPr>
          <w:sz w:val="22"/>
          <w:szCs w:val="22"/>
        </w:rPr>
      </w:pPr>
      <w:r>
        <w:rPr>
          <w:sz w:val="22"/>
          <w:szCs w:val="22"/>
        </w:rPr>
        <w:t xml:space="preserve">Zheng, X., Pu, J., Liu, R., &amp; Chen, L. (2014). Efficacy and safety of </w:t>
      </w:r>
      <w:proofErr w:type="spellStart"/>
      <w:r>
        <w:rPr>
          <w:sz w:val="22"/>
          <w:szCs w:val="22"/>
        </w:rPr>
        <w:t>Scutellaria</w:t>
      </w:r>
      <w:proofErr w:type="spellEnd"/>
      <w:r>
        <w:rPr>
          <w:sz w:val="22"/>
          <w:szCs w:val="22"/>
        </w:rPr>
        <w:t xml:space="preserve"> </w:t>
      </w:r>
      <w:proofErr w:type="spellStart"/>
      <w:r>
        <w:rPr>
          <w:sz w:val="22"/>
          <w:szCs w:val="22"/>
        </w:rPr>
        <w:t>baicalensis</w:t>
      </w:r>
      <w:proofErr w:type="spellEnd"/>
      <w:r>
        <w:rPr>
          <w:sz w:val="22"/>
          <w:szCs w:val="22"/>
        </w:rPr>
        <w:t xml:space="preserve"> extract in treating anxiety and insomnia symptoms in patients with </w:t>
      </w:r>
      <w:proofErr w:type="spellStart"/>
      <w:r>
        <w:rPr>
          <w:sz w:val="22"/>
          <w:szCs w:val="22"/>
        </w:rPr>
        <w:t>generalised</w:t>
      </w:r>
      <w:proofErr w:type="spellEnd"/>
      <w:r>
        <w:rPr>
          <w:sz w:val="22"/>
          <w:szCs w:val="22"/>
        </w:rPr>
        <w:t xml:space="preserve"> anxiety disorder. </w:t>
      </w:r>
      <w:proofErr w:type="spellStart"/>
      <w:r>
        <w:rPr>
          <w:sz w:val="22"/>
          <w:szCs w:val="22"/>
        </w:rPr>
        <w:t>Phytotherapy</w:t>
      </w:r>
      <w:proofErr w:type="spellEnd"/>
      <w:r>
        <w:rPr>
          <w:sz w:val="22"/>
          <w:szCs w:val="22"/>
        </w:rPr>
        <w:t xml:space="preserve"> Research, 28(3), 324–329. </w:t>
      </w:r>
      <w:hyperlink r:id="rId8" w:history="1">
        <w:r w:rsidR="000940B9" w:rsidRPr="006D344F">
          <w:rPr>
            <w:rStyle w:val="Hyperlink"/>
            <w:sz w:val="22"/>
            <w:szCs w:val="22"/>
          </w:rPr>
          <w:t>https://doi.org/10.1002/ptr.5021</w:t>
        </w:r>
      </w:hyperlink>
    </w:p>
    <w:p w:rsidR="000940B9" w:rsidRDefault="000940B9" w:rsidP="000940B9">
      <w:pPr>
        <w:shd w:val="clear" w:color="auto" w:fill="FFFFFF"/>
        <w:rPr>
          <w:rFonts w:ascii="Consolas" w:hAnsi="Consolas"/>
          <w:color w:val="1B1B1B"/>
          <w:highlight w:val="yellow"/>
        </w:rPr>
      </w:pPr>
      <w:r w:rsidRPr="0027581C">
        <w:rPr>
          <w:rFonts w:ascii="Consolas" w:hAnsi="Consolas"/>
          <w:color w:val="1B1B1B"/>
          <w:highlight w:val="yellow"/>
        </w:rPr>
        <w:t xml:space="preserve">Kenda M, </w:t>
      </w:r>
      <w:proofErr w:type="spellStart"/>
      <w:r w:rsidRPr="0027581C">
        <w:rPr>
          <w:rFonts w:ascii="Consolas" w:hAnsi="Consolas"/>
          <w:color w:val="1B1B1B"/>
          <w:highlight w:val="yellow"/>
        </w:rPr>
        <w:t>Kočevar</w:t>
      </w:r>
      <w:proofErr w:type="spellEnd"/>
      <w:r w:rsidRPr="0027581C">
        <w:rPr>
          <w:rFonts w:ascii="Consolas" w:hAnsi="Consolas"/>
          <w:color w:val="1B1B1B"/>
          <w:highlight w:val="yellow"/>
        </w:rPr>
        <w:t xml:space="preserve"> </w:t>
      </w:r>
      <w:proofErr w:type="spellStart"/>
      <w:r w:rsidRPr="0027581C">
        <w:rPr>
          <w:rFonts w:ascii="Consolas" w:hAnsi="Consolas"/>
          <w:color w:val="1B1B1B"/>
          <w:highlight w:val="yellow"/>
        </w:rPr>
        <w:t>Glavač</w:t>
      </w:r>
      <w:proofErr w:type="spellEnd"/>
      <w:r w:rsidRPr="0027581C">
        <w:rPr>
          <w:rFonts w:ascii="Consolas" w:hAnsi="Consolas"/>
          <w:color w:val="1B1B1B"/>
          <w:highlight w:val="yellow"/>
        </w:rPr>
        <w:t xml:space="preserve"> N, Nagy M, </w:t>
      </w:r>
      <w:proofErr w:type="spellStart"/>
      <w:r w:rsidRPr="0027581C">
        <w:rPr>
          <w:rFonts w:ascii="Consolas" w:hAnsi="Consolas"/>
          <w:color w:val="1B1B1B"/>
          <w:highlight w:val="yellow"/>
        </w:rPr>
        <w:t>Sollner</w:t>
      </w:r>
      <w:proofErr w:type="spellEnd"/>
      <w:r w:rsidRPr="0027581C">
        <w:rPr>
          <w:rFonts w:ascii="Consolas" w:hAnsi="Consolas"/>
          <w:color w:val="1B1B1B"/>
          <w:highlight w:val="yellow"/>
        </w:rPr>
        <w:t xml:space="preserve"> </w:t>
      </w:r>
      <w:proofErr w:type="spellStart"/>
      <w:r w:rsidRPr="0027581C">
        <w:rPr>
          <w:rFonts w:ascii="Consolas" w:hAnsi="Consolas"/>
          <w:color w:val="1B1B1B"/>
          <w:highlight w:val="yellow"/>
        </w:rPr>
        <w:t>Dolenc</w:t>
      </w:r>
      <w:proofErr w:type="spellEnd"/>
      <w:r w:rsidRPr="0027581C">
        <w:rPr>
          <w:rFonts w:ascii="Consolas" w:hAnsi="Consolas"/>
          <w:color w:val="1B1B1B"/>
          <w:highlight w:val="yellow"/>
        </w:rPr>
        <w:t xml:space="preserve"> M. Medicinal Plants Used for Anxiety, Depression, or Stress Treatment: An Update. Molecules. 2022 Sep 15;27(18):6021. </w:t>
      </w:r>
      <w:proofErr w:type="spellStart"/>
      <w:r w:rsidRPr="0027581C">
        <w:rPr>
          <w:rFonts w:ascii="Consolas" w:hAnsi="Consolas"/>
          <w:color w:val="1B1B1B"/>
          <w:highlight w:val="yellow"/>
        </w:rPr>
        <w:t>doi</w:t>
      </w:r>
      <w:proofErr w:type="spellEnd"/>
      <w:r w:rsidRPr="0027581C">
        <w:rPr>
          <w:rFonts w:ascii="Consolas" w:hAnsi="Consolas"/>
          <w:color w:val="1B1B1B"/>
          <w:highlight w:val="yellow"/>
        </w:rPr>
        <w:t>: 10.3390/molecules27186021. PMID: 36144755; PMCID: PMC9500625.</w:t>
      </w:r>
    </w:p>
    <w:p w:rsidR="006B40CA" w:rsidRDefault="006B40CA" w:rsidP="000940B9">
      <w:pPr>
        <w:shd w:val="clear" w:color="auto" w:fill="FFFFFF"/>
        <w:rPr>
          <w:rFonts w:ascii="Consolas" w:hAnsi="Consolas"/>
          <w:color w:val="1B1B1B"/>
        </w:rPr>
      </w:pPr>
    </w:p>
    <w:p w:rsidR="006B40CA" w:rsidRDefault="006B40CA" w:rsidP="006B40CA">
      <w:pPr>
        <w:pStyle w:val="NormalWeb"/>
        <w:shd w:val="clear" w:color="auto" w:fill="FFFFFF"/>
        <w:spacing w:before="0" w:beforeAutospacing="0" w:after="150" w:afterAutospacing="0"/>
        <w:rPr>
          <w:rFonts w:ascii="inherit" w:hAnsi="inherit" w:cs="Helvetica"/>
          <w:color w:val="222222"/>
          <w:sz w:val="18"/>
          <w:szCs w:val="18"/>
        </w:rPr>
      </w:pPr>
      <w:proofErr w:type="spellStart"/>
      <w:r w:rsidRPr="0027581C">
        <w:rPr>
          <w:rFonts w:ascii="inherit" w:hAnsi="inherit" w:cs="Helvetica"/>
          <w:color w:val="222222"/>
          <w:sz w:val="18"/>
          <w:szCs w:val="18"/>
          <w:highlight w:val="yellow"/>
        </w:rPr>
        <w:t>Motti</w:t>
      </w:r>
      <w:proofErr w:type="spellEnd"/>
      <w:r w:rsidRPr="0027581C">
        <w:rPr>
          <w:rFonts w:ascii="inherit" w:hAnsi="inherit" w:cs="Helvetica"/>
          <w:color w:val="222222"/>
          <w:sz w:val="18"/>
          <w:szCs w:val="18"/>
          <w:highlight w:val="yellow"/>
        </w:rPr>
        <w:t>, R., &amp; de Falco, B. (2021). Traditional Herbal Remedies Used for Managing Anxiety and Insomnia in Italy: An Ethnopharmacological Overview. </w:t>
      </w:r>
      <w:proofErr w:type="spellStart"/>
      <w:r w:rsidRPr="0027581C">
        <w:rPr>
          <w:rStyle w:val="Emphasis"/>
          <w:rFonts w:ascii="inherit" w:hAnsi="inherit" w:cs="Helvetica"/>
          <w:color w:val="222222"/>
          <w:sz w:val="18"/>
          <w:szCs w:val="18"/>
          <w:highlight w:val="yellow"/>
        </w:rPr>
        <w:t>Horticulturae</w:t>
      </w:r>
      <w:proofErr w:type="spellEnd"/>
      <w:r w:rsidRPr="0027581C">
        <w:rPr>
          <w:rFonts w:ascii="inherit" w:hAnsi="inherit" w:cs="Helvetica"/>
          <w:color w:val="222222"/>
          <w:sz w:val="18"/>
          <w:szCs w:val="18"/>
          <w:highlight w:val="yellow"/>
        </w:rPr>
        <w:t>, </w:t>
      </w:r>
      <w:r w:rsidRPr="0027581C">
        <w:rPr>
          <w:rStyle w:val="Emphasis"/>
          <w:rFonts w:ascii="inherit" w:hAnsi="inherit" w:cs="Helvetica"/>
          <w:color w:val="222222"/>
          <w:sz w:val="18"/>
          <w:szCs w:val="18"/>
          <w:highlight w:val="yellow"/>
        </w:rPr>
        <w:t>7</w:t>
      </w:r>
      <w:r w:rsidRPr="0027581C">
        <w:rPr>
          <w:rFonts w:ascii="inherit" w:hAnsi="inherit" w:cs="Helvetica"/>
          <w:color w:val="222222"/>
          <w:sz w:val="18"/>
          <w:szCs w:val="18"/>
          <w:highlight w:val="yellow"/>
        </w:rPr>
        <w:t>(12), 523. https://doi.org/10.3390/horticulturae7120523</w:t>
      </w:r>
    </w:p>
    <w:p w:rsidR="00984201" w:rsidRDefault="00984201" w:rsidP="00984201">
      <w:pPr>
        <w:shd w:val="clear" w:color="auto" w:fill="FFFFFF"/>
        <w:rPr>
          <w:rFonts w:ascii="Segoe UI" w:hAnsi="Segoe UI" w:cs="Segoe UI"/>
          <w:sz w:val="18"/>
          <w:szCs w:val="18"/>
        </w:rPr>
      </w:pPr>
      <w:proofErr w:type="spellStart"/>
      <w:r w:rsidRPr="0027581C">
        <w:rPr>
          <w:rFonts w:ascii="Segoe UI" w:hAnsi="Segoe UI" w:cs="Segoe UI"/>
          <w:bCs/>
          <w:sz w:val="20"/>
          <w:szCs w:val="21"/>
          <w:highlight w:val="yellow"/>
          <w:shd w:val="clear" w:color="auto" w:fill="FFFFFF"/>
        </w:rPr>
        <w:t>Yogeesha</w:t>
      </w:r>
      <w:proofErr w:type="spellEnd"/>
      <w:r w:rsidRPr="0027581C">
        <w:rPr>
          <w:rFonts w:ascii="Segoe UI" w:hAnsi="Segoe UI" w:cs="Segoe UI"/>
          <w:bCs/>
          <w:sz w:val="20"/>
          <w:szCs w:val="21"/>
          <w:highlight w:val="yellow"/>
          <w:shd w:val="clear" w:color="auto" w:fill="FFFFFF"/>
        </w:rPr>
        <w:t xml:space="preserve"> A</w:t>
      </w:r>
      <w:r w:rsidRPr="0027581C">
        <w:rPr>
          <w:rFonts w:ascii="Segoe UI" w:hAnsi="Segoe UI" w:cs="Segoe UI"/>
          <w:sz w:val="16"/>
          <w:szCs w:val="18"/>
          <w:highlight w:val="yellow"/>
        </w:rPr>
        <w:t xml:space="preserve"> &amp; </w:t>
      </w:r>
      <w:r w:rsidRPr="0027581C">
        <w:rPr>
          <w:rFonts w:ascii="Segoe UI" w:hAnsi="Segoe UI" w:cs="Segoe UI"/>
          <w:bCs/>
          <w:sz w:val="20"/>
          <w:szCs w:val="21"/>
          <w:highlight w:val="yellow"/>
          <w:shd w:val="clear" w:color="auto" w:fill="FFFFFF"/>
        </w:rPr>
        <w:t>Krishnakumar G</w:t>
      </w:r>
      <w:r w:rsidRPr="0027581C">
        <w:rPr>
          <w:rFonts w:ascii="Segoe UI" w:hAnsi="Segoe UI" w:cs="Segoe UI"/>
          <w:sz w:val="16"/>
          <w:szCs w:val="18"/>
          <w:highlight w:val="yellow"/>
        </w:rPr>
        <w:t xml:space="preserve"> </w:t>
      </w:r>
      <w:r w:rsidRPr="0027581C">
        <w:rPr>
          <w:rFonts w:ascii="Segoe UI" w:hAnsi="Segoe UI" w:cs="Segoe UI"/>
          <w:sz w:val="18"/>
          <w:szCs w:val="18"/>
          <w:highlight w:val="yellow"/>
        </w:rPr>
        <w:t xml:space="preserve">(2023). Ethnobotanical study of medicinal plants used in the treatment of neurological disorders in the Western Ghats region of </w:t>
      </w:r>
      <w:proofErr w:type="spellStart"/>
      <w:r w:rsidRPr="0027581C">
        <w:rPr>
          <w:rFonts w:ascii="Segoe UI" w:hAnsi="Segoe UI" w:cs="Segoe UI"/>
          <w:sz w:val="18"/>
          <w:szCs w:val="18"/>
          <w:highlight w:val="yellow"/>
        </w:rPr>
        <w:t>Dakshina</w:t>
      </w:r>
      <w:proofErr w:type="spellEnd"/>
      <w:r w:rsidRPr="0027581C">
        <w:rPr>
          <w:rFonts w:ascii="Segoe UI" w:hAnsi="Segoe UI" w:cs="Segoe UI"/>
          <w:sz w:val="18"/>
          <w:szCs w:val="18"/>
          <w:highlight w:val="yellow"/>
        </w:rPr>
        <w:t xml:space="preserve"> Kannada district, Karnataka, </w:t>
      </w:r>
      <w:proofErr w:type="gramStart"/>
      <w:r w:rsidRPr="0027581C">
        <w:rPr>
          <w:rFonts w:ascii="Segoe UI" w:hAnsi="Segoe UI" w:cs="Segoe UI"/>
          <w:sz w:val="18"/>
          <w:szCs w:val="18"/>
          <w:highlight w:val="yellow"/>
        </w:rPr>
        <w:t>India .</w:t>
      </w:r>
      <w:proofErr w:type="gramEnd"/>
      <w:r w:rsidRPr="0027581C">
        <w:rPr>
          <w:rFonts w:ascii="Segoe UI" w:hAnsi="Segoe UI" w:cs="Segoe UI"/>
          <w:sz w:val="18"/>
          <w:szCs w:val="18"/>
          <w:highlight w:val="yellow"/>
        </w:rPr>
        <w:t> </w:t>
      </w:r>
      <w:r w:rsidRPr="0027581C">
        <w:rPr>
          <w:rFonts w:ascii="Segoe UI" w:hAnsi="Segoe UI" w:cs="Segoe UI"/>
          <w:i/>
          <w:iCs/>
          <w:sz w:val="18"/>
          <w:szCs w:val="18"/>
          <w:highlight w:val="yellow"/>
        </w:rPr>
        <w:t>Ethnobotany Research and Applications</w:t>
      </w:r>
      <w:r w:rsidRPr="0027581C">
        <w:rPr>
          <w:rFonts w:ascii="Segoe UI" w:hAnsi="Segoe UI" w:cs="Segoe UI"/>
          <w:sz w:val="18"/>
          <w:szCs w:val="18"/>
          <w:highlight w:val="yellow"/>
        </w:rPr>
        <w:t>, </w:t>
      </w:r>
      <w:r w:rsidRPr="0027581C">
        <w:rPr>
          <w:rFonts w:ascii="Segoe UI" w:hAnsi="Segoe UI" w:cs="Segoe UI"/>
          <w:i/>
          <w:iCs/>
          <w:sz w:val="18"/>
          <w:szCs w:val="18"/>
          <w:highlight w:val="yellow"/>
        </w:rPr>
        <w:t>26</w:t>
      </w:r>
      <w:r w:rsidRPr="0027581C">
        <w:rPr>
          <w:rFonts w:ascii="Segoe UI" w:hAnsi="Segoe UI" w:cs="Segoe UI"/>
          <w:sz w:val="18"/>
          <w:szCs w:val="18"/>
          <w:highlight w:val="yellow"/>
        </w:rPr>
        <w:t>, 1–30. Retrieved from https://ethnobotanyjournal.org/index.php/era/article/view/5085</w:t>
      </w:r>
    </w:p>
    <w:p w:rsidR="000940B9" w:rsidRDefault="000940B9" w:rsidP="0027581C">
      <w:pPr>
        <w:shd w:val="clear" w:color="auto" w:fill="FFFFFF"/>
        <w:spacing w:before="100" w:beforeAutospacing="1"/>
        <w:rPr>
          <w:rFonts w:ascii="Helvetica" w:hAnsi="Helvetica" w:cs="Helvetica"/>
          <w:color w:val="1B1B1B"/>
        </w:rPr>
      </w:pPr>
    </w:p>
    <w:p w:rsidR="000940B9" w:rsidRDefault="000940B9">
      <w:pPr>
        <w:spacing w:after="140" w:line="320" w:lineRule="auto"/>
        <w:ind w:left="720" w:hanging="720"/>
        <w:jc w:val="both"/>
      </w:pPr>
    </w:p>
    <w:sectPr w:rsidR="000940B9" w:rsidSect="0024307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CB9" w:rsidRDefault="007B6CB9" w:rsidP="00D3095F">
      <w:r>
        <w:separator/>
      </w:r>
    </w:p>
  </w:endnote>
  <w:endnote w:type="continuationSeparator" w:id="0">
    <w:p w:rsidR="007B6CB9" w:rsidRDefault="007B6CB9" w:rsidP="00D3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95F" w:rsidRDefault="00D3095F">
    <w:pPr>
      <w:jc w:val="center"/>
    </w:pPr>
    <w:r>
      <w:rPr>
        <w:sz w:val="20"/>
        <w:szCs w:val="20"/>
      </w:rPr>
      <w:fldChar w:fldCharType="begin"/>
    </w:r>
    <w:r w:rsidR="006C44ED">
      <w:rPr>
        <w:sz w:val="20"/>
        <w:szCs w:val="20"/>
      </w:rPr>
      <w:instrText>PAGE</w:instrText>
    </w:r>
    <w:r>
      <w:rPr>
        <w:sz w:val="20"/>
        <w:szCs w:val="20"/>
      </w:rPr>
      <w:fldChar w:fldCharType="separate"/>
    </w:r>
    <w:r w:rsidR="001F752B">
      <w:rPr>
        <w:noProof/>
        <w:sz w:val="20"/>
        <w:szCs w:val="20"/>
      </w:rPr>
      <w:t>45</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24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CB9" w:rsidRDefault="007B6CB9" w:rsidP="00D3095F">
      <w:r>
        <w:separator/>
      </w:r>
    </w:p>
  </w:footnote>
  <w:footnote w:type="continuationSeparator" w:id="0">
    <w:p w:rsidR="007B6CB9" w:rsidRDefault="007B6CB9" w:rsidP="00D3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7B6C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7B6C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7C" w:rsidRDefault="007B6C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A3C35"/>
    <w:multiLevelType w:val="hybridMultilevel"/>
    <w:tmpl w:val="31BED156"/>
    <w:lvl w:ilvl="0" w:tplc="5EA2CEBC">
      <w:start w:val="1"/>
      <w:numFmt w:val="bullet"/>
      <w:lvlText w:val="●"/>
      <w:lvlJc w:val="left"/>
      <w:pPr>
        <w:ind w:left="720" w:hanging="360"/>
      </w:pPr>
    </w:lvl>
    <w:lvl w:ilvl="1" w:tplc="B7584CCE">
      <w:start w:val="1"/>
      <w:numFmt w:val="bullet"/>
      <w:lvlText w:val="○"/>
      <w:lvlJc w:val="left"/>
      <w:pPr>
        <w:ind w:left="1440" w:hanging="360"/>
      </w:pPr>
    </w:lvl>
    <w:lvl w:ilvl="2" w:tplc="E9CE3EE4">
      <w:start w:val="1"/>
      <w:numFmt w:val="bullet"/>
      <w:lvlText w:val="■"/>
      <w:lvlJc w:val="left"/>
      <w:pPr>
        <w:ind w:left="2160" w:hanging="360"/>
      </w:pPr>
    </w:lvl>
    <w:lvl w:ilvl="3" w:tplc="3B7A0822">
      <w:start w:val="1"/>
      <w:numFmt w:val="bullet"/>
      <w:lvlText w:val="●"/>
      <w:lvlJc w:val="left"/>
      <w:pPr>
        <w:ind w:left="2880" w:hanging="360"/>
      </w:pPr>
    </w:lvl>
    <w:lvl w:ilvl="4" w:tplc="731A3E42">
      <w:start w:val="1"/>
      <w:numFmt w:val="bullet"/>
      <w:lvlText w:val="○"/>
      <w:lvlJc w:val="left"/>
      <w:pPr>
        <w:ind w:left="3600" w:hanging="360"/>
      </w:pPr>
    </w:lvl>
    <w:lvl w:ilvl="5" w:tplc="E4F8A5A8">
      <w:start w:val="1"/>
      <w:numFmt w:val="bullet"/>
      <w:lvlText w:val="■"/>
      <w:lvlJc w:val="left"/>
      <w:pPr>
        <w:ind w:left="4320" w:hanging="360"/>
      </w:pPr>
    </w:lvl>
    <w:lvl w:ilvl="6" w:tplc="B2C6FD84">
      <w:start w:val="1"/>
      <w:numFmt w:val="bullet"/>
      <w:lvlText w:val="●"/>
      <w:lvlJc w:val="left"/>
      <w:pPr>
        <w:ind w:left="5040" w:hanging="360"/>
      </w:pPr>
    </w:lvl>
    <w:lvl w:ilvl="7" w:tplc="752ED404">
      <w:start w:val="1"/>
      <w:numFmt w:val="bullet"/>
      <w:lvlText w:val="●"/>
      <w:lvlJc w:val="left"/>
      <w:pPr>
        <w:ind w:left="5760" w:hanging="360"/>
      </w:pPr>
    </w:lvl>
    <w:lvl w:ilvl="8" w:tplc="36ACB35A">
      <w:start w:val="1"/>
      <w:numFmt w:val="bullet"/>
      <w:lvlText w:val="●"/>
      <w:lvlJc w:val="left"/>
      <w:pPr>
        <w:ind w:left="6480" w:hanging="360"/>
      </w:pPr>
    </w:lvl>
  </w:abstractNum>
  <w:abstractNum w:abstractNumId="1" w15:restartNumberingAfterBreak="0">
    <w:nsid w:val="53B76DBC"/>
    <w:multiLevelType w:val="multilevel"/>
    <w:tmpl w:val="2072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tTQ1sDSyNDA0MjVS0lEKTi0uzszPAykwrAUAqJPR1ywAAAA="/>
  </w:docVars>
  <w:rsids>
    <w:rsidRoot w:val="00D3095F"/>
    <w:rsid w:val="000940B9"/>
    <w:rsid w:val="001F752B"/>
    <w:rsid w:val="0024307C"/>
    <w:rsid w:val="0027581C"/>
    <w:rsid w:val="00566B8C"/>
    <w:rsid w:val="006B40CA"/>
    <w:rsid w:val="006C44ED"/>
    <w:rsid w:val="007A763A"/>
    <w:rsid w:val="007B6CB9"/>
    <w:rsid w:val="00984201"/>
    <w:rsid w:val="00D3095F"/>
    <w:rsid w:val="00ED34FA"/>
    <w:rsid w:val="00F0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86A88"/>
  <w15:docId w15:val="{6462A430-D693-48D0-9FCB-E7EE2F25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D3095F"/>
    <w:pPr>
      <w:spacing w:before="400" w:after="200"/>
      <w:outlineLvl w:val="0"/>
    </w:pPr>
    <w:rPr>
      <w:b/>
      <w:bCs/>
      <w:color w:val="1A3A5C"/>
      <w:sz w:val="28"/>
      <w:szCs w:val="28"/>
    </w:rPr>
  </w:style>
  <w:style w:type="paragraph" w:styleId="Heading2">
    <w:name w:val="heading 2"/>
    <w:qFormat/>
    <w:rsid w:val="00D3095F"/>
    <w:pPr>
      <w:spacing w:before="280" w:after="140"/>
      <w:outlineLvl w:val="1"/>
    </w:pPr>
    <w:rPr>
      <w:b/>
      <w:bCs/>
      <w:i/>
      <w:iCs/>
      <w:color w:val="2E5FA3"/>
      <w:sz w:val="26"/>
      <w:szCs w:val="26"/>
    </w:rPr>
  </w:style>
  <w:style w:type="paragraph" w:styleId="Heading3">
    <w:name w:val="heading 3"/>
    <w:qFormat/>
    <w:rsid w:val="00D3095F"/>
    <w:pPr>
      <w:spacing w:before="200" w:after="100"/>
      <w:outlineLvl w:val="2"/>
    </w:pPr>
    <w:rPr>
      <w:b/>
      <w:bCs/>
      <w:color w:val="2E5FA3"/>
    </w:rPr>
  </w:style>
  <w:style w:type="paragraph" w:styleId="Heading4">
    <w:name w:val="heading 4"/>
    <w:qFormat/>
    <w:rsid w:val="00D3095F"/>
    <w:pPr>
      <w:outlineLvl w:val="3"/>
    </w:pPr>
    <w:rPr>
      <w:i/>
      <w:iCs/>
      <w:color w:val="2E74B5"/>
    </w:rPr>
  </w:style>
  <w:style w:type="paragraph" w:styleId="Heading5">
    <w:name w:val="heading 5"/>
    <w:qFormat/>
    <w:rsid w:val="00D3095F"/>
    <w:pPr>
      <w:outlineLvl w:val="4"/>
    </w:pPr>
    <w:rPr>
      <w:color w:val="2E74B5"/>
    </w:rPr>
  </w:style>
  <w:style w:type="paragraph" w:styleId="Heading6">
    <w:name w:val="heading 6"/>
    <w:qFormat/>
    <w:rsid w:val="00D3095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3095F"/>
    <w:rPr>
      <w:sz w:val="56"/>
      <w:szCs w:val="56"/>
    </w:rPr>
  </w:style>
  <w:style w:type="paragraph" w:customStyle="1" w:styleId="Strong1">
    <w:name w:val="Strong1"/>
    <w:qFormat/>
    <w:rsid w:val="00D3095F"/>
    <w:rPr>
      <w:b/>
      <w:bCs/>
    </w:rPr>
  </w:style>
  <w:style w:type="paragraph" w:styleId="ListParagraph">
    <w:name w:val="List Paragraph"/>
    <w:qFormat/>
    <w:rsid w:val="00D3095F"/>
  </w:style>
  <w:style w:type="character" w:styleId="Hyperlink">
    <w:name w:val="Hyperlink"/>
    <w:uiPriority w:val="99"/>
    <w:unhideWhenUsed/>
    <w:rsid w:val="00D3095F"/>
    <w:rPr>
      <w:color w:val="0563C1"/>
      <w:u w:val="single"/>
    </w:rPr>
  </w:style>
  <w:style w:type="character" w:styleId="FootnoteReference">
    <w:name w:val="footnote reference"/>
    <w:uiPriority w:val="99"/>
    <w:semiHidden/>
    <w:unhideWhenUsed/>
    <w:rsid w:val="00D3095F"/>
    <w:rPr>
      <w:vertAlign w:val="superscript"/>
    </w:rPr>
  </w:style>
  <w:style w:type="paragraph" w:styleId="FootnoteText">
    <w:name w:val="footnote text"/>
    <w:link w:val="FootnoteTextChar"/>
    <w:uiPriority w:val="99"/>
    <w:semiHidden/>
    <w:unhideWhenUsed/>
    <w:rsid w:val="00D3095F"/>
    <w:rPr>
      <w:sz w:val="20"/>
      <w:szCs w:val="20"/>
    </w:rPr>
  </w:style>
  <w:style w:type="character" w:customStyle="1" w:styleId="FootnoteTextChar">
    <w:name w:val="Footnote Text Char"/>
    <w:link w:val="FootnoteText"/>
    <w:uiPriority w:val="99"/>
    <w:semiHidden/>
    <w:unhideWhenUsed/>
    <w:rsid w:val="00D3095F"/>
    <w:rPr>
      <w:sz w:val="20"/>
      <w:szCs w:val="20"/>
    </w:rPr>
  </w:style>
  <w:style w:type="paragraph" w:styleId="Header">
    <w:name w:val="header"/>
    <w:basedOn w:val="Normal"/>
    <w:link w:val="HeaderChar"/>
    <w:uiPriority w:val="99"/>
    <w:unhideWhenUsed/>
    <w:rsid w:val="001F752B"/>
    <w:pPr>
      <w:tabs>
        <w:tab w:val="center" w:pos="4680"/>
        <w:tab w:val="right" w:pos="9360"/>
      </w:tabs>
    </w:pPr>
  </w:style>
  <w:style w:type="character" w:customStyle="1" w:styleId="HeaderChar">
    <w:name w:val="Header Char"/>
    <w:basedOn w:val="DefaultParagraphFont"/>
    <w:link w:val="Header"/>
    <w:uiPriority w:val="99"/>
    <w:rsid w:val="001F752B"/>
  </w:style>
  <w:style w:type="paragraph" w:styleId="Footer">
    <w:name w:val="footer"/>
    <w:basedOn w:val="Normal"/>
    <w:link w:val="FooterChar"/>
    <w:uiPriority w:val="99"/>
    <w:unhideWhenUsed/>
    <w:rsid w:val="001F752B"/>
    <w:pPr>
      <w:tabs>
        <w:tab w:val="center" w:pos="4680"/>
        <w:tab w:val="right" w:pos="9360"/>
      </w:tabs>
    </w:pPr>
  </w:style>
  <w:style w:type="character" w:customStyle="1" w:styleId="FooterChar">
    <w:name w:val="Footer Char"/>
    <w:basedOn w:val="DefaultParagraphFont"/>
    <w:link w:val="Footer"/>
    <w:uiPriority w:val="99"/>
    <w:rsid w:val="001F752B"/>
  </w:style>
  <w:style w:type="paragraph" w:styleId="BalloonText">
    <w:name w:val="Balloon Text"/>
    <w:basedOn w:val="Normal"/>
    <w:link w:val="BalloonTextChar"/>
    <w:uiPriority w:val="99"/>
    <w:semiHidden/>
    <w:unhideWhenUsed/>
    <w:rsid w:val="001F752B"/>
    <w:rPr>
      <w:rFonts w:ascii="Tahoma" w:hAnsi="Tahoma" w:cs="Tahoma"/>
      <w:sz w:val="16"/>
      <w:szCs w:val="16"/>
    </w:rPr>
  </w:style>
  <w:style w:type="character" w:customStyle="1" w:styleId="BalloonTextChar">
    <w:name w:val="Balloon Text Char"/>
    <w:basedOn w:val="DefaultParagraphFont"/>
    <w:link w:val="BalloonText"/>
    <w:uiPriority w:val="99"/>
    <w:semiHidden/>
    <w:rsid w:val="001F752B"/>
    <w:rPr>
      <w:rFonts w:ascii="Tahoma" w:hAnsi="Tahoma" w:cs="Tahoma"/>
      <w:sz w:val="16"/>
      <w:szCs w:val="16"/>
    </w:rPr>
  </w:style>
  <w:style w:type="character" w:styleId="FollowedHyperlink">
    <w:name w:val="FollowedHyperlink"/>
    <w:basedOn w:val="DefaultParagraphFont"/>
    <w:uiPriority w:val="99"/>
    <w:semiHidden/>
    <w:unhideWhenUsed/>
    <w:rsid w:val="001F752B"/>
    <w:rPr>
      <w:color w:val="800080" w:themeColor="followedHyperlink"/>
      <w:u w:val="single"/>
    </w:rPr>
  </w:style>
  <w:style w:type="paragraph" w:styleId="NoSpacing">
    <w:name w:val="No Spacing"/>
    <w:uiPriority w:val="1"/>
    <w:qFormat/>
    <w:rsid w:val="00ED34FA"/>
    <w:rPr>
      <w:rFonts w:asciiTheme="minorHAnsi" w:eastAsiaTheme="minorHAnsi" w:hAnsiTheme="minorHAnsi" w:cstheme="minorBidi"/>
      <w:kern w:val="2"/>
      <w:sz w:val="22"/>
      <w:szCs w:val="22"/>
    </w:rPr>
  </w:style>
  <w:style w:type="character" w:styleId="UnresolvedMention">
    <w:name w:val="Unresolved Mention"/>
    <w:basedOn w:val="DefaultParagraphFont"/>
    <w:uiPriority w:val="99"/>
    <w:semiHidden/>
    <w:unhideWhenUsed/>
    <w:rsid w:val="000940B9"/>
    <w:rPr>
      <w:color w:val="605E5C"/>
      <w:shd w:val="clear" w:color="auto" w:fill="E1DFDD"/>
    </w:rPr>
  </w:style>
  <w:style w:type="paragraph" w:styleId="NormalWeb">
    <w:name w:val="Normal (Web)"/>
    <w:basedOn w:val="Normal"/>
    <w:uiPriority w:val="99"/>
    <w:semiHidden/>
    <w:unhideWhenUsed/>
    <w:rsid w:val="006B40CA"/>
    <w:pPr>
      <w:spacing w:before="100" w:beforeAutospacing="1" w:after="100" w:afterAutospacing="1"/>
    </w:pPr>
  </w:style>
  <w:style w:type="character" w:styleId="Emphasis">
    <w:name w:val="Emphasis"/>
    <w:basedOn w:val="DefaultParagraphFont"/>
    <w:uiPriority w:val="20"/>
    <w:qFormat/>
    <w:rsid w:val="006B40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54768">
      <w:bodyDiv w:val="1"/>
      <w:marLeft w:val="0"/>
      <w:marRight w:val="0"/>
      <w:marTop w:val="0"/>
      <w:marBottom w:val="0"/>
      <w:divBdr>
        <w:top w:val="none" w:sz="0" w:space="0" w:color="auto"/>
        <w:left w:val="none" w:sz="0" w:space="0" w:color="auto"/>
        <w:bottom w:val="none" w:sz="0" w:space="0" w:color="auto"/>
        <w:right w:val="none" w:sz="0" w:space="0" w:color="auto"/>
      </w:divBdr>
      <w:divsChild>
        <w:div w:id="2035761562">
          <w:marLeft w:val="0"/>
          <w:marRight w:val="0"/>
          <w:marTop w:val="0"/>
          <w:marBottom w:val="0"/>
          <w:divBdr>
            <w:top w:val="none" w:sz="0" w:space="0" w:color="auto"/>
            <w:left w:val="none" w:sz="0" w:space="0" w:color="auto"/>
            <w:bottom w:val="none" w:sz="0" w:space="0" w:color="auto"/>
            <w:right w:val="none" w:sz="0" w:space="0" w:color="auto"/>
          </w:divBdr>
          <w:divsChild>
            <w:div w:id="2142992028">
              <w:marLeft w:val="0"/>
              <w:marRight w:val="0"/>
              <w:marTop w:val="0"/>
              <w:marBottom w:val="0"/>
              <w:divBdr>
                <w:top w:val="none" w:sz="0" w:space="0" w:color="auto"/>
                <w:left w:val="none" w:sz="0" w:space="0" w:color="auto"/>
                <w:bottom w:val="none" w:sz="0" w:space="0" w:color="auto"/>
                <w:right w:val="none" w:sz="0" w:space="0" w:color="auto"/>
              </w:divBdr>
              <w:divsChild>
                <w:div w:id="5839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80399">
      <w:bodyDiv w:val="1"/>
      <w:marLeft w:val="0"/>
      <w:marRight w:val="0"/>
      <w:marTop w:val="0"/>
      <w:marBottom w:val="0"/>
      <w:divBdr>
        <w:top w:val="none" w:sz="0" w:space="0" w:color="auto"/>
        <w:left w:val="none" w:sz="0" w:space="0" w:color="auto"/>
        <w:bottom w:val="none" w:sz="0" w:space="0" w:color="auto"/>
        <w:right w:val="none" w:sz="0" w:space="0" w:color="auto"/>
      </w:divBdr>
      <w:divsChild>
        <w:div w:id="19466962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19680846">
      <w:bodyDiv w:val="1"/>
      <w:marLeft w:val="0"/>
      <w:marRight w:val="0"/>
      <w:marTop w:val="0"/>
      <w:marBottom w:val="0"/>
      <w:divBdr>
        <w:top w:val="none" w:sz="0" w:space="0" w:color="auto"/>
        <w:left w:val="none" w:sz="0" w:space="0" w:color="auto"/>
        <w:bottom w:val="none" w:sz="0" w:space="0" w:color="auto"/>
        <w:right w:val="none" w:sz="0" w:space="0" w:color="auto"/>
      </w:divBdr>
      <w:divsChild>
        <w:div w:id="1840194144">
          <w:marLeft w:val="0"/>
          <w:marRight w:val="0"/>
          <w:marTop w:val="0"/>
          <w:marBottom w:val="0"/>
          <w:divBdr>
            <w:top w:val="none" w:sz="0" w:space="0" w:color="auto"/>
            <w:left w:val="none" w:sz="0" w:space="0" w:color="auto"/>
            <w:bottom w:val="none" w:sz="0" w:space="0" w:color="auto"/>
            <w:right w:val="none" w:sz="0" w:space="0" w:color="auto"/>
          </w:divBdr>
          <w:divsChild>
            <w:div w:id="1504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tr.502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S0006-2952(00)00264-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46</Pages>
  <Words>18234</Words>
  <Characters>103939</Characters>
  <Application>Microsoft Office Word</Application>
  <DocSecurity>0</DocSecurity>
  <Lines>866</Lines>
  <Paragraphs>243</Paragraphs>
  <ScaleCrop>false</ScaleCrop>
  <Company>HP</Company>
  <LinksUpToDate>false</LinksUpToDate>
  <CharactersWithSpaces>121930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10</cp:revision>
  <dcterms:created xsi:type="dcterms:W3CDTF">2026-03-19T18:57:00Z</dcterms:created>
  <dcterms:modified xsi:type="dcterms:W3CDTF">2026-03-21T10:11:00Z</dcterms:modified>
</cp:coreProperties>
</file>