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59E81" w14:textId="77777777" w:rsidR="00B86F6E" w:rsidRDefault="00B86F6E" w:rsidP="00C227E7">
      <w:pPr>
        <w:spacing w:after="0" w:line="240" w:lineRule="auto"/>
        <w:jc w:val="center"/>
        <w:outlineLvl w:val="0"/>
        <w:rPr>
          <w:rFonts w:ascii="Arial" w:eastAsia="Times New Roman" w:hAnsi="Arial" w:cs="Arial"/>
          <w:b/>
          <w:bCs/>
          <w:kern w:val="36"/>
          <w:sz w:val="20"/>
          <w:szCs w:val="20"/>
        </w:rPr>
      </w:pPr>
      <w:r w:rsidRPr="00B86F6E">
        <w:rPr>
          <w:rFonts w:ascii="Arial" w:eastAsia="Times New Roman" w:hAnsi="Arial" w:cs="Arial"/>
          <w:b/>
          <w:bCs/>
          <w:kern w:val="36"/>
          <w:sz w:val="20"/>
          <w:szCs w:val="20"/>
        </w:rPr>
        <w:t>Review article</w:t>
      </w:r>
    </w:p>
    <w:p w14:paraId="4AF118E4" w14:textId="77777777" w:rsidR="00B86F6E" w:rsidRDefault="00B86F6E" w:rsidP="00C227E7">
      <w:pPr>
        <w:spacing w:after="0" w:line="240" w:lineRule="auto"/>
        <w:jc w:val="center"/>
        <w:outlineLvl w:val="0"/>
        <w:rPr>
          <w:rFonts w:ascii="Arial" w:eastAsia="Times New Roman" w:hAnsi="Arial" w:cs="Arial"/>
          <w:b/>
          <w:bCs/>
          <w:kern w:val="36"/>
          <w:sz w:val="20"/>
          <w:szCs w:val="20"/>
        </w:rPr>
      </w:pPr>
    </w:p>
    <w:p w14:paraId="70E8D16F" w14:textId="30EE8F02" w:rsidR="00AE02FC" w:rsidRDefault="00AE02FC" w:rsidP="00C227E7">
      <w:pPr>
        <w:spacing w:after="0" w:line="240" w:lineRule="auto"/>
        <w:jc w:val="center"/>
        <w:outlineLvl w:val="0"/>
        <w:rPr>
          <w:rFonts w:ascii="Arial" w:eastAsia="Times New Roman" w:hAnsi="Arial" w:cs="Arial"/>
          <w:b/>
          <w:bCs/>
          <w:kern w:val="36"/>
          <w:sz w:val="20"/>
          <w:szCs w:val="20"/>
        </w:rPr>
      </w:pPr>
      <w:r w:rsidRPr="00531E52">
        <w:rPr>
          <w:rFonts w:ascii="Arial" w:eastAsia="Times New Roman" w:hAnsi="Arial" w:cs="Arial"/>
          <w:b/>
          <w:bCs/>
          <w:kern w:val="36"/>
          <w:sz w:val="20"/>
          <w:szCs w:val="20"/>
        </w:rPr>
        <w:t>Pesticides</w:t>
      </w:r>
      <w:r w:rsidR="004D539C">
        <w:rPr>
          <w:rFonts w:ascii="Arial" w:eastAsia="Times New Roman" w:hAnsi="Arial" w:cs="Arial"/>
          <w:b/>
          <w:bCs/>
          <w:kern w:val="36"/>
          <w:sz w:val="20"/>
          <w:szCs w:val="20"/>
        </w:rPr>
        <w:t xml:space="preserve"> induced</w:t>
      </w:r>
      <w:r w:rsidRPr="00531E52">
        <w:rPr>
          <w:rFonts w:ascii="Arial" w:eastAsia="Times New Roman" w:hAnsi="Arial" w:cs="Arial"/>
          <w:b/>
          <w:bCs/>
          <w:kern w:val="36"/>
          <w:sz w:val="20"/>
          <w:szCs w:val="20"/>
        </w:rPr>
        <w:t xml:space="preserve"> deleterious effects on </w:t>
      </w:r>
      <w:r w:rsidR="00F83199" w:rsidRPr="00531E52">
        <w:rPr>
          <w:rFonts w:ascii="Arial" w:eastAsia="Times New Roman" w:hAnsi="Arial" w:cs="Arial"/>
          <w:b/>
          <w:bCs/>
          <w:kern w:val="36"/>
          <w:sz w:val="20"/>
          <w:szCs w:val="20"/>
        </w:rPr>
        <w:t xml:space="preserve">the environment, </w:t>
      </w:r>
      <w:r w:rsidRPr="00531E52">
        <w:rPr>
          <w:rFonts w:ascii="Arial" w:eastAsia="Times New Roman" w:hAnsi="Arial" w:cs="Arial"/>
          <w:b/>
          <w:bCs/>
          <w:kern w:val="36"/>
          <w:sz w:val="20"/>
          <w:szCs w:val="20"/>
        </w:rPr>
        <w:t xml:space="preserve">animals and human health </w:t>
      </w:r>
      <w:r w:rsidR="004D539C">
        <w:rPr>
          <w:rFonts w:ascii="Arial" w:eastAsia="Times New Roman" w:hAnsi="Arial" w:cs="Arial"/>
          <w:b/>
          <w:bCs/>
          <w:kern w:val="36"/>
          <w:sz w:val="20"/>
          <w:szCs w:val="20"/>
        </w:rPr>
        <w:t>-</w:t>
      </w:r>
      <w:r w:rsidRPr="00531E52">
        <w:rPr>
          <w:rFonts w:ascii="Arial" w:eastAsia="Times New Roman" w:hAnsi="Arial" w:cs="Arial"/>
          <w:b/>
          <w:bCs/>
          <w:kern w:val="36"/>
          <w:sz w:val="20"/>
          <w:szCs w:val="20"/>
        </w:rPr>
        <w:t xml:space="preserve"> A comprehensive review</w:t>
      </w:r>
    </w:p>
    <w:p w14:paraId="5BC0731C" w14:textId="77777777" w:rsidR="006102DC" w:rsidRPr="00531E52" w:rsidRDefault="006102DC" w:rsidP="00C227E7">
      <w:pPr>
        <w:spacing w:after="0" w:line="240" w:lineRule="auto"/>
        <w:jc w:val="center"/>
        <w:outlineLvl w:val="0"/>
        <w:rPr>
          <w:rFonts w:ascii="Arial" w:eastAsia="Times New Roman" w:hAnsi="Arial" w:cs="Arial"/>
          <w:b/>
          <w:bCs/>
          <w:kern w:val="36"/>
          <w:sz w:val="20"/>
          <w:szCs w:val="20"/>
        </w:rPr>
      </w:pPr>
    </w:p>
    <w:p w14:paraId="36B137CF" w14:textId="77777777" w:rsidR="00FA61C7" w:rsidRDefault="00FA61C7" w:rsidP="00C227E7">
      <w:pPr>
        <w:spacing w:after="0" w:line="240" w:lineRule="auto"/>
        <w:jc w:val="center"/>
        <w:outlineLvl w:val="1"/>
        <w:rPr>
          <w:rFonts w:ascii="Arial" w:eastAsia="Times New Roman" w:hAnsi="Arial" w:cs="Arial"/>
          <w:b/>
          <w:bCs/>
          <w:sz w:val="20"/>
          <w:szCs w:val="20"/>
        </w:rPr>
      </w:pPr>
    </w:p>
    <w:p w14:paraId="23D5D80C" w14:textId="07603DA6" w:rsidR="005760D1" w:rsidRPr="00531E52" w:rsidRDefault="005760D1" w:rsidP="00C227E7">
      <w:pPr>
        <w:spacing w:after="0" w:line="240" w:lineRule="auto"/>
        <w:jc w:val="both"/>
        <w:outlineLvl w:val="1"/>
        <w:rPr>
          <w:rFonts w:ascii="Arial" w:eastAsia="Times New Roman" w:hAnsi="Arial" w:cs="Arial"/>
          <w:b/>
          <w:bCs/>
          <w:sz w:val="20"/>
          <w:szCs w:val="20"/>
        </w:rPr>
      </w:pPr>
    </w:p>
    <w:p w14:paraId="2EB78E67" w14:textId="49BE47D0" w:rsidR="00AE02FC" w:rsidRPr="00531E52" w:rsidRDefault="00AE02FC" w:rsidP="00C227E7">
      <w:pPr>
        <w:spacing w:after="0" w:line="240" w:lineRule="auto"/>
        <w:jc w:val="both"/>
        <w:outlineLvl w:val="1"/>
        <w:rPr>
          <w:rFonts w:ascii="Arial" w:eastAsia="Times New Roman" w:hAnsi="Arial" w:cs="Arial"/>
          <w:b/>
          <w:bCs/>
          <w:sz w:val="20"/>
          <w:szCs w:val="20"/>
        </w:rPr>
      </w:pPr>
      <w:r w:rsidRPr="00531E52">
        <w:rPr>
          <w:rFonts w:ascii="Arial" w:eastAsia="Times New Roman" w:hAnsi="Arial" w:cs="Arial"/>
          <w:b/>
          <w:bCs/>
          <w:sz w:val="20"/>
          <w:szCs w:val="20"/>
        </w:rPr>
        <w:t>Abstract</w:t>
      </w:r>
    </w:p>
    <w:p w14:paraId="777C7C80" w14:textId="341C8E31" w:rsidR="005C00FB" w:rsidRPr="00813E20" w:rsidRDefault="00D76D99" w:rsidP="00C227E7">
      <w:pPr>
        <w:spacing w:after="0" w:line="240" w:lineRule="auto"/>
        <w:jc w:val="both"/>
        <w:rPr>
          <w:rFonts w:ascii="Arial" w:eastAsia="Times New Roman" w:hAnsi="Arial" w:cs="Arial"/>
          <w:sz w:val="20"/>
          <w:szCs w:val="20"/>
        </w:rPr>
      </w:pPr>
      <w:r w:rsidRPr="00D76D99">
        <w:rPr>
          <w:rFonts w:ascii="Arial" w:eastAsia="Times New Roman" w:hAnsi="Arial" w:cs="Arial"/>
          <w:sz w:val="20"/>
          <w:szCs w:val="20"/>
        </w:rPr>
        <w:t xml:space="preserve">Pesticides have remained indispensable in modern agriculture, public health and vector control for more than seven decades. While their contribution to food security and disease prevention is undeniable, mounting scientific evidence highlights significant unintended consequences for non-target organisms, ecosystems and human health. This comprehensive review critically examines the major chemical classifications and contemporary usage patterns, followed by in-depth mechanisms </w:t>
      </w:r>
      <w:r>
        <w:rPr>
          <w:rFonts w:ascii="Arial" w:eastAsia="Times New Roman" w:hAnsi="Arial" w:cs="Arial"/>
          <w:sz w:val="20"/>
          <w:szCs w:val="20"/>
        </w:rPr>
        <w:t xml:space="preserve">involved for their </w:t>
      </w:r>
      <w:r w:rsidRPr="00D76D99">
        <w:rPr>
          <w:rFonts w:ascii="Arial" w:eastAsia="Times New Roman" w:hAnsi="Arial" w:cs="Arial"/>
          <w:sz w:val="20"/>
          <w:szCs w:val="20"/>
        </w:rPr>
        <w:t>toxic</w:t>
      </w:r>
      <w:r w:rsidR="005C00FB">
        <w:rPr>
          <w:rFonts w:ascii="Arial" w:eastAsia="Times New Roman" w:hAnsi="Arial" w:cs="Arial"/>
          <w:sz w:val="20"/>
          <w:szCs w:val="20"/>
        </w:rPr>
        <w:t xml:space="preserve"> effects</w:t>
      </w:r>
      <w:r w:rsidRPr="00D76D99">
        <w:rPr>
          <w:rFonts w:ascii="Arial" w:eastAsia="Times New Roman" w:hAnsi="Arial" w:cs="Arial"/>
          <w:sz w:val="20"/>
          <w:szCs w:val="20"/>
        </w:rPr>
        <w:t xml:space="preserve">. Particular emphasis is placed on shared toxicological pathways—including acetylcholinesterase inhibition, ion channel modulation, oxidative stress induction, mitochondrial dysfunction, endocrine disruption, genotoxicity and immunomodulation—that underpin both acute and chronic health outcomes. Accumulating mechanistic and epidemiological evidence links chronic pesticide exposure to neurodegenerative disorders, carcinogenesis, reproductive dysfunction, endocrine abnormalities and immune dysregulation. Oxidative stress emerges as a central mediator across pesticide classes, contributing to mitochondrial injury, inflammatory activation and apoptotic signaling. Ecotoxicological data further demonstrate profound impacts on avifauna, pollinators, aquatic organisms and soil microbiota, with cascading effects on biodiversity, trophic interactions and ecosystem stability. Despite advances in toxicological science, important research gaps persist, particularly regarding cumulative exposures, endocrine-disrupting thresholds, </w:t>
      </w:r>
      <w:proofErr w:type="spellStart"/>
      <w:r w:rsidRPr="00D76D99">
        <w:rPr>
          <w:rFonts w:ascii="Arial" w:eastAsia="Times New Roman" w:hAnsi="Arial" w:cs="Arial"/>
          <w:sz w:val="20"/>
          <w:szCs w:val="20"/>
        </w:rPr>
        <w:t>immunotoxic</w:t>
      </w:r>
      <w:proofErr w:type="spellEnd"/>
      <w:r w:rsidRPr="00D76D99">
        <w:rPr>
          <w:rFonts w:ascii="Arial" w:eastAsia="Times New Roman" w:hAnsi="Arial" w:cs="Arial"/>
          <w:sz w:val="20"/>
          <w:szCs w:val="20"/>
        </w:rPr>
        <w:t xml:space="preserve"> biomarkers and long-term ecological resilience. Strengthening exposure assessment methodologies, integrating mechanistic toxicology with epidemiology and promoting translational research models are essential for improving risk characterization and public health protection. </w:t>
      </w:r>
      <w:r w:rsidR="004D458B" w:rsidRPr="00813E20">
        <w:rPr>
          <w:rFonts w:ascii="Arial" w:eastAsia="Times New Roman" w:hAnsi="Arial" w:cs="Arial"/>
          <w:sz w:val="20"/>
          <w:szCs w:val="20"/>
          <w:highlight w:val="yellow"/>
        </w:rPr>
        <w:t>A structured search was conducted using PubMed, Scopus, Web of Science, and Google Scholar databases</w:t>
      </w:r>
      <w:r w:rsidR="008F02BD">
        <w:rPr>
          <w:rFonts w:ascii="Arial" w:eastAsia="Times New Roman" w:hAnsi="Arial" w:cs="Arial"/>
          <w:sz w:val="20"/>
          <w:szCs w:val="20"/>
          <w:highlight w:val="yellow"/>
        </w:rPr>
        <w:t>.</w:t>
      </w:r>
      <w:r w:rsidR="004D458B" w:rsidRPr="00813E20">
        <w:rPr>
          <w:rFonts w:ascii="Arial" w:eastAsia="Times New Roman" w:hAnsi="Arial" w:cs="Arial"/>
          <w:sz w:val="20"/>
          <w:szCs w:val="20"/>
          <w:highlight w:val="yellow"/>
        </w:rPr>
        <w:t xml:space="preserve"> Articles were screened following PRISMA-guided principles, prioritizing systematic reviews, meta-analyses and mechanistic studies. The review critically evaluates historical evolution, classification, toxicological mechanisms, ecological consequences, and human health impacts of pesticides. Particular emphasis is placed on oxidative stress and immunomodulation as convergent mechanistic pathways linking exposure to chronic disease endpoints.</w:t>
      </w:r>
      <w:r w:rsidR="008F02BD" w:rsidRPr="008F02BD">
        <w:rPr>
          <w:rFonts w:ascii="Arial" w:eastAsia="Times New Roman" w:hAnsi="Arial" w:cs="Arial"/>
          <w:sz w:val="20"/>
          <w:szCs w:val="20"/>
        </w:rPr>
        <w:t xml:space="preserve"> </w:t>
      </w:r>
      <w:r w:rsidR="008F02BD" w:rsidRPr="00D76D99">
        <w:rPr>
          <w:rFonts w:ascii="Arial" w:eastAsia="Times New Roman" w:hAnsi="Arial" w:cs="Arial"/>
          <w:sz w:val="20"/>
          <w:szCs w:val="20"/>
        </w:rPr>
        <w:t>Collectively, this review underscores the urgency of balancing agricultural productivity with environmental sustainability and human health preservation in the era of chemical-intensive farming.</w:t>
      </w:r>
    </w:p>
    <w:p w14:paraId="43786998" w14:textId="77777777" w:rsidR="005760D1" w:rsidRPr="00531E52" w:rsidRDefault="005760D1" w:rsidP="00C227E7">
      <w:pPr>
        <w:spacing w:after="0" w:line="240" w:lineRule="auto"/>
        <w:jc w:val="both"/>
        <w:rPr>
          <w:rFonts w:ascii="Arial" w:eastAsia="Times New Roman" w:hAnsi="Arial" w:cs="Arial"/>
          <w:b/>
          <w:sz w:val="20"/>
          <w:szCs w:val="20"/>
        </w:rPr>
      </w:pPr>
    </w:p>
    <w:p w14:paraId="52DEE1A7" w14:textId="5DCE03E6" w:rsidR="00AE02FC" w:rsidRPr="00531E52" w:rsidRDefault="00AE02FC" w:rsidP="00C227E7">
      <w:pPr>
        <w:spacing w:after="0" w:line="240" w:lineRule="auto"/>
        <w:jc w:val="both"/>
        <w:rPr>
          <w:rFonts w:ascii="Arial" w:eastAsia="Times New Roman" w:hAnsi="Arial" w:cs="Arial"/>
          <w:b/>
          <w:sz w:val="20"/>
          <w:szCs w:val="20"/>
        </w:rPr>
      </w:pPr>
      <w:r w:rsidRPr="00531E52">
        <w:rPr>
          <w:rFonts w:ascii="Arial" w:eastAsia="Times New Roman" w:hAnsi="Arial" w:cs="Arial"/>
          <w:b/>
          <w:sz w:val="20"/>
          <w:szCs w:val="20"/>
        </w:rPr>
        <w:t xml:space="preserve">Keywords: </w:t>
      </w:r>
      <w:r w:rsidR="0085615E" w:rsidRPr="00531E52">
        <w:rPr>
          <w:rFonts w:ascii="Arial" w:eastAsia="Times New Roman" w:hAnsi="Arial" w:cs="Arial"/>
          <w:b/>
          <w:sz w:val="20"/>
          <w:szCs w:val="20"/>
        </w:rPr>
        <w:t>Pesticides; Organophosphates; Neonicotinoids; Oxidative Stress; Immunotoxicity; Human Health</w:t>
      </w:r>
      <w:r w:rsidRPr="00531E52">
        <w:rPr>
          <w:rFonts w:ascii="Arial" w:eastAsia="Times New Roman" w:hAnsi="Arial" w:cs="Arial"/>
          <w:b/>
          <w:sz w:val="20"/>
          <w:szCs w:val="20"/>
        </w:rPr>
        <w:t>.</w:t>
      </w:r>
    </w:p>
    <w:p w14:paraId="2165E909" w14:textId="5DA9CB25" w:rsidR="0085615E" w:rsidRPr="00531E52" w:rsidRDefault="0085615E" w:rsidP="00C227E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br w:type="page"/>
      </w:r>
    </w:p>
    <w:p w14:paraId="16B0CE33" w14:textId="77777777" w:rsidR="00AE02FC" w:rsidRPr="00531E52" w:rsidRDefault="00AE02FC" w:rsidP="00C227E7">
      <w:pPr>
        <w:spacing w:after="0" w:line="240" w:lineRule="auto"/>
        <w:jc w:val="both"/>
        <w:outlineLvl w:val="1"/>
        <w:rPr>
          <w:rFonts w:ascii="Arial" w:eastAsia="Times New Roman" w:hAnsi="Arial" w:cs="Arial"/>
          <w:b/>
          <w:bCs/>
          <w:sz w:val="20"/>
          <w:szCs w:val="20"/>
        </w:rPr>
      </w:pPr>
      <w:r w:rsidRPr="00531E52">
        <w:rPr>
          <w:rFonts w:ascii="Arial" w:eastAsia="Times New Roman" w:hAnsi="Arial" w:cs="Arial"/>
          <w:b/>
          <w:bCs/>
          <w:sz w:val="20"/>
          <w:szCs w:val="20"/>
        </w:rPr>
        <w:lastRenderedPageBreak/>
        <w:t>1. Introduction</w:t>
      </w:r>
    </w:p>
    <w:p w14:paraId="5C5D2211" w14:textId="77777777" w:rsidR="00DF11A9" w:rsidRDefault="00DF11A9" w:rsidP="00C227E7">
      <w:pPr>
        <w:spacing w:after="0" w:line="240" w:lineRule="auto"/>
        <w:jc w:val="both"/>
        <w:outlineLvl w:val="1"/>
        <w:rPr>
          <w:rFonts w:ascii="Arial" w:eastAsia="Times New Roman" w:hAnsi="Arial" w:cs="Arial"/>
          <w:sz w:val="20"/>
          <w:szCs w:val="20"/>
        </w:rPr>
      </w:pPr>
    </w:p>
    <w:p w14:paraId="24B1AC08" w14:textId="78DBD0EC" w:rsidR="00CA43C2" w:rsidRDefault="00CA43C2" w:rsidP="00C227E7">
      <w:pPr>
        <w:spacing w:after="0" w:line="240" w:lineRule="auto"/>
        <w:jc w:val="both"/>
        <w:outlineLvl w:val="1"/>
        <w:rPr>
          <w:rFonts w:ascii="Arial" w:eastAsia="Times New Roman" w:hAnsi="Arial" w:cs="Arial"/>
          <w:sz w:val="20"/>
          <w:szCs w:val="20"/>
        </w:rPr>
      </w:pPr>
      <w:r w:rsidRPr="00CA43C2">
        <w:rPr>
          <w:rFonts w:ascii="Arial" w:eastAsia="Times New Roman" w:hAnsi="Arial" w:cs="Arial"/>
          <w:sz w:val="20"/>
          <w:szCs w:val="20"/>
        </w:rPr>
        <w:t xml:space="preserve">Pesticides have been integral to modern agricultural intensification and vector-borne disease control since the mid-20th century. The large-scale deployment of synthetic pesticides began after the discovery of dichloro-diphenyl-trichloroethane (DDT) in the 1930s, which marked a transformative moment in chemical pest management. Although early applications were celebrated for reducing crop losses and controlling malaria vectors, concerns regarding ecological persistence, bioaccumulation, and toxicity emerged within decades (IARC, 2015; </w:t>
      </w:r>
      <w:proofErr w:type="spellStart"/>
      <w:r w:rsidRPr="00CA43C2">
        <w:rPr>
          <w:rFonts w:ascii="Arial" w:eastAsia="Times New Roman" w:hAnsi="Arial" w:cs="Arial"/>
          <w:sz w:val="20"/>
          <w:szCs w:val="20"/>
        </w:rPr>
        <w:t>Mostafalou</w:t>
      </w:r>
      <w:proofErr w:type="spellEnd"/>
      <w:r w:rsidRPr="00CA43C2">
        <w:rPr>
          <w:rFonts w:ascii="Arial" w:eastAsia="Times New Roman" w:hAnsi="Arial" w:cs="Arial"/>
          <w:sz w:val="20"/>
          <w:szCs w:val="20"/>
        </w:rPr>
        <w:t xml:space="preserve"> </w:t>
      </w:r>
      <w:r w:rsidR="00A96EB1">
        <w:rPr>
          <w:rFonts w:ascii="Arial" w:eastAsia="Times New Roman" w:hAnsi="Arial" w:cs="Arial"/>
          <w:sz w:val="20"/>
          <w:szCs w:val="20"/>
        </w:rPr>
        <w:t>and</w:t>
      </w:r>
      <w:r w:rsidRPr="00CA43C2">
        <w:rPr>
          <w:rFonts w:ascii="Arial" w:eastAsia="Times New Roman" w:hAnsi="Arial" w:cs="Arial"/>
          <w:sz w:val="20"/>
          <w:szCs w:val="20"/>
        </w:rPr>
        <w:t xml:space="preserve"> </w:t>
      </w:r>
      <w:proofErr w:type="spellStart"/>
      <w:r w:rsidRPr="00CA43C2">
        <w:rPr>
          <w:rFonts w:ascii="Arial" w:eastAsia="Times New Roman" w:hAnsi="Arial" w:cs="Arial"/>
          <w:sz w:val="20"/>
          <w:szCs w:val="20"/>
        </w:rPr>
        <w:t>Abdollahi</w:t>
      </w:r>
      <w:proofErr w:type="spellEnd"/>
      <w:r w:rsidRPr="00CA43C2">
        <w:rPr>
          <w:rFonts w:ascii="Arial" w:eastAsia="Times New Roman" w:hAnsi="Arial" w:cs="Arial"/>
          <w:sz w:val="20"/>
          <w:szCs w:val="20"/>
        </w:rPr>
        <w:t xml:space="preserve">, 2013). The subsequent development of organophosphates, carbamates, pyrethroids and newer systemic insecticides such as neonicotinoids diversified pesticide chemistry but did not eliminate concerns about unintended biological effects. Globally, pesticide usage continues to rise in response to increasing food demand and agricultural intensification. Contemporary formulations include insecticides, herbicides, fungicides, rodenticides and adjuvants, each designed to target specific biochemical pathways in pests. However, these biochemical targets—such as acetylcholinesterase inhibition, sodium channel modulation, and mitochondrial interference—are often conserved across taxa, resulting in non-target toxicity (Ahmad </w:t>
      </w:r>
      <w:r w:rsidR="00DA06B6" w:rsidRPr="00DA06B6">
        <w:rPr>
          <w:rFonts w:ascii="Arial" w:eastAsia="Times New Roman" w:hAnsi="Arial" w:cs="Arial"/>
          <w:i/>
          <w:sz w:val="20"/>
          <w:szCs w:val="20"/>
        </w:rPr>
        <w:t>et al</w:t>
      </w:r>
      <w:r w:rsidRPr="00CA43C2">
        <w:rPr>
          <w:rFonts w:ascii="Arial" w:eastAsia="Times New Roman" w:hAnsi="Arial" w:cs="Arial"/>
          <w:sz w:val="20"/>
          <w:szCs w:val="20"/>
        </w:rPr>
        <w:t xml:space="preserve">., 2024; </w:t>
      </w:r>
      <w:proofErr w:type="spellStart"/>
      <w:r w:rsidRPr="00CA43C2">
        <w:rPr>
          <w:rFonts w:ascii="Arial" w:eastAsia="Times New Roman" w:hAnsi="Arial" w:cs="Arial"/>
          <w:sz w:val="20"/>
          <w:szCs w:val="20"/>
        </w:rPr>
        <w:t>Sule</w:t>
      </w:r>
      <w:proofErr w:type="spellEnd"/>
      <w:r w:rsidRPr="00CA43C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Pr="00CA43C2">
        <w:rPr>
          <w:rFonts w:ascii="Arial" w:eastAsia="Times New Roman" w:hAnsi="Arial" w:cs="Arial"/>
          <w:sz w:val="20"/>
          <w:szCs w:val="20"/>
        </w:rPr>
        <w:t>., 2022). Chronic, low-dose exposure has become a major area of concern, particularly in occupational settings and agricultural communities. Beyond human health, ecological consequences are increasingly documented. Collectively, these findings highlight the complex interplay between chemical pest control, environmental sustainability and public health. While pesticides remain important tools for global food security, emerging mechanistic insights emphasize oxidative stress, endocrine modulation, neurotoxicity, and immunotoxicity as central toxicological themes. This review therefore synthesizes historical evolution, classification, mechanistic pathways and multi-level impacts of pesticides on animals, ecosystems and human health, while identifying research gaps and mitigation strategies necessary for sustainable risk management.</w:t>
      </w:r>
    </w:p>
    <w:p w14:paraId="539C23AA" w14:textId="7458C114" w:rsidR="00CA43C2" w:rsidRDefault="00B76DC0" w:rsidP="00C227E7">
      <w:pPr>
        <w:spacing w:after="0" w:line="240" w:lineRule="auto"/>
        <w:jc w:val="both"/>
        <w:outlineLvl w:val="1"/>
        <w:rPr>
          <w:rFonts w:ascii="Arial" w:eastAsia="Times New Roman" w:hAnsi="Arial" w:cs="Arial"/>
          <w:sz w:val="20"/>
          <w:szCs w:val="20"/>
        </w:rPr>
      </w:pPr>
      <w:r w:rsidRPr="00813E20">
        <w:rPr>
          <w:rFonts w:ascii="Arial" w:eastAsia="Times New Roman" w:hAnsi="Arial" w:cs="Arial"/>
          <w:sz w:val="20"/>
          <w:szCs w:val="20"/>
          <w:highlight w:val="yellow"/>
        </w:rPr>
        <w:t xml:space="preserve">Beyond agricultural productivity, pesticides influence food security economics, occupational health, biodiversity conservation, and planetary boundaries. The Food and Agriculture Organization estimates that pesticides contribute substantially to crop yield stabilization; however, environmental contamination and health-care costs linked to exposure impose significant socioeconomic burdens. Increasing global regulatory scrutiny reflects recognition that pesticide exposure intersects with climate change, pollinator decline, antimicrobial resistance, and endocrine health challenges (Vandenberg et al., 2025; Pathak et al., 2022). Therefore, a mechanistic and translational synthesis is necessary </w:t>
      </w:r>
      <w:r w:rsidR="003163E0">
        <w:rPr>
          <w:rFonts w:ascii="Arial" w:eastAsia="Times New Roman" w:hAnsi="Arial" w:cs="Arial"/>
          <w:sz w:val="20"/>
          <w:szCs w:val="20"/>
          <w:highlight w:val="yellow"/>
        </w:rPr>
        <w:t>for a</w:t>
      </w:r>
      <w:r w:rsidRPr="00813E20">
        <w:rPr>
          <w:rFonts w:ascii="Arial" w:eastAsia="Times New Roman" w:hAnsi="Arial" w:cs="Arial"/>
          <w:sz w:val="20"/>
          <w:szCs w:val="20"/>
          <w:highlight w:val="yellow"/>
        </w:rPr>
        <w:t xml:space="preserve"> sustainable policy and toxicological risk assessment.</w:t>
      </w:r>
    </w:p>
    <w:p w14:paraId="1EC610DB" w14:textId="77777777" w:rsidR="00C808C3" w:rsidRDefault="00C808C3" w:rsidP="00C227E7">
      <w:pPr>
        <w:spacing w:after="0" w:line="240" w:lineRule="auto"/>
        <w:jc w:val="both"/>
        <w:outlineLvl w:val="1"/>
        <w:rPr>
          <w:rFonts w:ascii="Arial" w:eastAsia="Times New Roman" w:hAnsi="Arial" w:cs="Arial"/>
          <w:sz w:val="20"/>
          <w:szCs w:val="20"/>
        </w:rPr>
      </w:pPr>
    </w:p>
    <w:p w14:paraId="2EB124BC" w14:textId="5B1CA13B" w:rsidR="008D725C" w:rsidRPr="008D725C" w:rsidRDefault="008D725C" w:rsidP="008D725C">
      <w:pPr>
        <w:spacing w:after="0" w:line="240" w:lineRule="auto"/>
        <w:jc w:val="both"/>
        <w:outlineLvl w:val="1"/>
        <w:rPr>
          <w:rFonts w:ascii="Arial" w:eastAsia="Times New Roman" w:hAnsi="Arial" w:cs="Arial"/>
          <w:b/>
          <w:bCs/>
          <w:sz w:val="20"/>
          <w:szCs w:val="20"/>
        </w:rPr>
      </w:pPr>
      <w:r w:rsidRPr="008D725C">
        <w:rPr>
          <w:rFonts w:ascii="Arial" w:eastAsia="Times New Roman" w:hAnsi="Arial" w:cs="Arial"/>
          <w:b/>
          <w:bCs/>
          <w:sz w:val="20"/>
          <w:szCs w:val="20"/>
          <w:highlight w:val="yellow"/>
        </w:rPr>
        <w:t>2. Literature Review Methodology</w:t>
      </w:r>
      <w:r w:rsidRPr="008D725C">
        <w:rPr>
          <w:rFonts w:ascii="Arial" w:eastAsia="Times New Roman" w:hAnsi="Arial" w:cs="Arial"/>
          <w:b/>
          <w:bCs/>
          <w:sz w:val="20"/>
          <w:szCs w:val="20"/>
        </w:rPr>
        <w:t xml:space="preserve"> </w:t>
      </w:r>
    </w:p>
    <w:p w14:paraId="78B80104" w14:textId="77777777" w:rsidR="008D725C" w:rsidRDefault="008D725C" w:rsidP="008D725C">
      <w:pPr>
        <w:spacing w:after="0" w:line="240" w:lineRule="auto"/>
        <w:jc w:val="both"/>
        <w:outlineLvl w:val="1"/>
        <w:rPr>
          <w:rFonts w:ascii="Arial" w:eastAsia="Times New Roman" w:hAnsi="Arial" w:cs="Arial"/>
          <w:bCs/>
          <w:sz w:val="20"/>
          <w:szCs w:val="20"/>
        </w:rPr>
      </w:pPr>
    </w:p>
    <w:p w14:paraId="5CDB0275" w14:textId="6F9EE8CB" w:rsidR="008D725C" w:rsidRPr="008D725C" w:rsidRDefault="008D725C" w:rsidP="008D725C">
      <w:pPr>
        <w:spacing w:after="0" w:line="240" w:lineRule="auto"/>
        <w:jc w:val="both"/>
        <w:outlineLvl w:val="1"/>
        <w:rPr>
          <w:rFonts w:ascii="Arial" w:eastAsia="Times New Roman" w:hAnsi="Arial" w:cs="Arial"/>
          <w:bCs/>
          <w:sz w:val="20"/>
          <w:szCs w:val="20"/>
          <w:highlight w:val="yellow"/>
        </w:rPr>
      </w:pPr>
      <w:r w:rsidRPr="008D725C">
        <w:rPr>
          <w:rFonts w:ascii="Arial" w:eastAsia="Times New Roman" w:hAnsi="Arial" w:cs="Arial"/>
          <w:bCs/>
          <w:sz w:val="20"/>
          <w:szCs w:val="20"/>
          <w:highlight w:val="yellow"/>
        </w:rPr>
        <w:t>This review was conducted following PRISMA-informed principles for narrative syntheses. Electronic databases including PubMed, Scopus, Web of Science, and Google Scholar were searched for studies published. Search terms included combinations of: “pesticide toxicity,” “oxidative stress,” “immunotoxicity,” “endocrine disruption,” “neurodegeneration,” “carcinogenicity,” “ecotoxicology,” “pollinator decline” and “aquatic contamination.”</w:t>
      </w:r>
    </w:p>
    <w:p w14:paraId="6FBAC292" w14:textId="77777777" w:rsidR="008D725C" w:rsidRDefault="008D725C" w:rsidP="008D725C">
      <w:pPr>
        <w:spacing w:after="0" w:line="240" w:lineRule="auto"/>
        <w:jc w:val="both"/>
        <w:outlineLvl w:val="1"/>
        <w:rPr>
          <w:rFonts w:ascii="Arial" w:eastAsia="Times New Roman" w:hAnsi="Arial" w:cs="Arial"/>
          <w:bCs/>
          <w:sz w:val="20"/>
          <w:szCs w:val="20"/>
          <w:highlight w:val="yellow"/>
        </w:rPr>
      </w:pPr>
    </w:p>
    <w:p w14:paraId="105A33E8" w14:textId="18C94409" w:rsidR="008D725C" w:rsidRPr="008D725C" w:rsidRDefault="008D725C" w:rsidP="008D725C">
      <w:pPr>
        <w:spacing w:after="0" w:line="240" w:lineRule="auto"/>
        <w:jc w:val="both"/>
        <w:outlineLvl w:val="1"/>
        <w:rPr>
          <w:rFonts w:ascii="Arial" w:eastAsia="Times New Roman" w:hAnsi="Arial" w:cs="Arial"/>
          <w:bCs/>
          <w:sz w:val="20"/>
          <w:szCs w:val="20"/>
        </w:rPr>
      </w:pPr>
      <w:r w:rsidRPr="008D725C">
        <w:rPr>
          <w:rFonts w:ascii="Arial" w:eastAsia="Times New Roman" w:hAnsi="Arial" w:cs="Arial"/>
          <w:bCs/>
          <w:sz w:val="20"/>
          <w:szCs w:val="20"/>
          <w:highlight w:val="yellow"/>
        </w:rPr>
        <w:t>Inclusion criteria comprised peer-reviewed research articles, systematic reviews, meta-analyses, and regulatory assessments in English. Exclusion criteria included non-peer-reviewed sources, conference abstracts without full data, and studies lacking mechanistic or ecological relevance.</w:t>
      </w:r>
      <w:r w:rsidR="00A12909">
        <w:rPr>
          <w:rFonts w:ascii="Arial" w:eastAsia="Times New Roman" w:hAnsi="Arial" w:cs="Arial"/>
          <w:bCs/>
          <w:sz w:val="20"/>
          <w:szCs w:val="20"/>
          <w:highlight w:val="yellow"/>
        </w:rPr>
        <w:t xml:space="preserve"> </w:t>
      </w:r>
      <w:r w:rsidRPr="008D725C">
        <w:rPr>
          <w:rFonts w:ascii="Arial" w:eastAsia="Times New Roman" w:hAnsi="Arial" w:cs="Arial"/>
          <w:bCs/>
          <w:sz w:val="20"/>
          <w:szCs w:val="20"/>
          <w:highlight w:val="yellow"/>
        </w:rPr>
        <w:t>Two-stage screening (title/abstract followed by full text review) was conducted to minimize bias. Priority was given to high-impact journals, systematic reviews and studies employing validated biomarkers.</w:t>
      </w:r>
    </w:p>
    <w:p w14:paraId="486E418F" w14:textId="77777777" w:rsidR="008D725C" w:rsidRDefault="008D725C" w:rsidP="008D725C">
      <w:pPr>
        <w:spacing w:after="0" w:line="240" w:lineRule="auto"/>
        <w:jc w:val="both"/>
        <w:outlineLvl w:val="1"/>
        <w:rPr>
          <w:rFonts w:ascii="Arial" w:eastAsia="Times New Roman" w:hAnsi="Arial" w:cs="Arial"/>
          <w:b/>
          <w:bCs/>
          <w:sz w:val="20"/>
          <w:szCs w:val="20"/>
        </w:rPr>
      </w:pPr>
    </w:p>
    <w:p w14:paraId="18656064" w14:textId="4EEAFFBF" w:rsidR="00AE02FC" w:rsidRPr="00531E52" w:rsidRDefault="008D725C" w:rsidP="008D725C">
      <w:pPr>
        <w:spacing w:after="0"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3</w:t>
      </w:r>
      <w:r w:rsidR="00AE02FC" w:rsidRPr="00531E52">
        <w:rPr>
          <w:rFonts w:ascii="Arial" w:eastAsia="Times New Roman" w:hAnsi="Arial" w:cs="Arial"/>
          <w:b/>
          <w:bCs/>
          <w:sz w:val="20"/>
          <w:szCs w:val="20"/>
        </w:rPr>
        <w:t>. Historical perspective and trajectory of use</w:t>
      </w:r>
    </w:p>
    <w:p w14:paraId="62E592DE" w14:textId="77777777" w:rsidR="00DF11A9" w:rsidRDefault="00DF11A9" w:rsidP="00C227E7">
      <w:pPr>
        <w:spacing w:after="0" w:line="240" w:lineRule="auto"/>
        <w:jc w:val="both"/>
        <w:rPr>
          <w:rFonts w:ascii="Arial" w:eastAsia="Times New Roman" w:hAnsi="Arial" w:cs="Arial"/>
          <w:sz w:val="20"/>
          <w:szCs w:val="20"/>
        </w:rPr>
      </w:pPr>
    </w:p>
    <w:p w14:paraId="042FA922" w14:textId="305E08FB" w:rsidR="00AE02FC" w:rsidRPr="00531E52" w:rsidRDefault="00AE02FC" w:rsidP="00C227E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 xml:space="preserve">Historically, pest control relied on botanical extracts (pyrethrum), inorganic agents (sulfur, arsenicals), and physical measures. The era of synthetic organic pesticides began in earnest with DDT’s large-scale deployment in the 1940s, transforming vector control and agricultural productivity but later generating ecological crises due to persistence, bioaccumulation and food-web impacts </w:t>
      </w:r>
      <w:r w:rsidR="00130D7E" w:rsidRPr="00531E52">
        <w:rPr>
          <w:rFonts w:ascii="Arial" w:eastAsia="Times New Roman" w:hAnsi="Arial" w:cs="Arial"/>
          <w:sz w:val="20"/>
          <w:szCs w:val="20"/>
        </w:rPr>
        <w:t>(</w:t>
      </w:r>
      <w:proofErr w:type="spellStart"/>
      <w:r w:rsidR="00130D7E" w:rsidRPr="00531E52">
        <w:rPr>
          <w:rFonts w:ascii="Arial" w:eastAsia="Times New Roman" w:hAnsi="Arial" w:cs="Arial"/>
          <w:sz w:val="20"/>
          <w:szCs w:val="20"/>
        </w:rPr>
        <w:t>Sule</w:t>
      </w:r>
      <w:proofErr w:type="spellEnd"/>
      <w:r w:rsidR="00130D7E"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130D7E" w:rsidRPr="00531E52">
        <w:rPr>
          <w:rFonts w:ascii="Arial" w:eastAsia="Times New Roman" w:hAnsi="Arial" w:cs="Arial"/>
          <w:sz w:val="20"/>
          <w:szCs w:val="20"/>
        </w:rPr>
        <w:t>. 2022)</w:t>
      </w:r>
      <w:r w:rsidRPr="00531E52">
        <w:rPr>
          <w:rFonts w:ascii="Arial" w:eastAsia="Times New Roman" w:hAnsi="Arial" w:cs="Arial"/>
          <w:sz w:val="20"/>
          <w:szCs w:val="20"/>
        </w:rPr>
        <w:t xml:space="preserve">. The post-DDT era saw development of organophosphates and carbamates—chemicals designed for greater biodegradability but with heightened acute vertebrate toxicity. From the 1990s onwards, production has shifted toward pyrethroids, </w:t>
      </w:r>
      <w:r w:rsidRPr="00531E52">
        <w:rPr>
          <w:rFonts w:ascii="Arial" w:eastAsia="Times New Roman" w:hAnsi="Arial" w:cs="Arial"/>
          <w:sz w:val="20"/>
          <w:szCs w:val="20"/>
        </w:rPr>
        <w:lastRenderedPageBreak/>
        <w:t xml:space="preserve">neonicotinoids and herbicides such as glyphosate, reflecting changes in pest management strategies and agrochemical markets </w:t>
      </w:r>
      <w:r w:rsidR="00130D7E" w:rsidRPr="00531E52">
        <w:rPr>
          <w:rFonts w:ascii="Arial" w:eastAsia="Times New Roman" w:hAnsi="Arial" w:cs="Arial"/>
          <w:sz w:val="20"/>
          <w:szCs w:val="20"/>
        </w:rPr>
        <w:t xml:space="preserve">(Ahmad </w:t>
      </w:r>
      <w:r w:rsidR="00DA06B6" w:rsidRPr="00DA06B6">
        <w:rPr>
          <w:rFonts w:ascii="Arial" w:eastAsia="Times New Roman" w:hAnsi="Arial" w:cs="Arial"/>
          <w:i/>
          <w:sz w:val="20"/>
          <w:szCs w:val="20"/>
        </w:rPr>
        <w:t>et al</w:t>
      </w:r>
      <w:r w:rsidR="00130D7E" w:rsidRPr="00531E52">
        <w:rPr>
          <w:rFonts w:ascii="Arial" w:eastAsia="Times New Roman" w:hAnsi="Arial" w:cs="Arial"/>
          <w:sz w:val="20"/>
          <w:szCs w:val="20"/>
        </w:rPr>
        <w:t xml:space="preserve">., 2024; Shekhar </w:t>
      </w:r>
      <w:r w:rsidR="00DA06B6" w:rsidRPr="00DA06B6">
        <w:rPr>
          <w:rFonts w:ascii="Arial" w:eastAsia="Times New Roman" w:hAnsi="Arial" w:cs="Arial"/>
          <w:i/>
          <w:sz w:val="20"/>
          <w:szCs w:val="20"/>
        </w:rPr>
        <w:t>et al</w:t>
      </w:r>
      <w:r w:rsidR="00130D7E" w:rsidRPr="00531E52">
        <w:rPr>
          <w:rFonts w:ascii="Arial" w:eastAsia="Times New Roman" w:hAnsi="Arial" w:cs="Arial"/>
          <w:sz w:val="20"/>
          <w:szCs w:val="20"/>
        </w:rPr>
        <w:t>., 2024)</w:t>
      </w:r>
      <w:r w:rsidRPr="00531E52">
        <w:rPr>
          <w:rFonts w:ascii="Arial" w:eastAsia="Times New Roman" w:hAnsi="Arial" w:cs="Arial"/>
          <w:sz w:val="20"/>
          <w:szCs w:val="20"/>
        </w:rPr>
        <w:t xml:space="preserve">. </w:t>
      </w:r>
    </w:p>
    <w:p w14:paraId="72BF06AC" w14:textId="77777777" w:rsidR="005760D1" w:rsidRPr="00531E52" w:rsidRDefault="005760D1" w:rsidP="00C227E7">
      <w:pPr>
        <w:spacing w:after="0" w:line="240" w:lineRule="auto"/>
        <w:jc w:val="both"/>
        <w:outlineLvl w:val="1"/>
        <w:rPr>
          <w:rFonts w:ascii="Arial" w:eastAsia="Times New Roman" w:hAnsi="Arial" w:cs="Arial"/>
          <w:b/>
          <w:bCs/>
          <w:sz w:val="20"/>
          <w:szCs w:val="20"/>
        </w:rPr>
      </w:pPr>
    </w:p>
    <w:p w14:paraId="1CFFDF29" w14:textId="2A4FF419" w:rsidR="00AE02FC" w:rsidRPr="00531E52" w:rsidRDefault="008D725C" w:rsidP="00C227E7">
      <w:pPr>
        <w:spacing w:after="0"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4</w:t>
      </w:r>
      <w:r w:rsidR="00AE02FC" w:rsidRPr="00531E52">
        <w:rPr>
          <w:rFonts w:ascii="Arial" w:eastAsia="Times New Roman" w:hAnsi="Arial" w:cs="Arial"/>
          <w:b/>
          <w:bCs/>
          <w:sz w:val="20"/>
          <w:szCs w:val="20"/>
        </w:rPr>
        <w:t>. Classification of pestici</w:t>
      </w:r>
      <w:r w:rsidR="00DA6CD7" w:rsidRPr="00531E52">
        <w:rPr>
          <w:rFonts w:ascii="Arial" w:eastAsia="Times New Roman" w:hAnsi="Arial" w:cs="Arial"/>
          <w:b/>
          <w:bCs/>
          <w:sz w:val="20"/>
          <w:szCs w:val="20"/>
        </w:rPr>
        <w:t>de</w:t>
      </w:r>
    </w:p>
    <w:p w14:paraId="65DF43C0" w14:textId="77777777" w:rsidR="00DF11A9" w:rsidRDefault="00DF11A9" w:rsidP="00C227E7">
      <w:pPr>
        <w:spacing w:after="0" w:line="240" w:lineRule="auto"/>
        <w:jc w:val="both"/>
        <w:rPr>
          <w:rFonts w:ascii="Arial" w:eastAsia="Times New Roman" w:hAnsi="Arial" w:cs="Arial"/>
          <w:sz w:val="20"/>
          <w:szCs w:val="20"/>
        </w:rPr>
      </w:pPr>
    </w:p>
    <w:p w14:paraId="5EE9DB50" w14:textId="373AFF2F" w:rsidR="00AE02FC" w:rsidRPr="00531E52" w:rsidRDefault="00AE02FC" w:rsidP="00C227E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 xml:space="preserve">Pesticides can be classified by (A) target organism (e.g., insecticides, herbicides, fungicides), (B) chemical class (organochlorines, organophosphates, carbamates, pyrethroids, neonicotinoids, etc.), and (C) systemic versus contact formulations </w:t>
      </w:r>
      <w:r w:rsidR="00121529" w:rsidRPr="00531E52">
        <w:rPr>
          <w:rFonts w:ascii="Arial" w:eastAsia="Times New Roman" w:hAnsi="Arial" w:cs="Arial"/>
          <w:sz w:val="20"/>
          <w:szCs w:val="20"/>
        </w:rPr>
        <w:t xml:space="preserve">(Ahmad </w:t>
      </w:r>
      <w:r w:rsidR="00DA06B6" w:rsidRPr="00DA06B6">
        <w:rPr>
          <w:rFonts w:ascii="Arial" w:eastAsia="Times New Roman" w:hAnsi="Arial" w:cs="Arial"/>
          <w:i/>
          <w:sz w:val="20"/>
          <w:szCs w:val="20"/>
        </w:rPr>
        <w:t>et al</w:t>
      </w:r>
      <w:r w:rsidR="00121529" w:rsidRPr="00531E52">
        <w:rPr>
          <w:rFonts w:ascii="Arial" w:eastAsia="Times New Roman" w:hAnsi="Arial" w:cs="Arial"/>
          <w:sz w:val="20"/>
          <w:szCs w:val="20"/>
        </w:rPr>
        <w:t xml:space="preserve">., 2024). </w:t>
      </w:r>
      <w:r w:rsidRPr="00531E52">
        <w:rPr>
          <w:rFonts w:ascii="Arial" w:eastAsia="Times New Roman" w:hAnsi="Arial" w:cs="Arial"/>
          <w:sz w:val="20"/>
          <w:szCs w:val="20"/>
        </w:rPr>
        <w:t xml:space="preserve">Key modern concerns derive from class-specific features: organochlorines (OCs) are persistent and lipophilic and prone to </w:t>
      </w:r>
      <w:proofErr w:type="spellStart"/>
      <w:r w:rsidRPr="00531E52">
        <w:rPr>
          <w:rFonts w:ascii="Arial" w:eastAsia="Times New Roman" w:hAnsi="Arial" w:cs="Arial"/>
          <w:sz w:val="20"/>
          <w:szCs w:val="20"/>
        </w:rPr>
        <w:t>biomagnify</w:t>
      </w:r>
      <w:proofErr w:type="spellEnd"/>
      <w:r w:rsidRPr="00531E52">
        <w:rPr>
          <w:rFonts w:ascii="Arial" w:eastAsia="Times New Roman" w:hAnsi="Arial" w:cs="Arial"/>
          <w:sz w:val="20"/>
          <w:szCs w:val="20"/>
        </w:rPr>
        <w:t xml:space="preserve">; organophosphates (OPs) are potent anti-cholinesterase agents with acute neurotoxicity; neonicotinoids are systemic and implicated in pollinator decline; herbicides (e.g., glyphosate) are debated for carcinogenicity and endocrine activity </w:t>
      </w:r>
      <w:r w:rsidR="00025C0D" w:rsidRPr="00531E52">
        <w:rPr>
          <w:rFonts w:ascii="Arial" w:eastAsia="Times New Roman" w:hAnsi="Arial" w:cs="Arial"/>
          <w:sz w:val="20"/>
          <w:szCs w:val="20"/>
        </w:rPr>
        <w:t>(</w:t>
      </w:r>
      <w:r w:rsidR="00547AA7" w:rsidRPr="00531E52">
        <w:rPr>
          <w:rFonts w:ascii="Arial" w:eastAsia="Times New Roman" w:hAnsi="Arial" w:cs="Arial"/>
          <w:sz w:val="20"/>
          <w:szCs w:val="20"/>
        </w:rPr>
        <w:t xml:space="preserve">Mitra </w:t>
      </w:r>
      <w:r w:rsidR="00DA06B6" w:rsidRPr="00DA06B6">
        <w:rPr>
          <w:rFonts w:ascii="Arial" w:eastAsia="Times New Roman" w:hAnsi="Arial" w:cs="Arial"/>
          <w:i/>
          <w:sz w:val="20"/>
          <w:szCs w:val="20"/>
        </w:rPr>
        <w:t>et al</w:t>
      </w:r>
      <w:r w:rsidR="00547AA7" w:rsidRPr="00531E52">
        <w:rPr>
          <w:rFonts w:ascii="Arial" w:eastAsia="Times New Roman" w:hAnsi="Arial" w:cs="Arial"/>
          <w:sz w:val="20"/>
          <w:szCs w:val="20"/>
        </w:rPr>
        <w:t xml:space="preserve">., 2011; Pathak </w:t>
      </w:r>
      <w:r w:rsidR="00DA06B6" w:rsidRPr="00DA06B6">
        <w:rPr>
          <w:rFonts w:ascii="Arial" w:eastAsia="Times New Roman" w:hAnsi="Arial" w:cs="Arial"/>
          <w:i/>
          <w:sz w:val="20"/>
          <w:szCs w:val="20"/>
        </w:rPr>
        <w:t>et al</w:t>
      </w:r>
      <w:r w:rsidR="00547AA7" w:rsidRPr="00531E52">
        <w:rPr>
          <w:rFonts w:ascii="Arial" w:eastAsia="Times New Roman" w:hAnsi="Arial" w:cs="Arial"/>
          <w:sz w:val="20"/>
          <w:szCs w:val="20"/>
        </w:rPr>
        <w:t>., 2022</w:t>
      </w:r>
      <w:r w:rsidR="00025C0D" w:rsidRPr="00531E52">
        <w:rPr>
          <w:rFonts w:ascii="Arial" w:eastAsia="Times New Roman" w:hAnsi="Arial" w:cs="Arial"/>
          <w:sz w:val="20"/>
          <w:szCs w:val="20"/>
        </w:rPr>
        <w:t>)</w:t>
      </w:r>
      <w:r w:rsidRPr="00531E52">
        <w:rPr>
          <w:rFonts w:ascii="Arial" w:eastAsia="Times New Roman" w:hAnsi="Arial" w:cs="Arial"/>
          <w:sz w:val="20"/>
          <w:szCs w:val="20"/>
        </w:rPr>
        <w:t xml:space="preserve">. </w:t>
      </w:r>
    </w:p>
    <w:p w14:paraId="4FCC1B22" w14:textId="77777777" w:rsidR="005760D1" w:rsidRPr="00531E52" w:rsidRDefault="005760D1" w:rsidP="00C227E7">
      <w:pPr>
        <w:spacing w:after="0" w:line="240" w:lineRule="auto"/>
        <w:jc w:val="both"/>
        <w:rPr>
          <w:rFonts w:ascii="Arial" w:eastAsia="Times New Roman" w:hAnsi="Arial" w:cs="Arial"/>
          <w:b/>
          <w:sz w:val="20"/>
          <w:szCs w:val="20"/>
        </w:rPr>
      </w:pPr>
    </w:p>
    <w:p w14:paraId="00A26499" w14:textId="30171969" w:rsidR="00B828EC" w:rsidRPr="00531E52" w:rsidRDefault="008D725C" w:rsidP="00C227E7">
      <w:pPr>
        <w:pStyle w:val="Heading1"/>
        <w:spacing w:before="0" w:beforeAutospacing="0" w:after="0" w:afterAutospacing="0"/>
        <w:jc w:val="both"/>
        <w:rPr>
          <w:rFonts w:ascii="Arial" w:hAnsi="Arial" w:cs="Arial"/>
          <w:sz w:val="20"/>
          <w:szCs w:val="20"/>
        </w:rPr>
      </w:pPr>
      <w:r>
        <w:rPr>
          <w:rFonts w:ascii="Arial" w:hAnsi="Arial" w:cs="Arial"/>
          <w:sz w:val="20"/>
          <w:szCs w:val="20"/>
        </w:rPr>
        <w:t>5</w:t>
      </w:r>
      <w:r w:rsidR="00531E52">
        <w:rPr>
          <w:rFonts w:ascii="Arial" w:hAnsi="Arial" w:cs="Arial"/>
          <w:sz w:val="20"/>
          <w:szCs w:val="20"/>
        </w:rPr>
        <w:t>.</w:t>
      </w:r>
      <w:r w:rsidR="00B828EC" w:rsidRPr="00531E52">
        <w:rPr>
          <w:rFonts w:ascii="Arial" w:hAnsi="Arial" w:cs="Arial"/>
          <w:sz w:val="20"/>
          <w:szCs w:val="20"/>
        </w:rPr>
        <w:t xml:space="preserve"> Mechanisms of Action and Common Toxicological Pathways</w:t>
      </w:r>
    </w:p>
    <w:p w14:paraId="7808A936" w14:textId="77777777" w:rsidR="00DF11A9" w:rsidRDefault="00DF11A9" w:rsidP="00C227E7">
      <w:pPr>
        <w:spacing w:after="0" w:line="240" w:lineRule="auto"/>
        <w:jc w:val="both"/>
        <w:rPr>
          <w:rFonts w:ascii="Arial" w:eastAsia="Times New Roman" w:hAnsi="Arial" w:cs="Arial"/>
          <w:sz w:val="20"/>
          <w:szCs w:val="20"/>
        </w:rPr>
      </w:pPr>
    </w:p>
    <w:p w14:paraId="60FBDF0F" w14:textId="242B11A9" w:rsidR="00D93149" w:rsidRPr="00531E52" w:rsidRDefault="00B828EC" w:rsidP="00C227E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Pesticides exert their biological effects through specific biochemical targets that subsequently initiate systemic and ecological consequences. Although individual compounds differ in structure and intended mode of action, several conserved toxicological pathways have been identified across pesticide classes.</w:t>
      </w:r>
      <w:r w:rsidR="00D93149" w:rsidRPr="00531E52">
        <w:rPr>
          <w:rFonts w:ascii="Arial" w:eastAsia="Times New Roman" w:hAnsi="Arial" w:cs="Arial"/>
          <w:sz w:val="20"/>
          <w:szCs w:val="20"/>
        </w:rPr>
        <w:t xml:space="preserve"> The widespread application of synthetic pesticides in agriculture, public health, and domestic settings has contributed substantially to crop protection and vector control; however, accumulating evidence demonstrates significant adverse consequences for humans, animals, and ecosystems. Contemporary toxicological research indicates that pesticide toxicity is rarely confined to acute poisoning events; instead, chronic, low-dose exposures may induce oxidative stress, immune dysregulation, neurotoxicity, endocrine disruption, and ecological imbalance (Ahmad </w:t>
      </w:r>
      <w:r w:rsidR="00DA06B6" w:rsidRPr="00DA06B6">
        <w:rPr>
          <w:rFonts w:ascii="Arial" w:eastAsia="Times New Roman" w:hAnsi="Arial" w:cs="Arial"/>
          <w:i/>
          <w:sz w:val="20"/>
          <w:szCs w:val="20"/>
        </w:rPr>
        <w:t>et al</w:t>
      </w:r>
      <w:r w:rsidR="00D93149" w:rsidRPr="00531E52">
        <w:rPr>
          <w:rFonts w:ascii="Arial" w:eastAsia="Times New Roman" w:hAnsi="Arial" w:cs="Arial"/>
          <w:sz w:val="20"/>
          <w:szCs w:val="20"/>
        </w:rPr>
        <w:t xml:space="preserve">., 2024; Shekhar </w:t>
      </w:r>
      <w:r w:rsidR="00DA06B6" w:rsidRPr="00DA06B6">
        <w:rPr>
          <w:rFonts w:ascii="Arial" w:eastAsia="Times New Roman" w:hAnsi="Arial" w:cs="Arial"/>
          <w:i/>
          <w:sz w:val="20"/>
          <w:szCs w:val="20"/>
        </w:rPr>
        <w:t>et al</w:t>
      </w:r>
      <w:r w:rsidR="00D93149" w:rsidRPr="00531E52">
        <w:rPr>
          <w:rFonts w:ascii="Arial" w:eastAsia="Times New Roman" w:hAnsi="Arial" w:cs="Arial"/>
          <w:sz w:val="20"/>
          <w:szCs w:val="20"/>
        </w:rPr>
        <w:t xml:space="preserve">., 2024). </w:t>
      </w:r>
      <w:r w:rsidR="005248E2" w:rsidRPr="00531E52">
        <w:rPr>
          <w:rFonts w:ascii="Arial" w:eastAsia="Times New Roman" w:hAnsi="Arial" w:cs="Arial"/>
          <w:sz w:val="20"/>
          <w:szCs w:val="20"/>
        </w:rPr>
        <w:t>Table 1</w:t>
      </w:r>
      <w:r w:rsidR="0012380B">
        <w:rPr>
          <w:rFonts w:ascii="Arial" w:eastAsia="Times New Roman" w:hAnsi="Arial" w:cs="Arial"/>
          <w:sz w:val="20"/>
          <w:szCs w:val="20"/>
        </w:rPr>
        <w:t xml:space="preserve"> </w:t>
      </w:r>
      <w:r w:rsidR="005248E2" w:rsidRPr="00531E52">
        <w:rPr>
          <w:rFonts w:ascii="Arial" w:eastAsia="Times New Roman" w:hAnsi="Arial" w:cs="Arial"/>
          <w:sz w:val="20"/>
          <w:szCs w:val="20"/>
        </w:rPr>
        <w:t>summarizes commonly used classes, representative active ingredients, and general properties (persistence, primary target, human toxicity profile).</w:t>
      </w:r>
    </w:p>
    <w:p w14:paraId="49FA4244" w14:textId="77777777" w:rsidR="00DF11A9" w:rsidRDefault="00DF11A9" w:rsidP="00C227E7">
      <w:pPr>
        <w:spacing w:after="0" w:line="240" w:lineRule="auto"/>
        <w:jc w:val="both"/>
        <w:outlineLvl w:val="1"/>
        <w:rPr>
          <w:rFonts w:ascii="Arial" w:eastAsia="Times New Roman" w:hAnsi="Arial" w:cs="Arial"/>
          <w:b/>
          <w:bCs/>
          <w:sz w:val="20"/>
          <w:szCs w:val="20"/>
        </w:rPr>
      </w:pPr>
    </w:p>
    <w:p w14:paraId="3FA598D9" w14:textId="28C61D2B" w:rsidR="00B828EC" w:rsidRPr="00531E52" w:rsidRDefault="008D725C" w:rsidP="00C227E7">
      <w:pPr>
        <w:spacing w:after="0"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5</w:t>
      </w:r>
      <w:r w:rsidR="00B828EC" w:rsidRPr="00531E52">
        <w:rPr>
          <w:rFonts w:ascii="Arial" w:eastAsia="Times New Roman" w:hAnsi="Arial" w:cs="Arial"/>
          <w:b/>
          <w:bCs/>
          <w:sz w:val="20"/>
          <w:szCs w:val="20"/>
        </w:rPr>
        <w:t>.1 Neurotransmission Interference</w:t>
      </w:r>
    </w:p>
    <w:p w14:paraId="73AFE01D" w14:textId="77777777" w:rsidR="00DF11A9" w:rsidRDefault="00DF11A9" w:rsidP="00C227E7">
      <w:pPr>
        <w:spacing w:after="0" w:line="240" w:lineRule="auto"/>
        <w:jc w:val="both"/>
        <w:rPr>
          <w:rFonts w:ascii="Arial" w:eastAsia="Times New Roman" w:hAnsi="Arial" w:cs="Arial"/>
          <w:sz w:val="20"/>
          <w:szCs w:val="20"/>
        </w:rPr>
      </w:pPr>
    </w:p>
    <w:p w14:paraId="4EE591E0" w14:textId="7FF76462" w:rsidR="00B828EC" w:rsidRPr="00531E52" w:rsidRDefault="00B828EC" w:rsidP="00C227E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Organophosphates (OPs) and carbamates primarily exert toxicity through inhibition of acetylcholinesterase (</w:t>
      </w:r>
      <w:proofErr w:type="spellStart"/>
      <w:r w:rsidRPr="00531E52">
        <w:rPr>
          <w:rFonts w:ascii="Arial" w:eastAsia="Times New Roman" w:hAnsi="Arial" w:cs="Arial"/>
          <w:sz w:val="20"/>
          <w:szCs w:val="20"/>
        </w:rPr>
        <w:t>AChE</w:t>
      </w:r>
      <w:proofErr w:type="spellEnd"/>
      <w:r w:rsidRPr="00531E52">
        <w:rPr>
          <w:rFonts w:ascii="Arial" w:eastAsia="Times New Roman" w:hAnsi="Arial" w:cs="Arial"/>
          <w:sz w:val="20"/>
          <w:szCs w:val="20"/>
        </w:rPr>
        <w:t xml:space="preserve">), leading to accumulation of acetylcholine at synaptic junctions. The resulting cholinergic overstimulation manifests clinically as salivation, bronchoconstriction, bradycardia, muscle fasciculations, seizures, and, in severe cases, respiratory failure and death </w:t>
      </w:r>
      <w:r w:rsidR="005248E2">
        <w:rPr>
          <w:rFonts w:ascii="Arial" w:eastAsia="Times New Roman" w:hAnsi="Arial" w:cs="Arial"/>
          <w:sz w:val="20"/>
          <w:szCs w:val="20"/>
        </w:rPr>
        <w:t>(</w:t>
      </w:r>
      <w:r w:rsidR="000F250B">
        <w:rPr>
          <w:rFonts w:ascii="Arial" w:eastAsia="Times New Roman" w:hAnsi="Arial" w:cs="Arial"/>
          <w:sz w:val="20"/>
          <w:szCs w:val="20"/>
        </w:rPr>
        <w:t>Fulton and Key, 2001</w:t>
      </w:r>
      <w:r w:rsidR="005248E2">
        <w:rPr>
          <w:rFonts w:ascii="Arial" w:eastAsia="Times New Roman" w:hAnsi="Arial" w:cs="Arial"/>
          <w:sz w:val="20"/>
          <w:szCs w:val="20"/>
        </w:rPr>
        <w:t xml:space="preserve">; Ahmad </w:t>
      </w:r>
      <w:r w:rsidR="00DA06B6" w:rsidRPr="00DA06B6">
        <w:rPr>
          <w:rFonts w:ascii="Arial" w:eastAsia="Times New Roman" w:hAnsi="Arial" w:cs="Arial"/>
          <w:i/>
          <w:sz w:val="20"/>
          <w:szCs w:val="20"/>
        </w:rPr>
        <w:t>et al</w:t>
      </w:r>
      <w:r w:rsidR="005248E2">
        <w:rPr>
          <w:rFonts w:ascii="Arial" w:eastAsia="Times New Roman" w:hAnsi="Arial" w:cs="Arial"/>
          <w:sz w:val="20"/>
          <w:szCs w:val="20"/>
        </w:rPr>
        <w:t>., 2024</w:t>
      </w:r>
      <w:r w:rsidR="000F250B">
        <w:rPr>
          <w:rFonts w:ascii="Arial" w:eastAsia="Times New Roman" w:hAnsi="Arial" w:cs="Arial"/>
          <w:sz w:val="20"/>
          <w:szCs w:val="20"/>
        </w:rPr>
        <w:t>)</w:t>
      </w:r>
      <w:r w:rsidRPr="00531E52">
        <w:rPr>
          <w:rFonts w:ascii="Arial" w:eastAsia="Times New Roman" w:hAnsi="Arial" w:cs="Arial"/>
          <w:sz w:val="20"/>
          <w:szCs w:val="20"/>
        </w:rPr>
        <w:t xml:space="preserve">. Beyond acute toxicity, </w:t>
      </w:r>
      <w:proofErr w:type="spellStart"/>
      <w:r w:rsidRPr="00531E52">
        <w:rPr>
          <w:rFonts w:ascii="Arial" w:eastAsia="Times New Roman" w:hAnsi="Arial" w:cs="Arial"/>
          <w:sz w:val="20"/>
          <w:szCs w:val="20"/>
        </w:rPr>
        <w:t>subchronic</w:t>
      </w:r>
      <w:proofErr w:type="spellEnd"/>
      <w:r w:rsidRPr="00531E52">
        <w:rPr>
          <w:rFonts w:ascii="Arial" w:eastAsia="Times New Roman" w:hAnsi="Arial" w:cs="Arial"/>
          <w:sz w:val="20"/>
          <w:szCs w:val="20"/>
        </w:rPr>
        <w:t xml:space="preserve"> exposure may result in neurobehavioral alterations and cognitive deficits.</w:t>
      </w:r>
    </w:p>
    <w:p w14:paraId="26F9A66F" w14:textId="7CA59607" w:rsidR="00D93149" w:rsidRPr="00531E52" w:rsidRDefault="00B828EC" w:rsidP="00C227E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 xml:space="preserve">Pyrethroids and organochlorines target voltage-gated sodium channels and GABAergic pathways, prolonging neuronal depolarization and inducing hyperexcitability </w:t>
      </w:r>
      <w:r w:rsidR="000F250B">
        <w:rPr>
          <w:rFonts w:ascii="Arial" w:eastAsia="Times New Roman" w:hAnsi="Arial" w:cs="Arial"/>
          <w:sz w:val="20"/>
          <w:szCs w:val="20"/>
        </w:rPr>
        <w:t>(</w:t>
      </w:r>
      <w:proofErr w:type="spellStart"/>
      <w:r w:rsidR="000F250B">
        <w:rPr>
          <w:rFonts w:ascii="Arial" w:eastAsia="Times New Roman" w:hAnsi="Arial" w:cs="Arial"/>
          <w:sz w:val="20"/>
          <w:szCs w:val="20"/>
        </w:rPr>
        <w:t>Botnaru</w:t>
      </w:r>
      <w:proofErr w:type="spellEnd"/>
      <w:r w:rsidR="000F250B">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0F250B">
        <w:rPr>
          <w:rFonts w:ascii="Arial" w:eastAsia="Times New Roman" w:hAnsi="Arial" w:cs="Arial"/>
          <w:sz w:val="20"/>
          <w:szCs w:val="20"/>
        </w:rPr>
        <w:t xml:space="preserve">., 2022; Ahmad </w:t>
      </w:r>
      <w:r w:rsidR="00DA06B6" w:rsidRPr="00DA06B6">
        <w:rPr>
          <w:rFonts w:ascii="Arial" w:eastAsia="Times New Roman" w:hAnsi="Arial" w:cs="Arial"/>
          <w:i/>
          <w:sz w:val="20"/>
          <w:szCs w:val="20"/>
        </w:rPr>
        <w:t>et al</w:t>
      </w:r>
      <w:r w:rsidR="000F250B">
        <w:rPr>
          <w:rFonts w:ascii="Arial" w:eastAsia="Times New Roman" w:hAnsi="Arial" w:cs="Arial"/>
          <w:sz w:val="20"/>
          <w:szCs w:val="20"/>
        </w:rPr>
        <w:t>., 2024)</w:t>
      </w:r>
      <w:r w:rsidRPr="00531E52">
        <w:rPr>
          <w:rFonts w:ascii="Arial" w:eastAsia="Times New Roman" w:hAnsi="Arial" w:cs="Arial"/>
          <w:sz w:val="20"/>
          <w:szCs w:val="20"/>
        </w:rPr>
        <w:t>. Such ion channel modulation explains tremors, paresthesia, and convulsions observed in both wildlife and exposed workers. Chronic neuronal overstimulation may also predispose to long-term neurodegenerative processes.</w:t>
      </w:r>
      <w:r w:rsidR="00D93149" w:rsidRPr="00531E52">
        <w:rPr>
          <w:rFonts w:ascii="Arial" w:eastAsia="Times New Roman" w:hAnsi="Arial" w:cs="Arial"/>
          <w:sz w:val="20"/>
          <w:szCs w:val="20"/>
        </w:rPr>
        <w:t xml:space="preserve"> </w:t>
      </w:r>
      <w:r w:rsidR="000F250B">
        <w:rPr>
          <w:rFonts w:ascii="Arial" w:eastAsia="Times New Roman" w:hAnsi="Arial" w:cs="Arial"/>
          <w:sz w:val="20"/>
          <w:szCs w:val="20"/>
        </w:rPr>
        <w:t>C</w:t>
      </w:r>
      <w:r w:rsidR="00D93149" w:rsidRPr="00531E52">
        <w:rPr>
          <w:rFonts w:ascii="Arial" w:eastAsia="Times New Roman" w:hAnsi="Arial" w:cs="Arial"/>
          <w:sz w:val="20"/>
          <w:szCs w:val="20"/>
        </w:rPr>
        <w:t>hronic pesticide exposure may contribute to neurodegenerative disorders through mechanisms involving mitochondrial impairment, α-synuclein aggregation, cholinesterase inhibition, and dopaminergic neuronal loss (</w:t>
      </w:r>
      <w:proofErr w:type="spellStart"/>
      <w:r w:rsidR="00D93149" w:rsidRPr="00531E52">
        <w:rPr>
          <w:rFonts w:ascii="Arial" w:eastAsia="Times New Roman" w:hAnsi="Arial" w:cs="Arial"/>
          <w:sz w:val="20"/>
          <w:szCs w:val="20"/>
        </w:rPr>
        <w:t>Vellingiri</w:t>
      </w:r>
      <w:proofErr w:type="spellEnd"/>
      <w:r w:rsidR="00D93149"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D93149" w:rsidRPr="00531E52">
        <w:rPr>
          <w:rFonts w:ascii="Arial" w:eastAsia="Times New Roman" w:hAnsi="Arial" w:cs="Arial"/>
          <w:sz w:val="20"/>
          <w:szCs w:val="20"/>
        </w:rPr>
        <w:t xml:space="preserve">., 2022; </w:t>
      </w:r>
      <w:proofErr w:type="spellStart"/>
      <w:r w:rsidR="00D93149" w:rsidRPr="00531E52">
        <w:rPr>
          <w:rFonts w:ascii="Arial" w:eastAsia="Times New Roman" w:hAnsi="Arial" w:cs="Arial"/>
          <w:sz w:val="20"/>
          <w:szCs w:val="20"/>
        </w:rPr>
        <w:t>Botnaru</w:t>
      </w:r>
      <w:proofErr w:type="spellEnd"/>
      <w:r w:rsidR="00D93149"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D93149" w:rsidRPr="00531E52">
        <w:rPr>
          <w:rFonts w:ascii="Arial" w:eastAsia="Times New Roman" w:hAnsi="Arial" w:cs="Arial"/>
          <w:sz w:val="20"/>
          <w:szCs w:val="20"/>
        </w:rPr>
        <w:t>., 2025). Meta-analyses have reported associations between paraquat exposure and Parkinson’s disease risk (</w:t>
      </w:r>
      <w:proofErr w:type="spellStart"/>
      <w:r w:rsidR="00D93149" w:rsidRPr="00531E52">
        <w:rPr>
          <w:rFonts w:ascii="Arial" w:eastAsia="Times New Roman" w:hAnsi="Arial" w:cs="Arial"/>
          <w:sz w:val="20"/>
          <w:szCs w:val="20"/>
        </w:rPr>
        <w:t>Vaccari</w:t>
      </w:r>
      <w:proofErr w:type="spellEnd"/>
      <w:r w:rsidR="00D93149"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D93149" w:rsidRPr="00531E52">
        <w:rPr>
          <w:rFonts w:ascii="Arial" w:eastAsia="Times New Roman" w:hAnsi="Arial" w:cs="Arial"/>
          <w:sz w:val="20"/>
          <w:szCs w:val="20"/>
        </w:rPr>
        <w:t xml:space="preserve">., 2019; </w:t>
      </w:r>
      <w:proofErr w:type="spellStart"/>
      <w:r w:rsidR="00D93149" w:rsidRPr="00531E52">
        <w:rPr>
          <w:rFonts w:ascii="Arial" w:eastAsia="Times New Roman" w:hAnsi="Arial" w:cs="Arial"/>
          <w:sz w:val="20"/>
          <w:szCs w:val="20"/>
        </w:rPr>
        <w:t>Tangamornsuksan</w:t>
      </w:r>
      <w:proofErr w:type="spellEnd"/>
      <w:r w:rsidR="00D93149"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D93149" w:rsidRPr="00531E52">
        <w:rPr>
          <w:rFonts w:ascii="Arial" w:eastAsia="Times New Roman" w:hAnsi="Arial" w:cs="Arial"/>
          <w:sz w:val="20"/>
          <w:szCs w:val="20"/>
        </w:rPr>
        <w:t>., 2019). Mechanistically, oxidative stress</w:t>
      </w:r>
      <w:r w:rsidR="000F250B">
        <w:rPr>
          <w:rFonts w:ascii="Arial" w:eastAsia="Times New Roman" w:hAnsi="Arial" w:cs="Arial"/>
          <w:sz w:val="20"/>
          <w:szCs w:val="20"/>
        </w:rPr>
        <w:t xml:space="preserve"> </w:t>
      </w:r>
      <w:r w:rsidR="00D93149" w:rsidRPr="00531E52">
        <w:rPr>
          <w:rFonts w:ascii="Arial" w:eastAsia="Times New Roman" w:hAnsi="Arial" w:cs="Arial"/>
          <w:sz w:val="20"/>
          <w:szCs w:val="20"/>
        </w:rPr>
        <w:t>and neuroinflammation appear central to pesticide-associated neuropathology. Glyphosate and certain organophosphate insecticides have also been scrutinized for potential neurobehavioral and developmental effects (</w:t>
      </w:r>
      <w:r w:rsidR="000F250B" w:rsidRPr="00531E52">
        <w:rPr>
          <w:rFonts w:ascii="Arial" w:eastAsia="Times New Roman" w:hAnsi="Arial" w:cs="Arial"/>
          <w:sz w:val="20"/>
          <w:szCs w:val="20"/>
        </w:rPr>
        <w:t>IARC, 2015</w:t>
      </w:r>
      <w:r w:rsidR="000F250B">
        <w:rPr>
          <w:rFonts w:ascii="Arial" w:eastAsia="Times New Roman" w:hAnsi="Arial" w:cs="Arial"/>
          <w:sz w:val="20"/>
          <w:szCs w:val="20"/>
        </w:rPr>
        <w:t xml:space="preserve">; </w:t>
      </w:r>
      <w:r w:rsidR="00D93149" w:rsidRPr="00531E52">
        <w:rPr>
          <w:rFonts w:ascii="Arial" w:eastAsia="Times New Roman" w:hAnsi="Arial" w:cs="Arial"/>
          <w:sz w:val="20"/>
          <w:szCs w:val="20"/>
        </w:rPr>
        <w:t xml:space="preserve">Galli </w:t>
      </w:r>
      <w:r w:rsidR="00DA06B6" w:rsidRPr="00DA06B6">
        <w:rPr>
          <w:rFonts w:ascii="Arial" w:eastAsia="Times New Roman" w:hAnsi="Arial" w:cs="Arial"/>
          <w:i/>
          <w:sz w:val="20"/>
          <w:szCs w:val="20"/>
        </w:rPr>
        <w:t>et al</w:t>
      </w:r>
      <w:r w:rsidR="00D93149" w:rsidRPr="00531E52">
        <w:rPr>
          <w:rFonts w:ascii="Arial" w:eastAsia="Times New Roman" w:hAnsi="Arial" w:cs="Arial"/>
          <w:sz w:val="20"/>
          <w:szCs w:val="20"/>
        </w:rPr>
        <w:t xml:space="preserve">., 2024). Although regulatory evaluations vary in conclusions regarding carcinogenicity, mechanistic studies continue to reveal oxidative and inflammatory pathways that warrant precautionary attention. </w:t>
      </w:r>
    </w:p>
    <w:p w14:paraId="581A1E6F" w14:textId="101C4116" w:rsidR="00B828EC" w:rsidRPr="00531E52" w:rsidRDefault="00B828EC" w:rsidP="00C227E7">
      <w:pPr>
        <w:spacing w:after="0" w:line="240" w:lineRule="auto"/>
        <w:jc w:val="both"/>
        <w:rPr>
          <w:rFonts w:ascii="Arial" w:eastAsia="Times New Roman" w:hAnsi="Arial" w:cs="Arial"/>
          <w:sz w:val="20"/>
          <w:szCs w:val="20"/>
        </w:rPr>
      </w:pPr>
    </w:p>
    <w:p w14:paraId="7D0E5CEA" w14:textId="37D114B2" w:rsidR="00B828EC" w:rsidRPr="00531E52" w:rsidRDefault="008D725C" w:rsidP="00C227E7">
      <w:pPr>
        <w:spacing w:after="0"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5</w:t>
      </w:r>
      <w:r w:rsidR="00B828EC" w:rsidRPr="00531E52">
        <w:rPr>
          <w:rFonts w:ascii="Arial" w:eastAsia="Times New Roman" w:hAnsi="Arial" w:cs="Arial"/>
          <w:b/>
          <w:bCs/>
          <w:sz w:val="20"/>
          <w:szCs w:val="20"/>
        </w:rPr>
        <w:t>.2 Oxidative Stress and Mitochondrial Dysfunction</w:t>
      </w:r>
    </w:p>
    <w:p w14:paraId="50958110" w14:textId="77777777" w:rsidR="00DF11A9" w:rsidRDefault="00DF11A9" w:rsidP="00C227E7">
      <w:pPr>
        <w:spacing w:after="0" w:line="240" w:lineRule="auto"/>
        <w:jc w:val="both"/>
        <w:rPr>
          <w:rFonts w:ascii="Arial" w:eastAsia="Times New Roman" w:hAnsi="Arial" w:cs="Arial"/>
          <w:sz w:val="20"/>
          <w:szCs w:val="20"/>
        </w:rPr>
      </w:pPr>
    </w:p>
    <w:p w14:paraId="0CADAD82" w14:textId="7D51EC0B" w:rsidR="00B828EC" w:rsidRDefault="00B828EC" w:rsidP="00C227E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 xml:space="preserve">A central and recurring mechanism underlying pesticide toxicity is oxidative stress. Numerous pesticide classes—including organophosphates, organochlorines, paraquat, and rotenone—stimulate excessive generation of reactive oxygen and nitrogen species (ROS/RNS), overwhelming endogenous antioxidant defenses such as glutathione (GSH), superoxide dismutase (SOD), and catalase </w:t>
      </w:r>
      <w:r w:rsidR="000F250B">
        <w:rPr>
          <w:rFonts w:ascii="Arial" w:eastAsia="Times New Roman" w:hAnsi="Arial" w:cs="Arial"/>
          <w:sz w:val="20"/>
          <w:szCs w:val="20"/>
        </w:rPr>
        <w:t>(</w:t>
      </w:r>
      <w:proofErr w:type="spellStart"/>
      <w:r w:rsidR="000F250B">
        <w:rPr>
          <w:rFonts w:ascii="Arial" w:eastAsia="Times New Roman" w:hAnsi="Arial" w:cs="Arial"/>
          <w:sz w:val="20"/>
          <w:szCs w:val="20"/>
        </w:rPr>
        <w:t>Sule</w:t>
      </w:r>
      <w:proofErr w:type="spellEnd"/>
      <w:r w:rsidR="000F250B">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0F250B">
        <w:rPr>
          <w:rFonts w:ascii="Arial" w:eastAsia="Times New Roman" w:hAnsi="Arial" w:cs="Arial"/>
          <w:sz w:val="20"/>
          <w:szCs w:val="20"/>
        </w:rPr>
        <w:t>., 2022)</w:t>
      </w:r>
      <w:r w:rsidRPr="00531E52">
        <w:rPr>
          <w:rFonts w:ascii="Arial" w:eastAsia="Times New Roman" w:hAnsi="Arial" w:cs="Arial"/>
          <w:sz w:val="20"/>
          <w:szCs w:val="20"/>
        </w:rPr>
        <w:t>.</w:t>
      </w:r>
      <w:r w:rsidR="000F250B">
        <w:rPr>
          <w:rFonts w:ascii="Arial" w:eastAsia="Times New Roman" w:hAnsi="Arial" w:cs="Arial"/>
          <w:sz w:val="20"/>
          <w:szCs w:val="20"/>
        </w:rPr>
        <w:t xml:space="preserve"> </w:t>
      </w:r>
      <w:r w:rsidRPr="00531E52">
        <w:rPr>
          <w:rFonts w:ascii="Arial" w:eastAsia="Times New Roman" w:hAnsi="Arial" w:cs="Arial"/>
          <w:sz w:val="20"/>
          <w:szCs w:val="20"/>
        </w:rPr>
        <w:t xml:space="preserve">Oxidative damage to lipids, proteins, and </w:t>
      </w:r>
      <w:r w:rsidRPr="00531E52">
        <w:rPr>
          <w:rFonts w:ascii="Arial" w:eastAsia="Times New Roman" w:hAnsi="Arial" w:cs="Arial"/>
          <w:sz w:val="20"/>
          <w:szCs w:val="20"/>
        </w:rPr>
        <w:lastRenderedPageBreak/>
        <w:t>nucleic acids disrupts mitochondrial integrity and activates apoptotic cascades. Mechanistic syntheses emphasize oxidative stress as a near-universal mediator of pesticide-induced toxicity</w:t>
      </w:r>
      <w:r w:rsidR="000F250B">
        <w:rPr>
          <w:rFonts w:ascii="Arial" w:eastAsia="Times New Roman" w:hAnsi="Arial" w:cs="Arial"/>
          <w:sz w:val="20"/>
          <w:szCs w:val="20"/>
        </w:rPr>
        <w:t xml:space="preserve"> (</w:t>
      </w:r>
      <w:proofErr w:type="spellStart"/>
      <w:r w:rsidR="000F250B">
        <w:rPr>
          <w:rFonts w:ascii="Arial" w:eastAsia="Times New Roman" w:hAnsi="Arial" w:cs="Arial"/>
          <w:sz w:val="20"/>
          <w:szCs w:val="20"/>
        </w:rPr>
        <w:t>Ambwani</w:t>
      </w:r>
      <w:proofErr w:type="spellEnd"/>
      <w:r w:rsidR="000F250B">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0F250B">
        <w:rPr>
          <w:rFonts w:ascii="Arial" w:eastAsia="Times New Roman" w:hAnsi="Arial" w:cs="Arial"/>
          <w:sz w:val="20"/>
          <w:szCs w:val="20"/>
        </w:rPr>
        <w:t xml:space="preserve">., </w:t>
      </w:r>
      <w:r w:rsidR="000F250B" w:rsidRPr="005627FD">
        <w:rPr>
          <w:rFonts w:ascii="Arial" w:eastAsia="Times New Roman" w:hAnsi="Arial" w:cs="Arial"/>
          <w:sz w:val="20"/>
          <w:szCs w:val="20"/>
        </w:rPr>
        <w:t>2018</w:t>
      </w:r>
      <w:r w:rsidR="005627FD" w:rsidRPr="005627FD">
        <w:rPr>
          <w:rFonts w:ascii="Arial" w:eastAsia="Times New Roman" w:hAnsi="Arial" w:cs="Arial"/>
          <w:sz w:val="20"/>
          <w:szCs w:val="20"/>
        </w:rPr>
        <w:t>a</w:t>
      </w:r>
      <w:r w:rsidR="000F250B" w:rsidRPr="005627FD">
        <w:rPr>
          <w:rFonts w:ascii="Arial" w:eastAsia="Times New Roman" w:hAnsi="Arial" w:cs="Arial"/>
          <w:sz w:val="20"/>
          <w:szCs w:val="20"/>
        </w:rPr>
        <w:t>; 2019</w:t>
      </w:r>
      <w:r w:rsidR="000F250B">
        <w:rPr>
          <w:rFonts w:ascii="Arial" w:eastAsia="Times New Roman" w:hAnsi="Arial" w:cs="Arial"/>
          <w:sz w:val="20"/>
          <w:szCs w:val="20"/>
        </w:rPr>
        <w:t xml:space="preserve">; </w:t>
      </w:r>
      <w:proofErr w:type="spellStart"/>
      <w:r w:rsidR="000F250B">
        <w:rPr>
          <w:rFonts w:ascii="Arial" w:eastAsia="Times New Roman" w:hAnsi="Arial" w:cs="Arial"/>
          <w:sz w:val="20"/>
          <w:szCs w:val="20"/>
        </w:rPr>
        <w:t>Sule</w:t>
      </w:r>
      <w:proofErr w:type="spellEnd"/>
      <w:r w:rsidR="000F250B">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0F250B">
        <w:rPr>
          <w:rFonts w:ascii="Arial" w:eastAsia="Times New Roman" w:hAnsi="Arial" w:cs="Arial"/>
          <w:sz w:val="20"/>
          <w:szCs w:val="20"/>
        </w:rPr>
        <w:t>., 2022)</w:t>
      </w:r>
      <w:r w:rsidRPr="00531E52">
        <w:rPr>
          <w:rFonts w:ascii="Arial" w:eastAsia="Times New Roman" w:hAnsi="Arial" w:cs="Arial"/>
          <w:sz w:val="20"/>
          <w:szCs w:val="20"/>
        </w:rPr>
        <w:t xml:space="preserve">. </w:t>
      </w:r>
      <w:r w:rsidR="00D93149" w:rsidRPr="00531E52">
        <w:rPr>
          <w:rFonts w:ascii="Arial" w:eastAsia="Times New Roman" w:hAnsi="Arial" w:cs="Arial"/>
          <w:sz w:val="20"/>
          <w:szCs w:val="20"/>
        </w:rPr>
        <w:t>A unifying mechanistic feature across multiple pesticide classes—including organophosphates, pyrethroids, carbamates, and certain herbicides—is the induction of oxidative stress. Reactive oxygen species (ROS) overproduction results in lipid peroxidation, protein carbonylation, DNA damage, and mitochondrial dysfunction (</w:t>
      </w:r>
      <w:proofErr w:type="spellStart"/>
      <w:r w:rsidR="00D93149" w:rsidRPr="00531E52">
        <w:rPr>
          <w:rFonts w:ascii="Arial" w:eastAsia="Times New Roman" w:hAnsi="Arial" w:cs="Arial"/>
          <w:sz w:val="20"/>
          <w:szCs w:val="20"/>
        </w:rPr>
        <w:t>Sule</w:t>
      </w:r>
      <w:proofErr w:type="spellEnd"/>
      <w:r w:rsidR="00D93149"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D93149" w:rsidRPr="00531E52">
        <w:rPr>
          <w:rFonts w:ascii="Arial" w:eastAsia="Times New Roman" w:hAnsi="Arial" w:cs="Arial"/>
          <w:sz w:val="20"/>
          <w:szCs w:val="20"/>
        </w:rPr>
        <w:t>., 2022). Persistent oxidative imbalance contributes to inflammatory signaling cascades, apoptosis, and long-term tissue injury. Experimental and epidemiological findings increasingly link oxidative stress biomarkers with pesticide-associated neurodegenerative and metabolic disorders (</w:t>
      </w:r>
      <w:proofErr w:type="spellStart"/>
      <w:r w:rsidR="00D93149" w:rsidRPr="00531E52">
        <w:rPr>
          <w:rFonts w:ascii="Arial" w:eastAsia="Times New Roman" w:hAnsi="Arial" w:cs="Arial"/>
          <w:sz w:val="20"/>
          <w:szCs w:val="20"/>
        </w:rPr>
        <w:t>Mostafalou</w:t>
      </w:r>
      <w:proofErr w:type="spellEnd"/>
      <w:r w:rsidR="00D93149" w:rsidRPr="00531E52">
        <w:rPr>
          <w:rFonts w:ascii="Arial" w:eastAsia="Times New Roman" w:hAnsi="Arial" w:cs="Arial"/>
          <w:sz w:val="20"/>
          <w:szCs w:val="20"/>
        </w:rPr>
        <w:t xml:space="preserve"> </w:t>
      </w:r>
      <w:r w:rsidR="000F250B">
        <w:rPr>
          <w:rFonts w:ascii="Arial" w:eastAsia="Times New Roman" w:hAnsi="Arial" w:cs="Arial"/>
          <w:sz w:val="20"/>
          <w:szCs w:val="20"/>
        </w:rPr>
        <w:t>and</w:t>
      </w:r>
      <w:r w:rsidR="00D93149" w:rsidRPr="00531E52">
        <w:rPr>
          <w:rFonts w:ascii="Arial" w:eastAsia="Times New Roman" w:hAnsi="Arial" w:cs="Arial"/>
          <w:sz w:val="20"/>
          <w:szCs w:val="20"/>
        </w:rPr>
        <w:t xml:space="preserve"> </w:t>
      </w:r>
      <w:proofErr w:type="spellStart"/>
      <w:r w:rsidR="00D93149" w:rsidRPr="00531E52">
        <w:rPr>
          <w:rFonts w:ascii="Arial" w:eastAsia="Times New Roman" w:hAnsi="Arial" w:cs="Arial"/>
          <w:sz w:val="20"/>
          <w:szCs w:val="20"/>
        </w:rPr>
        <w:t>Abdollahi</w:t>
      </w:r>
      <w:proofErr w:type="spellEnd"/>
      <w:r w:rsidR="00D93149" w:rsidRPr="00531E52">
        <w:rPr>
          <w:rFonts w:ascii="Arial" w:eastAsia="Times New Roman" w:hAnsi="Arial" w:cs="Arial"/>
          <w:sz w:val="20"/>
          <w:szCs w:val="20"/>
        </w:rPr>
        <w:t xml:space="preserve">, 2013; </w:t>
      </w:r>
      <w:proofErr w:type="spellStart"/>
      <w:r w:rsidR="00D93149" w:rsidRPr="00531E52">
        <w:rPr>
          <w:rFonts w:ascii="Arial" w:eastAsia="Times New Roman" w:hAnsi="Arial" w:cs="Arial"/>
          <w:sz w:val="20"/>
          <w:szCs w:val="20"/>
        </w:rPr>
        <w:t>Vellingiri</w:t>
      </w:r>
      <w:proofErr w:type="spellEnd"/>
      <w:r w:rsidR="00D93149"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D93149" w:rsidRPr="00531E52">
        <w:rPr>
          <w:rFonts w:ascii="Arial" w:eastAsia="Times New Roman" w:hAnsi="Arial" w:cs="Arial"/>
          <w:sz w:val="20"/>
          <w:szCs w:val="20"/>
        </w:rPr>
        <w:t xml:space="preserve">., 2022). </w:t>
      </w:r>
      <w:r w:rsidRPr="00531E52">
        <w:rPr>
          <w:rFonts w:ascii="Arial" w:eastAsia="Times New Roman" w:hAnsi="Arial" w:cs="Arial"/>
          <w:sz w:val="20"/>
          <w:szCs w:val="20"/>
        </w:rPr>
        <w:t xml:space="preserve">In the context of paraquat exposure, oxidative mitochondrial injury and dopaminergic neuronal loss have been implicated in Parkinsonian pathology </w:t>
      </w:r>
      <w:r w:rsidR="000F250B">
        <w:rPr>
          <w:rFonts w:ascii="Arial" w:eastAsia="Times New Roman" w:hAnsi="Arial" w:cs="Arial"/>
          <w:sz w:val="20"/>
          <w:szCs w:val="20"/>
        </w:rPr>
        <w:t>(</w:t>
      </w:r>
      <w:proofErr w:type="spellStart"/>
      <w:r w:rsidR="000F250B">
        <w:rPr>
          <w:rFonts w:ascii="Arial" w:eastAsia="Times New Roman" w:hAnsi="Arial" w:cs="Arial"/>
          <w:sz w:val="20"/>
          <w:szCs w:val="20"/>
        </w:rPr>
        <w:t>Vaccar</w:t>
      </w:r>
      <w:r w:rsidR="009907E5">
        <w:rPr>
          <w:rFonts w:ascii="Arial" w:eastAsia="Times New Roman" w:hAnsi="Arial" w:cs="Arial"/>
          <w:sz w:val="20"/>
          <w:szCs w:val="20"/>
        </w:rPr>
        <w:t>i</w:t>
      </w:r>
      <w:proofErr w:type="spellEnd"/>
      <w:r w:rsidR="009907E5">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Pr="00531E52">
        <w:rPr>
          <w:rFonts w:ascii="Arial" w:eastAsia="Times New Roman" w:hAnsi="Arial" w:cs="Arial"/>
          <w:sz w:val="20"/>
          <w:szCs w:val="20"/>
        </w:rPr>
        <w:t>.</w:t>
      </w:r>
      <w:r w:rsidR="009907E5">
        <w:rPr>
          <w:rFonts w:ascii="Arial" w:eastAsia="Times New Roman" w:hAnsi="Arial" w:cs="Arial"/>
          <w:sz w:val="20"/>
          <w:szCs w:val="20"/>
        </w:rPr>
        <w:t>, 2019).</w:t>
      </w:r>
      <w:r w:rsidRPr="00531E52">
        <w:rPr>
          <w:rFonts w:ascii="Arial" w:eastAsia="Times New Roman" w:hAnsi="Arial" w:cs="Arial"/>
          <w:sz w:val="20"/>
          <w:szCs w:val="20"/>
        </w:rPr>
        <w:t xml:space="preserve"> </w:t>
      </w:r>
    </w:p>
    <w:p w14:paraId="2D0B033A" w14:textId="77777777" w:rsidR="009907E5" w:rsidRPr="00531E52" w:rsidRDefault="009907E5" w:rsidP="00C227E7">
      <w:pPr>
        <w:spacing w:after="0" w:line="240" w:lineRule="auto"/>
        <w:jc w:val="both"/>
        <w:rPr>
          <w:rFonts w:ascii="Arial" w:eastAsia="Times New Roman" w:hAnsi="Arial" w:cs="Arial"/>
          <w:sz w:val="20"/>
          <w:szCs w:val="20"/>
        </w:rPr>
      </w:pPr>
    </w:p>
    <w:p w14:paraId="7DE60839" w14:textId="72A858E2" w:rsidR="00B828EC" w:rsidRPr="00531E52" w:rsidRDefault="008D725C" w:rsidP="00C227E7">
      <w:pPr>
        <w:spacing w:after="0"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5</w:t>
      </w:r>
      <w:r w:rsidR="00B828EC" w:rsidRPr="00531E52">
        <w:rPr>
          <w:rFonts w:ascii="Arial" w:eastAsia="Times New Roman" w:hAnsi="Arial" w:cs="Arial"/>
          <w:b/>
          <w:bCs/>
          <w:sz w:val="20"/>
          <w:szCs w:val="20"/>
        </w:rPr>
        <w:t>.3 Endocrine Disruption and Receptor Modulation</w:t>
      </w:r>
    </w:p>
    <w:p w14:paraId="17DFA1E3" w14:textId="77777777" w:rsidR="00DF11A9" w:rsidRDefault="00DF11A9" w:rsidP="00C227E7">
      <w:pPr>
        <w:spacing w:after="0" w:line="240" w:lineRule="auto"/>
        <w:jc w:val="both"/>
        <w:rPr>
          <w:rFonts w:ascii="Arial" w:eastAsia="Times New Roman" w:hAnsi="Arial" w:cs="Arial"/>
          <w:sz w:val="20"/>
          <w:szCs w:val="20"/>
        </w:rPr>
      </w:pPr>
    </w:p>
    <w:p w14:paraId="1872028E" w14:textId="103518C0" w:rsidR="00D93149" w:rsidRPr="00531E52" w:rsidRDefault="00B828EC" w:rsidP="00C227E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 xml:space="preserve">Certain organochlorines, fungicides, and herbicide formulations exhibit endocrine-disrupting properties by interfering with steroidogenesis, estrogenic and androgenic receptor signaling, or thyroid hormone pathways </w:t>
      </w:r>
      <w:r w:rsidR="009907E5">
        <w:rPr>
          <w:rFonts w:ascii="Arial" w:eastAsia="Times New Roman" w:hAnsi="Arial" w:cs="Arial"/>
          <w:sz w:val="20"/>
          <w:szCs w:val="20"/>
        </w:rPr>
        <w:t xml:space="preserve">(Kumar </w:t>
      </w:r>
      <w:r w:rsidR="00DA06B6" w:rsidRPr="00DA06B6">
        <w:rPr>
          <w:rFonts w:ascii="Arial" w:eastAsia="Times New Roman" w:hAnsi="Arial" w:cs="Arial"/>
          <w:i/>
          <w:sz w:val="20"/>
          <w:szCs w:val="20"/>
        </w:rPr>
        <w:t>et al</w:t>
      </w:r>
      <w:r w:rsidR="009907E5">
        <w:rPr>
          <w:rFonts w:ascii="Arial" w:eastAsia="Times New Roman" w:hAnsi="Arial" w:cs="Arial"/>
          <w:sz w:val="20"/>
          <w:szCs w:val="20"/>
        </w:rPr>
        <w:t xml:space="preserve">., 2023; Vandenberg </w:t>
      </w:r>
      <w:r w:rsidR="00DA06B6" w:rsidRPr="00DA06B6">
        <w:rPr>
          <w:rFonts w:ascii="Arial" w:eastAsia="Times New Roman" w:hAnsi="Arial" w:cs="Arial"/>
          <w:i/>
          <w:sz w:val="20"/>
          <w:szCs w:val="20"/>
        </w:rPr>
        <w:t>et al</w:t>
      </w:r>
      <w:r w:rsidR="009907E5">
        <w:rPr>
          <w:rFonts w:ascii="Arial" w:eastAsia="Times New Roman" w:hAnsi="Arial" w:cs="Arial"/>
          <w:sz w:val="20"/>
          <w:szCs w:val="20"/>
        </w:rPr>
        <w:t>, 2025)</w:t>
      </w:r>
      <w:r w:rsidRPr="00531E52">
        <w:rPr>
          <w:rFonts w:ascii="Arial" w:eastAsia="Times New Roman" w:hAnsi="Arial" w:cs="Arial"/>
          <w:sz w:val="20"/>
          <w:szCs w:val="20"/>
        </w:rPr>
        <w:t xml:space="preserve">. </w:t>
      </w:r>
      <w:r w:rsidR="009907E5" w:rsidRPr="00531E52">
        <w:rPr>
          <w:rFonts w:ascii="Arial" w:eastAsia="Times New Roman" w:hAnsi="Arial" w:cs="Arial"/>
          <w:sz w:val="20"/>
          <w:szCs w:val="20"/>
        </w:rPr>
        <w:t xml:space="preserve">Endocrine Disruption and Chronic Disease Pesticides are increasingly recognized as endocrine-disrupting chemicals (EDCs), capable of interfering with hormonal signaling at low exposure levels. </w:t>
      </w:r>
      <w:r w:rsidR="009907E5">
        <w:rPr>
          <w:rFonts w:ascii="Arial" w:eastAsia="Times New Roman" w:hAnsi="Arial" w:cs="Arial"/>
          <w:sz w:val="20"/>
          <w:szCs w:val="20"/>
        </w:rPr>
        <w:t>ED</w:t>
      </w:r>
      <w:r w:rsidR="00044F7C">
        <w:rPr>
          <w:rFonts w:ascii="Arial" w:eastAsia="Times New Roman" w:hAnsi="Arial" w:cs="Arial"/>
          <w:sz w:val="20"/>
          <w:szCs w:val="20"/>
        </w:rPr>
        <w:t>C</w:t>
      </w:r>
      <w:r w:rsidR="009907E5">
        <w:rPr>
          <w:rFonts w:ascii="Arial" w:eastAsia="Times New Roman" w:hAnsi="Arial" w:cs="Arial"/>
          <w:sz w:val="20"/>
          <w:szCs w:val="20"/>
        </w:rPr>
        <w:t>s</w:t>
      </w:r>
      <w:r w:rsidRPr="00531E52">
        <w:rPr>
          <w:rFonts w:ascii="Arial" w:eastAsia="Times New Roman" w:hAnsi="Arial" w:cs="Arial"/>
          <w:sz w:val="20"/>
          <w:szCs w:val="20"/>
        </w:rPr>
        <w:t xml:space="preserve"> may present subtly, affecting reproductive capacity, fetal development, puberty timing, and long-term metabolic health.</w:t>
      </w:r>
      <w:r w:rsidR="009907E5">
        <w:rPr>
          <w:rFonts w:ascii="Arial" w:eastAsia="Times New Roman" w:hAnsi="Arial" w:cs="Arial"/>
          <w:sz w:val="20"/>
          <w:szCs w:val="20"/>
        </w:rPr>
        <w:t xml:space="preserve"> </w:t>
      </w:r>
      <w:r w:rsidRPr="00531E52">
        <w:rPr>
          <w:rFonts w:ascii="Arial" w:eastAsia="Times New Roman" w:hAnsi="Arial" w:cs="Arial"/>
          <w:sz w:val="20"/>
          <w:szCs w:val="20"/>
        </w:rPr>
        <w:t>These endocrine-mediated disruptions may exert life-history consequences in both wildlife and human populations.</w:t>
      </w:r>
      <w:r w:rsidR="00D93149" w:rsidRPr="00531E52">
        <w:rPr>
          <w:rFonts w:ascii="Arial" w:eastAsia="Times New Roman" w:hAnsi="Arial" w:cs="Arial"/>
          <w:sz w:val="20"/>
          <w:szCs w:val="20"/>
        </w:rPr>
        <w:t xml:space="preserve"> Altered estrogenic, androgenic, and thyroid pathways have been documented in both laboratory and epidemiological investigations (</w:t>
      </w:r>
      <w:r w:rsidR="009907E5" w:rsidRPr="00531E52">
        <w:rPr>
          <w:rFonts w:ascii="Arial" w:eastAsia="Times New Roman" w:hAnsi="Arial" w:cs="Arial"/>
          <w:sz w:val="20"/>
          <w:szCs w:val="20"/>
        </w:rPr>
        <w:t xml:space="preserve">Kumar </w:t>
      </w:r>
      <w:r w:rsidR="00DA06B6" w:rsidRPr="00DA06B6">
        <w:rPr>
          <w:rFonts w:ascii="Arial" w:eastAsia="Times New Roman" w:hAnsi="Arial" w:cs="Arial"/>
          <w:i/>
          <w:sz w:val="20"/>
          <w:szCs w:val="20"/>
        </w:rPr>
        <w:t>et al</w:t>
      </w:r>
      <w:r w:rsidR="009907E5" w:rsidRPr="00531E52">
        <w:rPr>
          <w:rFonts w:ascii="Arial" w:eastAsia="Times New Roman" w:hAnsi="Arial" w:cs="Arial"/>
          <w:sz w:val="20"/>
          <w:szCs w:val="20"/>
        </w:rPr>
        <w:t>., 2023</w:t>
      </w:r>
      <w:r w:rsidR="009907E5">
        <w:rPr>
          <w:rFonts w:ascii="Arial" w:eastAsia="Times New Roman" w:hAnsi="Arial" w:cs="Arial"/>
          <w:sz w:val="20"/>
          <w:szCs w:val="20"/>
        </w:rPr>
        <w:t xml:space="preserve">; </w:t>
      </w:r>
      <w:r w:rsidR="00D93149" w:rsidRPr="00531E52">
        <w:rPr>
          <w:rFonts w:ascii="Arial" w:eastAsia="Times New Roman" w:hAnsi="Arial" w:cs="Arial"/>
          <w:sz w:val="20"/>
          <w:szCs w:val="20"/>
        </w:rPr>
        <w:t xml:space="preserve">Vandenberg </w:t>
      </w:r>
      <w:r w:rsidR="00DA06B6" w:rsidRPr="00DA06B6">
        <w:rPr>
          <w:rFonts w:ascii="Arial" w:eastAsia="Times New Roman" w:hAnsi="Arial" w:cs="Arial"/>
          <w:i/>
          <w:sz w:val="20"/>
          <w:szCs w:val="20"/>
        </w:rPr>
        <w:t>et al</w:t>
      </w:r>
      <w:r w:rsidR="00D93149" w:rsidRPr="00531E52">
        <w:rPr>
          <w:rFonts w:ascii="Arial" w:eastAsia="Times New Roman" w:hAnsi="Arial" w:cs="Arial"/>
          <w:sz w:val="20"/>
          <w:szCs w:val="20"/>
        </w:rPr>
        <w:t xml:space="preserve">., 2025). Such disruptions may contribute to reproductive dysfunction, metabolic disorders and developmental abnormalities. </w:t>
      </w:r>
    </w:p>
    <w:p w14:paraId="4A596283" w14:textId="77777777" w:rsidR="00B828EC" w:rsidRPr="00531E52" w:rsidRDefault="00B828EC" w:rsidP="00C227E7">
      <w:pPr>
        <w:spacing w:after="0" w:line="240" w:lineRule="auto"/>
        <w:jc w:val="both"/>
        <w:rPr>
          <w:rFonts w:ascii="Arial" w:eastAsia="Times New Roman" w:hAnsi="Arial" w:cs="Arial"/>
          <w:sz w:val="20"/>
          <w:szCs w:val="20"/>
        </w:rPr>
      </w:pPr>
    </w:p>
    <w:p w14:paraId="6225137B" w14:textId="672CC099" w:rsidR="00B828EC" w:rsidRPr="00531E52" w:rsidRDefault="008D725C" w:rsidP="00C227E7">
      <w:pPr>
        <w:spacing w:after="0"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5</w:t>
      </w:r>
      <w:r w:rsidR="00B828EC" w:rsidRPr="00531E52">
        <w:rPr>
          <w:rFonts w:ascii="Arial" w:eastAsia="Times New Roman" w:hAnsi="Arial" w:cs="Arial"/>
          <w:b/>
          <w:bCs/>
          <w:sz w:val="20"/>
          <w:szCs w:val="20"/>
        </w:rPr>
        <w:t>.4 Genotoxicity and Carcinogenic Potential</w:t>
      </w:r>
    </w:p>
    <w:p w14:paraId="617836B6" w14:textId="77777777" w:rsidR="00DF11A9" w:rsidRDefault="00DF11A9" w:rsidP="009907E5">
      <w:pPr>
        <w:spacing w:after="0" w:line="240" w:lineRule="auto"/>
        <w:jc w:val="both"/>
        <w:rPr>
          <w:rFonts w:ascii="Arial" w:eastAsia="Times New Roman" w:hAnsi="Arial" w:cs="Arial"/>
          <w:sz w:val="20"/>
          <w:szCs w:val="20"/>
        </w:rPr>
      </w:pPr>
    </w:p>
    <w:p w14:paraId="0ABF66FB" w14:textId="2CE7DDA0" w:rsidR="009907E5" w:rsidRPr="00531E52" w:rsidRDefault="00B828EC" w:rsidP="009907E5">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 xml:space="preserve">Several pesticides demonstrate genotoxic signatures in experimental models, including DNA strand breaks, chromosomal aberrations, and oxidative DNA lesions. The International Agency for Research on Cancer (IARC) classified glyphosate as “probably carcinogenic to humans” (Group 2A) based on limited human evidence and sufficient animal data </w:t>
      </w:r>
      <w:r w:rsidR="00AA07FC">
        <w:rPr>
          <w:rFonts w:ascii="Arial" w:eastAsia="Times New Roman" w:hAnsi="Arial" w:cs="Arial"/>
          <w:sz w:val="20"/>
          <w:szCs w:val="20"/>
        </w:rPr>
        <w:t>(IARC, 2015)</w:t>
      </w:r>
      <w:r w:rsidRPr="00531E52">
        <w:rPr>
          <w:rFonts w:ascii="Arial" w:eastAsia="Times New Roman" w:hAnsi="Arial" w:cs="Arial"/>
          <w:sz w:val="20"/>
          <w:szCs w:val="20"/>
        </w:rPr>
        <w:t xml:space="preserve">. Oxidative stress, epigenetic alterations, and sustained inflammatory signaling remain plausible mechanistic links between pesticide exposure and carcinogenic outcomes </w:t>
      </w:r>
      <w:r w:rsidR="00AA07FC">
        <w:rPr>
          <w:rFonts w:ascii="Arial" w:eastAsia="Times New Roman" w:hAnsi="Arial" w:cs="Arial"/>
          <w:sz w:val="20"/>
          <w:szCs w:val="20"/>
        </w:rPr>
        <w:t>(</w:t>
      </w:r>
      <w:proofErr w:type="spellStart"/>
      <w:r w:rsidR="00AA07FC">
        <w:rPr>
          <w:rFonts w:ascii="Arial" w:eastAsia="Times New Roman" w:hAnsi="Arial" w:cs="Arial"/>
          <w:sz w:val="20"/>
          <w:szCs w:val="20"/>
        </w:rPr>
        <w:t>Sule</w:t>
      </w:r>
      <w:proofErr w:type="spellEnd"/>
      <w:r w:rsidR="00AA07FC">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AA07FC">
        <w:rPr>
          <w:rFonts w:ascii="Arial" w:eastAsia="Times New Roman" w:hAnsi="Arial" w:cs="Arial"/>
          <w:sz w:val="20"/>
          <w:szCs w:val="20"/>
        </w:rPr>
        <w:t xml:space="preserve">., 2022; Ahmad </w:t>
      </w:r>
      <w:r w:rsidR="00DA06B6" w:rsidRPr="00DA06B6">
        <w:rPr>
          <w:rFonts w:ascii="Arial" w:eastAsia="Times New Roman" w:hAnsi="Arial" w:cs="Arial"/>
          <w:i/>
          <w:sz w:val="20"/>
          <w:szCs w:val="20"/>
        </w:rPr>
        <w:t>et al</w:t>
      </w:r>
      <w:r w:rsidR="00AA07FC">
        <w:rPr>
          <w:rFonts w:ascii="Arial" w:eastAsia="Times New Roman" w:hAnsi="Arial" w:cs="Arial"/>
          <w:sz w:val="20"/>
          <w:szCs w:val="20"/>
        </w:rPr>
        <w:t>., 2024)</w:t>
      </w:r>
      <w:r w:rsidRPr="00531E52">
        <w:rPr>
          <w:rFonts w:ascii="Arial" w:eastAsia="Times New Roman" w:hAnsi="Arial" w:cs="Arial"/>
          <w:sz w:val="20"/>
          <w:szCs w:val="20"/>
        </w:rPr>
        <w:t>.</w:t>
      </w:r>
      <w:r w:rsidR="009907E5">
        <w:rPr>
          <w:rFonts w:ascii="Arial" w:eastAsia="Times New Roman" w:hAnsi="Arial" w:cs="Arial"/>
          <w:sz w:val="20"/>
          <w:szCs w:val="20"/>
        </w:rPr>
        <w:t xml:space="preserve"> </w:t>
      </w:r>
      <w:r w:rsidR="009907E5" w:rsidRPr="00531E52">
        <w:rPr>
          <w:rFonts w:ascii="Arial" w:eastAsia="Times New Roman" w:hAnsi="Arial" w:cs="Arial"/>
          <w:sz w:val="20"/>
          <w:szCs w:val="20"/>
        </w:rPr>
        <w:t>Chronic pesticide exposure has also been implicated in non-communicable diseases, including cancer and metabolic syndrome (</w:t>
      </w:r>
      <w:proofErr w:type="spellStart"/>
      <w:r w:rsidR="009907E5" w:rsidRPr="00531E52">
        <w:rPr>
          <w:rFonts w:ascii="Arial" w:eastAsia="Times New Roman" w:hAnsi="Arial" w:cs="Arial"/>
          <w:sz w:val="20"/>
          <w:szCs w:val="20"/>
        </w:rPr>
        <w:t>Mostafalou</w:t>
      </w:r>
      <w:proofErr w:type="spellEnd"/>
      <w:r w:rsidR="009907E5" w:rsidRPr="00531E52">
        <w:rPr>
          <w:rFonts w:ascii="Arial" w:eastAsia="Times New Roman" w:hAnsi="Arial" w:cs="Arial"/>
          <w:sz w:val="20"/>
          <w:szCs w:val="20"/>
        </w:rPr>
        <w:t xml:space="preserve"> </w:t>
      </w:r>
      <w:r w:rsidR="00AA07FC">
        <w:rPr>
          <w:rFonts w:ascii="Arial" w:eastAsia="Times New Roman" w:hAnsi="Arial" w:cs="Arial"/>
          <w:sz w:val="20"/>
          <w:szCs w:val="20"/>
        </w:rPr>
        <w:t>and</w:t>
      </w:r>
      <w:r w:rsidR="009907E5" w:rsidRPr="00531E52">
        <w:rPr>
          <w:rFonts w:ascii="Arial" w:eastAsia="Times New Roman" w:hAnsi="Arial" w:cs="Arial"/>
          <w:sz w:val="20"/>
          <w:szCs w:val="20"/>
        </w:rPr>
        <w:t xml:space="preserve"> </w:t>
      </w:r>
      <w:proofErr w:type="spellStart"/>
      <w:r w:rsidR="009907E5" w:rsidRPr="00531E52">
        <w:rPr>
          <w:rFonts w:ascii="Arial" w:eastAsia="Times New Roman" w:hAnsi="Arial" w:cs="Arial"/>
          <w:sz w:val="20"/>
          <w:szCs w:val="20"/>
        </w:rPr>
        <w:t>Abdollahi</w:t>
      </w:r>
      <w:proofErr w:type="spellEnd"/>
      <w:r w:rsidR="009907E5" w:rsidRPr="00531E52">
        <w:rPr>
          <w:rFonts w:ascii="Arial" w:eastAsia="Times New Roman" w:hAnsi="Arial" w:cs="Arial"/>
          <w:sz w:val="20"/>
          <w:szCs w:val="20"/>
        </w:rPr>
        <w:t xml:space="preserve">, 2013; Shekhar </w:t>
      </w:r>
      <w:r w:rsidR="00DA06B6" w:rsidRPr="00DA06B6">
        <w:rPr>
          <w:rFonts w:ascii="Arial" w:eastAsia="Times New Roman" w:hAnsi="Arial" w:cs="Arial"/>
          <w:i/>
          <w:sz w:val="20"/>
          <w:szCs w:val="20"/>
        </w:rPr>
        <w:t>et al</w:t>
      </w:r>
      <w:r w:rsidR="009907E5" w:rsidRPr="00531E52">
        <w:rPr>
          <w:rFonts w:ascii="Arial" w:eastAsia="Times New Roman" w:hAnsi="Arial" w:cs="Arial"/>
          <w:sz w:val="20"/>
          <w:szCs w:val="20"/>
        </w:rPr>
        <w:t xml:space="preserve">., 2024). </w:t>
      </w:r>
      <w:r w:rsidR="00713938" w:rsidRPr="00531E52">
        <w:rPr>
          <w:rFonts w:ascii="Arial" w:eastAsia="Times New Roman" w:hAnsi="Arial" w:cs="Arial"/>
          <w:sz w:val="20"/>
          <w:szCs w:val="20"/>
        </w:rPr>
        <w:t xml:space="preserve">Regulatory bodies such as the IARC and the U.S. EPA continue to evaluate pesticide carcinogenicity and safety thresholds. Nevertheless, evolving scientific evidence regarding low-dose, chronic, and mixture exposures suggests that traditional risk assessment paradigms may underestimate cumulative effects (Ahmad </w:t>
      </w:r>
      <w:r w:rsidR="00DA06B6" w:rsidRPr="00DA06B6">
        <w:rPr>
          <w:rFonts w:ascii="Arial" w:eastAsia="Times New Roman" w:hAnsi="Arial" w:cs="Arial"/>
          <w:i/>
          <w:sz w:val="20"/>
          <w:szCs w:val="20"/>
        </w:rPr>
        <w:t>et al</w:t>
      </w:r>
      <w:r w:rsidR="00713938" w:rsidRPr="00531E52">
        <w:rPr>
          <w:rFonts w:ascii="Arial" w:eastAsia="Times New Roman" w:hAnsi="Arial" w:cs="Arial"/>
          <w:sz w:val="20"/>
          <w:szCs w:val="20"/>
        </w:rPr>
        <w:t>., 2024).</w:t>
      </w:r>
    </w:p>
    <w:p w14:paraId="35AFD516" w14:textId="1A87A103" w:rsidR="00B828EC" w:rsidRPr="00531E52" w:rsidRDefault="00B828EC" w:rsidP="00C227E7">
      <w:pPr>
        <w:spacing w:after="0" w:line="240" w:lineRule="auto"/>
        <w:jc w:val="both"/>
        <w:rPr>
          <w:rFonts w:ascii="Arial" w:eastAsia="Times New Roman" w:hAnsi="Arial" w:cs="Arial"/>
          <w:sz w:val="20"/>
          <w:szCs w:val="20"/>
        </w:rPr>
      </w:pPr>
    </w:p>
    <w:p w14:paraId="358E717A" w14:textId="15FB8435" w:rsidR="00B828EC" w:rsidRPr="00531E52" w:rsidRDefault="008D725C" w:rsidP="00C227E7">
      <w:pPr>
        <w:spacing w:after="0"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5</w:t>
      </w:r>
      <w:r w:rsidR="00B828EC" w:rsidRPr="00531E52">
        <w:rPr>
          <w:rFonts w:ascii="Arial" w:eastAsia="Times New Roman" w:hAnsi="Arial" w:cs="Arial"/>
          <w:b/>
          <w:bCs/>
          <w:sz w:val="20"/>
          <w:szCs w:val="20"/>
        </w:rPr>
        <w:t>.5 Immunomodulation</w:t>
      </w:r>
    </w:p>
    <w:p w14:paraId="03BDF6B5" w14:textId="77777777" w:rsidR="00DF11A9" w:rsidRDefault="00DF11A9" w:rsidP="00C227E7">
      <w:pPr>
        <w:spacing w:after="0" w:line="240" w:lineRule="auto"/>
        <w:jc w:val="both"/>
        <w:rPr>
          <w:rFonts w:ascii="Arial" w:eastAsia="Times New Roman" w:hAnsi="Arial" w:cs="Arial"/>
          <w:sz w:val="20"/>
          <w:szCs w:val="20"/>
        </w:rPr>
      </w:pPr>
    </w:p>
    <w:p w14:paraId="0A7723D1" w14:textId="120B1500" w:rsidR="000E5410" w:rsidRDefault="00B828EC" w:rsidP="00C227E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 xml:space="preserve">Beyond neurotoxicity and endocrine disruption, pesticides influence immune function. Experimental and ecological evidence indicates suppression or dysregulation of both cellular and humoral immune responses following pesticide exposure </w:t>
      </w:r>
      <w:r w:rsidR="00AA07FC">
        <w:rPr>
          <w:rFonts w:ascii="Arial" w:eastAsia="Times New Roman" w:hAnsi="Arial" w:cs="Arial"/>
          <w:sz w:val="20"/>
          <w:szCs w:val="20"/>
        </w:rPr>
        <w:t xml:space="preserve">(Mitra </w:t>
      </w:r>
      <w:r w:rsidR="00DA06B6" w:rsidRPr="00DA06B6">
        <w:rPr>
          <w:rFonts w:ascii="Arial" w:eastAsia="Times New Roman" w:hAnsi="Arial" w:cs="Arial"/>
          <w:i/>
          <w:sz w:val="20"/>
          <w:szCs w:val="20"/>
        </w:rPr>
        <w:t>et al</w:t>
      </w:r>
      <w:r w:rsidR="00AA07FC">
        <w:rPr>
          <w:rFonts w:ascii="Arial" w:eastAsia="Times New Roman" w:hAnsi="Arial" w:cs="Arial"/>
          <w:sz w:val="20"/>
          <w:szCs w:val="20"/>
        </w:rPr>
        <w:t xml:space="preserve">., 2011; Di </w:t>
      </w:r>
      <w:proofErr w:type="spellStart"/>
      <w:r w:rsidR="00AA07FC">
        <w:rPr>
          <w:rFonts w:ascii="Arial" w:eastAsia="Times New Roman" w:hAnsi="Arial" w:cs="Arial"/>
          <w:sz w:val="20"/>
          <w:szCs w:val="20"/>
        </w:rPr>
        <w:t>Prisco</w:t>
      </w:r>
      <w:proofErr w:type="spellEnd"/>
      <w:r w:rsidR="00AA07FC">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AA07FC">
        <w:rPr>
          <w:rFonts w:ascii="Arial" w:eastAsia="Times New Roman" w:hAnsi="Arial" w:cs="Arial"/>
          <w:sz w:val="20"/>
          <w:szCs w:val="20"/>
        </w:rPr>
        <w:t>., 2013)</w:t>
      </w:r>
      <w:r w:rsidRPr="00531E52">
        <w:rPr>
          <w:rFonts w:ascii="Arial" w:eastAsia="Times New Roman" w:hAnsi="Arial" w:cs="Arial"/>
          <w:sz w:val="20"/>
          <w:szCs w:val="20"/>
        </w:rPr>
        <w:t xml:space="preserve">. </w:t>
      </w:r>
      <w:r w:rsidR="00D93149" w:rsidRPr="00531E52">
        <w:rPr>
          <w:rFonts w:ascii="Arial" w:eastAsia="Times New Roman" w:hAnsi="Arial" w:cs="Arial"/>
          <w:sz w:val="20"/>
          <w:szCs w:val="20"/>
        </w:rPr>
        <w:t xml:space="preserve">Studies in cell culture systems have further demonstrated that oxidative stress mediates immune cell dysfunction and altered cytokine expression following xenobiotic exposure. For example, </w:t>
      </w:r>
      <w:proofErr w:type="spellStart"/>
      <w:r w:rsidR="00D93149" w:rsidRPr="00531E52">
        <w:rPr>
          <w:rFonts w:ascii="Arial" w:eastAsia="Times New Roman" w:hAnsi="Arial" w:cs="Arial"/>
          <w:sz w:val="20"/>
          <w:szCs w:val="20"/>
        </w:rPr>
        <w:t>Ambwani</w:t>
      </w:r>
      <w:proofErr w:type="spellEnd"/>
      <w:r w:rsidR="00D93149"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D93149" w:rsidRPr="00531E52">
        <w:rPr>
          <w:rFonts w:ascii="Arial" w:eastAsia="Times New Roman" w:hAnsi="Arial" w:cs="Arial"/>
          <w:sz w:val="20"/>
          <w:szCs w:val="20"/>
        </w:rPr>
        <w:t>. (2018</w:t>
      </w:r>
      <w:r w:rsidR="005627FD">
        <w:rPr>
          <w:rFonts w:ascii="Arial" w:eastAsia="Times New Roman" w:hAnsi="Arial" w:cs="Arial"/>
          <w:sz w:val="20"/>
          <w:szCs w:val="20"/>
        </w:rPr>
        <w:t>a</w:t>
      </w:r>
      <w:r w:rsidR="00D93149" w:rsidRPr="00531E52">
        <w:rPr>
          <w:rFonts w:ascii="Arial" w:eastAsia="Times New Roman" w:hAnsi="Arial" w:cs="Arial"/>
          <w:sz w:val="20"/>
          <w:szCs w:val="20"/>
        </w:rPr>
        <w:t xml:space="preserve">; 2019) reported modulation </w:t>
      </w:r>
      <w:r w:rsidR="00AA07FC">
        <w:rPr>
          <w:rFonts w:ascii="Arial" w:eastAsia="Times New Roman" w:hAnsi="Arial" w:cs="Arial"/>
          <w:sz w:val="20"/>
          <w:szCs w:val="20"/>
        </w:rPr>
        <w:t xml:space="preserve">in </w:t>
      </w:r>
      <w:r w:rsidR="00D93149" w:rsidRPr="00531E52">
        <w:rPr>
          <w:rFonts w:ascii="Arial" w:eastAsia="Times New Roman" w:hAnsi="Arial" w:cs="Arial"/>
          <w:sz w:val="20"/>
          <w:szCs w:val="20"/>
        </w:rPr>
        <w:t xml:space="preserve">oxidative stress biomarkers in avian splenocytes exposed to immunomodulatory agents, underscoring the sensitivity of lymphoid cells to redox perturbations. Such models are highly relevant for investigating pesticide-induced immunotoxicity. </w:t>
      </w:r>
      <w:r w:rsidRPr="00531E52">
        <w:rPr>
          <w:rFonts w:ascii="Arial" w:eastAsia="Times New Roman" w:hAnsi="Arial" w:cs="Arial"/>
          <w:sz w:val="20"/>
          <w:szCs w:val="20"/>
        </w:rPr>
        <w:t>Altered lymphocyte proliferation, impaired cytokine production, and reduced vaccine responsiveness have been documented in animal models and occupational cohorts.</w:t>
      </w:r>
      <w:r w:rsidR="00AA07FC">
        <w:rPr>
          <w:rFonts w:ascii="Arial" w:eastAsia="Times New Roman" w:hAnsi="Arial" w:cs="Arial"/>
          <w:sz w:val="20"/>
          <w:szCs w:val="20"/>
        </w:rPr>
        <w:t xml:space="preserve"> </w:t>
      </w:r>
      <w:r w:rsidRPr="00531E52">
        <w:rPr>
          <w:rFonts w:ascii="Arial" w:eastAsia="Times New Roman" w:hAnsi="Arial" w:cs="Arial"/>
          <w:sz w:val="20"/>
          <w:szCs w:val="20"/>
        </w:rPr>
        <w:t xml:space="preserve">Immunomodulation compromises ecological resilience by increasing susceptibility to infections in wildlife populations. For example, neonicotinoid exposure has been shown to impair immune competence in pollinators, facilitating viral replication and colony vulnerability </w:t>
      </w:r>
      <w:r w:rsidR="00AA07FC">
        <w:rPr>
          <w:rFonts w:ascii="Arial" w:eastAsia="Times New Roman" w:hAnsi="Arial" w:cs="Arial"/>
          <w:sz w:val="20"/>
          <w:szCs w:val="20"/>
        </w:rPr>
        <w:t xml:space="preserve">(Di </w:t>
      </w:r>
      <w:proofErr w:type="spellStart"/>
      <w:r w:rsidR="00AA07FC">
        <w:rPr>
          <w:rFonts w:ascii="Arial" w:eastAsia="Times New Roman" w:hAnsi="Arial" w:cs="Arial"/>
          <w:sz w:val="20"/>
          <w:szCs w:val="20"/>
        </w:rPr>
        <w:t>Prisco</w:t>
      </w:r>
      <w:proofErr w:type="spellEnd"/>
      <w:r w:rsidR="00AA07FC">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AA07FC">
        <w:rPr>
          <w:rFonts w:ascii="Arial" w:eastAsia="Times New Roman" w:hAnsi="Arial" w:cs="Arial"/>
          <w:sz w:val="20"/>
          <w:szCs w:val="20"/>
        </w:rPr>
        <w:t>., 2013)</w:t>
      </w:r>
      <w:r w:rsidR="00AA07FC" w:rsidRPr="00531E52">
        <w:rPr>
          <w:rFonts w:ascii="Arial" w:eastAsia="Times New Roman" w:hAnsi="Arial" w:cs="Arial"/>
          <w:sz w:val="20"/>
          <w:szCs w:val="20"/>
        </w:rPr>
        <w:t xml:space="preserve">. </w:t>
      </w:r>
      <w:r w:rsidRPr="00531E52">
        <w:rPr>
          <w:rFonts w:ascii="Arial" w:eastAsia="Times New Roman" w:hAnsi="Arial" w:cs="Arial"/>
          <w:sz w:val="20"/>
          <w:szCs w:val="20"/>
        </w:rPr>
        <w:t>Such immune perturbations have broader implications for ecosystem stability and public health.</w:t>
      </w:r>
      <w:r w:rsidR="00D93149" w:rsidRPr="00531E52">
        <w:rPr>
          <w:rFonts w:ascii="Arial" w:eastAsia="Times New Roman" w:hAnsi="Arial" w:cs="Arial"/>
          <w:sz w:val="20"/>
          <w:szCs w:val="20"/>
        </w:rPr>
        <w:t xml:space="preserve"> </w:t>
      </w:r>
      <w:proofErr w:type="spellStart"/>
      <w:r w:rsidR="005760D1" w:rsidRPr="00531E52">
        <w:rPr>
          <w:rFonts w:ascii="Arial" w:eastAsia="Times New Roman" w:hAnsi="Arial" w:cs="Arial"/>
          <w:sz w:val="20"/>
          <w:szCs w:val="20"/>
        </w:rPr>
        <w:t>Ambwani</w:t>
      </w:r>
      <w:proofErr w:type="spellEnd"/>
      <w:r w:rsidR="005760D1" w:rsidRPr="00531E52">
        <w:rPr>
          <w:rFonts w:ascii="Arial" w:eastAsia="Times New Roman" w:hAnsi="Arial" w:cs="Arial"/>
          <w:sz w:val="20"/>
          <w:szCs w:val="20"/>
        </w:rPr>
        <w:t xml:space="preserve"> and colleagues have extensively employed chicken lymphocyte culture systems to evaluate oxidative and </w:t>
      </w:r>
      <w:r w:rsidR="005760D1" w:rsidRPr="00531E52">
        <w:rPr>
          <w:rFonts w:ascii="Arial" w:eastAsia="Times New Roman" w:hAnsi="Arial" w:cs="Arial"/>
          <w:sz w:val="20"/>
          <w:szCs w:val="20"/>
        </w:rPr>
        <w:lastRenderedPageBreak/>
        <w:t>inflammatory modulation in response to xenobiotics and plant-derived compounds (</w:t>
      </w:r>
      <w:proofErr w:type="spellStart"/>
      <w:r w:rsidR="005760D1" w:rsidRPr="00531E52">
        <w:rPr>
          <w:rFonts w:ascii="Arial" w:eastAsia="Times New Roman" w:hAnsi="Arial" w:cs="Arial"/>
          <w:sz w:val="20"/>
          <w:szCs w:val="20"/>
        </w:rPr>
        <w:t>Ambwani</w:t>
      </w:r>
      <w:proofErr w:type="spellEnd"/>
      <w:r w:rsidR="005760D1"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5760D1" w:rsidRPr="00531E52">
        <w:rPr>
          <w:rFonts w:ascii="Arial" w:eastAsia="Times New Roman" w:hAnsi="Arial" w:cs="Arial"/>
          <w:sz w:val="20"/>
          <w:szCs w:val="20"/>
        </w:rPr>
        <w:t xml:space="preserve">., </w:t>
      </w:r>
      <w:r w:rsidR="002F5BCC" w:rsidRPr="00531E52">
        <w:rPr>
          <w:rFonts w:ascii="Arial" w:eastAsia="Times New Roman" w:hAnsi="Arial" w:cs="Arial"/>
          <w:sz w:val="20"/>
          <w:szCs w:val="20"/>
        </w:rPr>
        <w:t xml:space="preserve">2010; </w:t>
      </w:r>
      <w:r w:rsidR="005760D1" w:rsidRPr="00531E52">
        <w:rPr>
          <w:rFonts w:ascii="Arial" w:eastAsia="Times New Roman" w:hAnsi="Arial" w:cs="Arial"/>
          <w:sz w:val="20"/>
          <w:szCs w:val="20"/>
        </w:rPr>
        <w:t>2018</w:t>
      </w:r>
      <w:r w:rsidR="002F5BCC" w:rsidRPr="00531E52">
        <w:rPr>
          <w:rFonts w:ascii="Arial" w:eastAsia="Times New Roman" w:hAnsi="Arial" w:cs="Arial"/>
          <w:sz w:val="20"/>
          <w:szCs w:val="20"/>
        </w:rPr>
        <w:t>a</w:t>
      </w:r>
      <w:r w:rsidR="005760D1" w:rsidRPr="00531E52">
        <w:rPr>
          <w:rFonts w:ascii="Arial" w:eastAsia="Times New Roman" w:hAnsi="Arial" w:cs="Arial"/>
          <w:sz w:val="20"/>
          <w:szCs w:val="20"/>
        </w:rPr>
        <w:t xml:space="preserve">; </w:t>
      </w:r>
      <w:r w:rsidR="002F5BCC" w:rsidRPr="00531E52">
        <w:rPr>
          <w:rFonts w:ascii="Arial" w:eastAsia="Times New Roman" w:hAnsi="Arial" w:cs="Arial"/>
          <w:sz w:val="20"/>
          <w:szCs w:val="20"/>
        </w:rPr>
        <w:t xml:space="preserve">2018b; </w:t>
      </w:r>
      <w:r w:rsidR="005760D1" w:rsidRPr="00531E52">
        <w:rPr>
          <w:rFonts w:ascii="Arial" w:eastAsia="Times New Roman" w:hAnsi="Arial" w:cs="Arial"/>
          <w:sz w:val="20"/>
          <w:szCs w:val="20"/>
        </w:rPr>
        <w:t>20</w:t>
      </w:r>
      <w:r w:rsidR="002F5BCC" w:rsidRPr="00531E52">
        <w:rPr>
          <w:rFonts w:ascii="Arial" w:eastAsia="Times New Roman" w:hAnsi="Arial" w:cs="Arial"/>
          <w:sz w:val="20"/>
          <w:szCs w:val="20"/>
        </w:rPr>
        <w:t>19; 2023; 2024; 2025</w:t>
      </w:r>
      <w:r w:rsidR="005760D1" w:rsidRPr="00531E52">
        <w:rPr>
          <w:rFonts w:ascii="Arial" w:eastAsia="Times New Roman" w:hAnsi="Arial" w:cs="Arial"/>
          <w:sz w:val="20"/>
          <w:szCs w:val="20"/>
        </w:rPr>
        <w:t>). Such models are particularly valuable for assessing subclinical immunotoxicity and antioxidant interventions. Oxidative stress–driven apoptosis and impaired blastogenic responses may compromise host defense, increasing susceptibility to infections and inflammatory disorders (</w:t>
      </w:r>
      <w:proofErr w:type="spellStart"/>
      <w:r w:rsidR="00AA07FC">
        <w:rPr>
          <w:rFonts w:ascii="Arial" w:eastAsia="Times New Roman" w:hAnsi="Arial" w:cs="Arial"/>
          <w:sz w:val="20"/>
          <w:szCs w:val="20"/>
        </w:rPr>
        <w:t>Ambwani</w:t>
      </w:r>
      <w:proofErr w:type="spellEnd"/>
      <w:r w:rsidR="00AA07FC">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AA07FC">
        <w:rPr>
          <w:rFonts w:ascii="Arial" w:eastAsia="Times New Roman" w:hAnsi="Arial" w:cs="Arial"/>
          <w:sz w:val="20"/>
          <w:szCs w:val="20"/>
        </w:rPr>
        <w:t xml:space="preserve">., 2019; </w:t>
      </w:r>
      <w:proofErr w:type="spellStart"/>
      <w:r w:rsidR="005760D1" w:rsidRPr="00531E52">
        <w:rPr>
          <w:rFonts w:ascii="Arial" w:eastAsia="Times New Roman" w:hAnsi="Arial" w:cs="Arial"/>
          <w:sz w:val="20"/>
          <w:szCs w:val="20"/>
        </w:rPr>
        <w:t>Sule</w:t>
      </w:r>
      <w:proofErr w:type="spellEnd"/>
      <w:r w:rsidR="005760D1"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5760D1" w:rsidRPr="00531E52">
        <w:rPr>
          <w:rFonts w:ascii="Arial" w:eastAsia="Times New Roman" w:hAnsi="Arial" w:cs="Arial"/>
          <w:sz w:val="20"/>
          <w:szCs w:val="20"/>
        </w:rPr>
        <w:t xml:space="preserve">., 2022). The immunomodulatory dimension of pesticide toxicity remains an important but under-addressed public health concern. </w:t>
      </w:r>
      <w:r w:rsidR="0012380B">
        <w:rPr>
          <w:rFonts w:ascii="Arial" w:eastAsia="Times New Roman" w:hAnsi="Arial" w:cs="Arial"/>
          <w:sz w:val="20"/>
          <w:szCs w:val="20"/>
        </w:rPr>
        <w:t>Overall there are various deleterious impact</w:t>
      </w:r>
      <w:r w:rsidR="00E33B3F">
        <w:rPr>
          <w:rFonts w:ascii="Arial" w:eastAsia="Times New Roman" w:hAnsi="Arial" w:cs="Arial"/>
          <w:sz w:val="20"/>
          <w:szCs w:val="20"/>
        </w:rPr>
        <w:t>s</w:t>
      </w:r>
      <w:r w:rsidR="0012380B">
        <w:rPr>
          <w:rFonts w:ascii="Arial" w:eastAsia="Times New Roman" w:hAnsi="Arial" w:cs="Arial"/>
          <w:sz w:val="20"/>
          <w:szCs w:val="20"/>
        </w:rPr>
        <w:t xml:space="preserve"> on health due to pesticides exposure (Figure 1)</w:t>
      </w:r>
      <w:r w:rsidR="00E33B3F">
        <w:rPr>
          <w:rFonts w:ascii="Arial" w:eastAsia="Times New Roman" w:hAnsi="Arial" w:cs="Arial"/>
          <w:sz w:val="20"/>
          <w:szCs w:val="20"/>
        </w:rPr>
        <w:t>.</w:t>
      </w:r>
    </w:p>
    <w:p w14:paraId="307E9B1A" w14:textId="77777777" w:rsidR="00AA07FC" w:rsidRPr="00531E52" w:rsidRDefault="00AA07FC" w:rsidP="00C227E7">
      <w:pPr>
        <w:spacing w:after="0" w:line="240" w:lineRule="auto"/>
        <w:jc w:val="both"/>
        <w:rPr>
          <w:rFonts w:ascii="Arial" w:eastAsia="Times New Roman" w:hAnsi="Arial" w:cs="Arial"/>
          <w:sz w:val="20"/>
          <w:szCs w:val="20"/>
        </w:rPr>
      </w:pPr>
    </w:p>
    <w:p w14:paraId="6C75EF92" w14:textId="70FD6EF5" w:rsidR="005760D1" w:rsidRPr="00531E52" w:rsidRDefault="008D725C" w:rsidP="00C227E7">
      <w:pPr>
        <w:spacing w:after="0" w:line="240" w:lineRule="auto"/>
        <w:jc w:val="both"/>
        <w:outlineLvl w:val="0"/>
        <w:rPr>
          <w:rFonts w:ascii="Arial" w:eastAsia="Times New Roman" w:hAnsi="Arial" w:cs="Arial"/>
          <w:b/>
          <w:bCs/>
          <w:kern w:val="36"/>
          <w:sz w:val="20"/>
          <w:szCs w:val="20"/>
        </w:rPr>
      </w:pPr>
      <w:r>
        <w:rPr>
          <w:rFonts w:ascii="Arial" w:eastAsia="Times New Roman" w:hAnsi="Arial" w:cs="Arial"/>
          <w:b/>
          <w:bCs/>
          <w:kern w:val="36"/>
          <w:sz w:val="20"/>
          <w:szCs w:val="20"/>
        </w:rPr>
        <w:t>6</w:t>
      </w:r>
      <w:r w:rsidR="005760D1" w:rsidRPr="00531E52">
        <w:rPr>
          <w:rFonts w:ascii="Arial" w:eastAsia="Times New Roman" w:hAnsi="Arial" w:cs="Arial"/>
          <w:b/>
          <w:bCs/>
          <w:kern w:val="36"/>
          <w:sz w:val="20"/>
          <w:szCs w:val="20"/>
        </w:rPr>
        <w:t>. Ecotoxicological Impacts — Animals and Ecosystems</w:t>
      </w:r>
    </w:p>
    <w:p w14:paraId="1AA935D9" w14:textId="77777777" w:rsidR="00DF11A9" w:rsidRDefault="00DF11A9" w:rsidP="006B3D57">
      <w:pPr>
        <w:spacing w:after="0" w:line="240" w:lineRule="auto"/>
        <w:jc w:val="both"/>
        <w:rPr>
          <w:rFonts w:ascii="Arial" w:eastAsia="Times New Roman" w:hAnsi="Arial" w:cs="Arial"/>
          <w:sz w:val="20"/>
          <w:szCs w:val="20"/>
        </w:rPr>
      </w:pPr>
    </w:p>
    <w:p w14:paraId="5E05A5E3" w14:textId="29AE3162" w:rsidR="006B3D57" w:rsidRDefault="00D93149" w:rsidP="006B3D5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 xml:space="preserve">The ecological consequences of pesticide application extend well beyond target pest species. </w:t>
      </w:r>
      <w:r w:rsidR="006B3D57" w:rsidRPr="00531E52">
        <w:rPr>
          <w:rFonts w:ascii="Arial" w:eastAsia="Times New Roman" w:hAnsi="Arial" w:cs="Arial"/>
          <w:sz w:val="20"/>
          <w:szCs w:val="20"/>
        </w:rPr>
        <w:t>Large-scale pesticide us</w:t>
      </w:r>
      <w:r w:rsidR="006B3D57">
        <w:rPr>
          <w:rFonts w:ascii="Arial" w:eastAsia="Times New Roman" w:hAnsi="Arial" w:cs="Arial"/>
          <w:sz w:val="20"/>
          <w:szCs w:val="20"/>
        </w:rPr>
        <w:t>age</w:t>
      </w:r>
      <w:r w:rsidR="006B3D57" w:rsidRPr="00531E52">
        <w:rPr>
          <w:rFonts w:ascii="Arial" w:eastAsia="Times New Roman" w:hAnsi="Arial" w:cs="Arial"/>
          <w:sz w:val="20"/>
          <w:szCs w:val="20"/>
        </w:rPr>
        <w:t xml:space="preserve"> correlates with declines in biodiversity (insects, birds, aquatic life) and degradation of ecosystem services (pollination, pest natural-enemy communities)</w:t>
      </w:r>
      <w:r w:rsidR="00F46312">
        <w:rPr>
          <w:rFonts w:ascii="Arial" w:eastAsia="Times New Roman" w:hAnsi="Arial" w:cs="Arial"/>
          <w:sz w:val="20"/>
          <w:szCs w:val="20"/>
        </w:rPr>
        <w:t xml:space="preserve"> (Table </w:t>
      </w:r>
      <w:r w:rsidR="00C0314D">
        <w:rPr>
          <w:rFonts w:ascii="Arial" w:eastAsia="Times New Roman" w:hAnsi="Arial" w:cs="Arial"/>
          <w:sz w:val="20"/>
          <w:szCs w:val="20"/>
        </w:rPr>
        <w:t>2</w:t>
      </w:r>
      <w:r w:rsidR="0012380B">
        <w:rPr>
          <w:rFonts w:ascii="Arial" w:eastAsia="Times New Roman" w:hAnsi="Arial" w:cs="Arial"/>
          <w:sz w:val="20"/>
          <w:szCs w:val="20"/>
        </w:rPr>
        <w:t>; Figure 2</w:t>
      </w:r>
      <w:r w:rsidR="00F46312">
        <w:rPr>
          <w:rFonts w:ascii="Arial" w:eastAsia="Times New Roman" w:hAnsi="Arial" w:cs="Arial"/>
          <w:sz w:val="20"/>
          <w:szCs w:val="20"/>
        </w:rPr>
        <w:t>)</w:t>
      </w:r>
      <w:r w:rsidR="006B3D57" w:rsidRPr="00531E52">
        <w:rPr>
          <w:rFonts w:ascii="Arial" w:eastAsia="Times New Roman" w:hAnsi="Arial" w:cs="Arial"/>
          <w:sz w:val="20"/>
          <w:szCs w:val="20"/>
        </w:rPr>
        <w:t>.</w:t>
      </w:r>
    </w:p>
    <w:p w14:paraId="06068DAB" w14:textId="77777777" w:rsidR="006B3D57" w:rsidRDefault="006B3D57" w:rsidP="00C227E7">
      <w:pPr>
        <w:spacing w:after="0" w:line="240" w:lineRule="auto"/>
        <w:jc w:val="both"/>
        <w:rPr>
          <w:rFonts w:ascii="Arial" w:eastAsia="Times New Roman" w:hAnsi="Arial" w:cs="Arial"/>
          <w:sz w:val="20"/>
          <w:szCs w:val="20"/>
        </w:rPr>
      </w:pPr>
    </w:p>
    <w:p w14:paraId="5577C6CA" w14:textId="3D5AC036" w:rsidR="00272833" w:rsidRPr="00272833" w:rsidRDefault="008D725C" w:rsidP="00272833">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6</w:t>
      </w:r>
      <w:r w:rsidR="00272833" w:rsidRPr="00272833">
        <w:rPr>
          <w:rFonts w:ascii="Arial" w:eastAsia="Times New Roman" w:hAnsi="Arial" w:cs="Arial"/>
          <w:b/>
          <w:bCs/>
          <w:sz w:val="20"/>
          <w:szCs w:val="20"/>
        </w:rPr>
        <w:t>.1 Birds and Terrestrial Wildlife</w:t>
      </w:r>
    </w:p>
    <w:p w14:paraId="1B43EA29" w14:textId="77777777" w:rsidR="00DF11A9" w:rsidRDefault="00DF11A9" w:rsidP="00272833">
      <w:pPr>
        <w:spacing w:after="0" w:line="240" w:lineRule="auto"/>
        <w:jc w:val="both"/>
        <w:rPr>
          <w:rFonts w:ascii="Arial" w:eastAsia="Times New Roman" w:hAnsi="Arial" w:cs="Arial"/>
          <w:sz w:val="20"/>
          <w:szCs w:val="20"/>
        </w:rPr>
      </w:pPr>
    </w:p>
    <w:p w14:paraId="260A4D6B" w14:textId="405169E4" w:rsidR="00272833" w:rsidRPr="00272833" w:rsidRDefault="00272833" w:rsidP="00272833">
      <w:pPr>
        <w:spacing w:after="0" w:line="240" w:lineRule="auto"/>
        <w:jc w:val="both"/>
        <w:rPr>
          <w:rFonts w:ascii="Arial" w:eastAsia="Times New Roman" w:hAnsi="Arial" w:cs="Arial"/>
          <w:sz w:val="20"/>
          <w:szCs w:val="20"/>
        </w:rPr>
      </w:pPr>
      <w:r w:rsidRPr="00272833">
        <w:rPr>
          <w:rFonts w:ascii="Arial" w:eastAsia="Times New Roman" w:hAnsi="Arial" w:cs="Arial"/>
          <w:sz w:val="20"/>
          <w:szCs w:val="20"/>
        </w:rPr>
        <w:t>Avian species are particularly sensitive to pesticide exposure due to dietary habits and ecological position. Acute mortality events have been documented following ingestion of treated seeds or direct exposure to agricultural sprays. Historically, organochlorine compounds such as DDT were associated with eggshell thinning and reproductive failure, leading to population declines in raptors and other predatory birds</w:t>
      </w:r>
      <w:r w:rsidR="00220829">
        <w:rPr>
          <w:rFonts w:ascii="Arial" w:eastAsia="Times New Roman" w:hAnsi="Arial" w:cs="Arial"/>
          <w:sz w:val="20"/>
          <w:szCs w:val="20"/>
        </w:rPr>
        <w:t xml:space="preserve"> (Mitra </w:t>
      </w:r>
      <w:r w:rsidR="00DA06B6" w:rsidRPr="00DA06B6">
        <w:rPr>
          <w:rFonts w:ascii="Arial" w:eastAsia="Times New Roman" w:hAnsi="Arial" w:cs="Arial"/>
          <w:i/>
          <w:sz w:val="20"/>
          <w:szCs w:val="20"/>
        </w:rPr>
        <w:t>et al</w:t>
      </w:r>
      <w:r w:rsidR="00220829">
        <w:rPr>
          <w:rFonts w:ascii="Arial" w:eastAsia="Times New Roman" w:hAnsi="Arial" w:cs="Arial"/>
          <w:sz w:val="20"/>
          <w:szCs w:val="20"/>
        </w:rPr>
        <w:t>., 2011)</w:t>
      </w:r>
      <w:r w:rsidRPr="00272833">
        <w:rPr>
          <w:rFonts w:ascii="Arial" w:eastAsia="Times New Roman" w:hAnsi="Arial" w:cs="Arial"/>
          <w:sz w:val="20"/>
          <w:szCs w:val="20"/>
        </w:rPr>
        <w:t>.</w:t>
      </w:r>
      <w:r w:rsidR="00220829">
        <w:rPr>
          <w:rFonts w:ascii="Arial" w:eastAsia="Times New Roman" w:hAnsi="Arial" w:cs="Arial"/>
          <w:sz w:val="20"/>
          <w:szCs w:val="20"/>
        </w:rPr>
        <w:t xml:space="preserve"> </w:t>
      </w:r>
      <w:r w:rsidRPr="00272833">
        <w:rPr>
          <w:rFonts w:ascii="Arial" w:eastAsia="Times New Roman" w:hAnsi="Arial" w:cs="Arial"/>
          <w:sz w:val="20"/>
          <w:szCs w:val="20"/>
        </w:rPr>
        <w:t xml:space="preserve">Lipophilic pesticides bioaccumulate in adipose tissue and </w:t>
      </w:r>
      <w:r w:rsidR="00FD51B4" w:rsidRPr="00272833">
        <w:rPr>
          <w:rFonts w:ascii="Arial" w:eastAsia="Times New Roman" w:hAnsi="Arial" w:cs="Arial"/>
          <w:sz w:val="20"/>
          <w:szCs w:val="20"/>
        </w:rPr>
        <w:t>biomagnified</w:t>
      </w:r>
      <w:r w:rsidRPr="00272833">
        <w:rPr>
          <w:rFonts w:ascii="Arial" w:eastAsia="Times New Roman" w:hAnsi="Arial" w:cs="Arial"/>
          <w:sz w:val="20"/>
          <w:szCs w:val="20"/>
        </w:rPr>
        <w:t xml:space="preserve"> along trophic levels, resulting in higher concentrations among predators and scavengers. Such top-down ecological effects alter community structure and biodiversity patterns. Contemporary concerns extend to sublethal behavioral effects, impaired reproduction, and chronic immune suppression</w:t>
      </w:r>
      <w:r w:rsidR="00220829">
        <w:rPr>
          <w:rFonts w:ascii="Arial" w:eastAsia="Times New Roman" w:hAnsi="Arial" w:cs="Arial"/>
          <w:sz w:val="20"/>
          <w:szCs w:val="20"/>
        </w:rPr>
        <w:t xml:space="preserve"> (Mitra </w:t>
      </w:r>
      <w:r w:rsidR="00DA06B6" w:rsidRPr="00DA06B6">
        <w:rPr>
          <w:rFonts w:ascii="Arial" w:eastAsia="Times New Roman" w:hAnsi="Arial" w:cs="Arial"/>
          <w:i/>
          <w:sz w:val="20"/>
          <w:szCs w:val="20"/>
        </w:rPr>
        <w:t>et al</w:t>
      </w:r>
      <w:r w:rsidR="00220829">
        <w:rPr>
          <w:rFonts w:ascii="Arial" w:eastAsia="Times New Roman" w:hAnsi="Arial" w:cs="Arial"/>
          <w:sz w:val="20"/>
          <w:szCs w:val="20"/>
        </w:rPr>
        <w:t>., 2011)</w:t>
      </w:r>
      <w:r w:rsidR="00220829" w:rsidRPr="00272833">
        <w:rPr>
          <w:rFonts w:ascii="Arial" w:eastAsia="Times New Roman" w:hAnsi="Arial" w:cs="Arial"/>
          <w:sz w:val="20"/>
          <w:szCs w:val="20"/>
        </w:rPr>
        <w:t>.</w:t>
      </w:r>
    </w:p>
    <w:p w14:paraId="7EB4414D" w14:textId="77777777" w:rsidR="006B3D57" w:rsidRDefault="006B3D57" w:rsidP="006B3D57">
      <w:pPr>
        <w:spacing w:after="0" w:line="240" w:lineRule="auto"/>
        <w:jc w:val="both"/>
        <w:rPr>
          <w:rFonts w:ascii="Arial" w:eastAsia="Times New Roman" w:hAnsi="Arial" w:cs="Arial"/>
          <w:b/>
          <w:bCs/>
          <w:sz w:val="20"/>
          <w:szCs w:val="20"/>
        </w:rPr>
      </w:pPr>
    </w:p>
    <w:p w14:paraId="232A6936" w14:textId="7AEDB6C0" w:rsidR="006B3D57" w:rsidRPr="006B3D57" w:rsidRDefault="008D725C" w:rsidP="006B3D57">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6</w:t>
      </w:r>
      <w:r w:rsidR="006B3D57" w:rsidRPr="006B3D57">
        <w:rPr>
          <w:rFonts w:ascii="Arial" w:eastAsia="Times New Roman" w:hAnsi="Arial" w:cs="Arial"/>
          <w:b/>
          <w:bCs/>
          <w:sz w:val="20"/>
          <w:szCs w:val="20"/>
        </w:rPr>
        <w:t>.2 Pollinators and Beneficial Insects</w:t>
      </w:r>
    </w:p>
    <w:p w14:paraId="61AD6270" w14:textId="77777777" w:rsidR="00DF11A9" w:rsidRDefault="00DF11A9" w:rsidP="006B3D57">
      <w:pPr>
        <w:spacing w:after="0" w:line="240" w:lineRule="auto"/>
        <w:jc w:val="both"/>
        <w:rPr>
          <w:rFonts w:ascii="Arial" w:eastAsia="Times New Roman" w:hAnsi="Arial" w:cs="Arial"/>
          <w:sz w:val="20"/>
          <w:szCs w:val="20"/>
        </w:rPr>
      </w:pPr>
    </w:p>
    <w:p w14:paraId="4B0D34D4" w14:textId="5F2E9A5B" w:rsidR="006B3D57" w:rsidRPr="006B3D57" w:rsidRDefault="006B3D57" w:rsidP="006B3D5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 xml:space="preserve">Neonicotinoid insecticides, due to their systemic properties, accumulate in pollen and nectar, exposing pollinators to sublethal concentrations (Zhang </w:t>
      </w:r>
      <w:r w:rsidR="00DA06B6" w:rsidRPr="00DA06B6">
        <w:rPr>
          <w:rFonts w:ascii="Arial" w:eastAsia="Times New Roman" w:hAnsi="Arial" w:cs="Arial"/>
          <w:i/>
          <w:sz w:val="20"/>
          <w:szCs w:val="20"/>
        </w:rPr>
        <w:t>et al</w:t>
      </w:r>
      <w:r w:rsidRPr="00531E52">
        <w:rPr>
          <w:rFonts w:ascii="Arial" w:eastAsia="Times New Roman" w:hAnsi="Arial" w:cs="Arial"/>
          <w:sz w:val="20"/>
          <w:szCs w:val="20"/>
        </w:rPr>
        <w:t xml:space="preserve">., 2023). Experimental evidence demonstrates impaired immunity and enhanced viral replication in honey bees following neonicotinoid exposure (Di </w:t>
      </w:r>
      <w:proofErr w:type="spellStart"/>
      <w:r w:rsidRPr="00531E52">
        <w:rPr>
          <w:rFonts w:ascii="Arial" w:eastAsia="Times New Roman" w:hAnsi="Arial" w:cs="Arial"/>
          <w:sz w:val="20"/>
          <w:szCs w:val="20"/>
        </w:rPr>
        <w:t>Prisco</w:t>
      </w:r>
      <w:proofErr w:type="spellEnd"/>
      <w:r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Pr="00531E52">
        <w:rPr>
          <w:rFonts w:ascii="Arial" w:eastAsia="Times New Roman" w:hAnsi="Arial" w:cs="Arial"/>
          <w:sz w:val="20"/>
          <w:szCs w:val="20"/>
        </w:rPr>
        <w:t xml:space="preserve">., 2013). Field-based monitoring studies further highlight chronic exposure risks at landscape scales (French </w:t>
      </w:r>
      <w:r w:rsidR="00DA06B6" w:rsidRPr="00DA06B6">
        <w:rPr>
          <w:rFonts w:ascii="Arial" w:eastAsia="Times New Roman" w:hAnsi="Arial" w:cs="Arial"/>
          <w:i/>
          <w:sz w:val="20"/>
          <w:szCs w:val="20"/>
        </w:rPr>
        <w:t>et al</w:t>
      </w:r>
      <w:r w:rsidRPr="00531E52">
        <w:rPr>
          <w:rFonts w:ascii="Arial" w:eastAsia="Times New Roman" w:hAnsi="Arial" w:cs="Arial"/>
          <w:sz w:val="20"/>
          <w:szCs w:val="20"/>
        </w:rPr>
        <w:t xml:space="preserve">., 2024). </w:t>
      </w:r>
      <w:r w:rsidRPr="006B3D57">
        <w:rPr>
          <w:rFonts w:ascii="Arial" w:eastAsia="Times New Roman" w:hAnsi="Arial" w:cs="Arial"/>
          <w:sz w:val="20"/>
          <w:szCs w:val="20"/>
        </w:rPr>
        <w:t xml:space="preserve">Consequently, pollinators are exposed during foraging activities. Reviews indicate that even sublethal concentrations impair navigation, learning behavior, foraging efficiency, and colony growth </w:t>
      </w:r>
      <w:r w:rsidR="00220829">
        <w:rPr>
          <w:rFonts w:ascii="Arial" w:eastAsia="Times New Roman" w:hAnsi="Arial" w:cs="Arial"/>
          <w:sz w:val="20"/>
          <w:szCs w:val="20"/>
        </w:rPr>
        <w:t xml:space="preserve">(Zhang </w:t>
      </w:r>
      <w:r w:rsidR="00DA06B6" w:rsidRPr="00DA06B6">
        <w:rPr>
          <w:rFonts w:ascii="Arial" w:eastAsia="Times New Roman" w:hAnsi="Arial" w:cs="Arial"/>
          <w:i/>
          <w:sz w:val="20"/>
          <w:szCs w:val="20"/>
        </w:rPr>
        <w:t>et al</w:t>
      </w:r>
      <w:r w:rsidR="00220829">
        <w:rPr>
          <w:rFonts w:ascii="Arial" w:eastAsia="Times New Roman" w:hAnsi="Arial" w:cs="Arial"/>
          <w:sz w:val="20"/>
          <w:szCs w:val="20"/>
        </w:rPr>
        <w:t>., 2023</w:t>
      </w:r>
      <w:proofErr w:type="gramStart"/>
      <w:r w:rsidR="00220829">
        <w:rPr>
          <w:rFonts w:ascii="Arial" w:eastAsia="Times New Roman" w:hAnsi="Arial" w:cs="Arial"/>
          <w:sz w:val="20"/>
          <w:szCs w:val="20"/>
        </w:rPr>
        <w:t>)</w:t>
      </w:r>
      <w:r w:rsidRPr="006B3D57">
        <w:rPr>
          <w:rFonts w:ascii="Arial" w:eastAsia="Times New Roman" w:hAnsi="Arial" w:cs="Arial"/>
          <w:sz w:val="20"/>
          <w:szCs w:val="20"/>
        </w:rPr>
        <w:t>.These</w:t>
      </w:r>
      <w:proofErr w:type="gramEnd"/>
      <w:r w:rsidRPr="006B3D57">
        <w:rPr>
          <w:rFonts w:ascii="Arial" w:eastAsia="Times New Roman" w:hAnsi="Arial" w:cs="Arial"/>
          <w:sz w:val="20"/>
          <w:szCs w:val="20"/>
        </w:rPr>
        <w:t xml:space="preserve"> findings have prompted regulatory restrictions in several countries and intensified calls for precautionary risk assessment frameworks.</w:t>
      </w:r>
    </w:p>
    <w:p w14:paraId="4B388C83" w14:textId="77777777" w:rsidR="0012380B" w:rsidRDefault="0012380B" w:rsidP="006B3D57">
      <w:pPr>
        <w:spacing w:after="0" w:line="240" w:lineRule="auto"/>
        <w:jc w:val="both"/>
        <w:rPr>
          <w:rFonts w:ascii="Arial" w:eastAsia="Times New Roman" w:hAnsi="Arial" w:cs="Arial"/>
          <w:b/>
          <w:bCs/>
          <w:sz w:val="20"/>
          <w:szCs w:val="20"/>
        </w:rPr>
      </w:pPr>
    </w:p>
    <w:p w14:paraId="2174C2CE" w14:textId="76DAE4A2" w:rsidR="006B3D57" w:rsidRPr="006B3D57" w:rsidRDefault="008D725C" w:rsidP="006B3D57">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6</w:t>
      </w:r>
      <w:r w:rsidR="006B3D57" w:rsidRPr="006B3D57">
        <w:rPr>
          <w:rFonts w:ascii="Arial" w:eastAsia="Times New Roman" w:hAnsi="Arial" w:cs="Arial"/>
          <w:b/>
          <w:bCs/>
          <w:sz w:val="20"/>
          <w:szCs w:val="20"/>
        </w:rPr>
        <w:t>.3 Aquatic organisms</w:t>
      </w:r>
    </w:p>
    <w:p w14:paraId="2D0AC618" w14:textId="77777777" w:rsidR="00DF11A9" w:rsidRDefault="00DF11A9" w:rsidP="006B3D57">
      <w:pPr>
        <w:spacing w:after="0" w:line="240" w:lineRule="auto"/>
        <w:jc w:val="both"/>
        <w:rPr>
          <w:rFonts w:ascii="Arial" w:eastAsia="Times New Roman" w:hAnsi="Arial" w:cs="Arial"/>
          <w:sz w:val="20"/>
          <w:szCs w:val="20"/>
        </w:rPr>
      </w:pPr>
    </w:p>
    <w:p w14:paraId="17621169" w14:textId="03807EB2" w:rsidR="006B3D57" w:rsidRPr="006B3D57" w:rsidRDefault="006B3D57" w:rsidP="006B3D57">
      <w:pPr>
        <w:spacing w:after="0" w:line="240" w:lineRule="auto"/>
        <w:jc w:val="both"/>
        <w:rPr>
          <w:rFonts w:ascii="Arial" w:eastAsia="Times New Roman" w:hAnsi="Arial" w:cs="Arial"/>
          <w:sz w:val="20"/>
          <w:szCs w:val="20"/>
        </w:rPr>
      </w:pPr>
      <w:r w:rsidRPr="006B3D57">
        <w:rPr>
          <w:rFonts w:ascii="Arial" w:eastAsia="Times New Roman" w:hAnsi="Arial" w:cs="Arial"/>
          <w:sz w:val="20"/>
          <w:szCs w:val="20"/>
        </w:rPr>
        <w:t>Pesticide contamination of aquatic environments primarily occurs through agricultural runoff, surface drainage, leaching, and spray drift, resulting in the transport of active compounds into rivers, lakes, wetlands, and coastal waters. Once introduced into aquatic systems, these chemicals can exert both acute and chronic toxic effects on non-target organisms. Even at sublethal concentrations, several pesticide classes—particularly synthetic pyrethroids and certain organophosphates—have been associated with developmental abnormalities, reduced growth rates, endocrine disruption, and impaired reproductive performance in fish and amphibians (</w:t>
      </w:r>
      <w:r w:rsidR="00713938" w:rsidRPr="006B3D57">
        <w:rPr>
          <w:rFonts w:ascii="Arial" w:eastAsia="Times New Roman" w:hAnsi="Arial" w:cs="Arial"/>
          <w:sz w:val="20"/>
          <w:szCs w:val="20"/>
        </w:rPr>
        <w:t xml:space="preserve">van der Oost </w:t>
      </w:r>
      <w:r w:rsidR="00DA06B6" w:rsidRPr="00DA06B6">
        <w:rPr>
          <w:rFonts w:ascii="Arial" w:eastAsia="Times New Roman" w:hAnsi="Arial" w:cs="Arial"/>
          <w:i/>
          <w:sz w:val="20"/>
          <w:szCs w:val="20"/>
        </w:rPr>
        <w:t>et al</w:t>
      </w:r>
      <w:r w:rsidR="00713938" w:rsidRPr="006B3D57">
        <w:rPr>
          <w:rFonts w:ascii="Arial" w:eastAsia="Times New Roman" w:hAnsi="Arial" w:cs="Arial"/>
          <w:sz w:val="20"/>
          <w:szCs w:val="20"/>
        </w:rPr>
        <w:t>., 2003</w:t>
      </w:r>
      <w:r w:rsidR="00713938">
        <w:rPr>
          <w:rFonts w:ascii="Arial" w:eastAsia="Times New Roman" w:hAnsi="Arial" w:cs="Arial"/>
          <w:sz w:val="20"/>
          <w:szCs w:val="20"/>
        </w:rPr>
        <w:t>;</w:t>
      </w:r>
      <w:r w:rsidR="00713938" w:rsidRPr="006B3D57">
        <w:rPr>
          <w:rFonts w:ascii="Arial" w:eastAsia="Times New Roman" w:hAnsi="Arial" w:cs="Arial"/>
          <w:sz w:val="20"/>
          <w:szCs w:val="20"/>
        </w:rPr>
        <w:t xml:space="preserve"> </w:t>
      </w:r>
      <w:proofErr w:type="spellStart"/>
      <w:r w:rsidRPr="006B3D57">
        <w:rPr>
          <w:rFonts w:ascii="Arial" w:eastAsia="Times New Roman" w:hAnsi="Arial" w:cs="Arial"/>
          <w:sz w:val="20"/>
          <w:szCs w:val="20"/>
        </w:rPr>
        <w:t>Stehle</w:t>
      </w:r>
      <w:proofErr w:type="spellEnd"/>
      <w:r w:rsidRPr="006B3D57">
        <w:rPr>
          <w:rFonts w:ascii="Arial" w:eastAsia="Times New Roman" w:hAnsi="Arial" w:cs="Arial"/>
          <w:sz w:val="20"/>
          <w:szCs w:val="20"/>
        </w:rPr>
        <w:t xml:space="preserve"> </w:t>
      </w:r>
      <w:r w:rsidR="00713938">
        <w:rPr>
          <w:rFonts w:ascii="Arial" w:eastAsia="Times New Roman" w:hAnsi="Arial" w:cs="Arial"/>
          <w:sz w:val="20"/>
          <w:szCs w:val="20"/>
        </w:rPr>
        <w:t>and</w:t>
      </w:r>
      <w:r w:rsidRPr="006B3D57">
        <w:rPr>
          <w:rFonts w:ascii="Arial" w:eastAsia="Times New Roman" w:hAnsi="Arial" w:cs="Arial"/>
          <w:sz w:val="20"/>
          <w:szCs w:val="20"/>
        </w:rPr>
        <w:t xml:space="preserve"> Schulz, 2015). Early-life stages of aquatic vertebrates are especially vulnerable due to their permeable membranes and incomplete detoxification systems.  Pyrethroids, despite their relatively low water solubility, readily adsorb to sediments, where they can persist and affect benthic organisms. Exposure has been linked to altered swimming behavior, neurotoxicity, and disruption of predator–prey dynamics in fish species (Werner </w:t>
      </w:r>
      <w:r w:rsidR="00713938">
        <w:rPr>
          <w:rFonts w:ascii="Arial" w:eastAsia="Times New Roman" w:hAnsi="Arial" w:cs="Arial"/>
          <w:sz w:val="20"/>
          <w:szCs w:val="20"/>
        </w:rPr>
        <w:t>and</w:t>
      </w:r>
      <w:r w:rsidRPr="006B3D57">
        <w:rPr>
          <w:rFonts w:ascii="Arial" w:eastAsia="Times New Roman" w:hAnsi="Arial" w:cs="Arial"/>
          <w:sz w:val="20"/>
          <w:szCs w:val="20"/>
        </w:rPr>
        <w:t xml:space="preserve"> Moran, 2008). Organophosphate pesticides, through acetylcholinesterase inhibition, can impair neuromuscular function in aquatic fauna, leading to reduced feeding efficiency and increased susceptibility to predation (Fulton </w:t>
      </w:r>
      <w:r w:rsidR="00713938">
        <w:rPr>
          <w:rFonts w:ascii="Arial" w:eastAsia="Times New Roman" w:hAnsi="Arial" w:cs="Arial"/>
          <w:sz w:val="20"/>
          <w:szCs w:val="20"/>
        </w:rPr>
        <w:t>and</w:t>
      </w:r>
      <w:r w:rsidRPr="006B3D57">
        <w:rPr>
          <w:rFonts w:ascii="Arial" w:eastAsia="Times New Roman" w:hAnsi="Arial" w:cs="Arial"/>
          <w:sz w:val="20"/>
          <w:szCs w:val="20"/>
        </w:rPr>
        <w:t xml:space="preserve"> Key, 2001). </w:t>
      </w:r>
      <w:r w:rsidR="00713938" w:rsidRPr="00531E52">
        <w:rPr>
          <w:rFonts w:ascii="Arial" w:eastAsia="Times New Roman" w:hAnsi="Arial" w:cs="Arial"/>
          <w:sz w:val="20"/>
          <w:szCs w:val="20"/>
        </w:rPr>
        <w:t xml:space="preserve">Reviews emphasize alterations in sediment microbial activity, nutrient cycling, and trophic dynamics (Pathak </w:t>
      </w:r>
      <w:r w:rsidR="00DA06B6" w:rsidRPr="00DA06B6">
        <w:rPr>
          <w:rFonts w:ascii="Arial" w:eastAsia="Times New Roman" w:hAnsi="Arial" w:cs="Arial"/>
          <w:i/>
          <w:sz w:val="20"/>
          <w:szCs w:val="20"/>
        </w:rPr>
        <w:t>et al</w:t>
      </w:r>
      <w:r w:rsidR="00713938" w:rsidRPr="00531E52">
        <w:rPr>
          <w:rFonts w:ascii="Arial" w:eastAsia="Times New Roman" w:hAnsi="Arial" w:cs="Arial"/>
          <w:sz w:val="20"/>
          <w:szCs w:val="20"/>
        </w:rPr>
        <w:t xml:space="preserve">., 2022; </w:t>
      </w:r>
      <w:proofErr w:type="spellStart"/>
      <w:r w:rsidR="00713938" w:rsidRPr="00531E52">
        <w:rPr>
          <w:rFonts w:ascii="Arial" w:eastAsia="Times New Roman" w:hAnsi="Arial" w:cs="Arial"/>
          <w:sz w:val="20"/>
          <w:szCs w:val="20"/>
        </w:rPr>
        <w:t>Abaineh</w:t>
      </w:r>
      <w:proofErr w:type="spellEnd"/>
      <w:r w:rsidR="00713938" w:rsidRPr="00531E5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713938" w:rsidRPr="00531E52">
        <w:rPr>
          <w:rFonts w:ascii="Arial" w:eastAsia="Times New Roman" w:hAnsi="Arial" w:cs="Arial"/>
          <w:sz w:val="20"/>
          <w:szCs w:val="20"/>
        </w:rPr>
        <w:t xml:space="preserve">., 2024). The seminal global assessment by </w:t>
      </w:r>
      <w:proofErr w:type="spellStart"/>
      <w:r w:rsidR="00713938" w:rsidRPr="00531E52">
        <w:rPr>
          <w:rFonts w:ascii="Arial" w:eastAsia="Times New Roman" w:hAnsi="Arial" w:cs="Arial"/>
          <w:sz w:val="20"/>
          <w:szCs w:val="20"/>
        </w:rPr>
        <w:t>Stehle</w:t>
      </w:r>
      <w:proofErr w:type="spellEnd"/>
      <w:r w:rsidR="00713938" w:rsidRPr="00531E52">
        <w:rPr>
          <w:rFonts w:ascii="Arial" w:eastAsia="Times New Roman" w:hAnsi="Arial" w:cs="Arial"/>
          <w:sz w:val="20"/>
          <w:szCs w:val="20"/>
        </w:rPr>
        <w:t xml:space="preserve"> and Schulz (2015) demonstrated widespread contamination of surface waters, a finding reinforced by subsequent </w:t>
      </w:r>
      <w:r w:rsidR="00713938" w:rsidRPr="00531E52">
        <w:rPr>
          <w:rFonts w:ascii="Arial" w:eastAsia="Times New Roman" w:hAnsi="Arial" w:cs="Arial"/>
          <w:sz w:val="20"/>
          <w:szCs w:val="20"/>
        </w:rPr>
        <w:lastRenderedPageBreak/>
        <w:t xml:space="preserve">monitoring studies. </w:t>
      </w:r>
      <w:r w:rsidRPr="006B3D57">
        <w:rPr>
          <w:rFonts w:ascii="Arial" w:eastAsia="Times New Roman" w:hAnsi="Arial" w:cs="Arial"/>
          <w:sz w:val="20"/>
          <w:szCs w:val="20"/>
        </w:rPr>
        <w:t>Beyond vertebrates, pesticide contamination significantly influences microbial communities that regulate nutrient cycling and organic matter decomposition. Changes in microbial biomass, enzymatic activity, and sediment respiration have been documented following pesticide exposure, potentially disturbing nitrogen and phosphorus turnover (</w:t>
      </w:r>
      <w:proofErr w:type="spellStart"/>
      <w:r w:rsidRPr="006B3D57">
        <w:rPr>
          <w:rFonts w:ascii="Arial" w:eastAsia="Times New Roman" w:hAnsi="Arial" w:cs="Arial"/>
          <w:sz w:val="20"/>
          <w:szCs w:val="20"/>
        </w:rPr>
        <w:t>Imfeld</w:t>
      </w:r>
      <w:proofErr w:type="spellEnd"/>
      <w:r w:rsidRPr="006B3D57">
        <w:rPr>
          <w:rFonts w:ascii="Arial" w:eastAsia="Times New Roman" w:hAnsi="Arial" w:cs="Arial"/>
          <w:sz w:val="20"/>
          <w:szCs w:val="20"/>
        </w:rPr>
        <w:t xml:space="preserve"> </w:t>
      </w:r>
      <w:r w:rsidR="00713938">
        <w:rPr>
          <w:rFonts w:ascii="Arial" w:eastAsia="Times New Roman" w:hAnsi="Arial" w:cs="Arial"/>
          <w:sz w:val="20"/>
          <w:szCs w:val="20"/>
        </w:rPr>
        <w:t>and</w:t>
      </w:r>
      <w:r w:rsidRPr="006B3D57">
        <w:rPr>
          <w:rFonts w:ascii="Arial" w:eastAsia="Times New Roman" w:hAnsi="Arial" w:cs="Arial"/>
          <w:sz w:val="20"/>
          <w:szCs w:val="20"/>
        </w:rPr>
        <w:t xml:space="preserve"> </w:t>
      </w:r>
      <w:proofErr w:type="spellStart"/>
      <w:r w:rsidRPr="006B3D57">
        <w:rPr>
          <w:rFonts w:ascii="Arial" w:eastAsia="Times New Roman" w:hAnsi="Arial" w:cs="Arial"/>
          <w:sz w:val="20"/>
          <w:szCs w:val="20"/>
        </w:rPr>
        <w:t>Vuilleumier</w:t>
      </w:r>
      <w:proofErr w:type="spellEnd"/>
      <w:r w:rsidRPr="006B3D57">
        <w:rPr>
          <w:rFonts w:ascii="Arial" w:eastAsia="Times New Roman" w:hAnsi="Arial" w:cs="Arial"/>
          <w:sz w:val="20"/>
          <w:szCs w:val="20"/>
        </w:rPr>
        <w:t>, 2012). Such alterations may cascade through food webs, ultimately affecting ecosystem stability and biodiversity.  Collectively, these findings underscore that even environmentally relevant concentrations of pesticides can compromise aquatic ecosystem health through both direct toxicological effects and indirect ecological disruptions.</w:t>
      </w:r>
    </w:p>
    <w:p w14:paraId="284ED993" w14:textId="77777777" w:rsidR="00713938" w:rsidRDefault="00713938" w:rsidP="00C227E7">
      <w:pPr>
        <w:spacing w:after="0" w:line="240" w:lineRule="auto"/>
        <w:jc w:val="both"/>
        <w:rPr>
          <w:rFonts w:ascii="Arial" w:eastAsia="Times New Roman" w:hAnsi="Arial" w:cs="Arial"/>
          <w:sz w:val="20"/>
          <w:szCs w:val="20"/>
        </w:rPr>
      </w:pPr>
    </w:p>
    <w:p w14:paraId="38A1BFBC" w14:textId="082F5B98" w:rsidR="00AE02FC" w:rsidRPr="00531E52" w:rsidRDefault="008D725C" w:rsidP="00D50792">
      <w:pPr>
        <w:spacing w:after="0" w:line="240" w:lineRule="auto"/>
        <w:jc w:val="both"/>
        <w:outlineLvl w:val="2"/>
        <w:rPr>
          <w:rFonts w:ascii="Arial" w:eastAsia="Times New Roman" w:hAnsi="Arial" w:cs="Arial"/>
          <w:b/>
          <w:bCs/>
          <w:sz w:val="20"/>
          <w:szCs w:val="20"/>
        </w:rPr>
      </w:pPr>
      <w:r>
        <w:rPr>
          <w:rFonts w:ascii="Arial" w:eastAsia="Times New Roman" w:hAnsi="Arial" w:cs="Arial"/>
          <w:b/>
          <w:bCs/>
          <w:sz w:val="20"/>
          <w:szCs w:val="20"/>
        </w:rPr>
        <w:t>7</w:t>
      </w:r>
      <w:r w:rsidR="00D50792">
        <w:rPr>
          <w:rFonts w:ascii="Arial" w:eastAsia="Times New Roman" w:hAnsi="Arial" w:cs="Arial"/>
          <w:b/>
          <w:bCs/>
          <w:sz w:val="20"/>
          <w:szCs w:val="20"/>
        </w:rPr>
        <w:t xml:space="preserve">. </w:t>
      </w:r>
      <w:r w:rsidR="00AE02FC" w:rsidRPr="00531E52">
        <w:rPr>
          <w:rFonts w:ascii="Arial" w:eastAsia="Times New Roman" w:hAnsi="Arial" w:cs="Arial"/>
          <w:b/>
          <w:bCs/>
          <w:sz w:val="20"/>
          <w:szCs w:val="20"/>
        </w:rPr>
        <w:t>Regulatory landscape, risk mitigation and alternatives</w:t>
      </w:r>
    </w:p>
    <w:p w14:paraId="69E7FF6F" w14:textId="77777777" w:rsidR="00DF11A9" w:rsidRDefault="00DF11A9" w:rsidP="00C227E7">
      <w:pPr>
        <w:spacing w:after="0" w:line="240" w:lineRule="auto"/>
        <w:jc w:val="both"/>
        <w:rPr>
          <w:rFonts w:ascii="Arial" w:eastAsia="Times New Roman" w:hAnsi="Arial" w:cs="Arial"/>
          <w:sz w:val="20"/>
          <w:szCs w:val="20"/>
        </w:rPr>
      </w:pPr>
    </w:p>
    <w:p w14:paraId="30456577" w14:textId="6F90346D" w:rsidR="00AE02FC" w:rsidRPr="00531E52" w:rsidRDefault="00AE02FC" w:rsidP="00C227E7">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 xml:space="preserve">Given varied hazard profiles, risk mitigation strategies include regulatory restrictions, formulation reformulation (minimizing problematic adjuvants), integrated pest management (IPM), biological control deployment, buffer zone policies to reduce drift, and farmworker training/PPE provision. Government-led reductions in pesticide application have yielded positive biodiversity outcomes in some regions, highlighting policy impact potential </w:t>
      </w:r>
      <w:r w:rsidR="00D50792">
        <w:rPr>
          <w:rFonts w:ascii="Arial" w:eastAsia="Times New Roman" w:hAnsi="Arial" w:cs="Arial"/>
          <w:sz w:val="20"/>
          <w:szCs w:val="20"/>
        </w:rPr>
        <w:t xml:space="preserve">(Di </w:t>
      </w:r>
      <w:proofErr w:type="spellStart"/>
      <w:r w:rsidR="00D50792">
        <w:rPr>
          <w:rFonts w:ascii="Arial" w:eastAsia="Times New Roman" w:hAnsi="Arial" w:cs="Arial"/>
          <w:sz w:val="20"/>
          <w:szCs w:val="20"/>
        </w:rPr>
        <w:t>Prisco</w:t>
      </w:r>
      <w:proofErr w:type="spellEnd"/>
      <w:r w:rsidR="00D50792">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D50792">
        <w:rPr>
          <w:rFonts w:ascii="Arial" w:eastAsia="Times New Roman" w:hAnsi="Arial" w:cs="Arial"/>
          <w:sz w:val="20"/>
          <w:szCs w:val="20"/>
        </w:rPr>
        <w:t>., 2013)</w:t>
      </w:r>
      <w:r w:rsidRPr="00531E52">
        <w:rPr>
          <w:rFonts w:ascii="Arial" w:eastAsia="Times New Roman" w:hAnsi="Arial" w:cs="Arial"/>
          <w:sz w:val="20"/>
          <w:szCs w:val="20"/>
        </w:rPr>
        <w:t xml:space="preserve">. Controversies persist regarding risk-benefit tradeoffs for certain chemicals where agriculture and occupational economics are influential. </w:t>
      </w:r>
    </w:p>
    <w:p w14:paraId="77CA063B" w14:textId="77777777" w:rsidR="00CA43C2" w:rsidRDefault="00CA43C2" w:rsidP="00C227E7">
      <w:pPr>
        <w:spacing w:after="0" w:line="240" w:lineRule="auto"/>
        <w:jc w:val="both"/>
        <w:outlineLvl w:val="1"/>
        <w:rPr>
          <w:rFonts w:ascii="Arial" w:eastAsia="Times New Roman" w:hAnsi="Arial" w:cs="Arial"/>
          <w:b/>
          <w:bCs/>
          <w:sz w:val="20"/>
          <w:szCs w:val="20"/>
        </w:rPr>
      </w:pPr>
    </w:p>
    <w:p w14:paraId="7F95ABB5" w14:textId="48E31243" w:rsidR="00AE02FC" w:rsidRPr="00531E52" w:rsidRDefault="008D725C" w:rsidP="00CF1DD8">
      <w:pPr>
        <w:spacing w:after="0"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8</w:t>
      </w:r>
      <w:r w:rsidR="00AE02FC" w:rsidRPr="00531E52">
        <w:rPr>
          <w:rFonts w:ascii="Arial" w:eastAsia="Times New Roman" w:hAnsi="Arial" w:cs="Arial"/>
          <w:b/>
          <w:bCs/>
          <w:sz w:val="20"/>
          <w:szCs w:val="20"/>
        </w:rPr>
        <w:t>. Research gaps and priorities</w:t>
      </w:r>
    </w:p>
    <w:p w14:paraId="06FCC484" w14:textId="77777777" w:rsidR="00DF11A9" w:rsidRDefault="00DF11A9" w:rsidP="00D50792">
      <w:pPr>
        <w:spacing w:after="0" w:line="240" w:lineRule="auto"/>
        <w:jc w:val="both"/>
        <w:rPr>
          <w:rFonts w:ascii="Arial" w:eastAsia="Times New Roman" w:hAnsi="Arial" w:cs="Arial"/>
          <w:bCs/>
          <w:sz w:val="20"/>
          <w:szCs w:val="20"/>
        </w:rPr>
      </w:pPr>
    </w:p>
    <w:p w14:paraId="59AA988D" w14:textId="7B2842DC" w:rsidR="00713938" w:rsidRDefault="00AE02FC" w:rsidP="00D50792">
      <w:pPr>
        <w:spacing w:after="0" w:line="240" w:lineRule="auto"/>
        <w:jc w:val="both"/>
        <w:rPr>
          <w:rFonts w:ascii="Arial" w:eastAsia="Times New Roman" w:hAnsi="Arial" w:cs="Arial"/>
          <w:sz w:val="20"/>
          <w:szCs w:val="20"/>
        </w:rPr>
      </w:pPr>
      <w:r w:rsidRPr="00D50792">
        <w:rPr>
          <w:rFonts w:ascii="Arial" w:eastAsia="Times New Roman" w:hAnsi="Arial" w:cs="Arial"/>
          <w:bCs/>
          <w:sz w:val="20"/>
          <w:szCs w:val="20"/>
        </w:rPr>
        <w:t>Longitudinal cohort studies</w:t>
      </w:r>
      <w:r w:rsidRPr="00D50792">
        <w:rPr>
          <w:rFonts w:ascii="Arial" w:eastAsia="Times New Roman" w:hAnsi="Arial" w:cs="Arial"/>
          <w:sz w:val="20"/>
          <w:szCs w:val="20"/>
        </w:rPr>
        <w:t xml:space="preserve"> with</w:t>
      </w:r>
      <w:r w:rsidRPr="00531E52">
        <w:rPr>
          <w:rFonts w:ascii="Arial" w:eastAsia="Times New Roman" w:hAnsi="Arial" w:cs="Arial"/>
          <w:sz w:val="20"/>
          <w:szCs w:val="20"/>
        </w:rPr>
        <w:t xml:space="preserve"> repeated biomonitoring, precise exposure assessment, and attention to co-exposures and social determinants of health.</w:t>
      </w:r>
      <w:r w:rsidR="00D50792">
        <w:rPr>
          <w:rFonts w:ascii="Arial" w:eastAsia="Times New Roman" w:hAnsi="Arial" w:cs="Arial"/>
          <w:sz w:val="20"/>
          <w:szCs w:val="20"/>
        </w:rPr>
        <w:t xml:space="preserve"> </w:t>
      </w:r>
      <w:r w:rsidRPr="00D50792">
        <w:rPr>
          <w:rFonts w:ascii="Arial" w:eastAsia="Times New Roman" w:hAnsi="Arial" w:cs="Arial"/>
          <w:bCs/>
          <w:sz w:val="20"/>
          <w:szCs w:val="20"/>
        </w:rPr>
        <w:t>Mechanistic human-relevant toxicology</w:t>
      </w:r>
      <w:r w:rsidRPr="00D50792">
        <w:rPr>
          <w:rFonts w:ascii="Arial" w:eastAsia="Times New Roman" w:hAnsi="Arial" w:cs="Arial"/>
          <w:sz w:val="20"/>
          <w:szCs w:val="20"/>
        </w:rPr>
        <w:t xml:space="preserve"> using organoids, human iPSC-derived neurons, and integrative omics to link</w:t>
      </w:r>
      <w:r w:rsidRPr="00531E52">
        <w:rPr>
          <w:rFonts w:ascii="Arial" w:eastAsia="Times New Roman" w:hAnsi="Arial" w:cs="Arial"/>
          <w:sz w:val="20"/>
          <w:szCs w:val="20"/>
        </w:rPr>
        <w:t xml:space="preserve"> molecular perturbations with epidemiologic endpoints.</w:t>
      </w:r>
      <w:r w:rsidR="00D50792">
        <w:rPr>
          <w:rFonts w:ascii="Arial" w:eastAsia="Times New Roman" w:hAnsi="Arial" w:cs="Arial"/>
          <w:sz w:val="20"/>
          <w:szCs w:val="20"/>
        </w:rPr>
        <w:t xml:space="preserve"> </w:t>
      </w:r>
      <w:r w:rsidRPr="00D50792">
        <w:rPr>
          <w:rFonts w:ascii="Arial" w:eastAsia="Times New Roman" w:hAnsi="Arial" w:cs="Arial"/>
          <w:bCs/>
          <w:sz w:val="20"/>
          <w:szCs w:val="20"/>
        </w:rPr>
        <w:t>Ecological multiple-stressors research</w:t>
      </w:r>
      <w:r w:rsidRPr="00D50792">
        <w:rPr>
          <w:rFonts w:ascii="Arial" w:eastAsia="Times New Roman" w:hAnsi="Arial" w:cs="Arial"/>
          <w:sz w:val="20"/>
          <w:szCs w:val="20"/>
        </w:rPr>
        <w:t xml:space="preserve"> that integrates pesticide exposure with habitat los</w:t>
      </w:r>
      <w:r w:rsidRPr="00531E52">
        <w:rPr>
          <w:rFonts w:ascii="Arial" w:eastAsia="Times New Roman" w:hAnsi="Arial" w:cs="Arial"/>
          <w:sz w:val="20"/>
          <w:szCs w:val="20"/>
        </w:rPr>
        <w:t>s, climate change and invasive species to understand compound biodiversity impacts.</w:t>
      </w:r>
      <w:r w:rsidR="00D50792">
        <w:rPr>
          <w:rFonts w:ascii="Arial" w:eastAsia="Times New Roman" w:hAnsi="Arial" w:cs="Arial"/>
          <w:sz w:val="20"/>
          <w:szCs w:val="20"/>
        </w:rPr>
        <w:t xml:space="preserve"> </w:t>
      </w:r>
      <w:r w:rsidRPr="00D50792">
        <w:rPr>
          <w:rFonts w:ascii="Arial" w:eastAsia="Times New Roman" w:hAnsi="Arial" w:cs="Arial"/>
          <w:bCs/>
          <w:sz w:val="20"/>
          <w:szCs w:val="20"/>
        </w:rPr>
        <w:t>Transparent data and regulatory science</w:t>
      </w:r>
      <w:r w:rsidRPr="00D50792">
        <w:rPr>
          <w:rFonts w:ascii="Arial" w:eastAsia="Times New Roman" w:hAnsi="Arial" w:cs="Arial"/>
          <w:sz w:val="20"/>
          <w:szCs w:val="20"/>
        </w:rPr>
        <w:t>—</w:t>
      </w:r>
      <w:r w:rsidRPr="00531E52">
        <w:rPr>
          <w:rFonts w:ascii="Arial" w:eastAsia="Times New Roman" w:hAnsi="Arial" w:cs="Arial"/>
          <w:sz w:val="20"/>
          <w:szCs w:val="20"/>
        </w:rPr>
        <w:t xml:space="preserve">open access data, conflict-of-interest declarations and independent replication of industry-sponsored studies. </w:t>
      </w:r>
      <w:r w:rsidR="00713938" w:rsidRPr="00713938">
        <w:rPr>
          <w:rFonts w:ascii="Arial" w:eastAsia="Times New Roman" w:hAnsi="Arial" w:cs="Arial"/>
          <w:sz w:val="20"/>
          <w:szCs w:val="20"/>
        </w:rPr>
        <w:t>The integration of environmental toxicology with experimental immunomodulation research is critical. Policy-driven agricultural transitions, including large-scale organic farming initiatives, have shown measurable reductions in pesticide usage and potential health co-benefits (</w:t>
      </w:r>
      <w:proofErr w:type="spellStart"/>
      <w:r w:rsidR="00713938" w:rsidRPr="00713938">
        <w:rPr>
          <w:rFonts w:ascii="Arial" w:eastAsia="Times New Roman" w:hAnsi="Arial" w:cs="Arial"/>
          <w:sz w:val="20"/>
          <w:szCs w:val="20"/>
        </w:rPr>
        <w:t>Jaacks</w:t>
      </w:r>
      <w:proofErr w:type="spellEnd"/>
      <w:r w:rsidR="00713938" w:rsidRPr="00713938">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713938" w:rsidRPr="00713938">
        <w:rPr>
          <w:rFonts w:ascii="Arial" w:eastAsia="Times New Roman" w:hAnsi="Arial" w:cs="Arial"/>
          <w:sz w:val="20"/>
          <w:szCs w:val="20"/>
        </w:rPr>
        <w:t xml:space="preserve">., 2022). Such systems provide mechanistic insight into pesticide-induced immune dysfunction and serve as platforms for evaluating phytochemical-based mitigation strategies. Given the central role of oxidative stress in pesticide toxicity, antioxidant-rich plant extracts and </w:t>
      </w:r>
      <w:proofErr w:type="spellStart"/>
      <w:r w:rsidR="00713938" w:rsidRPr="00713938">
        <w:rPr>
          <w:rFonts w:ascii="Arial" w:eastAsia="Times New Roman" w:hAnsi="Arial" w:cs="Arial"/>
          <w:sz w:val="20"/>
          <w:szCs w:val="20"/>
        </w:rPr>
        <w:t>nano</w:t>
      </w:r>
      <w:proofErr w:type="spellEnd"/>
      <w:r w:rsidR="00713938" w:rsidRPr="00713938">
        <w:rPr>
          <w:rFonts w:ascii="Arial" w:eastAsia="Times New Roman" w:hAnsi="Arial" w:cs="Arial"/>
          <w:sz w:val="20"/>
          <w:szCs w:val="20"/>
        </w:rPr>
        <w:t>-delivery systems (</w:t>
      </w:r>
      <w:proofErr w:type="spellStart"/>
      <w:r w:rsidR="00713938" w:rsidRPr="00713938">
        <w:rPr>
          <w:rFonts w:ascii="Arial" w:eastAsia="Times New Roman" w:hAnsi="Arial" w:cs="Arial"/>
          <w:sz w:val="20"/>
          <w:szCs w:val="20"/>
        </w:rPr>
        <w:t>Ambwani</w:t>
      </w:r>
      <w:proofErr w:type="spellEnd"/>
      <w:r w:rsidR="00713938" w:rsidRPr="00713938">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713938" w:rsidRPr="00713938">
        <w:rPr>
          <w:rFonts w:ascii="Arial" w:eastAsia="Times New Roman" w:hAnsi="Arial" w:cs="Arial"/>
          <w:sz w:val="20"/>
          <w:szCs w:val="20"/>
        </w:rPr>
        <w:t xml:space="preserve">., </w:t>
      </w:r>
      <w:r w:rsidR="00713938" w:rsidRPr="00FA3A1E">
        <w:rPr>
          <w:rFonts w:ascii="Arial" w:eastAsia="Times New Roman" w:hAnsi="Arial" w:cs="Arial"/>
          <w:sz w:val="20"/>
          <w:szCs w:val="20"/>
        </w:rPr>
        <w:t>2018</w:t>
      </w:r>
      <w:r w:rsidR="00FA3A1E">
        <w:rPr>
          <w:rFonts w:ascii="Arial" w:eastAsia="Times New Roman" w:hAnsi="Arial" w:cs="Arial"/>
          <w:sz w:val="20"/>
          <w:szCs w:val="20"/>
        </w:rPr>
        <w:t>c</w:t>
      </w:r>
      <w:r w:rsidR="00713938" w:rsidRPr="00713938">
        <w:rPr>
          <w:rFonts w:ascii="Arial" w:eastAsia="Times New Roman" w:hAnsi="Arial" w:cs="Arial"/>
          <w:sz w:val="20"/>
          <w:szCs w:val="20"/>
        </w:rPr>
        <w:t xml:space="preserve">; Pandey </w:t>
      </w:r>
      <w:r w:rsidR="00A96EB1">
        <w:rPr>
          <w:rFonts w:ascii="Arial" w:eastAsia="Times New Roman" w:hAnsi="Arial" w:cs="Arial"/>
          <w:sz w:val="20"/>
          <w:szCs w:val="20"/>
        </w:rPr>
        <w:t>and</w:t>
      </w:r>
      <w:r w:rsidR="00713938" w:rsidRPr="00713938">
        <w:rPr>
          <w:rFonts w:ascii="Arial" w:eastAsia="Times New Roman" w:hAnsi="Arial" w:cs="Arial"/>
          <w:sz w:val="20"/>
          <w:szCs w:val="20"/>
        </w:rPr>
        <w:t xml:space="preserve"> </w:t>
      </w:r>
      <w:proofErr w:type="spellStart"/>
      <w:r w:rsidR="00713938" w:rsidRPr="00713938">
        <w:rPr>
          <w:rFonts w:ascii="Arial" w:eastAsia="Times New Roman" w:hAnsi="Arial" w:cs="Arial"/>
          <w:sz w:val="20"/>
          <w:szCs w:val="20"/>
        </w:rPr>
        <w:t>Ambwani</w:t>
      </w:r>
      <w:proofErr w:type="spellEnd"/>
      <w:r w:rsidR="00713938" w:rsidRPr="00713938">
        <w:rPr>
          <w:rFonts w:ascii="Arial" w:eastAsia="Times New Roman" w:hAnsi="Arial" w:cs="Arial"/>
          <w:sz w:val="20"/>
          <w:szCs w:val="20"/>
        </w:rPr>
        <w:t>, 2022</w:t>
      </w:r>
      <w:r w:rsidR="00FA3A1E">
        <w:rPr>
          <w:rFonts w:ascii="Arial" w:eastAsia="Times New Roman" w:hAnsi="Arial" w:cs="Arial"/>
          <w:sz w:val="20"/>
          <w:szCs w:val="20"/>
        </w:rPr>
        <w:t xml:space="preserve">; </w:t>
      </w:r>
      <w:proofErr w:type="spellStart"/>
      <w:r w:rsidR="00FA3A1E">
        <w:rPr>
          <w:rFonts w:ascii="Arial" w:eastAsia="Times New Roman" w:hAnsi="Arial" w:cs="Arial"/>
          <w:sz w:val="20"/>
          <w:szCs w:val="20"/>
        </w:rPr>
        <w:t>Ambwani</w:t>
      </w:r>
      <w:proofErr w:type="spellEnd"/>
      <w:r w:rsidR="00FA3A1E">
        <w:rPr>
          <w:rFonts w:ascii="Arial" w:eastAsia="Times New Roman" w:hAnsi="Arial" w:cs="Arial"/>
          <w:sz w:val="20"/>
          <w:szCs w:val="20"/>
        </w:rPr>
        <w:t xml:space="preserve"> </w:t>
      </w:r>
      <w:r w:rsidR="00DA06B6" w:rsidRPr="00DA06B6">
        <w:rPr>
          <w:rFonts w:ascii="Arial" w:eastAsia="Times New Roman" w:hAnsi="Arial" w:cs="Arial"/>
          <w:i/>
          <w:sz w:val="20"/>
          <w:szCs w:val="20"/>
        </w:rPr>
        <w:t>et al</w:t>
      </w:r>
      <w:r w:rsidR="00FA3A1E">
        <w:rPr>
          <w:rFonts w:ascii="Arial" w:eastAsia="Times New Roman" w:hAnsi="Arial" w:cs="Arial"/>
          <w:sz w:val="20"/>
          <w:szCs w:val="20"/>
        </w:rPr>
        <w:t>., 2024; 2025</w:t>
      </w:r>
      <w:r w:rsidR="00713938" w:rsidRPr="00713938">
        <w:rPr>
          <w:rFonts w:ascii="Arial" w:eastAsia="Times New Roman" w:hAnsi="Arial" w:cs="Arial"/>
          <w:sz w:val="20"/>
          <w:szCs w:val="20"/>
        </w:rPr>
        <w:t xml:space="preserve">) represent promising adjunct approaches for reducing redox imbalance and immune dysregulation. </w:t>
      </w:r>
    </w:p>
    <w:p w14:paraId="75F8DD67" w14:textId="77777777" w:rsidR="005553EC" w:rsidRDefault="005553EC" w:rsidP="00D50792">
      <w:pPr>
        <w:spacing w:after="0" w:line="240" w:lineRule="auto"/>
        <w:jc w:val="both"/>
        <w:rPr>
          <w:rFonts w:ascii="Arial" w:eastAsia="Times New Roman" w:hAnsi="Arial" w:cs="Arial"/>
          <w:sz w:val="20"/>
          <w:szCs w:val="20"/>
          <w:highlight w:val="yellow"/>
        </w:rPr>
      </w:pPr>
    </w:p>
    <w:p w14:paraId="405876A2" w14:textId="014191ED" w:rsidR="005553EC" w:rsidRPr="005553EC" w:rsidRDefault="008D725C" w:rsidP="00D50792">
      <w:pPr>
        <w:spacing w:after="0" w:line="240" w:lineRule="auto"/>
        <w:jc w:val="both"/>
        <w:rPr>
          <w:rFonts w:ascii="Arial" w:eastAsia="Times New Roman" w:hAnsi="Arial" w:cs="Arial"/>
          <w:b/>
          <w:sz w:val="20"/>
          <w:szCs w:val="20"/>
          <w:highlight w:val="yellow"/>
        </w:rPr>
      </w:pPr>
      <w:r>
        <w:rPr>
          <w:rFonts w:ascii="Arial" w:eastAsia="Times New Roman" w:hAnsi="Arial" w:cs="Arial"/>
          <w:b/>
          <w:sz w:val="20"/>
          <w:szCs w:val="20"/>
          <w:highlight w:val="yellow"/>
        </w:rPr>
        <w:t>8</w:t>
      </w:r>
      <w:r w:rsidR="005553EC" w:rsidRPr="005553EC">
        <w:rPr>
          <w:rFonts w:ascii="Arial" w:eastAsia="Times New Roman" w:hAnsi="Arial" w:cs="Arial"/>
          <w:b/>
          <w:sz w:val="20"/>
          <w:szCs w:val="20"/>
          <w:highlight w:val="yellow"/>
        </w:rPr>
        <w:t xml:space="preserve">.1 Critical Appraisal of Current Evidence </w:t>
      </w:r>
    </w:p>
    <w:p w14:paraId="56531C5D" w14:textId="77777777" w:rsidR="005553EC" w:rsidRDefault="005553EC" w:rsidP="00D50792">
      <w:pPr>
        <w:spacing w:after="0" w:line="240" w:lineRule="auto"/>
        <w:jc w:val="both"/>
        <w:rPr>
          <w:rFonts w:ascii="Arial" w:eastAsia="Times New Roman" w:hAnsi="Arial" w:cs="Arial"/>
          <w:sz w:val="20"/>
          <w:szCs w:val="20"/>
          <w:highlight w:val="yellow"/>
        </w:rPr>
      </w:pPr>
    </w:p>
    <w:p w14:paraId="3E8E1889" w14:textId="1CCBED16" w:rsidR="00D50792" w:rsidRPr="00713938" w:rsidRDefault="00813E20" w:rsidP="00D50792">
      <w:pPr>
        <w:spacing w:after="0" w:line="240" w:lineRule="auto"/>
        <w:jc w:val="both"/>
        <w:rPr>
          <w:rFonts w:ascii="Arial" w:eastAsia="Times New Roman" w:hAnsi="Arial" w:cs="Arial"/>
          <w:sz w:val="20"/>
          <w:szCs w:val="20"/>
        </w:rPr>
      </w:pPr>
      <w:r w:rsidRPr="00813E20">
        <w:rPr>
          <w:rFonts w:ascii="Arial" w:eastAsia="Times New Roman" w:hAnsi="Arial" w:cs="Arial"/>
          <w:sz w:val="20"/>
          <w:szCs w:val="20"/>
          <w:highlight w:val="yellow"/>
        </w:rPr>
        <w:t>While substantial mechanistic and epidemiological data link pesticide exposure to oxidative stress, neurotoxicity, endocrine disruption, and immunomodulation, heterogeneity in exposure assessment methods limits causal inference. Many epidemiological studies rely on self-reported exposure or occupational proxies, which may underestimate cumulative and mixture effects. Additionally, regulatory toxicology often emphasizes single-compound testing, whereas real-world exposures involve complex chemical mixtures. Emerging omics-based toxicology and organoid models offer improved translational relevance but remain underutilized in regulatory frameworks. A shift toward cumulative risk modeling and low-dose chronic exposure paradigms is essential.</w:t>
      </w:r>
    </w:p>
    <w:p w14:paraId="15923697" w14:textId="77777777" w:rsidR="00813E20" w:rsidRDefault="00813E20" w:rsidP="00C227E7">
      <w:pPr>
        <w:spacing w:after="0" w:line="240" w:lineRule="auto"/>
        <w:jc w:val="both"/>
        <w:outlineLvl w:val="1"/>
        <w:rPr>
          <w:rFonts w:ascii="Arial" w:eastAsia="Times New Roman" w:hAnsi="Arial" w:cs="Arial"/>
          <w:b/>
          <w:bCs/>
          <w:sz w:val="20"/>
          <w:szCs w:val="20"/>
        </w:rPr>
      </w:pPr>
    </w:p>
    <w:p w14:paraId="1ACA45C1" w14:textId="1AAEC689" w:rsidR="005F3FF9" w:rsidRPr="00562ABC" w:rsidRDefault="005F3FF9" w:rsidP="005F3FF9">
      <w:pPr>
        <w:spacing w:after="0" w:line="240" w:lineRule="auto"/>
        <w:jc w:val="both"/>
        <w:outlineLvl w:val="1"/>
        <w:rPr>
          <w:rFonts w:ascii="Arial" w:eastAsia="Times New Roman" w:hAnsi="Arial" w:cs="Arial"/>
          <w:b/>
          <w:bCs/>
          <w:sz w:val="20"/>
          <w:szCs w:val="20"/>
          <w:highlight w:val="yellow"/>
        </w:rPr>
      </w:pPr>
      <w:r w:rsidRPr="00562ABC">
        <w:rPr>
          <w:rFonts w:ascii="Arial" w:eastAsia="Times New Roman" w:hAnsi="Arial" w:cs="Arial"/>
          <w:b/>
          <w:bCs/>
          <w:sz w:val="20"/>
          <w:szCs w:val="20"/>
          <w:highlight w:val="yellow"/>
        </w:rPr>
        <w:t>8.2 Mixture Toxicity and Low-Dose Chronic Exposure Paradigm</w:t>
      </w:r>
    </w:p>
    <w:p w14:paraId="5CE2BEC0" w14:textId="77777777" w:rsidR="005F3FF9" w:rsidRPr="00562ABC" w:rsidRDefault="005F3FF9" w:rsidP="005F3FF9">
      <w:pPr>
        <w:spacing w:after="0" w:line="240" w:lineRule="auto"/>
        <w:jc w:val="both"/>
        <w:outlineLvl w:val="1"/>
        <w:rPr>
          <w:rFonts w:ascii="Arial" w:eastAsia="Times New Roman" w:hAnsi="Arial" w:cs="Arial"/>
          <w:b/>
          <w:bCs/>
          <w:sz w:val="20"/>
          <w:szCs w:val="20"/>
          <w:highlight w:val="yellow"/>
        </w:rPr>
      </w:pPr>
    </w:p>
    <w:p w14:paraId="01BCAA17" w14:textId="77777777" w:rsidR="005F3FF9" w:rsidRPr="00562ABC" w:rsidRDefault="005F3FF9" w:rsidP="005F3FF9">
      <w:pPr>
        <w:spacing w:after="0" w:line="240" w:lineRule="auto"/>
        <w:jc w:val="both"/>
        <w:outlineLvl w:val="1"/>
        <w:rPr>
          <w:rFonts w:ascii="Arial" w:eastAsia="Times New Roman" w:hAnsi="Arial" w:cs="Arial"/>
          <w:bCs/>
          <w:sz w:val="20"/>
          <w:szCs w:val="20"/>
          <w:highlight w:val="yellow"/>
        </w:rPr>
      </w:pPr>
      <w:r w:rsidRPr="00562ABC">
        <w:rPr>
          <w:rFonts w:ascii="Arial" w:eastAsia="Times New Roman" w:hAnsi="Arial" w:cs="Arial"/>
          <w:bCs/>
          <w:sz w:val="20"/>
          <w:szCs w:val="20"/>
          <w:highlight w:val="yellow"/>
        </w:rPr>
        <w:t>Traditional toxicological evaluation of pesticides has largely relied on single-compound testing under controlled laboratory conditions. However, real-world exposure scenarios typically involve complex mixtures of insecticides, herbicides, fungicides, adjuvants, and environmental contaminants. Emerging evidence suggests that combined exposures may produce additive, synergistic, or even antagonistic effects that are not predictable from individual compound data (</w:t>
      </w:r>
      <w:proofErr w:type="spellStart"/>
      <w:r w:rsidRPr="00562ABC">
        <w:rPr>
          <w:rFonts w:ascii="Arial" w:eastAsia="Times New Roman" w:hAnsi="Arial" w:cs="Arial"/>
          <w:bCs/>
          <w:sz w:val="20"/>
          <w:szCs w:val="20"/>
          <w:highlight w:val="yellow"/>
        </w:rPr>
        <w:t>Kortenkamp</w:t>
      </w:r>
      <w:proofErr w:type="spellEnd"/>
      <w:r w:rsidRPr="00562ABC">
        <w:rPr>
          <w:rFonts w:ascii="Arial" w:eastAsia="Times New Roman" w:hAnsi="Arial" w:cs="Arial"/>
          <w:bCs/>
          <w:sz w:val="20"/>
          <w:szCs w:val="20"/>
          <w:highlight w:val="yellow"/>
        </w:rPr>
        <w:t xml:space="preserve">, Backhaus, &amp; Faust, 2009; Hernández, </w:t>
      </w:r>
      <w:proofErr w:type="spellStart"/>
      <w:r w:rsidRPr="00562ABC">
        <w:rPr>
          <w:rFonts w:ascii="Arial" w:eastAsia="Times New Roman" w:hAnsi="Arial" w:cs="Arial"/>
          <w:bCs/>
          <w:sz w:val="20"/>
          <w:szCs w:val="20"/>
          <w:highlight w:val="yellow"/>
        </w:rPr>
        <w:t>Parrón</w:t>
      </w:r>
      <w:proofErr w:type="spellEnd"/>
      <w:r w:rsidRPr="00562ABC">
        <w:rPr>
          <w:rFonts w:ascii="Arial" w:eastAsia="Times New Roman" w:hAnsi="Arial" w:cs="Arial"/>
          <w:bCs/>
          <w:sz w:val="20"/>
          <w:szCs w:val="20"/>
          <w:highlight w:val="yellow"/>
        </w:rPr>
        <w:t xml:space="preserve">, &amp; </w:t>
      </w:r>
      <w:proofErr w:type="spellStart"/>
      <w:r w:rsidRPr="00562ABC">
        <w:rPr>
          <w:rFonts w:ascii="Arial" w:eastAsia="Times New Roman" w:hAnsi="Arial" w:cs="Arial"/>
          <w:bCs/>
          <w:sz w:val="20"/>
          <w:szCs w:val="20"/>
          <w:highlight w:val="yellow"/>
        </w:rPr>
        <w:t>Alarcón</w:t>
      </w:r>
      <w:proofErr w:type="spellEnd"/>
      <w:r w:rsidRPr="00562ABC">
        <w:rPr>
          <w:rFonts w:ascii="Arial" w:eastAsia="Times New Roman" w:hAnsi="Arial" w:cs="Arial"/>
          <w:bCs/>
          <w:sz w:val="20"/>
          <w:szCs w:val="20"/>
          <w:highlight w:val="yellow"/>
        </w:rPr>
        <w:t xml:space="preserve">, 2013). Low-dose chronic exposure, particularly during critical developmental windows, may result in endocrine, </w:t>
      </w:r>
      <w:r w:rsidRPr="00562ABC">
        <w:rPr>
          <w:rFonts w:ascii="Arial" w:eastAsia="Times New Roman" w:hAnsi="Arial" w:cs="Arial"/>
          <w:bCs/>
          <w:sz w:val="20"/>
          <w:szCs w:val="20"/>
          <w:highlight w:val="yellow"/>
        </w:rPr>
        <w:lastRenderedPageBreak/>
        <w:t>neurological, and immunological perturbations even when individual compounds fall below established regulatory thresholds (Vandenberg et al., 2012; Vandenberg et al., 2025).</w:t>
      </w:r>
    </w:p>
    <w:p w14:paraId="3DD5DBC5" w14:textId="77777777" w:rsidR="005F3FF9" w:rsidRPr="00562ABC" w:rsidRDefault="005F3FF9" w:rsidP="005F3FF9">
      <w:pPr>
        <w:spacing w:after="0" w:line="240" w:lineRule="auto"/>
        <w:jc w:val="both"/>
        <w:outlineLvl w:val="1"/>
        <w:rPr>
          <w:rFonts w:ascii="Arial" w:eastAsia="Times New Roman" w:hAnsi="Arial" w:cs="Arial"/>
          <w:b/>
          <w:bCs/>
          <w:sz w:val="20"/>
          <w:szCs w:val="20"/>
          <w:highlight w:val="yellow"/>
        </w:rPr>
      </w:pPr>
      <w:r w:rsidRPr="00562ABC">
        <w:rPr>
          <w:rFonts w:ascii="Arial" w:eastAsia="Times New Roman" w:hAnsi="Arial" w:cs="Arial"/>
          <w:bCs/>
          <w:sz w:val="20"/>
          <w:szCs w:val="20"/>
          <w:highlight w:val="yellow"/>
        </w:rPr>
        <w:t>Experimental studies demonstrate that mixture exposures can amplify oxidative stress pathways, disrupt mitochondrial bioenergetics, and alter inflammatory gene expression profiles (</w:t>
      </w:r>
      <w:proofErr w:type="spellStart"/>
      <w:r w:rsidRPr="00562ABC">
        <w:rPr>
          <w:rFonts w:ascii="Arial" w:eastAsia="Times New Roman" w:hAnsi="Arial" w:cs="Arial"/>
          <w:bCs/>
          <w:sz w:val="20"/>
          <w:szCs w:val="20"/>
          <w:highlight w:val="yellow"/>
        </w:rPr>
        <w:t>Sule</w:t>
      </w:r>
      <w:proofErr w:type="spellEnd"/>
      <w:r w:rsidRPr="00562ABC">
        <w:rPr>
          <w:rFonts w:ascii="Arial" w:eastAsia="Times New Roman" w:hAnsi="Arial" w:cs="Arial"/>
          <w:bCs/>
          <w:sz w:val="20"/>
          <w:szCs w:val="20"/>
          <w:highlight w:val="yellow"/>
        </w:rPr>
        <w:t xml:space="preserve"> et al., 2022; Hernández et al., 2013). Epidemiological analyses increasingly associate cumulative pesticide burden—not single-agent exposure—with increased risk of Parkinson’s disease, certain hematological malignancies, metabolic syndrome, and reproductive dysfunction (Van </w:t>
      </w:r>
      <w:proofErr w:type="spellStart"/>
      <w:r w:rsidRPr="00562ABC">
        <w:rPr>
          <w:rFonts w:ascii="Arial" w:eastAsia="Times New Roman" w:hAnsi="Arial" w:cs="Arial"/>
          <w:bCs/>
          <w:sz w:val="20"/>
          <w:szCs w:val="20"/>
          <w:highlight w:val="yellow"/>
        </w:rPr>
        <w:t>Maele</w:t>
      </w:r>
      <w:proofErr w:type="spellEnd"/>
      <w:r w:rsidRPr="00562ABC">
        <w:rPr>
          <w:rFonts w:ascii="Arial" w:eastAsia="Times New Roman" w:hAnsi="Arial" w:cs="Arial"/>
          <w:bCs/>
          <w:sz w:val="20"/>
          <w:szCs w:val="20"/>
          <w:highlight w:val="yellow"/>
        </w:rPr>
        <w:t xml:space="preserve">-Fabry, </w:t>
      </w:r>
      <w:proofErr w:type="spellStart"/>
      <w:r w:rsidRPr="00562ABC">
        <w:rPr>
          <w:rFonts w:ascii="Arial" w:eastAsia="Times New Roman" w:hAnsi="Arial" w:cs="Arial"/>
          <w:bCs/>
          <w:sz w:val="20"/>
          <w:szCs w:val="20"/>
          <w:highlight w:val="yellow"/>
        </w:rPr>
        <w:t>Hoet</w:t>
      </w:r>
      <w:proofErr w:type="spellEnd"/>
      <w:r w:rsidRPr="00562ABC">
        <w:rPr>
          <w:rFonts w:ascii="Arial" w:eastAsia="Times New Roman" w:hAnsi="Arial" w:cs="Arial"/>
          <w:bCs/>
          <w:sz w:val="20"/>
          <w:szCs w:val="20"/>
          <w:highlight w:val="yellow"/>
        </w:rPr>
        <w:t xml:space="preserve">, &amp; </w:t>
      </w:r>
      <w:proofErr w:type="spellStart"/>
      <w:r w:rsidRPr="00562ABC">
        <w:rPr>
          <w:rFonts w:ascii="Arial" w:eastAsia="Times New Roman" w:hAnsi="Arial" w:cs="Arial"/>
          <w:bCs/>
          <w:sz w:val="20"/>
          <w:szCs w:val="20"/>
          <w:highlight w:val="yellow"/>
        </w:rPr>
        <w:t>Lison</w:t>
      </w:r>
      <w:proofErr w:type="spellEnd"/>
      <w:r w:rsidRPr="00562ABC">
        <w:rPr>
          <w:rFonts w:ascii="Arial" w:eastAsia="Times New Roman" w:hAnsi="Arial" w:cs="Arial"/>
          <w:bCs/>
          <w:sz w:val="20"/>
          <w:szCs w:val="20"/>
          <w:highlight w:val="yellow"/>
        </w:rPr>
        <w:t>, 2012; Shekhar et al., 2024). These findings challenge conventional risk assessment frameworks and underscore the need for cumulative and aggregate exposure modeling in regulatory toxicology.</w:t>
      </w:r>
    </w:p>
    <w:p w14:paraId="505CDCE0" w14:textId="77777777" w:rsidR="005F3FF9" w:rsidRPr="00562ABC" w:rsidRDefault="005F3FF9" w:rsidP="005F3FF9">
      <w:pPr>
        <w:spacing w:after="0" w:line="240" w:lineRule="auto"/>
        <w:jc w:val="both"/>
        <w:outlineLvl w:val="1"/>
        <w:rPr>
          <w:rFonts w:ascii="Arial" w:eastAsia="Times New Roman" w:hAnsi="Arial" w:cs="Arial"/>
          <w:b/>
          <w:bCs/>
          <w:sz w:val="20"/>
          <w:szCs w:val="20"/>
          <w:highlight w:val="yellow"/>
        </w:rPr>
      </w:pPr>
    </w:p>
    <w:p w14:paraId="159252B9" w14:textId="1EF70444" w:rsidR="005F3FF9" w:rsidRPr="00562ABC" w:rsidRDefault="005F3FF9" w:rsidP="005F3FF9">
      <w:pPr>
        <w:spacing w:after="0" w:line="240" w:lineRule="auto"/>
        <w:jc w:val="both"/>
        <w:outlineLvl w:val="1"/>
        <w:rPr>
          <w:rFonts w:ascii="Arial" w:eastAsia="Times New Roman" w:hAnsi="Arial" w:cs="Arial"/>
          <w:b/>
          <w:bCs/>
          <w:sz w:val="20"/>
          <w:szCs w:val="20"/>
          <w:highlight w:val="yellow"/>
        </w:rPr>
      </w:pPr>
      <w:r w:rsidRPr="00562ABC">
        <w:rPr>
          <w:rFonts w:ascii="Arial" w:eastAsia="Times New Roman" w:hAnsi="Arial" w:cs="Arial"/>
          <w:b/>
          <w:bCs/>
          <w:sz w:val="20"/>
          <w:szCs w:val="20"/>
          <w:highlight w:val="yellow"/>
        </w:rPr>
        <w:t>8.3 Developmental Vulnerability and Endocrine Disruption</w:t>
      </w:r>
    </w:p>
    <w:p w14:paraId="20DC1308" w14:textId="77777777" w:rsidR="00562ABC" w:rsidRPr="00562ABC" w:rsidRDefault="00562ABC" w:rsidP="005F3FF9">
      <w:pPr>
        <w:spacing w:after="0" w:line="240" w:lineRule="auto"/>
        <w:jc w:val="both"/>
        <w:outlineLvl w:val="1"/>
        <w:rPr>
          <w:rFonts w:ascii="Arial" w:eastAsia="Times New Roman" w:hAnsi="Arial" w:cs="Arial"/>
          <w:bCs/>
          <w:sz w:val="20"/>
          <w:szCs w:val="20"/>
          <w:highlight w:val="yellow"/>
        </w:rPr>
      </w:pPr>
    </w:p>
    <w:p w14:paraId="297C326A" w14:textId="2E76DBD4" w:rsidR="005F3FF9" w:rsidRPr="00562ABC" w:rsidRDefault="005F3FF9" w:rsidP="005F3FF9">
      <w:pPr>
        <w:spacing w:after="0" w:line="240" w:lineRule="auto"/>
        <w:jc w:val="both"/>
        <w:outlineLvl w:val="1"/>
        <w:rPr>
          <w:rFonts w:ascii="Arial" w:eastAsia="Times New Roman" w:hAnsi="Arial" w:cs="Arial"/>
          <w:bCs/>
          <w:sz w:val="20"/>
          <w:szCs w:val="20"/>
          <w:highlight w:val="yellow"/>
        </w:rPr>
      </w:pPr>
      <w:r w:rsidRPr="00562ABC">
        <w:rPr>
          <w:rFonts w:ascii="Arial" w:eastAsia="Times New Roman" w:hAnsi="Arial" w:cs="Arial"/>
          <w:bCs/>
          <w:sz w:val="20"/>
          <w:szCs w:val="20"/>
          <w:highlight w:val="yellow"/>
        </w:rPr>
        <w:t>The endocrine-disrupting properties of several pesticide classes have generated substantial scientific concern. Organochlorines, triazines, certain fungicides, and herbicide adjuvants have been shown to interfere with steroidogenesis, thyroid hormone regulation, and estrogen/androgen receptor signaling pathways (Gore et al., 2015; Kumar et al., 2023). Endocrine disruption is particularly consequential during fetal and early-life development, where even low-dose exposures may alter neurodevelopmental trajectories and reproductive capacity (Vandenberg et al., 2012; Vandenberg et al., 2025).</w:t>
      </w:r>
    </w:p>
    <w:p w14:paraId="1CA6D09F" w14:textId="77777777" w:rsidR="005F3FF9" w:rsidRPr="00CF1DD8" w:rsidRDefault="005F3FF9" w:rsidP="005F3FF9">
      <w:pPr>
        <w:spacing w:after="0" w:line="240" w:lineRule="auto"/>
        <w:jc w:val="both"/>
        <w:outlineLvl w:val="1"/>
        <w:rPr>
          <w:rFonts w:ascii="Arial" w:eastAsia="Times New Roman" w:hAnsi="Arial" w:cs="Arial"/>
          <w:bCs/>
          <w:sz w:val="20"/>
          <w:szCs w:val="20"/>
        </w:rPr>
      </w:pPr>
      <w:r w:rsidRPr="00562ABC">
        <w:rPr>
          <w:rFonts w:ascii="Arial" w:eastAsia="Times New Roman" w:hAnsi="Arial" w:cs="Arial"/>
          <w:bCs/>
          <w:sz w:val="20"/>
          <w:szCs w:val="20"/>
          <w:highlight w:val="yellow"/>
        </w:rPr>
        <w:t>Longitudinal cohort studies have reported associations between prenatal pesticide exposure and cognitive deficits, behavioral alterations, and increased risk of neurodevelopmental disorders (Bouchard et al., 2011). Mechanistically, endocrine-disrupting pesticides may act through epigenetic modulation, oxidative DNA damage, and hormone receptor cross-talk (</w:t>
      </w:r>
      <w:proofErr w:type="spellStart"/>
      <w:r w:rsidRPr="00562ABC">
        <w:rPr>
          <w:rFonts w:ascii="Arial" w:eastAsia="Times New Roman" w:hAnsi="Arial" w:cs="Arial"/>
          <w:bCs/>
          <w:sz w:val="20"/>
          <w:szCs w:val="20"/>
          <w:highlight w:val="yellow"/>
        </w:rPr>
        <w:t>Mostafalou</w:t>
      </w:r>
      <w:proofErr w:type="spellEnd"/>
      <w:r w:rsidRPr="00562ABC">
        <w:rPr>
          <w:rFonts w:ascii="Arial" w:eastAsia="Times New Roman" w:hAnsi="Arial" w:cs="Arial"/>
          <w:bCs/>
          <w:sz w:val="20"/>
          <w:szCs w:val="20"/>
          <w:highlight w:val="yellow"/>
        </w:rPr>
        <w:t xml:space="preserve"> &amp; </w:t>
      </w:r>
      <w:proofErr w:type="spellStart"/>
      <w:r w:rsidRPr="00562ABC">
        <w:rPr>
          <w:rFonts w:ascii="Arial" w:eastAsia="Times New Roman" w:hAnsi="Arial" w:cs="Arial"/>
          <w:bCs/>
          <w:sz w:val="20"/>
          <w:szCs w:val="20"/>
          <w:highlight w:val="yellow"/>
        </w:rPr>
        <w:t>Abdollahi</w:t>
      </w:r>
      <w:proofErr w:type="spellEnd"/>
      <w:r w:rsidRPr="00562ABC">
        <w:rPr>
          <w:rFonts w:ascii="Arial" w:eastAsia="Times New Roman" w:hAnsi="Arial" w:cs="Arial"/>
          <w:bCs/>
          <w:sz w:val="20"/>
          <w:szCs w:val="20"/>
          <w:highlight w:val="yellow"/>
        </w:rPr>
        <w:t>, 2013; Gore et al., 2015). These findings reinforce the importance of incorporating endocrine endpoints and developmental windows into pesticide safety evaluations.</w:t>
      </w:r>
    </w:p>
    <w:p w14:paraId="05308B36" w14:textId="77777777" w:rsidR="005F3FF9" w:rsidRDefault="005F3FF9" w:rsidP="00C227E7">
      <w:pPr>
        <w:spacing w:after="0" w:line="240" w:lineRule="auto"/>
        <w:jc w:val="both"/>
        <w:outlineLvl w:val="1"/>
        <w:rPr>
          <w:rFonts w:ascii="Arial" w:eastAsia="Times New Roman" w:hAnsi="Arial" w:cs="Arial"/>
          <w:b/>
          <w:bCs/>
          <w:sz w:val="20"/>
          <w:szCs w:val="20"/>
        </w:rPr>
      </w:pPr>
    </w:p>
    <w:p w14:paraId="77F05A0B" w14:textId="056B6C90" w:rsidR="00AE02FC" w:rsidRPr="00531E52" w:rsidRDefault="008D725C" w:rsidP="00C227E7">
      <w:pPr>
        <w:spacing w:after="0"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9</w:t>
      </w:r>
      <w:r w:rsidR="00AE02FC" w:rsidRPr="00531E52">
        <w:rPr>
          <w:rFonts w:ascii="Arial" w:eastAsia="Times New Roman" w:hAnsi="Arial" w:cs="Arial"/>
          <w:b/>
          <w:bCs/>
          <w:sz w:val="20"/>
          <w:szCs w:val="20"/>
        </w:rPr>
        <w:t>. Conclusions</w:t>
      </w:r>
    </w:p>
    <w:p w14:paraId="1E921269" w14:textId="77777777" w:rsidR="00DF11A9" w:rsidRDefault="00DF11A9" w:rsidP="005627FD">
      <w:pPr>
        <w:spacing w:after="0" w:line="240" w:lineRule="auto"/>
        <w:jc w:val="both"/>
        <w:rPr>
          <w:rFonts w:ascii="Arial" w:eastAsia="Times New Roman" w:hAnsi="Arial" w:cs="Arial"/>
          <w:sz w:val="20"/>
          <w:szCs w:val="20"/>
        </w:rPr>
      </w:pPr>
    </w:p>
    <w:p w14:paraId="2968AAD1" w14:textId="1BE4B9FC" w:rsidR="00224042" w:rsidRDefault="00224042" w:rsidP="00224042">
      <w:pPr>
        <w:spacing w:after="0" w:line="240" w:lineRule="auto"/>
        <w:jc w:val="both"/>
        <w:rPr>
          <w:rFonts w:ascii="Arial" w:eastAsia="Times New Roman" w:hAnsi="Arial" w:cs="Arial"/>
          <w:sz w:val="20"/>
          <w:szCs w:val="20"/>
        </w:rPr>
      </w:pPr>
      <w:r w:rsidRPr="00224042">
        <w:rPr>
          <w:rFonts w:ascii="Arial" w:eastAsia="Times New Roman" w:hAnsi="Arial" w:cs="Arial"/>
          <w:sz w:val="20"/>
          <w:szCs w:val="20"/>
          <w:highlight w:val="yellow"/>
        </w:rPr>
        <w:t xml:space="preserve">Pesticides represent one of the most consequential anthropogenic chemical exposures of the modern era, exerting multi-system effects that extend from molecular redox imbalance to ecosystem destabilization. Evidence converges on oxidative stress, mitochondrial dysfunction, endocrine modulation and immune dysregulation as central mechanistic axes linking exposure to chronic disease and biodiversity decline. However, current regulatory paradigms remain largely reductionist, focusing on single compounds and acute endpoints. Emerging data underscore the need to incorporate mixture toxicity, chronic low-dose exposure, developmental vulnerability and </w:t>
      </w:r>
      <w:proofErr w:type="spellStart"/>
      <w:r w:rsidRPr="00224042">
        <w:rPr>
          <w:rFonts w:ascii="Arial" w:eastAsia="Times New Roman" w:hAnsi="Arial" w:cs="Arial"/>
          <w:sz w:val="20"/>
          <w:szCs w:val="20"/>
          <w:highlight w:val="yellow"/>
        </w:rPr>
        <w:t>immunotoxic</w:t>
      </w:r>
      <w:proofErr w:type="spellEnd"/>
      <w:r w:rsidRPr="00224042">
        <w:rPr>
          <w:rFonts w:ascii="Arial" w:eastAsia="Times New Roman" w:hAnsi="Arial" w:cs="Arial"/>
          <w:sz w:val="20"/>
          <w:szCs w:val="20"/>
          <w:highlight w:val="yellow"/>
        </w:rPr>
        <w:t xml:space="preserve"> biomarkers into risk frameworks. Future research must integrate human-relevant cellular models, multi-omics profiling, longitudinal biomonitoring and ecological multi-stressor assessments. Translational approaches combining environmental toxicology with immunomodulatory and antioxidant interventions may provide dual insight into both risk mitigation and therapeutic modulation. Sustainable agricultural transition, strengthened surveillance, transparent regulatory science, and precautionary substitution strategies will be essential to reconcile global food security with environmental integrity and public health protection.</w:t>
      </w:r>
      <w:r w:rsidR="009E4AE8">
        <w:rPr>
          <w:rFonts w:ascii="Arial" w:eastAsia="Times New Roman" w:hAnsi="Arial" w:cs="Arial"/>
          <w:sz w:val="20"/>
          <w:szCs w:val="20"/>
          <w:highlight w:val="yellow"/>
        </w:rPr>
        <w:t xml:space="preserve"> </w:t>
      </w:r>
      <w:r w:rsidRPr="00713938">
        <w:rPr>
          <w:rFonts w:ascii="Arial" w:eastAsia="Times New Roman" w:hAnsi="Arial" w:cs="Arial"/>
          <w:sz w:val="20"/>
          <w:szCs w:val="20"/>
        </w:rPr>
        <w:t>The cumulative evidence indicates that pesticide exposure exerts multifaceted deleterious effects mediated largely through oxidative stress, endocrine disruption, neurotoxicity and immunomodulation. These impacts extend across species and ecological compartments, from pollinators and aquatic organisms to humans. Incorporating mechanistic insights from cellular immunotoxicology models</w:t>
      </w:r>
      <w:r>
        <w:rPr>
          <w:rFonts w:ascii="Arial" w:eastAsia="Times New Roman" w:hAnsi="Arial" w:cs="Arial"/>
          <w:sz w:val="20"/>
          <w:szCs w:val="20"/>
        </w:rPr>
        <w:t xml:space="preserve"> </w:t>
      </w:r>
      <w:r w:rsidRPr="00713938">
        <w:rPr>
          <w:rFonts w:ascii="Arial" w:eastAsia="Times New Roman" w:hAnsi="Arial" w:cs="Arial"/>
          <w:sz w:val="20"/>
          <w:szCs w:val="20"/>
        </w:rPr>
        <w:t>can enhance understanding of subclinical and chronic effects. Future research should prioritize mixture toxicity, low-dose chronic exposure, and integrative mitigation strategies grounded in both environmental and biomedical sciences.</w:t>
      </w:r>
    </w:p>
    <w:p w14:paraId="2F6DD0D8" w14:textId="77777777" w:rsidR="00224042" w:rsidRPr="00531E52" w:rsidRDefault="00224042" w:rsidP="00224042">
      <w:pPr>
        <w:spacing w:after="0" w:line="240" w:lineRule="auto"/>
        <w:jc w:val="both"/>
        <w:rPr>
          <w:rFonts w:ascii="Arial" w:eastAsia="Times New Roman" w:hAnsi="Arial" w:cs="Arial"/>
          <w:sz w:val="20"/>
          <w:szCs w:val="20"/>
        </w:rPr>
      </w:pPr>
      <w:r w:rsidRPr="00531E52">
        <w:rPr>
          <w:rFonts w:ascii="Arial" w:eastAsia="Times New Roman" w:hAnsi="Arial" w:cs="Arial"/>
          <w:sz w:val="20"/>
          <w:szCs w:val="20"/>
        </w:rPr>
        <w:t>Policies emphasizing reduction, substitution, IPM, improved biomonitoring, and targeted research into mechanistic links will be crucial to reconcile agricultural and ecosystem health.</w:t>
      </w:r>
    </w:p>
    <w:p w14:paraId="64F6D9C2" w14:textId="557EA5AE" w:rsidR="00224042" w:rsidRDefault="00224042" w:rsidP="005627FD">
      <w:pPr>
        <w:spacing w:after="0" w:line="240" w:lineRule="auto"/>
        <w:jc w:val="both"/>
        <w:rPr>
          <w:rFonts w:ascii="Arial" w:eastAsia="Times New Roman" w:hAnsi="Arial" w:cs="Arial"/>
          <w:sz w:val="20"/>
          <w:szCs w:val="20"/>
        </w:rPr>
      </w:pPr>
    </w:p>
    <w:p w14:paraId="11730249" w14:textId="77777777" w:rsidR="005A2A7E" w:rsidRDefault="005A2A7E" w:rsidP="005A2A7E">
      <w:pPr>
        <w:rPr>
          <w:highlight w:val="yellow"/>
        </w:rPr>
      </w:pPr>
      <w:r>
        <w:rPr>
          <w:highlight w:val="yellow"/>
        </w:rPr>
        <w:t>Disclaimer (Artificial intelligence)</w:t>
      </w:r>
    </w:p>
    <w:p w14:paraId="042B603F" w14:textId="77777777" w:rsidR="005A2A7E" w:rsidRDefault="005A2A7E" w:rsidP="005A2A7E">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76A6EE02" w14:textId="77777777" w:rsidR="005A2A7E" w:rsidRDefault="005A2A7E" w:rsidP="005627FD">
      <w:pPr>
        <w:spacing w:after="0" w:line="240" w:lineRule="auto"/>
        <w:jc w:val="both"/>
        <w:rPr>
          <w:rFonts w:ascii="Arial" w:eastAsia="Times New Roman" w:hAnsi="Arial" w:cs="Arial"/>
          <w:sz w:val="20"/>
          <w:szCs w:val="20"/>
        </w:rPr>
      </w:pPr>
      <w:bookmarkStart w:id="0" w:name="_GoBack"/>
      <w:bookmarkEnd w:id="0"/>
    </w:p>
    <w:p w14:paraId="2265F84B" w14:textId="77777777" w:rsidR="00224042" w:rsidRDefault="00224042" w:rsidP="005627FD">
      <w:pPr>
        <w:spacing w:after="0" w:line="240" w:lineRule="auto"/>
        <w:jc w:val="both"/>
        <w:rPr>
          <w:rFonts w:ascii="Arial" w:eastAsia="Times New Roman" w:hAnsi="Arial" w:cs="Arial"/>
          <w:sz w:val="20"/>
          <w:szCs w:val="20"/>
        </w:rPr>
      </w:pPr>
    </w:p>
    <w:p w14:paraId="17A8C94D" w14:textId="77777777" w:rsidR="00A00342" w:rsidRPr="00965275" w:rsidRDefault="00A00342" w:rsidP="00A00342">
      <w:pPr>
        <w:pStyle w:val="ReferHead"/>
        <w:spacing w:after="0"/>
        <w:jc w:val="both"/>
        <w:rPr>
          <w:rFonts w:ascii="Arial" w:hAnsi="Arial" w:cs="Arial"/>
          <w:bCs/>
          <w:sz w:val="20"/>
        </w:rPr>
      </w:pPr>
      <w:r w:rsidRPr="00965275">
        <w:rPr>
          <w:rFonts w:ascii="Arial" w:hAnsi="Arial" w:cs="Arial"/>
          <w:bCs/>
          <w:sz w:val="20"/>
        </w:rPr>
        <w:t>Competing interests</w:t>
      </w:r>
    </w:p>
    <w:p w14:paraId="413F42E6" w14:textId="77777777" w:rsidR="00A00342" w:rsidRPr="00965275" w:rsidRDefault="00A00342" w:rsidP="00A00342">
      <w:pPr>
        <w:pStyle w:val="ReferHead"/>
        <w:spacing w:after="0"/>
        <w:jc w:val="both"/>
        <w:rPr>
          <w:rFonts w:ascii="Arial" w:hAnsi="Arial" w:cs="Arial"/>
          <w:sz w:val="20"/>
        </w:rPr>
      </w:pPr>
    </w:p>
    <w:p w14:paraId="32F646AD" w14:textId="77777777" w:rsidR="00A00342" w:rsidRPr="00965275" w:rsidRDefault="00A00342" w:rsidP="00A00342">
      <w:pPr>
        <w:pStyle w:val="ReferHead"/>
        <w:rPr>
          <w:rFonts w:ascii="Arial" w:hAnsi="Arial" w:cs="Arial"/>
          <w:b w:val="0"/>
          <w:sz w:val="20"/>
          <w:lang w:val="en-IN"/>
        </w:rPr>
      </w:pPr>
      <w:r w:rsidRPr="00965275">
        <w:rPr>
          <w:rFonts w:ascii="Arial" w:hAnsi="Arial" w:cs="Arial"/>
          <w:b w:val="0"/>
          <w:caps w:val="0"/>
          <w:sz w:val="20"/>
          <w:lang w:val="en-IN"/>
        </w:rPr>
        <w:t xml:space="preserve">The authors declare that they have no conflict of interest. </w:t>
      </w:r>
    </w:p>
    <w:p w14:paraId="2C316037" w14:textId="77777777" w:rsidR="00392B68" w:rsidRPr="00005ED1" w:rsidRDefault="00392B68" w:rsidP="00392B68">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7D44E097" w14:textId="77777777" w:rsidR="00392B68" w:rsidRPr="00005ED1" w:rsidRDefault="00392B68" w:rsidP="00392B68">
      <w:pPr>
        <w:pStyle w:val="NoSpacing"/>
        <w:rPr>
          <w:rFonts w:ascii="Arial" w:hAnsi="Arial" w:cs="Arial"/>
          <w:highlight w:val="yellow"/>
        </w:rPr>
      </w:pPr>
    </w:p>
    <w:p w14:paraId="5668ED0D" w14:textId="77777777" w:rsidR="00392B68" w:rsidRPr="00005ED1" w:rsidRDefault="00392B68" w:rsidP="00392B68">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125AF0A7" w14:textId="77777777" w:rsidR="00392B68" w:rsidRDefault="00392B68" w:rsidP="00392B68">
      <w:pPr>
        <w:pStyle w:val="NoSpacing"/>
        <w:rPr>
          <w:rFonts w:ascii="Arial" w:hAnsi="Arial" w:cs="Arial"/>
        </w:rPr>
      </w:pPr>
    </w:p>
    <w:p w14:paraId="17E912BE" w14:textId="5D0A96E3" w:rsidR="004C2712" w:rsidRPr="00531E52" w:rsidRDefault="004C2712" w:rsidP="00C227E7">
      <w:pPr>
        <w:spacing w:line="240" w:lineRule="auto"/>
        <w:rPr>
          <w:rFonts w:ascii="Arial" w:eastAsia="Times New Roman" w:hAnsi="Arial" w:cs="Arial"/>
          <w:sz w:val="20"/>
          <w:szCs w:val="20"/>
        </w:rPr>
      </w:pPr>
      <w:r w:rsidRPr="00531E52">
        <w:rPr>
          <w:rFonts w:ascii="Arial" w:eastAsia="Times New Roman" w:hAnsi="Arial" w:cs="Arial"/>
          <w:sz w:val="20"/>
          <w:szCs w:val="20"/>
        </w:rPr>
        <w:br w:type="page"/>
      </w:r>
    </w:p>
    <w:p w14:paraId="41629B05" w14:textId="77777777" w:rsidR="005760D1" w:rsidRPr="00531E52" w:rsidRDefault="00AE02FC" w:rsidP="00C227E7">
      <w:pPr>
        <w:spacing w:after="0" w:line="240" w:lineRule="auto"/>
        <w:jc w:val="both"/>
        <w:outlineLvl w:val="1"/>
        <w:rPr>
          <w:rFonts w:ascii="Arial" w:eastAsia="Times New Roman" w:hAnsi="Arial" w:cs="Arial"/>
          <w:b/>
          <w:bCs/>
          <w:sz w:val="20"/>
          <w:szCs w:val="20"/>
        </w:rPr>
      </w:pPr>
      <w:r w:rsidRPr="00531E52">
        <w:rPr>
          <w:rFonts w:ascii="Arial" w:eastAsia="Times New Roman" w:hAnsi="Arial" w:cs="Arial"/>
          <w:b/>
          <w:bCs/>
          <w:sz w:val="20"/>
          <w:szCs w:val="20"/>
        </w:rPr>
        <w:lastRenderedPageBreak/>
        <w:t xml:space="preserve">References </w:t>
      </w:r>
    </w:p>
    <w:p w14:paraId="18AAAD39" w14:textId="77777777" w:rsidR="00D50792" w:rsidRPr="00531E52" w:rsidRDefault="00D50792" w:rsidP="00C227E7">
      <w:pPr>
        <w:spacing w:after="0" w:line="240" w:lineRule="auto"/>
        <w:jc w:val="both"/>
        <w:rPr>
          <w:rFonts w:ascii="Arial" w:hAnsi="Arial" w:cs="Arial"/>
          <w:sz w:val="20"/>
          <w:szCs w:val="20"/>
        </w:rPr>
      </w:pPr>
    </w:p>
    <w:p w14:paraId="64A2767D" w14:textId="77777777" w:rsidR="00562ABC" w:rsidRPr="00531E52" w:rsidRDefault="00562ABC" w:rsidP="00DF11A9">
      <w:pPr>
        <w:spacing w:after="0" w:line="240" w:lineRule="auto"/>
        <w:ind w:left="360" w:hanging="360"/>
        <w:jc w:val="both"/>
        <w:rPr>
          <w:rFonts w:ascii="Arial" w:hAnsi="Arial" w:cs="Arial"/>
          <w:sz w:val="20"/>
          <w:szCs w:val="20"/>
        </w:rPr>
      </w:pPr>
      <w:proofErr w:type="spellStart"/>
      <w:r w:rsidRPr="00531E52">
        <w:rPr>
          <w:rFonts w:ascii="Arial" w:hAnsi="Arial" w:cs="Arial"/>
          <w:sz w:val="20"/>
          <w:szCs w:val="20"/>
        </w:rPr>
        <w:t>Abaineh</w:t>
      </w:r>
      <w:proofErr w:type="spellEnd"/>
      <w:r w:rsidRPr="00531E52">
        <w:rPr>
          <w:rFonts w:ascii="Arial" w:hAnsi="Arial" w:cs="Arial"/>
          <w:sz w:val="20"/>
          <w:szCs w:val="20"/>
        </w:rPr>
        <w:t xml:space="preserve">, A., </w:t>
      </w:r>
      <w:proofErr w:type="spellStart"/>
      <w:r w:rsidRPr="00531E52">
        <w:rPr>
          <w:rFonts w:ascii="Arial" w:hAnsi="Arial" w:cs="Arial"/>
          <w:sz w:val="20"/>
          <w:szCs w:val="20"/>
        </w:rPr>
        <w:t>Mekonen</w:t>
      </w:r>
      <w:proofErr w:type="spellEnd"/>
      <w:r w:rsidRPr="00531E52">
        <w:rPr>
          <w:rFonts w:ascii="Arial" w:hAnsi="Arial" w:cs="Arial"/>
          <w:sz w:val="20"/>
          <w:szCs w:val="20"/>
        </w:rPr>
        <w:t xml:space="preserve">, S., &amp; Alemu, T. (2024). Risks of pesticides to aquatic ecosystems: Occurrence, impacts, and mitigation approaches. </w:t>
      </w:r>
      <w:r w:rsidRPr="00531E52">
        <w:rPr>
          <w:rStyle w:val="Emphasis"/>
          <w:rFonts w:ascii="Arial" w:hAnsi="Arial" w:cs="Arial"/>
          <w:sz w:val="20"/>
          <w:szCs w:val="20"/>
        </w:rPr>
        <w:t>International Journal of Environmental Science and Technology, 21</w:t>
      </w:r>
      <w:r w:rsidRPr="00531E52">
        <w:rPr>
          <w:rFonts w:ascii="Arial" w:hAnsi="Arial" w:cs="Arial"/>
          <w:sz w:val="20"/>
          <w:szCs w:val="20"/>
        </w:rPr>
        <w:t xml:space="preserve">, 1–22. </w:t>
      </w:r>
      <w:hyperlink r:id="rId7" w:tgtFrame="_new" w:history="1">
        <w:r w:rsidRPr="00531E52">
          <w:rPr>
            <w:rStyle w:val="Hyperlink"/>
            <w:rFonts w:ascii="Arial" w:hAnsi="Arial" w:cs="Arial"/>
            <w:sz w:val="20"/>
            <w:szCs w:val="20"/>
          </w:rPr>
          <w:t>https://doi.org/10.1007/s13762-024-05631-7</w:t>
        </w:r>
      </w:hyperlink>
    </w:p>
    <w:p w14:paraId="47A885E8" w14:textId="77777777" w:rsidR="00562ABC" w:rsidRDefault="00562ABC" w:rsidP="00DF11A9">
      <w:pPr>
        <w:spacing w:after="0" w:line="240" w:lineRule="auto"/>
        <w:ind w:left="360" w:hanging="360"/>
        <w:jc w:val="both"/>
        <w:outlineLvl w:val="1"/>
        <w:rPr>
          <w:rFonts w:ascii="Arial" w:eastAsia="Times New Roman" w:hAnsi="Arial" w:cs="Arial"/>
          <w:sz w:val="20"/>
          <w:szCs w:val="20"/>
        </w:rPr>
      </w:pPr>
      <w:r w:rsidRPr="00CA43C2">
        <w:rPr>
          <w:rFonts w:ascii="Arial" w:eastAsia="Times New Roman" w:hAnsi="Arial" w:cs="Arial"/>
          <w:sz w:val="20"/>
          <w:szCs w:val="20"/>
        </w:rPr>
        <w:t xml:space="preserve">Ahmad, M. F., Fakhruddin, A. A., </w:t>
      </w:r>
      <w:proofErr w:type="spellStart"/>
      <w:r w:rsidRPr="00CA43C2">
        <w:rPr>
          <w:rFonts w:ascii="Arial" w:eastAsia="Times New Roman" w:hAnsi="Arial" w:cs="Arial"/>
          <w:sz w:val="20"/>
          <w:szCs w:val="20"/>
        </w:rPr>
        <w:t>Alsayegh</w:t>
      </w:r>
      <w:proofErr w:type="spellEnd"/>
      <w:r w:rsidRPr="00CA43C2">
        <w:rPr>
          <w:rFonts w:ascii="Arial" w:eastAsia="Times New Roman" w:hAnsi="Arial" w:cs="Arial"/>
          <w:sz w:val="20"/>
          <w:szCs w:val="20"/>
        </w:rPr>
        <w:t xml:space="preserve">, A. A., </w:t>
      </w:r>
      <w:proofErr w:type="spellStart"/>
      <w:r w:rsidRPr="00CA43C2">
        <w:rPr>
          <w:rFonts w:ascii="Arial" w:eastAsia="Times New Roman" w:hAnsi="Arial" w:cs="Arial"/>
          <w:sz w:val="20"/>
          <w:szCs w:val="20"/>
        </w:rPr>
        <w:t>Zeyaullah</w:t>
      </w:r>
      <w:proofErr w:type="spellEnd"/>
      <w:r w:rsidRPr="00CA43C2">
        <w:rPr>
          <w:rFonts w:ascii="Arial" w:eastAsia="Times New Roman" w:hAnsi="Arial" w:cs="Arial"/>
          <w:sz w:val="20"/>
          <w:szCs w:val="20"/>
        </w:rPr>
        <w:t xml:space="preserve">, M., </w:t>
      </w:r>
      <w:proofErr w:type="spellStart"/>
      <w:r w:rsidRPr="00CA43C2">
        <w:rPr>
          <w:rFonts w:ascii="Arial" w:eastAsia="Times New Roman" w:hAnsi="Arial" w:cs="Arial"/>
          <w:sz w:val="20"/>
          <w:szCs w:val="20"/>
        </w:rPr>
        <w:t>AlShahrani</w:t>
      </w:r>
      <w:proofErr w:type="spellEnd"/>
      <w:r w:rsidRPr="00CA43C2">
        <w:rPr>
          <w:rFonts w:ascii="Arial" w:eastAsia="Times New Roman" w:hAnsi="Arial" w:cs="Arial"/>
          <w:sz w:val="20"/>
          <w:szCs w:val="20"/>
        </w:rPr>
        <w:t>, A. M., Muzammil, K., &amp; El-</w:t>
      </w:r>
      <w:proofErr w:type="spellStart"/>
      <w:r w:rsidRPr="00CA43C2">
        <w:rPr>
          <w:rFonts w:ascii="Arial" w:eastAsia="Times New Roman" w:hAnsi="Arial" w:cs="Arial"/>
          <w:sz w:val="20"/>
          <w:szCs w:val="20"/>
        </w:rPr>
        <w:t>Shazly</w:t>
      </w:r>
      <w:proofErr w:type="spellEnd"/>
      <w:r w:rsidRPr="00CA43C2">
        <w:rPr>
          <w:rFonts w:ascii="Arial" w:eastAsia="Times New Roman" w:hAnsi="Arial" w:cs="Arial"/>
          <w:sz w:val="20"/>
          <w:szCs w:val="20"/>
        </w:rPr>
        <w:t xml:space="preserve">, M. (2024). Pesticides impacts on human health and the environment with their mechanisms of action and possible countermeasures. </w:t>
      </w:r>
      <w:proofErr w:type="spellStart"/>
      <w:r w:rsidRPr="00CA43C2">
        <w:rPr>
          <w:rFonts w:ascii="Arial" w:eastAsia="Times New Roman" w:hAnsi="Arial" w:cs="Arial"/>
          <w:sz w:val="20"/>
          <w:szCs w:val="20"/>
        </w:rPr>
        <w:t>Heliyon</w:t>
      </w:r>
      <w:proofErr w:type="spellEnd"/>
      <w:r w:rsidRPr="00CA43C2">
        <w:rPr>
          <w:rFonts w:ascii="Arial" w:eastAsia="Times New Roman" w:hAnsi="Arial" w:cs="Arial"/>
          <w:sz w:val="20"/>
          <w:szCs w:val="20"/>
        </w:rPr>
        <w:t xml:space="preserve">, 10(7), e29128. </w:t>
      </w:r>
      <w:hyperlink r:id="rId8" w:history="1">
        <w:r w:rsidRPr="00E17DB3">
          <w:rPr>
            <w:rStyle w:val="Hyperlink"/>
            <w:rFonts w:ascii="Arial" w:eastAsia="Times New Roman" w:hAnsi="Arial" w:cs="Arial"/>
            <w:sz w:val="20"/>
            <w:szCs w:val="20"/>
          </w:rPr>
          <w:t>https://doi.org/10.1016/j.heliyon.2024.e29128</w:t>
        </w:r>
      </w:hyperlink>
      <w:r w:rsidRPr="00CA43C2">
        <w:rPr>
          <w:rFonts w:ascii="Arial" w:eastAsia="Times New Roman" w:hAnsi="Arial" w:cs="Arial"/>
          <w:sz w:val="20"/>
          <w:szCs w:val="20"/>
        </w:rPr>
        <w:t xml:space="preserve"> </w:t>
      </w:r>
    </w:p>
    <w:p w14:paraId="2725EFB9" w14:textId="77777777" w:rsidR="00562ABC" w:rsidRPr="00531E52" w:rsidRDefault="00562ABC" w:rsidP="00DF11A9">
      <w:pPr>
        <w:pStyle w:val="NormalWeb"/>
        <w:spacing w:before="0" w:beforeAutospacing="0" w:after="0" w:afterAutospacing="0"/>
        <w:ind w:left="360" w:hanging="360"/>
        <w:jc w:val="both"/>
        <w:rPr>
          <w:rFonts w:ascii="Arial" w:hAnsi="Arial" w:cs="Arial"/>
          <w:sz w:val="20"/>
          <w:szCs w:val="20"/>
        </w:rPr>
      </w:pPr>
      <w:proofErr w:type="spellStart"/>
      <w:r w:rsidRPr="00531E52">
        <w:rPr>
          <w:rFonts w:ascii="Arial" w:hAnsi="Arial" w:cs="Arial"/>
          <w:sz w:val="20"/>
          <w:szCs w:val="20"/>
        </w:rPr>
        <w:t>Ambwani</w:t>
      </w:r>
      <w:proofErr w:type="spellEnd"/>
      <w:r w:rsidRPr="00531E52">
        <w:rPr>
          <w:rFonts w:ascii="Arial" w:hAnsi="Arial" w:cs="Arial"/>
          <w:sz w:val="20"/>
          <w:szCs w:val="20"/>
        </w:rPr>
        <w:t xml:space="preserve">, S., </w:t>
      </w:r>
      <w:proofErr w:type="spellStart"/>
      <w:r w:rsidRPr="00531E52">
        <w:rPr>
          <w:rFonts w:ascii="Arial" w:hAnsi="Arial" w:cs="Arial"/>
          <w:sz w:val="20"/>
          <w:szCs w:val="20"/>
        </w:rPr>
        <w:t>Ambwani</w:t>
      </w:r>
      <w:proofErr w:type="spellEnd"/>
      <w:r w:rsidRPr="00531E52">
        <w:rPr>
          <w:rFonts w:ascii="Arial" w:hAnsi="Arial" w:cs="Arial"/>
          <w:sz w:val="20"/>
          <w:szCs w:val="20"/>
        </w:rPr>
        <w:t xml:space="preserve">, T. K., &amp; Chauhan, R. S. (2008). Evaluation of thiram-induced oxidative stress, immunosuppression, and apoptosis in avian lymphocyte culture system. </w:t>
      </w:r>
      <w:r w:rsidRPr="00531E52">
        <w:rPr>
          <w:rStyle w:val="Emphasis"/>
          <w:rFonts w:ascii="Arial" w:hAnsi="Arial" w:cs="Arial"/>
          <w:sz w:val="20"/>
          <w:szCs w:val="20"/>
        </w:rPr>
        <w:t>Journal of Biotechnology, 136</w:t>
      </w:r>
      <w:r w:rsidRPr="00531E52">
        <w:rPr>
          <w:rFonts w:ascii="Arial" w:hAnsi="Arial" w:cs="Arial"/>
          <w:sz w:val="20"/>
          <w:szCs w:val="20"/>
        </w:rPr>
        <w:t>(Supplement), S630.</w:t>
      </w:r>
    </w:p>
    <w:p w14:paraId="756A48E5" w14:textId="77777777" w:rsidR="00562ABC" w:rsidRPr="00531E52" w:rsidRDefault="00562ABC" w:rsidP="00DF11A9">
      <w:pPr>
        <w:pStyle w:val="NormalWeb"/>
        <w:spacing w:before="0" w:beforeAutospacing="0" w:after="0" w:afterAutospacing="0"/>
        <w:ind w:left="360" w:hanging="360"/>
        <w:jc w:val="both"/>
        <w:rPr>
          <w:rFonts w:ascii="Arial" w:hAnsi="Arial" w:cs="Arial"/>
          <w:sz w:val="20"/>
          <w:szCs w:val="20"/>
        </w:rPr>
      </w:pPr>
      <w:proofErr w:type="spellStart"/>
      <w:r w:rsidRPr="00531E52">
        <w:rPr>
          <w:rFonts w:ascii="Arial" w:hAnsi="Arial" w:cs="Arial"/>
          <w:sz w:val="20"/>
          <w:szCs w:val="20"/>
        </w:rPr>
        <w:t>Ambwani</w:t>
      </w:r>
      <w:proofErr w:type="spellEnd"/>
      <w:r w:rsidRPr="00531E52">
        <w:rPr>
          <w:rFonts w:ascii="Arial" w:hAnsi="Arial" w:cs="Arial"/>
          <w:sz w:val="20"/>
          <w:szCs w:val="20"/>
        </w:rPr>
        <w:t xml:space="preserve">, S., </w:t>
      </w:r>
      <w:proofErr w:type="spellStart"/>
      <w:r w:rsidRPr="00531E52">
        <w:rPr>
          <w:rFonts w:ascii="Arial" w:hAnsi="Arial" w:cs="Arial"/>
          <w:sz w:val="20"/>
          <w:szCs w:val="20"/>
        </w:rPr>
        <w:t>Ambwani</w:t>
      </w:r>
      <w:proofErr w:type="spellEnd"/>
      <w:r w:rsidRPr="00531E52">
        <w:rPr>
          <w:rFonts w:ascii="Arial" w:hAnsi="Arial" w:cs="Arial"/>
          <w:sz w:val="20"/>
          <w:szCs w:val="20"/>
        </w:rPr>
        <w:t>, T. K., &amp; Chauhan, R. S. (2018</w:t>
      </w:r>
      <w:r>
        <w:rPr>
          <w:rFonts w:ascii="Arial" w:hAnsi="Arial" w:cs="Arial"/>
          <w:sz w:val="20"/>
          <w:szCs w:val="20"/>
        </w:rPr>
        <w:t>a</w:t>
      </w:r>
      <w:r w:rsidRPr="00531E52">
        <w:rPr>
          <w:rFonts w:ascii="Arial" w:hAnsi="Arial" w:cs="Arial"/>
          <w:sz w:val="20"/>
          <w:szCs w:val="20"/>
        </w:rPr>
        <w:t xml:space="preserve">). Enhanced oxidative stress and immunotoxicity due to in vitro exposure of </w:t>
      </w:r>
      <w:proofErr w:type="spellStart"/>
      <w:r w:rsidRPr="00531E52">
        <w:rPr>
          <w:rFonts w:ascii="Arial" w:hAnsi="Arial" w:cs="Arial"/>
          <w:sz w:val="20"/>
          <w:szCs w:val="20"/>
        </w:rPr>
        <w:t>captan</w:t>
      </w:r>
      <w:proofErr w:type="spellEnd"/>
      <w:r w:rsidRPr="00531E52">
        <w:rPr>
          <w:rFonts w:ascii="Arial" w:hAnsi="Arial" w:cs="Arial"/>
          <w:sz w:val="20"/>
          <w:szCs w:val="20"/>
        </w:rPr>
        <w:t xml:space="preserve"> in chicken lymphocytes. </w:t>
      </w:r>
      <w:r w:rsidRPr="00531E52">
        <w:rPr>
          <w:rStyle w:val="Emphasis"/>
          <w:rFonts w:ascii="Arial" w:hAnsi="Arial" w:cs="Arial"/>
          <w:sz w:val="20"/>
          <w:szCs w:val="20"/>
        </w:rPr>
        <w:t>Journal of Entomology and Zoology Studies, 6</w:t>
      </w:r>
      <w:r w:rsidRPr="00531E52">
        <w:rPr>
          <w:rFonts w:ascii="Arial" w:hAnsi="Arial" w:cs="Arial"/>
          <w:sz w:val="20"/>
          <w:szCs w:val="20"/>
        </w:rPr>
        <w:t>(2), 1926–1929.</w:t>
      </w:r>
    </w:p>
    <w:p w14:paraId="097B7E58" w14:textId="77777777" w:rsidR="00562ABC" w:rsidRPr="00531E52" w:rsidRDefault="00562ABC" w:rsidP="00DF11A9">
      <w:pPr>
        <w:pStyle w:val="NormalWeb"/>
        <w:spacing w:before="0" w:beforeAutospacing="0" w:after="0" w:afterAutospacing="0"/>
        <w:ind w:left="360" w:hanging="360"/>
        <w:jc w:val="both"/>
        <w:rPr>
          <w:rFonts w:ascii="Arial" w:hAnsi="Arial" w:cs="Arial"/>
          <w:sz w:val="20"/>
          <w:szCs w:val="20"/>
        </w:rPr>
      </w:pPr>
      <w:proofErr w:type="spellStart"/>
      <w:r w:rsidRPr="00531E52">
        <w:rPr>
          <w:rFonts w:ascii="Arial" w:hAnsi="Arial" w:cs="Arial"/>
          <w:sz w:val="20"/>
          <w:szCs w:val="20"/>
        </w:rPr>
        <w:t>Ambwani</w:t>
      </w:r>
      <w:proofErr w:type="spellEnd"/>
      <w:r w:rsidRPr="00531E52">
        <w:rPr>
          <w:rFonts w:ascii="Arial" w:hAnsi="Arial" w:cs="Arial"/>
          <w:sz w:val="20"/>
          <w:szCs w:val="20"/>
        </w:rPr>
        <w:t xml:space="preserve">, S., </w:t>
      </w:r>
      <w:proofErr w:type="spellStart"/>
      <w:r w:rsidRPr="00531E52">
        <w:rPr>
          <w:rFonts w:ascii="Arial" w:hAnsi="Arial" w:cs="Arial"/>
          <w:sz w:val="20"/>
          <w:szCs w:val="20"/>
        </w:rPr>
        <w:t>Ambwani</w:t>
      </w:r>
      <w:proofErr w:type="spellEnd"/>
      <w:r w:rsidRPr="00531E52">
        <w:rPr>
          <w:rFonts w:ascii="Arial" w:hAnsi="Arial" w:cs="Arial"/>
          <w:sz w:val="20"/>
          <w:szCs w:val="20"/>
        </w:rPr>
        <w:t>, T. K., &amp; Chauhan, R. S. (2018</w:t>
      </w:r>
      <w:r>
        <w:rPr>
          <w:rFonts w:ascii="Arial" w:hAnsi="Arial" w:cs="Arial"/>
          <w:sz w:val="20"/>
          <w:szCs w:val="20"/>
        </w:rPr>
        <w:t>b</w:t>
      </w:r>
      <w:r w:rsidRPr="00531E52">
        <w:rPr>
          <w:rFonts w:ascii="Arial" w:hAnsi="Arial" w:cs="Arial"/>
          <w:sz w:val="20"/>
          <w:szCs w:val="20"/>
        </w:rPr>
        <w:t xml:space="preserve">). Evaluation of immunotoxicity and oxidative stress due to in vitro exposure of dimethoate in chicken lymphocytes. </w:t>
      </w:r>
      <w:r w:rsidRPr="00531E52">
        <w:rPr>
          <w:rStyle w:val="Emphasis"/>
          <w:rFonts w:ascii="Arial" w:hAnsi="Arial" w:cs="Arial"/>
          <w:sz w:val="20"/>
          <w:szCs w:val="20"/>
        </w:rPr>
        <w:t>Journal of Immunology and Immunopathology, 20</w:t>
      </w:r>
      <w:r w:rsidRPr="00531E52">
        <w:rPr>
          <w:rFonts w:ascii="Arial" w:hAnsi="Arial" w:cs="Arial"/>
          <w:sz w:val="20"/>
          <w:szCs w:val="20"/>
        </w:rPr>
        <w:t>(1), 30–37.</w:t>
      </w:r>
    </w:p>
    <w:p w14:paraId="61AAA0E7" w14:textId="77777777" w:rsidR="00562ABC" w:rsidRPr="00531E52" w:rsidRDefault="00562ABC" w:rsidP="00DF11A9">
      <w:pPr>
        <w:pStyle w:val="NormalWeb"/>
        <w:spacing w:before="0" w:beforeAutospacing="0" w:after="0" w:afterAutospacing="0"/>
        <w:ind w:left="360" w:hanging="360"/>
        <w:jc w:val="both"/>
        <w:rPr>
          <w:rFonts w:ascii="Arial" w:hAnsi="Arial" w:cs="Arial"/>
          <w:sz w:val="20"/>
          <w:szCs w:val="20"/>
        </w:rPr>
      </w:pPr>
      <w:proofErr w:type="spellStart"/>
      <w:r w:rsidRPr="00531E52">
        <w:rPr>
          <w:rFonts w:ascii="Arial" w:hAnsi="Arial" w:cs="Arial"/>
          <w:sz w:val="20"/>
          <w:szCs w:val="20"/>
        </w:rPr>
        <w:t>Ambwani</w:t>
      </w:r>
      <w:proofErr w:type="spellEnd"/>
      <w:r w:rsidRPr="00531E52">
        <w:rPr>
          <w:rFonts w:ascii="Arial" w:hAnsi="Arial" w:cs="Arial"/>
          <w:sz w:val="20"/>
          <w:szCs w:val="20"/>
        </w:rPr>
        <w:t xml:space="preserve">, S., </w:t>
      </w:r>
      <w:proofErr w:type="spellStart"/>
      <w:r w:rsidRPr="00531E52">
        <w:rPr>
          <w:rFonts w:ascii="Arial" w:hAnsi="Arial" w:cs="Arial"/>
          <w:sz w:val="20"/>
          <w:szCs w:val="20"/>
        </w:rPr>
        <w:t>Ambwani</w:t>
      </w:r>
      <w:proofErr w:type="spellEnd"/>
      <w:r w:rsidRPr="00531E52">
        <w:rPr>
          <w:rFonts w:ascii="Arial" w:hAnsi="Arial" w:cs="Arial"/>
          <w:sz w:val="20"/>
          <w:szCs w:val="20"/>
        </w:rPr>
        <w:t xml:space="preserve">, T. K., &amp; Chauhan, R. S. (2019). </w:t>
      </w:r>
      <w:proofErr w:type="spellStart"/>
      <w:r w:rsidRPr="00531E52">
        <w:rPr>
          <w:rFonts w:ascii="Arial" w:hAnsi="Arial" w:cs="Arial"/>
          <w:sz w:val="20"/>
          <w:szCs w:val="20"/>
        </w:rPr>
        <w:t>Phorate</w:t>
      </w:r>
      <w:proofErr w:type="spellEnd"/>
      <w:r w:rsidRPr="00531E52">
        <w:rPr>
          <w:rFonts w:ascii="Arial" w:hAnsi="Arial" w:cs="Arial"/>
          <w:sz w:val="20"/>
          <w:szCs w:val="20"/>
        </w:rPr>
        <w:t xml:space="preserve">-induced downregulation of chicken lymphocyte proliferation through oxidative stress following in vitro exposure. </w:t>
      </w:r>
      <w:r w:rsidRPr="00531E52">
        <w:rPr>
          <w:rStyle w:val="Emphasis"/>
          <w:rFonts w:ascii="Arial" w:hAnsi="Arial" w:cs="Arial"/>
          <w:sz w:val="20"/>
          <w:szCs w:val="20"/>
        </w:rPr>
        <w:t>Bulletin of Environment, Pharmacology and Life Sciences, 8</w:t>
      </w:r>
      <w:r w:rsidRPr="00531E52">
        <w:rPr>
          <w:rFonts w:ascii="Arial" w:hAnsi="Arial" w:cs="Arial"/>
          <w:sz w:val="20"/>
          <w:szCs w:val="20"/>
        </w:rPr>
        <w:t>(3), 75–80.</w:t>
      </w:r>
    </w:p>
    <w:p w14:paraId="69EB9AD4" w14:textId="77777777" w:rsidR="00562ABC" w:rsidRPr="00531E52" w:rsidRDefault="00562ABC" w:rsidP="00DF11A9">
      <w:pPr>
        <w:pStyle w:val="NormalWeb"/>
        <w:spacing w:before="0" w:beforeAutospacing="0" w:after="0" w:afterAutospacing="0"/>
        <w:ind w:left="360" w:hanging="360"/>
        <w:jc w:val="both"/>
        <w:rPr>
          <w:rFonts w:ascii="Arial" w:hAnsi="Arial" w:cs="Arial"/>
          <w:sz w:val="20"/>
          <w:szCs w:val="20"/>
        </w:rPr>
      </w:pPr>
      <w:proofErr w:type="spellStart"/>
      <w:r w:rsidRPr="00531E52">
        <w:rPr>
          <w:rFonts w:ascii="Arial" w:hAnsi="Arial" w:cs="Arial"/>
          <w:sz w:val="20"/>
          <w:szCs w:val="20"/>
        </w:rPr>
        <w:t>Ambwani</w:t>
      </w:r>
      <w:proofErr w:type="spellEnd"/>
      <w:r w:rsidRPr="00531E52">
        <w:rPr>
          <w:rFonts w:ascii="Arial" w:hAnsi="Arial" w:cs="Arial"/>
          <w:sz w:val="20"/>
          <w:szCs w:val="20"/>
        </w:rPr>
        <w:t xml:space="preserve">, S., </w:t>
      </w:r>
      <w:proofErr w:type="spellStart"/>
      <w:r w:rsidRPr="00531E52">
        <w:rPr>
          <w:rFonts w:ascii="Arial" w:hAnsi="Arial" w:cs="Arial"/>
          <w:sz w:val="20"/>
          <w:szCs w:val="20"/>
        </w:rPr>
        <w:t>Ambwani</w:t>
      </w:r>
      <w:proofErr w:type="spellEnd"/>
      <w:r w:rsidRPr="00531E52">
        <w:rPr>
          <w:rFonts w:ascii="Arial" w:hAnsi="Arial" w:cs="Arial"/>
          <w:sz w:val="20"/>
          <w:szCs w:val="20"/>
        </w:rPr>
        <w:t xml:space="preserve">, T., Singh, S. P., &amp; Chauhan, R. S. (2010). Evaluation of allethrin-induced immunotoxicity in avian lymphocytes. </w:t>
      </w:r>
      <w:r w:rsidRPr="00531E52">
        <w:rPr>
          <w:rStyle w:val="Emphasis"/>
          <w:rFonts w:ascii="Arial" w:hAnsi="Arial" w:cs="Arial"/>
          <w:sz w:val="20"/>
          <w:szCs w:val="20"/>
        </w:rPr>
        <w:t>Journal of Veterinary Pharmacology and Toxicology, 9</w:t>
      </w:r>
      <w:r w:rsidRPr="00531E52">
        <w:rPr>
          <w:rFonts w:ascii="Arial" w:hAnsi="Arial" w:cs="Arial"/>
          <w:sz w:val="20"/>
          <w:szCs w:val="20"/>
        </w:rPr>
        <w:t>(1–2), 68–70.</w:t>
      </w:r>
    </w:p>
    <w:p w14:paraId="0E9F99D9" w14:textId="77777777" w:rsidR="00562ABC" w:rsidRPr="00FA61C7" w:rsidRDefault="00562ABC" w:rsidP="00DF11A9">
      <w:pPr>
        <w:spacing w:after="0" w:line="240" w:lineRule="auto"/>
        <w:ind w:left="360" w:hanging="360"/>
        <w:jc w:val="both"/>
        <w:rPr>
          <w:rFonts w:ascii="Arial" w:eastAsia="Times New Roman" w:hAnsi="Arial" w:cs="Arial"/>
          <w:sz w:val="20"/>
          <w:szCs w:val="20"/>
        </w:rPr>
      </w:pPr>
      <w:proofErr w:type="spellStart"/>
      <w:r w:rsidRPr="00FA61C7">
        <w:rPr>
          <w:rFonts w:ascii="Arial" w:eastAsia="Times New Roman" w:hAnsi="Arial" w:cs="Arial"/>
          <w:sz w:val="20"/>
          <w:szCs w:val="20"/>
        </w:rPr>
        <w:t>Ambwani</w:t>
      </w:r>
      <w:proofErr w:type="spellEnd"/>
      <w:r w:rsidRPr="00FA61C7">
        <w:rPr>
          <w:rFonts w:ascii="Arial" w:eastAsia="Times New Roman" w:hAnsi="Arial" w:cs="Arial"/>
          <w:sz w:val="20"/>
          <w:szCs w:val="20"/>
        </w:rPr>
        <w:t xml:space="preserve">, S., Chand, P., Kaur, A., </w:t>
      </w:r>
      <w:proofErr w:type="spellStart"/>
      <w:r w:rsidRPr="00FA61C7">
        <w:rPr>
          <w:rFonts w:ascii="Arial" w:eastAsia="Times New Roman" w:hAnsi="Arial" w:cs="Arial"/>
          <w:sz w:val="20"/>
          <w:szCs w:val="20"/>
        </w:rPr>
        <w:t>Semwal</w:t>
      </w:r>
      <w:proofErr w:type="spellEnd"/>
      <w:r w:rsidRPr="00FA61C7">
        <w:rPr>
          <w:rFonts w:ascii="Arial" w:eastAsia="Times New Roman" w:hAnsi="Arial" w:cs="Arial"/>
          <w:sz w:val="20"/>
          <w:szCs w:val="20"/>
        </w:rPr>
        <w:t xml:space="preserve">, S., Verma, J., &amp; </w:t>
      </w:r>
      <w:proofErr w:type="spellStart"/>
      <w:r w:rsidRPr="00FA61C7">
        <w:rPr>
          <w:rFonts w:ascii="Arial" w:eastAsia="Times New Roman" w:hAnsi="Arial" w:cs="Arial"/>
          <w:sz w:val="20"/>
          <w:szCs w:val="20"/>
        </w:rPr>
        <w:t>Ambwani</w:t>
      </w:r>
      <w:proofErr w:type="spellEnd"/>
      <w:r w:rsidRPr="00FA61C7">
        <w:rPr>
          <w:rFonts w:ascii="Arial" w:eastAsia="Times New Roman" w:hAnsi="Arial" w:cs="Arial"/>
          <w:sz w:val="20"/>
          <w:szCs w:val="20"/>
        </w:rPr>
        <w:t xml:space="preserve">, T. K. (2024). Unraveling the medicinal properties of </w:t>
      </w:r>
      <w:proofErr w:type="spellStart"/>
      <w:r w:rsidRPr="00FA61C7">
        <w:rPr>
          <w:rFonts w:ascii="Arial" w:eastAsia="Times New Roman" w:hAnsi="Arial" w:cs="Arial"/>
          <w:i/>
          <w:iCs/>
          <w:sz w:val="20"/>
          <w:szCs w:val="20"/>
        </w:rPr>
        <w:t>Tinospora</w:t>
      </w:r>
      <w:proofErr w:type="spellEnd"/>
      <w:r w:rsidRPr="00FA61C7">
        <w:rPr>
          <w:rFonts w:ascii="Arial" w:eastAsia="Times New Roman" w:hAnsi="Arial" w:cs="Arial"/>
          <w:i/>
          <w:iCs/>
          <w:sz w:val="20"/>
          <w:szCs w:val="20"/>
        </w:rPr>
        <w:t xml:space="preserve"> </w:t>
      </w:r>
      <w:proofErr w:type="spellStart"/>
      <w:r w:rsidRPr="00FA61C7">
        <w:rPr>
          <w:rFonts w:ascii="Arial" w:eastAsia="Times New Roman" w:hAnsi="Arial" w:cs="Arial"/>
          <w:i/>
          <w:iCs/>
          <w:sz w:val="20"/>
          <w:szCs w:val="20"/>
        </w:rPr>
        <w:t>cordifolia</w:t>
      </w:r>
      <w:proofErr w:type="spellEnd"/>
      <w:r w:rsidRPr="00FA61C7">
        <w:rPr>
          <w:rFonts w:ascii="Arial" w:eastAsia="Times New Roman" w:hAnsi="Arial" w:cs="Arial"/>
          <w:sz w:val="20"/>
          <w:szCs w:val="20"/>
        </w:rPr>
        <w:t xml:space="preserve"> in chicken lymphocytes: Antioxidant and immunomodulatory perspectives. </w:t>
      </w:r>
      <w:r w:rsidRPr="00FA61C7">
        <w:rPr>
          <w:rFonts w:ascii="Arial" w:eastAsia="Times New Roman" w:hAnsi="Arial" w:cs="Arial"/>
          <w:i/>
          <w:iCs/>
          <w:sz w:val="20"/>
          <w:szCs w:val="20"/>
        </w:rPr>
        <w:t>Journal of Scientific Research and Reports, 30</w:t>
      </w:r>
      <w:r w:rsidRPr="00FA61C7">
        <w:rPr>
          <w:rFonts w:ascii="Arial" w:eastAsia="Times New Roman" w:hAnsi="Arial" w:cs="Arial"/>
          <w:sz w:val="20"/>
          <w:szCs w:val="20"/>
        </w:rPr>
        <w:t>(12), 282–297.</w:t>
      </w:r>
    </w:p>
    <w:p w14:paraId="1BDDE3B7" w14:textId="77777777" w:rsidR="00562ABC" w:rsidRPr="00FA61C7" w:rsidRDefault="00562ABC" w:rsidP="00DF11A9">
      <w:pPr>
        <w:spacing w:after="0" w:line="240" w:lineRule="auto"/>
        <w:ind w:left="360" w:hanging="360"/>
        <w:jc w:val="both"/>
        <w:rPr>
          <w:rFonts w:ascii="Arial" w:eastAsia="Times New Roman" w:hAnsi="Arial" w:cs="Arial"/>
          <w:sz w:val="20"/>
          <w:szCs w:val="20"/>
        </w:rPr>
      </w:pPr>
      <w:proofErr w:type="spellStart"/>
      <w:r w:rsidRPr="00FA61C7">
        <w:rPr>
          <w:rFonts w:ascii="Arial" w:eastAsia="Times New Roman" w:hAnsi="Arial" w:cs="Arial"/>
          <w:sz w:val="20"/>
          <w:szCs w:val="20"/>
        </w:rPr>
        <w:t>Ambwani</w:t>
      </w:r>
      <w:proofErr w:type="spellEnd"/>
      <w:r w:rsidRPr="00FA61C7">
        <w:rPr>
          <w:rFonts w:ascii="Arial" w:eastAsia="Times New Roman" w:hAnsi="Arial" w:cs="Arial"/>
          <w:sz w:val="20"/>
          <w:szCs w:val="20"/>
        </w:rPr>
        <w:t xml:space="preserve">, S., Chand, P., </w:t>
      </w:r>
      <w:proofErr w:type="spellStart"/>
      <w:r w:rsidRPr="00FA61C7">
        <w:rPr>
          <w:rFonts w:ascii="Arial" w:eastAsia="Times New Roman" w:hAnsi="Arial" w:cs="Arial"/>
          <w:sz w:val="20"/>
          <w:szCs w:val="20"/>
        </w:rPr>
        <w:t>Kumawat</w:t>
      </w:r>
      <w:proofErr w:type="spellEnd"/>
      <w:r w:rsidRPr="00FA61C7">
        <w:rPr>
          <w:rFonts w:ascii="Arial" w:eastAsia="Times New Roman" w:hAnsi="Arial" w:cs="Arial"/>
          <w:sz w:val="20"/>
          <w:szCs w:val="20"/>
        </w:rPr>
        <w:t xml:space="preserve">, S. K., Singh, H., &amp; </w:t>
      </w:r>
      <w:proofErr w:type="spellStart"/>
      <w:r w:rsidRPr="00FA61C7">
        <w:rPr>
          <w:rFonts w:ascii="Arial" w:eastAsia="Times New Roman" w:hAnsi="Arial" w:cs="Arial"/>
          <w:sz w:val="20"/>
          <w:szCs w:val="20"/>
        </w:rPr>
        <w:t>Koranga</w:t>
      </w:r>
      <w:proofErr w:type="spellEnd"/>
      <w:r w:rsidRPr="00FA61C7">
        <w:rPr>
          <w:rFonts w:ascii="Arial" w:eastAsia="Times New Roman" w:hAnsi="Arial" w:cs="Arial"/>
          <w:sz w:val="20"/>
          <w:szCs w:val="20"/>
        </w:rPr>
        <w:t xml:space="preserve">, D. (2025). In vitro analysis of antioxidant capacity of </w:t>
      </w:r>
      <w:r w:rsidRPr="00FA61C7">
        <w:rPr>
          <w:rFonts w:ascii="Arial" w:eastAsia="Times New Roman" w:hAnsi="Arial" w:cs="Arial"/>
          <w:i/>
          <w:iCs/>
          <w:sz w:val="20"/>
          <w:szCs w:val="20"/>
        </w:rPr>
        <w:t xml:space="preserve">Bauhinia </w:t>
      </w:r>
      <w:proofErr w:type="spellStart"/>
      <w:r w:rsidRPr="00FA61C7">
        <w:rPr>
          <w:rFonts w:ascii="Arial" w:eastAsia="Times New Roman" w:hAnsi="Arial" w:cs="Arial"/>
          <w:i/>
          <w:iCs/>
          <w:sz w:val="20"/>
          <w:szCs w:val="20"/>
        </w:rPr>
        <w:t>variegata</w:t>
      </w:r>
      <w:proofErr w:type="spellEnd"/>
      <w:r w:rsidRPr="00FA61C7">
        <w:rPr>
          <w:rFonts w:ascii="Arial" w:eastAsia="Times New Roman" w:hAnsi="Arial" w:cs="Arial"/>
          <w:sz w:val="20"/>
          <w:szCs w:val="20"/>
        </w:rPr>
        <w:t xml:space="preserve"> (L.) </w:t>
      </w:r>
      <w:proofErr w:type="spellStart"/>
      <w:r w:rsidRPr="00FA61C7">
        <w:rPr>
          <w:rFonts w:ascii="Arial" w:eastAsia="Times New Roman" w:hAnsi="Arial" w:cs="Arial"/>
          <w:sz w:val="20"/>
          <w:szCs w:val="20"/>
        </w:rPr>
        <w:t>Benth</w:t>
      </w:r>
      <w:proofErr w:type="spellEnd"/>
      <w:r w:rsidRPr="00FA61C7">
        <w:rPr>
          <w:rFonts w:ascii="Arial" w:eastAsia="Times New Roman" w:hAnsi="Arial" w:cs="Arial"/>
          <w:sz w:val="20"/>
          <w:szCs w:val="20"/>
        </w:rPr>
        <w:t xml:space="preserve"> leaf extract. </w:t>
      </w:r>
      <w:r w:rsidRPr="00FA61C7">
        <w:rPr>
          <w:rFonts w:ascii="Arial" w:eastAsia="Times New Roman" w:hAnsi="Arial" w:cs="Arial"/>
          <w:i/>
          <w:iCs/>
          <w:sz w:val="20"/>
          <w:szCs w:val="20"/>
        </w:rPr>
        <w:t>Pharmacological Research – Natural Products, 8</w:t>
      </w:r>
      <w:r w:rsidRPr="00FA61C7">
        <w:rPr>
          <w:rFonts w:ascii="Arial" w:eastAsia="Times New Roman" w:hAnsi="Arial" w:cs="Arial"/>
          <w:sz w:val="20"/>
          <w:szCs w:val="20"/>
        </w:rPr>
        <w:t>, 100350.</w:t>
      </w:r>
    </w:p>
    <w:p w14:paraId="2A759AB4" w14:textId="77777777" w:rsidR="00562ABC" w:rsidRPr="00865FB3" w:rsidRDefault="00562ABC" w:rsidP="00DF11A9">
      <w:pPr>
        <w:spacing w:after="0" w:line="240" w:lineRule="auto"/>
        <w:ind w:left="360" w:hanging="360"/>
        <w:jc w:val="both"/>
        <w:rPr>
          <w:rFonts w:ascii="Arial" w:eastAsia="Times New Roman" w:hAnsi="Arial" w:cs="Arial"/>
          <w:sz w:val="20"/>
          <w:szCs w:val="20"/>
        </w:rPr>
      </w:pPr>
      <w:proofErr w:type="spellStart"/>
      <w:r w:rsidRPr="00865FB3">
        <w:rPr>
          <w:rFonts w:ascii="Arial" w:eastAsia="Times New Roman" w:hAnsi="Arial" w:cs="Arial"/>
          <w:sz w:val="20"/>
          <w:szCs w:val="20"/>
        </w:rPr>
        <w:t>Ambwani</w:t>
      </w:r>
      <w:proofErr w:type="spellEnd"/>
      <w:r w:rsidRPr="00865FB3">
        <w:rPr>
          <w:rFonts w:ascii="Arial" w:eastAsia="Times New Roman" w:hAnsi="Arial" w:cs="Arial"/>
          <w:sz w:val="20"/>
          <w:szCs w:val="20"/>
        </w:rPr>
        <w:t xml:space="preserve">, S., </w:t>
      </w:r>
      <w:r>
        <w:rPr>
          <w:rFonts w:ascii="Arial" w:eastAsia="Times New Roman" w:hAnsi="Arial" w:cs="Arial"/>
          <w:sz w:val="20"/>
          <w:szCs w:val="20"/>
        </w:rPr>
        <w:t xml:space="preserve">Tandon, R, </w:t>
      </w:r>
      <w:proofErr w:type="spellStart"/>
      <w:r w:rsidRPr="00865FB3">
        <w:rPr>
          <w:rFonts w:ascii="Arial" w:eastAsia="Times New Roman" w:hAnsi="Arial" w:cs="Arial"/>
          <w:sz w:val="20"/>
          <w:szCs w:val="20"/>
        </w:rPr>
        <w:t>Ambwani</w:t>
      </w:r>
      <w:proofErr w:type="spellEnd"/>
      <w:r w:rsidRPr="00865FB3">
        <w:rPr>
          <w:rFonts w:ascii="Arial" w:eastAsia="Times New Roman" w:hAnsi="Arial" w:cs="Arial"/>
          <w:sz w:val="20"/>
          <w:szCs w:val="20"/>
        </w:rPr>
        <w:t>, T. K., &amp; Malik, Y. S. (2018</w:t>
      </w:r>
      <w:r>
        <w:rPr>
          <w:rFonts w:ascii="Arial" w:eastAsia="Times New Roman" w:hAnsi="Arial" w:cs="Arial"/>
          <w:sz w:val="20"/>
          <w:szCs w:val="20"/>
        </w:rPr>
        <w:t>c</w:t>
      </w:r>
      <w:r w:rsidRPr="00865FB3">
        <w:rPr>
          <w:rFonts w:ascii="Arial" w:eastAsia="Times New Roman" w:hAnsi="Arial" w:cs="Arial"/>
          <w:sz w:val="20"/>
          <w:szCs w:val="20"/>
        </w:rPr>
        <w:t xml:space="preserve">). Current knowledge on </w:t>
      </w:r>
      <w:proofErr w:type="spellStart"/>
      <w:r w:rsidRPr="00865FB3">
        <w:rPr>
          <w:rFonts w:ascii="Arial" w:eastAsia="Times New Roman" w:hAnsi="Arial" w:cs="Arial"/>
          <w:sz w:val="20"/>
          <w:szCs w:val="20"/>
        </w:rPr>
        <w:t>nanodelivery</w:t>
      </w:r>
      <w:proofErr w:type="spellEnd"/>
      <w:r w:rsidRPr="00865FB3">
        <w:rPr>
          <w:rFonts w:ascii="Arial" w:eastAsia="Times New Roman" w:hAnsi="Arial" w:cs="Arial"/>
          <w:sz w:val="20"/>
          <w:szCs w:val="20"/>
        </w:rPr>
        <w:t xml:space="preserve"> systems and their beneficial applications in enhancing the efficacy of herbal drugs. </w:t>
      </w:r>
      <w:r w:rsidRPr="00865FB3">
        <w:rPr>
          <w:rFonts w:ascii="Arial" w:eastAsia="Times New Roman" w:hAnsi="Arial" w:cs="Arial"/>
          <w:i/>
          <w:iCs/>
          <w:sz w:val="20"/>
          <w:szCs w:val="20"/>
        </w:rPr>
        <w:t>Journal of Experimental Biology and Agricultural Sciences, 6</w:t>
      </w:r>
      <w:r w:rsidRPr="00865FB3">
        <w:rPr>
          <w:rFonts w:ascii="Arial" w:eastAsia="Times New Roman" w:hAnsi="Arial" w:cs="Arial"/>
          <w:sz w:val="20"/>
          <w:szCs w:val="20"/>
        </w:rPr>
        <w:t>(1), 87–107.</w:t>
      </w:r>
    </w:p>
    <w:p w14:paraId="7CBCC035" w14:textId="77777777" w:rsidR="00562ABC" w:rsidRPr="00531E52" w:rsidRDefault="00562ABC" w:rsidP="00DF11A9">
      <w:pPr>
        <w:spacing w:after="0" w:line="240" w:lineRule="auto"/>
        <w:ind w:left="360" w:hanging="360"/>
        <w:jc w:val="both"/>
        <w:rPr>
          <w:rFonts w:ascii="Arial" w:eastAsia="Times New Roman" w:hAnsi="Arial" w:cs="Arial"/>
          <w:sz w:val="20"/>
          <w:szCs w:val="20"/>
        </w:rPr>
      </w:pPr>
      <w:proofErr w:type="spellStart"/>
      <w:r w:rsidRPr="00531E52">
        <w:rPr>
          <w:rFonts w:ascii="Arial" w:eastAsia="Times New Roman" w:hAnsi="Arial" w:cs="Arial"/>
          <w:sz w:val="20"/>
          <w:szCs w:val="20"/>
        </w:rPr>
        <w:t>Botnaru</w:t>
      </w:r>
      <w:proofErr w:type="spellEnd"/>
      <w:r w:rsidRPr="00531E52">
        <w:rPr>
          <w:rFonts w:ascii="Arial" w:eastAsia="Times New Roman" w:hAnsi="Arial" w:cs="Arial"/>
          <w:sz w:val="20"/>
          <w:szCs w:val="20"/>
        </w:rPr>
        <w:t xml:space="preserve">, A. A., Popescu, D., Radu, M., Ionescu, A., &amp; Georgescu, L. (2025). Neurotoxic effects of pesticides: Implications for neurodegenerative and neurobehavioral disorders. </w:t>
      </w:r>
      <w:r w:rsidRPr="00531E52">
        <w:rPr>
          <w:rFonts w:ascii="Arial" w:eastAsia="Times New Roman" w:hAnsi="Arial" w:cs="Arial"/>
          <w:i/>
          <w:iCs/>
          <w:sz w:val="20"/>
          <w:szCs w:val="20"/>
        </w:rPr>
        <w:t>International Journal of Environmental Research and Public Health, 22</w:t>
      </w:r>
      <w:r w:rsidRPr="00531E52">
        <w:rPr>
          <w:rFonts w:ascii="Arial" w:eastAsia="Times New Roman" w:hAnsi="Arial" w:cs="Arial"/>
          <w:sz w:val="20"/>
          <w:szCs w:val="20"/>
        </w:rPr>
        <w:t>(3), 1185. https://doi.org/10.3390/ijerph22031185</w:t>
      </w:r>
    </w:p>
    <w:p w14:paraId="7026A2C5" w14:textId="77777777" w:rsidR="00562ABC" w:rsidRPr="00562ABC" w:rsidRDefault="00562ABC" w:rsidP="00562ABC">
      <w:pPr>
        <w:pStyle w:val="NormalWeb"/>
        <w:spacing w:before="0" w:beforeAutospacing="0" w:after="0" w:afterAutospacing="0"/>
        <w:ind w:left="360" w:hanging="360"/>
        <w:jc w:val="both"/>
        <w:rPr>
          <w:rFonts w:ascii="Arial" w:hAnsi="Arial" w:cs="Arial"/>
          <w:sz w:val="20"/>
          <w:szCs w:val="20"/>
          <w:highlight w:val="yellow"/>
        </w:rPr>
      </w:pPr>
      <w:r w:rsidRPr="00562ABC">
        <w:rPr>
          <w:rFonts w:ascii="Arial" w:hAnsi="Arial" w:cs="Arial"/>
          <w:sz w:val="20"/>
          <w:szCs w:val="20"/>
          <w:highlight w:val="yellow"/>
        </w:rPr>
        <w:t xml:space="preserve">Bouchard, M. F., </w:t>
      </w:r>
      <w:proofErr w:type="spellStart"/>
      <w:r w:rsidRPr="00562ABC">
        <w:rPr>
          <w:rFonts w:ascii="Arial" w:hAnsi="Arial" w:cs="Arial"/>
          <w:sz w:val="20"/>
          <w:szCs w:val="20"/>
          <w:highlight w:val="yellow"/>
        </w:rPr>
        <w:t>Chevrier</w:t>
      </w:r>
      <w:proofErr w:type="spellEnd"/>
      <w:r w:rsidRPr="00562ABC">
        <w:rPr>
          <w:rFonts w:ascii="Arial" w:hAnsi="Arial" w:cs="Arial"/>
          <w:sz w:val="20"/>
          <w:szCs w:val="20"/>
          <w:highlight w:val="yellow"/>
        </w:rPr>
        <w:t xml:space="preserve">, J., Harley, K. G., </w:t>
      </w:r>
      <w:proofErr w:type="spellStart"/>
      <w:r w:rsidRPr="00562ABC">
        <w:rPr>
          <w:rFonts w:ascii="Arial" w:hAnsi="Arial" w:cs="Arial"/>
          <w:sz w:val="20"/>
          <w:szCs w:val="20"/>
          <w:highlight w:val="yellow"/>
        </w:rPr>
        <w:t>Kogut</w:t>
      </w:r>
      <w:proofErr w:type="spellEnd"/>
      <w:r w:rsidRPr="00562ABC">
        <w:rPr>
          <w:rFonts w:ascii="Arial" w:hAnsi="Arial" w:cs="Arial"/>
          <w:sz w:val="20"/>
          <w:szCs w:val="20"/>
          <w:highlight w:val="yellow"/>
        </w:rPr>
        <w:t xml:space="preserve">, K., </w:t>
      </w:r>
      <w:proofErr w:type="spellStart"/>
      <w:r w:rsidRPr="00562ABC">
        <w:rPr>
          <w:rFonts w:ascii="Arial" w:hAnsi="Arial" w:cs="Arial"/>
          <w:sz w:val="20"/>
          <w:szCs w:val="20"/>
          <w:highlight w:val="yellow"/>
        </w:rPr>
        <w:t>Vedar</w:t>
      </w:r>
      <w:proofErr w:type="spellEnd"/>
      <w:r w:rsidRPr="00562ABC">
        <w:rPr>
          <w:rFonts w:ascii="Arial" w:hAnsi="Arial" w:cs="Arial"/>
          <w:sz w:val="20"/>
          <w:szCs w:val="20"/>
          <w:highlight w:val="yellow"/>
        </w:rPr>
        <w:t xml:space="preserve">, M., Calderon, N., &amp; </w:t>
      </w:r>
      <w:proofErr w:type="spellStart"/>
      <w:r w:rsidRPr="00562ABC">
        <w:rPr>
          <w:rFonts w:ascii="Arial" w:hAnsi="Arial" w:cs="Arial"/>
          <w:sz w:val="20"/>
          <w:szCs w:val="20"/>
          <w:highlight w:val="yellow"/>
        </w:rPr>
        <w:t>Eskenazi</w:t>
      </w:r>
      <w:proofErr w:type="spellEnd"/>
      <w:r w:rsidRPr="00562ABC">
        <w:rPr>
          <w:rFonts w:ascii="Arial" w:hAnsi="Arial" w:cs="Arial"/>
          <w:sz w:val="20"/>
          <w:szCs w:val="20"/>
          <w:highlight w:val="yellow"/>
        </w:rPr>
        <w:t xml:space="preserve">, B. (2011). Prenatal exposure to organophosphate pesticides and IQ in 7-year-old children. </w:t>
      </w:r>
      <w:r w:rsidRPr="00562ABC">
        <w:rPr>
          <w:rFonts w:ascii="Arial" w:hAnsi="Arial" w:cs="Arial"/>
          <w:i/>
          <w:iCs/>
          <w:sz w:val="20"/>
          <w:szCs w:val="20"/>
          <w:highlight w:val="yellow"/>
        </w:rPr>
        <w:t>Environmental Health Perspectives, 119</w:t>
      </w:r>
      <w:r w:rsidRPr="00562ABC">
        <w:rPr>
          <w:rFonts w:ascii="Arial" w:hAnsi="Arial" w:cs="Arial"/>
          <w:sz w:val="20"/>
          <w:szCs w:val="20"/>
          <w:highlight w:val="yellow"/>
        </w:rPr>
        <w:t xml:space="preserve">(8), 1189–1195. </w:t>
      </w:r>
      <w:hyperlink r:id="rId9" w:history="1">
        <w:r w:rsidRPr="00562ABC">
          <w:rPr>
            <w:rStyle w:val="Hyperlink"/>
            <w:rFonts w:ascii="Arial" w:hAnsi="Arial" w:cs="Arial"/>
            <w:sz w:val="20"/>
            <w:szCs w:val="20"/>
            <w:highlight w:val="yellow"/>
          </w:rPr>
          <w:t>https://doi.org/10.1289/ehp.1003185</w:t>
        </w:r>
      </w:hyperlink>
    </w:p>
    <w:p w14:paraId="153F409A" w14:textId="77777777" w:rsidR="00562ABC" w:rsidRPr="00531E52" w:rsidRDefault="00562ABC" w:rsidP="00DF11A9">
      <w:pPr>
        <w:pStyle w:val="NormalWeb"/>
        <w:spacing w:before="0" w:beforeAutospacing="0" w:after="0" w:afterAutospacing="0"/>
        <w:ind w:left="360" w:hanging="360"/>
        <w:jc w:val="both"/>
        <w:rPr>
          <w:rFonts w:ascii="Arial" w:hAnsi="Arial" w:cs="Arial"/>
          <w:sz w:val="20"/>
          <w:szCs w:val="20"/>
        </w:rPr>
      </w:pPr>
      <w:r w:rsidRPr="00531E52">
        <w:rPr>
          <w:rFonts w:ascii="Arial" w:hAnsi="Arial" w:cs="Arial"/>
          <w:sz w:val="20"/>
          <w:szCs w:val="20"/>
        </w:rPr>
        <w:t xml:space="preserve">Datta, D., </w:t>
      </w:r>
      <w:r w:rsidRPr="00DA06B6">
        <w:rPr>
          <w:rFonts w:ascii="Arial" w:hAnsi="Arial" w:cs="Arial"/>
          <w:i/>
          <w:sz w:val="20"/>
          <w:szCs w:val="20"/>
        </w:rPr>
        <w:t>et al</w:t>
      </w:r>
      <w:r w:rsidRPr="00531E52">
        <w:rPr>
          <w:rFonts w:ascii="Arial" w:hAnsi="Arial" w:cs="Arial"/>
          <w:sz w:val="20"/>
          <w:szCs w:val="20"/>
        </w:rPr>
        <w:t xml:space="preserve">. (2025). A critical review of pesticides in the aquatic environment: Occurrence, fate, and remediation. </w:t>
      </w:r>
      <w:r w:rsidRPr="00531E52">
        <w:rPr>
          <w:rStyle w:val="Emphasis"/>
          <w:rFonts w:ascii="Arial" w:hAnsi="Arial" w:cs="Arial"/>
          <w:sz w:val="20"/>
          <w:szCs w:val="20"/>
        </w:rPr>
        <w:t>Science of the Total Environment</w:t>
      </w:r>
      <w:r w:rsidRPr="00531E52">
        <w:rPr>
          <w:rFonts w:ascii="Arial" w:hAnsi="Arial" w:cs="Arial"/>
          <w:sz w:val="20"/>
          <w:szCs w:val="20"/>
        </w:rPr>
        <w:t>. Advance online publication.</w:t>
      </w:r>
    </w:p>
    <w:p w14:paraId="369E101D" w14:textId="77777777" w:rsidR="00562ABC" w:rsidRPr="00531E52" w:rsidRDefault="00562ABC" w:rsidP="00DF11A9">
      <w:pPr>
        <w:spacing w:after="0" w:line="240" w:lineRule="auto"/>
        <w:ind w:left="360" w:hanging="360"/>
        <w:jc w:val="both"/>
        <w:rPr>
          <w:rFonts w:ascii="Arial" w:hAnsi="Arial" w:cs="Arial"/>
          <w:sz w:val="20"/>
          <w:szCs w:val="20"/>
        </w:rPr>
      </w:pPr>
      <w:r w:rsidRPr="00531E52">
        <w:rPr>
          <w:rFonts w:ascii="Arial" w:hAnsi="Arial" w:cs="Arial"/>
          <w:sz w:val="20"/>
          <w:szCs w:val="20"/>
        </w:rPr>
        <w:t xml:space="preserve">Di </w:t>
      </w:r>
      <w:proofErr w:type="spellStart"/>
      <w:r w:rsidRPr="00531E52">
        <w:rPr>
          <w:rFonts w:ascii="Arial" w:hAnsi="Arial" w:cs="Arial"/>
          <w:sz w:val="20"/>
          <w:szCs w:val="20"/>
        </w:rPr>
        <w:t>Prisco</w:t>
      </w:r>
      <w:proofErr w:type="spellEnd"/>
      <w:r w:rsidRPr="00531E52">
        <w:rPr>
          <w:rFonts w:ascii="Arial" w:hAnsi="Arial" w:cs="Arial"/>
          <w:sz w:val="20"/>
          <w:szCs w:val="20"/>
        </w:rPr>
        <w:t xml:space="preserve">, G., Cavaliere, V., </w:t>
      </w:r>
      <w:proofErr w:type="spellStart"/>
      <w:r w:rsidRPr="00531E52">
        <w:rPr>
          <w:rFonts w:ascii="Arial" w:hAnsi="Arial" w:cs="Arial"/>
          <w:sz w:val="20"/>
          <w:szCs w:val="20"/>
        </w:rPr>
        <w:t>Annoscia</w:t>
      </w:r>
      <w:proofErr w:type="spellEnd"/>
      <w:r w:rsidRPr="00531E52">
        <w:rPr>
          <w:rFonts w:ascii="Arial" w:hAnsi="Arial" w:cs="Arial"/>
          <w:sz w:val="20"/>
          <w:szCs w:val="20"/>
        </w:rPr>
        <w:t xml:space="preserve">, D., Varricchio, P., Caprio, E., </w:t>
      </w:r>
      <w:proofErr w:type="spellStart"/>
      <w:r w:rsidRPr="00531E52">
        <w:rPr>
          <w:rFonts w:ascii="Arial" w:hAnsi="Arial" w:cs="Arial"/>
          <w:sz w:val="20"/>
          <w:szCs w:val="20"/>
        </w:rPr>
        <w:t>Nazzi</w:t>
      </w:r>
      <w:proofErr w:type="spellEnd"/>
      <w:r w:rsidRPr="00531E52">
        <w:rPr>
          <w:rFonts w:ascii="Arial" w:hAnsi="Arial" w:cs="Arial"/>
          <w:sz w:val="20"/>
          <w:szCs w:val="20"/>
        </w:rPr>
        <w:t xml:space="preserve">, F., Gargiulo, G., &amp; </w:t>
      </w:r>
      <w:proofErr w:type="spellStart"/>
      <w:r w:rsidRPr="00531E52">
        <w:rPr>
          <w:rFonts w:ascii="Arial" w:hAnsi="Arial" w:cs="Arial"/>
          <w:sz w:val="20"/>
          <w:szCs w:val="20"/>
        </w:rPr>
        <w:t>Pennacchio</w:t>
      </w:r>
      <w:proofErr w:type="spellEnd"/>
      <w:r w:rsidRPr="00531E52">
        <w:rPr>
          <w:rFonts w:ascii="Arial" w:hAnsi="Arial" w:cs="Arial"/>
          <w:sz w:val="20"/>
          <w:szCs w:val="20"/>
        </w:rPr>
        <w:t xml:space="preserve">, F. (2013). Neonicotinoid clothianidin adversely affects insect immunity and promotes replication of a viral pathogen in honey bees. </w:t>
      </w:r>
      <w:r w:rsidRPr="00531E52">
        <w:rPr>
          <w:rStyle w:val="Emphasis"/>
          <w:rFonts w:ascii="Arial" w:hAnsi="Arial" w:cs="Arial"/>
          <w:sz w:val="20"/>
          <w:szCs w:val="20"/>
        </w:rPr>
        <w:t>Proceedings of the National Academy of Sciences of the United States of America, 110</w:t>
      </w:r>
      <w:r w:rsidRPr="00531E52">
        <w:rPr>
          <w:rFonts w:ascii="Arial" w:hAnsi="Arial" w:cs="Arial"/>
          <w:sz w:val="20"/>
          <w:szCs w:val="20"/>
        </w:rPr>
        <w:t xml:space="preserve">(46), 18466–18471. </w:t>
      </w:r>
      <w:hyperlink r:id="rId10" w:tgtFrame="_new" w:history="1">
        <w:r w:rsidRPr="00531E52">
          <w:rPr>
            <w:rStyle w:val="Hyperlink"/>
            <w:rFonts w:ascii="Arial" w:hAnsi="Arial" w:cs="Arial"/>
            <w:sz w:val="20"/>
            <w:szCs w:val="20"/>
          </w:rPr>
          <w:t>https://doi.org/10.1073/pnas.1314923110</w:t>
        </w:r>
      </w:hyperlink>
    </w:p>
    <w:p w14:paraId="68DCFCE7" w14:textId="77777777" w:rsidR="00562ABC" w:rsidRPr="00531E52" w:rsidRDefault="00562ABC" w:rsidP="00DF11A9">
      <w:pPr>
        <w:spacing w:after="0" w:line="240" w:lineRule="auto"/>
        <w:ind w:left="360" w:hanging="360"/>
        <w:jc w:val="both"/>
        <w:rPr>
          <w:rFonts w:ascii="Arial" w:eastAsia="Times New Roman" w:hAnsi="Arial" w:cs="Arial"/>
          <w:sz w:val="20"/>
          <w:szCs w:val="20"/>
        </w:rPr>
      </w:pPr>
      <w:r w:rsidRPr="00531E52">
        <w:rPr>
          <w:rFonts w:ascii="Arial" w:eastAsia="Times New Roman" w:hAnsi="Arial" w:cs="Arial"/>
          <w:sz w:val="20"/>
          <w:szCs w:val="20"/>
        </w:rPr>
        <w:t xml:space="preserve">French, B., Thompson, H., Wilkins, S., Harrington, R., &amp; </w:t>
      </w:r>
      <w:proofErr w:type="spellStart"/>
      <w:r w:rsidRPr="00531E52">
        <w:rPr>
          <w:rFonts w:ascii="Arial" w:eastAsia="Times New Roman" w:hAnsi="Arial" w:cs="Arial"/>
          <w:sz w:val="20"/>
          <w:szCs w:val="20"/>
        </w:rPr>
        <w:t>Goulson</w:t>
      </w:r>
      <w:proofErr w:type="spellEnd"/>
      <w:r w:rsidRPr="00531E52">
        <w:rPr>
          <w:rFonts w:ascii="Arial" w:eastAsia="Times New Roman" w:hAnsi="Arial" w:cs="Arial"/>
          <w:sz w:val="20"/>
          <w:szCs w:val="20"/>
        </w:rPr>
        <w:t xml:space="preserve">, D. (2024). Landscape-scale residue monitoring and chronic exposure of pollinators to agrochemicals. </w:t>
      </w:r>
      <w:r w:rsidRPr="00531E52">
        <w:rPr>
          <w:rFonts w:ascii="Arial" w:eastAsia="Times New Roman" w:hAnsi="Arial" w:cs="Arial"/>
          <w:i/>
          <w:iCs/>
          <w:sz w:val="20"/>
          <w:szCs w:val="20"/>
        </w:rPr>
        <w:t>Environmental Science &amp; Policy, 143</w:t>
      </w:r>
      <w:r w:rsidRPr="00531E52">
        <w:rPr>
          <w:rFonts w:ascii="Arial" w:eastAsia="Times New Roman" w:hAnsi="Arial" w:cs="Arial"/>
          <w:sz w:val="20"/>
          <w:szCs w:val="20"/>
        </w:rPr>
        <w:t xml:space="preserve">, 1–12. </w:t>
      </w:r>
      <w:hyperlink r:id="rId11" w:tgtFrame="_new" w:history="1">
        <w:r w:rsidRPr="00531E52">
          <w:rPr>
            <w:rFonts w:ascii="Arial" w:eastAsia="Times New Roman" w:hAnsi="Arial" w:cs="Arial"/>
            <w:color w:val="0000FF"/>
            <w:sz w:val="20"/>
            <w:szCs w:val="20"/>
            <w:u w:val="single"/>
          </w:rPr>
          <w:t>https://doi.org/10.1016/j.envsci.2024.103762</w:t>
        </w:r>
      </w:hyperlink>
    </w:p>
    <w:p w14:paraId="00DF17FE" w14:textId="77777777" w:rsidR="00562ABC" w:rsidRPr="00531E52" w:rsidRDefault="00562ABC" w:rsidP="00DF11A9">
      <w:pPr>
        <w:pStyle w:val="ListParagraph"/>
        <w:spacing w:after="0" w:line="240" w:lineRule="auto"/>
        <w:ind w:left="360" w:hanging="360"/>
        <w:jc w:val="both"/>
        <w:outlineLvl w:val="1"/>
        <w:rPr>
          <w:rFonts w:ascii="Arial" w:hAnsi="Arial" w:cs="Arial"/>
          <w:sz w:val="20"/>
          <w:szCs w:val="20"/>
        </w:rPr>
      </w:pPr>
      <w:r w:rsidRPr="00531E52">
        <w:rPr>
          <w:rFonts w:ascii="Arial" w:hAnsi="Arial" w:cs="Arial"/>
          <w:sz w:val="20"/>
          <w:szCs w:val="20"/>
        </w:rPr>
        <w:t xml:space="preserve">Fulton, M. H., &amp; Key, P. B. (2001). Acetylcholinesterase inhibition in estuarine fish and invertebrates as an indicator of organophosphate and carbamate exposure. </w:t>
      </w:r>
      <w:r w:rsidRPr="00531E52">
        <w:rPr>
          <w:rStyle w:val="Emphasis"/>
          <w:rFonts w:ascii="Arial" w:hAnsi="Arial" w:cs="Arial"/>
          <w:sz w:val="20"/>
          <w:szCs w:val="20"/>
        </w:rPr>
        <w:t>Environmental Toxicology and Chemistry, 20</w:t>
      </w:r>
      <w:r w:rsidRPr="00531E52">
        <w:rPr>
          <w:rFonts w:ascii="Arial" w:hAnsi="Arial" w:cs="Arial"/>
          <w:sz w:val="20"/>
          <w:szCs w:val="20"/>
        </w:rPr>
        <w:t>(1), 37–45.</w:t>
      </w:r>
    </w:p>
    <w:p w14:paraId="09A8183C" w14:textId="77777777" w:rsidR="00562ABC" w:rsidRPr="00531E52" w:rsidRDefault="00562ABC" w:rsidP="00DF11A9">
      <w:pPr>
        <w:spacing w:after="0" w:line="240" w:lineRule="auto"/>
        <w:ind w:left="360" w:hanging="360"/>
        <w:jc w:val="both"/>
        <w:rPr>
          <w:rFonts w:ascii="Arial" w:eastAsia="Times New Roman" w:hAnsi="Arial" w:cs="Arial"/>
          <w:sz w:val="20"/>
          <w:szCs w:val="20"/>
        </w:rPr>
      </w:pPr>
      <w:r w:rsidRPr="00531E52">
        <w:rPr>
          <w:rFonts w:ascii="Arial" w:eastAsia="Times New Roman" w:hAnsi="Arial" w:cs="Arial"/>
          <w:sz w:val="20"/>
          <w:szCs w:val="20"/>
        </w:rPr>
        <w:t xml:space="preserve">Galli, F. S., </w:t>
      </w:r>
      <w:proofErr w:type="spellStart"/>
      <w:r w:rsidRPr="00531E52">
        <w:rPr>
          <w:rFonts w:ascii="Arial" w:eastAsia="Times New Roman" w:hAnsi="Arial" w:cs="Arial"/>
          <w:sz w:val="20"/>
          <w:szCs w:val="20"/>
        </w:rPr>
        <w:t>Mollari</w:t>
      </w:r>
      <w:proofErr w:type="spellEnd"/>
      <w:r w:rsidRPr="00531E52">
        <w:rPr>
          <w:rFonts w:ascii="Arial" w:eastAsia="Times New Roman" w:hAnsi="Arial" w:cs="Arial"/>
          <w:sz w:val="20"/>
          <w:szCs w:val="20"/>
        </w:rPr>
        <w:t xml:space="preserve">, M., </w:t>
      </w:r>
      <w:proofErr w:type="spellStart"/>
      <w:r w:rsidRPr="00531E52">
        <w:rPr>
          <w:rFonts w:ascii="Arial" w:eastAsia="Times New Roman" w:hAnsi="Arial" w:cs="Arial"/>
          <w:sz w:val="20"/>
          <w:szCs w:val="20"/>
        </w:rPr>
        <w:t>Marcoccia</w:t>
      </w:r>
      <w:proofErr w:type="spellEnd"/>
      <w:r w:rsidRPr="00531E52">
        <w:rPr>
          <w:rFonts w:ascii="Arial" w:eastAsia="Times New Roman" w:hAnsi="Arial" w:cs="Arial"/>
          <w:sz w:val="20"/>
          <w:szCs w:val="20"/>
        </w:rPr>
        <w:t xml:space="preserve">, D., &amp; Di Paolo, C. (2024). Overview of human health effects related to glyphosate exposure: Recent evidence and open questions. </w:t>
      </w:r>
      <w:r w:rsidRPr="00531E52">
        <w:rPr>
          <w:rFonts w:ascii="Arial" w:eastAsia="Times New Roman" w:hAnsi="Arial" w:cs="Arial"/>
          <w:i/>
          <w:iCs/>
          <w:sz w:val="20"/>
          <w:szCs w:val="20"/>
        </w:rPr>
        <w:t>Frontiers in Toxicology, 6</w:t>
      </w:r>
      <w:r w:rsidRPr="00531E52">
        <w:rPr>
          <w:rFonts w:ascii="Arial" w:eastAsia="Times New Roman" w:hAnsi="Arial" w:cs="Arial"/>
          <w:sz w:val="20"/>
          <w:szCs w:val="20"/>
        </w:rPr>
        <w:t xml:space="preserve">, 1474792. </w:t>
      </w:r>
      <w:hyperlink r:id="rId12" w:tgtFrame="_new" w:history="1">
        <w:r w:rsidRPr="00531E52">
          <w:rPr>
            <w:rFonts w:ascii="Arial" w:eastAsia="Times New Roman" w:hAnsi="Arial" w:cs="Arial"/>
            <w:color w:val="0000FF"/>
            <w:sz w:val="20"/>
            <w:szCs w:val="20"/>
            <w:u w:val="single"/>
          </w:rPr>
          <w:t>https://doi.org/10.3389/ftox.2024.1474792</w:t>
        </w:r>
      </w:hyperlink>
    </w:p>
    <w:p w14:paraId="10B668AD" w14:textId="77777777" w:rsidR="00562ABC" w:rsidRPr="00562ABC" w:rsidRDefault="00562ABC" w:rsidP="00562ABC">
      <w:pPr>
        <w:pStyle w:val="NormalWeb"/>
        <w:spacing w:before="0" w:beforeAutospacing="0" w:after="0" w:afterAutospacing="0"/>
        <w:ind w:left="360" w:hanging="360"/>
        <w:jc w:val="both"/>
        <w:rPr>
          <w:rFonts w:ascii="Arial" w:hAnsi="Arial" w:cs="Arial"/>
          <w:sz w:val="20"/>
          <w:szCs w:val="20"/>
          <w:highlight w:val="yellow"/>
        </w:rPr>
      </w:pPr>
      <w:r w:rsidRPr="00562ABC">
        <w:rPr>
          <w:rFonts w:ascii="Arial" w:hAnsi="Arial" w:cs="Arial"/>
          <w:sz w:val="20"/>
          <w:szCs w:val="20"/>
          <w:highlight w:val="yellow"/>
        </w:rPr>
        <w:t xml:space="preserve">Gore, A. C., Chappell, V. A., Fenton, S. E., Flaws, J. A., Nadal, A., </w:t>
      </w:r>
      <w:proofErr w:type="spellStart"/>
      <w:r w:rsidRPr="00562ABC">
        <w:rPr>
          <w:rFonts w:ascii="Arial" w:hAnsi="Arial" w:cs="Arial"/>
          <w:sz w:val="20"/>
          <w:szCs w:val="20"/>
          <w:highlight w:val="yellow"/>
        </w:rPr>
        <w:t>Prins</w:t>
      </w:r>
      <w:proofErr w:type="spellEnd"/>
      <w:r w:rsidRPr="00562ABC">
        <w:rPr>
          <w:rFonts w:ascii="Arial" w:hAnsi="Arial" w:cs="Arial"/>
          <w:sz w:val="20"/>
          <w:szCs w:val="20"/>
          <w:highlight w:val="yellow"/>
        </w:rPr>
        <w:t xml:space="preserve">, G. S., </w:t>
      </w:r>
      <w:proofErr w:type="spellStart"/>
      <w:r w:rsidRPr="00562ABC">
        <w:rPr>
          <w:rFonts w:ascii="Arial" w:hAnsi="Arial" w:cs="Arial"/>
          <w:sz w:val="20"/>
          <w:szCs w:val="20"/>
          <w:highlight w:val="yellow"/>
        </w:rPr>
        <w:t>Toppari</w:t>
      </w:r>
      <w:proofErr w:type="spellEnd"/>
      <w:r w:rsidRPr="00562ABC">
        <w:rPr>
          <w:rFonts w:ascii="Arial" w:hAnsi="Arial" w:cs="Arial"/>
          <w:sz w:val="20"/>
          <w:szCs w:val="20"/>
          <w:highlight w:val="yellow"/>
        </w:rPr>
        <w:t xml:space="preserve">, J., &amp; Zoeller, R. T. (2015). EDC-2: The Endocrine Society’s second scientific statement on </w:t>
      </w:r>
      <w:r w:rsidRPr="00562ABC">
        <w:rPr>
          <w:rFonts w:ascii="Arial" w:hAnsi="Arial" w:cs="Arial"/>
          <w:sz w:val="20"/>
          <w:szCs w:val="20"/>
          <w:highlight w:val="yellow"/>
        </w:rPr>
        <w:lastRenderedPageBreak/>
        <w:t xml:space="preserve">endocrine-disrupting chemicals. </w:t>
      </w:r>
      <w:r w:rsidRPr="00562ABC">
        <w:rPr>
          <w:rFonts w:ascii="Arial" w:hAnsi="Arial" w:cs="Arial"/>
          <w:i/>
          <w:iCs/>
          <w:sz w:val="20"/>
          <w:szCs w:val="20"/>
          <w:highlight w:val="yellow"/>
        </w:rPr>
        <w:t>Endocrine Reviews, 36</w:t>
      </w:r>
      <w:r w:rsidRPr="00562ABC">
        <w:rPr>
          <w:rFonts w:ascii="Arial" w:hAnsi="Arial" w:cs="Arial"/>
          <w:sz w:val="20"/>
          <w:szCs w:val="20"/>
          <w:highlight w:val="yellow"/>
        </w:rPr>
        <w:t xml:space="preserve">(6), E1–E150. </w:t>
      </w:r>
      <w:hyperlink r:id="rId13" w:history="1">
        <w:r w:rsidRPr="00562ABC">
          <w:rPr>
            <w:rStyle w:val="Hyperlink"/>
            <w:rFonts w:ascii="Arial" w:hAnsi="Arial" w:cs="Arial"/>
            <w:sz w:val="20"/>
            <w:szCs w:val="20"/>
            <w:highlight w:val="yellow"/>
          </w:rPr>
          <w:t>https://doi.org/10.1210/er.2015-1010</w:t>
        </w:r>
      </w:hyperlink>
    </w:p>
    <w:p w14:paraId="40DA80A3" w14:textId="77777777" w:rsidR="00562ABC" w:rsidRPr="00562ABC" w:rsidRDefault="00562ABC" w:rsidP="00562ABC">
      <w:pPr>
        <w:pStyle w:val="NormalWeb"/>
        <w:spacing w:before="0" w:beforeAutospacing="0" w:after="0" w:afterAutospacing="0"/>
        <w:ind w:left="360" w:hanging="360"/>
        <w:jc w:val="both"/>
        <w:rPr>
          <w:rFonts w:ascii="Arial" w:hAnsi="Arial" w:cs="Arial"/>
          <w:sz w:val="20"/>
          <w:szCs w:val="20"/>
          <w:highlight w:val="yellow"/>
        </w:rPr>
      </w:pPr>
      <w:r w:rsidRPr="00562ABC">
        <w:rPr>
          <w:rFonts w:ascii="Arial" w:hAnsi="Arial" w:cs="Arial"/>
          <w:sz w:val="20"/>
          <w:szCs w:val="20"/>
          <w:highlight w:val="yellow"/>
        </w:rPr>
        <w:t xml:space="preserve">Hernández, A. F., </w:t>
      </w:r>
      <w:proofErr w:type="spellStart"/>
      <w:r w:rsidRPr="00562ABC">
        <w:rPr>
          <w:rFonts w:ascii="Arial" w:hAnsi="Arial" w:cs="Arial"/>
          <w:sz w:val="20"/>
          <w:szCs w:val="20"/>
          <w:highlight w:val="yellow"/>
        </w:rPr>
        <w:t>Parrón</w:t>
      </w:r>
      <w:proofErr w:type="spellEnd"/>
      <w:r w:rsidRPr="00562ABC">
        <w:rPr>
          <w:rFonts w:ascii="Arial" w:hAnsi="Arial" w:cs="Arial"/>
          <w:sz w:val="20"/>
          <w:szCs w:val="20"/>
          <w:highlight w:val="yellow"/>
        </w:rPr>
        <w:t xml:space="preserve">, T., &amp; </w:t>
      </w:r>
      <w:proofErr w:type="spellStart"/>
      <w:r w:rsidRPr="00562ABC">
        <w:rPr>
          <w:rFonts w:ascii="Arial" w:hAnsi="Arial" w:cs="Arial"/>
          <w:sz w:val="20"/>
          <w:szCs w:val="20"/>
          <w:highlight w:val="yellow"/>
        </w:rPr>
        <w:t>Alarcón</w:t>
      </w:r>
      <w:proofErr w:type="spellEnd"/>
      <w:r w:rsidRPr="00562ABC">
        <w:rPr>
          <w:rFonts w:ascii="Arial" w:hAnsi="Arial" w:cs="Arial"/>
          <w:sz w:val="20"/>
          <w:szCs w:val="20"/>
          <w:highlight w:val="yellow"/>
        </w:rPr>
        <w:t xml:space="preserve">, R. (2013). Pesticides and asthma. </w:t>
      </w:r>
      <w:r w:rsidRPr="00562ABC">
        <w:rPr>
          <w:rFonts w:ascii="Arial" w:hAnsi="Arial" w:cs="Arial"/>
          <w:i/>
          <w:iCs/>
          <w:sz w:val="20"/>
          <w:szCs w:val="20"/>
          <w:highlight w:val="yellow"/>
        </w:rPr>
        <w:t>Current Opinion in Allergy and Clinical Immunology, 13</w:t>
      </w:r>
      <w:r w:rsidRPr="00562ABC">
        <w:rPr>
          <w:rFonts w:ascii="Arial" w:hAnsi="Arial" w:cs="Arial"/>
          <w:sz w:val="20"/>
          <w:szCs w:val="20"/>
          <w:highlight w:val="yellow"/>
        </w:rPr>
        <w:t xml:space="preserve">(1), 90–96. </w:t>
      </w:r>
      <w:hyperlink r:id="rId14" w:history="1">
        <w:r w:rsidRPr="00562ABC">
          <w:rPr>
            <w:rStyle w:val="Hyperlink"/>
            <w:rFonts w:ascii="Arial" w:hAnsi="Arial" w:cs="Arial"/>
            <w:sz w:val="20"/>
            <w:szCs w:val="20"/>
            <w:highlight w:val="yellow"/>
          </w:rPr>
          <w:t>https://doi.org/10.1097/ACI.0b013e32835c3be3</w:t>
        </w:r>
      </w:hyperlink>
    </w:p>
    <w:p w14:paraId="1985CFDC" w14:textId="77777777" w:rsidR="00562ABC" w:rsidRPr="00531E52" w:rsidRDefault="00562ABC" w:rsidP="00DF11A9">
      <w:pPr>
        <w:pStyle w:val="NormalWeb"/>
        <w:spacing w:before="0" w:beforeAutospacing="0" w:after="0" w:afterAutospacing="0"/>
        <w:ind w:left="360" w:hanging="360"/>
        <w:jc w:val="both"/>
        <w:rPr>
          <w:rFonts w:ascii="Arial" w:hAnsi="Arial" w:cs="Arial"/>
          <w:sz w:val="20"/>
          <w:szCs w:val="20"/>
        </w:rPr>
      </w:pPr>
      <w:proofErr w:type="spellStart"/>
      <w:r w:rsidRPr="00531E52">
        <w:rPr>
          <w:rFonts w:ascii="Arial" w:hAnsi="Arial" w:cs="Arial"/>
          <w:sz w:val="20"/>
          <w:szCs w:val="20"/>
        </w:rPr>
        <w:t>Imfeld</w:t>
      </w:r>
      <w:proofErr w:type="spellEnd"/>
      <w:r w:rsidRPr="00531E52">
        <w:rPr>
          <w:rFonts w:ascii="Arial" w:hAnsi="Arial" w:cs="Arial"/>
          <w:sz w:val="20"/>
          <w:szCs w:val="20"/>
        </w:rPr>
        <w:t xml:space="preserve">, G., &amp; </w:t>
      </w:r>
      <w:proofErr w:type="spellStart"/>
      <w:r w:rsidRPr="00531E52">
        <w:rPr>
          <w:rFonts w:ascii="Arial" w:hAnsi="Arial" w:cs="Arial"/>
          <w:sz w:val="20"/>
          <w:szCs w:val="20"/>
        </w:rPr>
        <w:t>Vuilleumier</w:t>
      </w:r>
      <w:proofErr w:type="spellEnd"/>
      <w:r w:rsidRPr="00531E52">
        <w:rPr>
          <w:rFonts w:ascii="Arial" w:hAnsi="Arial" w:cs="Arial"/>
          <w:sz w:val="20"/>
          <w:szCs w:val="20"/>
        </w:rPr>
        <w:t xml:space="preserve">, S. (2012). Measuring the effects of pesticides on bacterial communities in soil: A critical review. </w:t>
      </w:r>
      <w:r w:rsidRPr="00531E52">
        <w:rPr>
          <w:rStyle w:val="Emphasis"/>
          <w:rFonts w:ascii="Arial" w:hAnsi="Arial" w:cs="Arial"/>
          <w:sz w:val="20"/>
          <w:szCs w:val="20"/>
        </w:rPr>
        <w:t>European Journal of Soil Biology, 49</w:t>
      </w:r>
      <w:r w:rsidRPr="00531E52">
        <w:rPr>
          <w:rFonts w:ascii="Arial" w:hAnsi="Arial" w:cs="Arial"/>
          <w:sz w:val="20"/>
          <w:szCs w:val="20"/>
        </w:rPr>
        <w:t>, 22–30.</w:t>
      </w:r>
    </w:p>
    <w:p w14:paraId="3D83F69A" w14:textId="77777777" w:rsidR="00562ABC" w:rsidRPr="00531E52" w:rsidRDefault="00562ABC" w:rsidP="00DF11A9">
      <w:pPr>
        <w:pStyle w:val="NormalWeb"/>
        <w:spacing w:before="0" w:beforeAutospacing="0" w:after="0" w:afterAutospacing="0"/>
        <w:ind w:left="360" w:hanging="360"/>
        <w:jc w:val="both"/>
        <w:rPr>
          <w:rFonts w:ascii="Arial" w:hAnsi="Arial" w:cs="Arial"/>
          <w:sz w:val="20"/>
          <w:szCs w:val="20"/>
        </w:rPr>
      </w:pPr>
      <w:r w:rsidRPr="00531E52">
        <w:rPr>
          <w:rFonts w:ascii="Arial" w:hAnsi="Arial" w:cs="Arial"/>
          <w:sz w:val="20"/>
          <w:szCs w:val="20"/>
        </w:rPr>
        <w:t xml:space="preserve">International Agency for Research on Cancer (IARC). (2015). </w:t>
      </w:r>
      <w:r w:rsidRPr="00531E52">
        <w:rPr>
          <w:rStyle w:val="Emphasis"/>
          <w:rFonts w:ascii="Arial" w:hAnsi="Arial" w:cs="Arial"/>
          <w:sz w:val="20"/>
          <w:szCs w:val="20"/>
        </w:rPr>
        <w:t>Some organophosphate insecticides and herbicides (IARC Monographs on the Evaluation of Carcinogenic Risks to Humans, Vol. 112).</w:t>
      </w:r>
      <w:r w:rsidRPr="00531E52">
        <w:rPr>
          <w:rFonts w:ascii="Arial" w:hAnsi="Arial" w:cs="Arial"/>
          <w:sz w:val="20"/>
          <w:szCs w:val="20"/>
        </w:rPr>
        <w:t xml:space="preserve"> IARC. </w:t>
      </w:r>
      <w:hyperlink r:id="rId15" w:tgtFrame="_new" w:history="1">
        <w:r w:rsidRPr="00531E52">
          <w:rPr>
            <w:rStyle w:val="Hyperlink"/>
            <w:rFonts w:ascii="Arial" w:hAnsi="Arial" w:cs="Arial"/>
            <w:sz w:val="20"/>
            <w:szCs w:val="20"/>
          </w:rPr>
          <w:t>https://monographs.iarc.who.int/wp-content/uploads/2018/06/MonographVolume112.pdf</w:t>
        </w:r>
      </w:hyperlink>
    </w:p>
    <w:p w14:paraId="0A9836F5" w14:textId="77777777" w:rsidR="00562ABC" w:rsidRDefault="00562ABC" w:rsidP="00DF11A9">
      <w:pPr>
        <w:pStyle w:val="NormalWeb"/>
        <w:spacing w:before="0" w:beforeAutospacing="0" w:after="0" w:afterAutospacing="0"/>
        <w:ind w:left="360" w:hanging="360"/>
        <w:jc w:val="both"/>
        <w:rPr>
          <w:rFonts w:ascii="Arial" w:hAnsi="Arial" w:cs="Arial"/>
          <w:sz w:val="20"/>
          <w:szCs w:val="20"/>
        </w:rPr>
      </w:pPr>
      <w:proofErr w:type="spellStart"/>
      <w:r w:rsidRPr="00531E52">
        <w:rPr>
          <w:rFonts w:ascii="Arial" w:hAnsi="Arial" w:cs="Arial"/>
          <w:sz w:val="20"/>
          <w:szCs w:val="20"/>
        </w:rPr>
        <w:t>Jaacks</w:t>
      </w:r>
      <w:proofErr w:type="spellEnd"/>
      <w:r w:rsidRPr="00531E52">
        <w:rPr>
          <w:rFonts w:ascii="Arial" w:hAnsi="Arial" w:cs="Arial"/>
          <w:sz w:val="20"/>
          <w:szCs w:val="20"/>
        </w:rPr>
        <w:t xml:space="preserve">, L. M., </w:t>
      </w:r>
      <w:proofErr w:type="spellStart"/>
      <w:r w:rsidRPr="00531E52">
        <w:rPr>
          <w:rFonts w:ascii="Arial" w:hAnsi="Arial" w:cs="Arial"/>
          <w:sz w:val="20"/>
          <w:szCs w:val="20"/>
        </w:rPr>
        <w:t>Serupally</w:t>
      </w:r>
      <w:proofErr w:type="spellEnd"/>
      <w:r w:rsidRPr="00531E52">
        <w:rPr>
          <w:rFonts w:ascii="Arial" w:hAnsi="Arial" w:cs="Arial"/>
          <w:sz w:val="20"/>
          <w:szCs w:val="20"/>
        </w:rPr>
        <w:t xml:space="preserve">, R., Dabholkar, S., </w:t>
      </w:r>
      <w:proofErr w:type="spellStart"/>
      <w:r w:rsidRPr="00531E52">
        <w:rPr>
          <w:rFonts w:ascii="Arial" w:hAnsi="Arial" w:cs="Arial"/>
          <w:sz w:val="20"/>
          <w:szCs w:val="20"/>
        </w:rPr>
        <w:t>Venkateshmurthy</w:t>
      </w:r>
      <w:proofErr w:type="spellEnd"/>
      <w:r w:rsidRPr="00531E52">
        <w:rPr>
          <w:rFonts w:ascii="Arial" w:hAnsi="Arial" w:cs="Arial"/>
          <w:sz w:val="20"/>
          <w:szCs w:val="20"/>
        </w:rPr>
        <w:t xml:space="preserve">, N. S., Mohan, S., Roy, A., … Eddleston, M. (2022). Impact of large-scale, government-legislated and funded organic farming training on pesticide use: A cross-sectional study from Andhra Pradesh, India. </w:t>
      </w:r>
      <w:r w:rsidRPr="00531E52">
        <w:rPr>
          <w:rStyle w:val="Emphasis"/>
          <w:rFonts w:ascii="Arial" w:hAnsi="Arial" w:cs="Arial"/>
          <w:sz w:val="20"/>
          <w:szCs w:val="20"/>
        </w:rPr>
        <w:t>The Lancet Planetary Health, 6</w:t>
      </w:r>
      <w:r w:rsidRPr="00531E52">
        <w:rPr>
          <w:rFonts w:ascii="Arial" w:hAnsi="Arial" w:cs="Arial"/>
          <w:sz w:val="20"/>
          <w:szCs w:val="20"/>
        </w:rPr>
        <w:t xml:space="preserve">(4), e310–e319. </w:t>
      </w:r>
      <w:hyperlink r:id="rId16" w:history="1">
        <w:r w:rsidRPr="00E17DB3">
          <w:rPr>
            <w:rStyle w:val="Hyperlink"/>
            <w:rFonts w:ascii="Arial" w:hAnsi="Arial" w:cs="Arial"/>
            <w:sz w:val="20"/>
            <w:szCs w:val="20"/>
          </w:rPr>
          <w:t>https://doi.org/10.1016/S2542-5196(22)00062-6</w:t>
        </w:r>
      </w:hyperlink>
    </w:p>
    <w:p w14:paraId="0C8113A6" w14:textId="77777777" w:rsidR="00562ABC" w:rsidRPr="00562ABC" w:rsidRDefault="00562ABC" w:rsidP="00562ABC">
      <w:pPr>
        <w:pStyle w:val="NormalWeb"/>
        <w:spacing w:before="0" w:beforeAutospacing="0" w:after="0" w:afterAutospacing="0"/>
        <w:ind w:left="360" w:hanging="360"/>
        <w:jc w:val="both"/>
        <w:rPr>
          <w:rFonts w:ascii="Arial" w:hAnsi="Arial" w:cs="Arial"/>
          <w:sz w:val="20"/>
          <w:szCs w:val="20"/>
          <w:highlight w:val="yellow"/>
        </w:rPr>
      </w:pPr>
      <w:proofErr w:type="spellStart"/>
      <w:r w:rsidRPr="00562ABC">
        <w:rPr>
          <w:rFonts w:ascii="Arial" w:hAnsi="Arial" w:cs="Arial"/>
          <w:sz w:val="20"/>
          <w:szCs w:val="20"/>
          <w:highlight w:val="yellow"/>
        </w:rPr>
        <w:t>Kortenkamp</w:t>
      </w:r>
      <w:proofErr w:type="spellEnd"/>
      <w:r w:rsidRPr="00562ABC">
        <w:rPr>
          <w:rFonts w:ascii="Arial" w:hAnsi="Arial" w:cs="Arial"/>
          <w:sz w:val="20"/>
          <w:szCs w:val="20"/>
          <w:highlight w:val="yellow"/>
        </w:rPr>
        <w:t xml:space="preserve">, A., Backhaus, T., &amp; Faust, M. (2009). State of the art report on mixture toxicity. </w:t>
      </w:r>
      <w:r w:rsidRPr="00562ABC">
        <w:rPr>
          <w:rFonts w:ascii="Arial" w:hAnsi="Arial" w:cs="Arial"/>
          <w:i/>
          <w:iCs/>
          <w:sz w:val="20"/>
          <w:szCs w:val="20"/>
          <w:highlight w:val="yellow"/>
        </w:rPr>
        <w:t>European Commission Report</w:t>
      </w:r>
      <w:r w:rsidRPr="00562ABC">
        <w:rPr>
          <w:rFonts w:ascii="Arial" w:hAnsi="Arial" w:cs="Arial"/>
          <w:sz w:val="20"/>
          <w:szCs w:val="20"/>
          <w:highlight w:val="yellow"/>
        </w:rPr>
        <w:t>.</w:t>
      </w:r>
    </w:p>
    <w:p w14:paraId="4EDB7516" w14:textId="77777777" w:rsidR="00562ABC" w:rsidRPr="00531E52" w:rsidRDefault="00562ABC" w:rsidP="00DF11A9">
      <w:pPr>
        <w:spacing w:after="0" w:line="240" w:lineRule="auto"/>
        <w:ind w:left="360" w:hanging="360"/>
        <w:jc w:val="both"/>
        <w:rPr>
          <w:rFonts w:ascii="Arial" w:eastAsia="Times New Roman" w:hAnsi="Arial" w:cs="Arial"/>
          <w:sz w:val="20"/>
          <w:szCs w:val="20"/>
        </w:rPr>
      </w:pPr>
      <w:r w:rsidRPr="00531E52">
        <w:rPr>
          <w:rFonts w:ascii="Arial" w:eastAsia="Times New Roman" w:hAnsi="Arial" w:cs="Arial"/>
          <w:sz w:val="20"/>
          <w:szCs w:val="20"/>
        </w:rPr>
        <w:t xml:space="preserve">Kumar, V., Sharma, A., Kaur, P., Thakur, S., Saini, R., &amp; Kaur, J. (2023). Toxicity analysis of endocrine-disrupting pesticides: Effects on non-target organisms and human health. </w:t>
      </w:r>
      <w:r w:rsidRPr="00531E52">
        <w:rPr>
          <w:rFonts w:ascii="Arial" w:eastAsia="Times New Roman" w:hAnsi="Arial" w:cs="Arial"/>
          <w:i/>
          <w:iCs/>
          <w:sz w:val="20"/>
          <w:szCs w:val="20"/>
        </w:rPr>
        <w:t>Environmental Research, 229</w:t>
      </w:r>
      <w:r w:rsidRPr="00531E52">
        <w:rPr>
          <w:rFonts w:ascii="Arial" w:eastAsia="Times New Roman" w:hAnsi="Arial" w:cs="Arial"/>
          <w:sz w:val="20"/>
          <w:szCs w:val="20"/>
        </w:rPr>
        <w:t xml:space="preserve">, 115965. </w:t>
      </w:r>
      <w:hyperlink r:id="rId17" w:tgtFrame="_new" w:history="1">
        <w:r w:rsidRPr="00531E52">
          <w:rPr>
            <w:rFonts w:ascii="Arial" w:eastAsia="Times New Roman" w:hAnsi="Arial" w:cs="Arial"/>
            <w:color w:val="0000FF"/>
            <w:sz w:val="20"/>
            <w:szCs w:val="20"/>
            <w:u w:val="single"/>
          </w:rPr>
          <w:t>https://doi.org/10.1016/j.envres.2023.115965</w:t>
        </w:r>
      </w:hyperlink>
    </w:p>
    <w:p w14:paraId="5427A628" w14:textId="77777777" w:rsidR="00562ABC" w:rsidRPr="00531E52" w:rsidRDefault="00562ABC" w:rsidP="00DF11A9">
      <w:pPr>
        <w:pStyle w:val="NormalWeb"/>
        <w:spacing w:before="0" w:beforeAutospacing="0" w:after="0" w:afterAutospacing="0"/>
        <w:ind w:left="360" w:hanging="360"/>
        <w:jc w:val="both"/>
        <w:rPr>
          <w:rFonts w:ascii="Arial" w:hAnsi="Arial" w:cs="Arial"/>
          <w:sz w:val="20"/>
          <w:szCs w:val="20"/>
        </w:rPr>
      </w:pPr>
      <w:r w:rsidRPr="00531E52">
        <w:rPr>
          <w:rFonts w:ascii="Arial" w:hAnsi="Arial" w:cs="Arial"/>
          <w:sz w:val="20"/>
          <w:szCs w:val="20"/>
        </w:rPr>
        <w:t xml:space="preserve">Mitra, A., Chatterjee, C., &amp; Mandal, F. B. (2011). Synthetic chemical pesticides and their effects on birds. </w:t>
      </w:r>
      <w:r w:rsidRPr="00531E52">
        <w:rPr>
          <w:rStyle w:val="Emphasis"/>
          <w:rFonts w:ascii="Arial" w:hAnsi="Arial" w:cs="Arial"/>
          <w:sz w:val="20"/>
          <w:szCs w:val="20"/>
        </w:rPr>
        <w:t>Research Journal of Environmental Toxicology, 5</w:t>
      </w:r>
      <w:r w:rsidRPr="00531E52">
        <w:rPr>
          <w:rFonts w:ascii="Arial" w:hAnsi="Arial" w:cs="Arial"/>
          <w:sz w:val="20"/>
          <w:szCs w:val="20"/>
        </w:rPr>
        <w:t xml:space="preserve">(2), 81–96. </w:t>
      </w:r>
      <w:hyperlink r:id="rId18" w:tgtFrame="_new" w:history="1">
        <w:r w:rsidRPr="00531E52">
          <w:rPr>
            <w:rStyle w:val="Hyperlink"/>
            <w:rFonts w:ascii="Arial" w:hAnsi="Arial" w:cs="Arial"/>
            <w:sz w:val="20"/>
            <w:szCs w:val="20"/>
          </w:rPr>
          <w:t>https://doi.org/10.3923/rjet.2011.81.96</w:t>
        </w:r>
      </w:hyperlink>
    </w:p>
    <w:p w14:paraId="101E2C38" w14:textId="77777777" w:rsidR="00562ABC" w:rsidRPr="00531E52" w:rsidRDefault="00562ABC" w:rsidP="00DF11A9">
      <w:pPr>
        <w:pStyle w:val="NormalWeb"/>
        <w:spacing w:before="0" w:beforeAutospacing="0" w:after="0" w:afterAutospacing="0"/>
        <w:ind w:left="360" w:hanging="360"/>
        <w:jc w:val="both"/>
        <w:rPr>
          <w:rFonts w:ascii="Arial" w:hAnsi="Arial" w:cs="Arial"/>
          <w:sz w:val="20"/>
          <w:szCs w:val="20"/>
        </w:rPr>
      </w:pPr>
      <w:proofErr w:type="spellStart"/>
      <w:r w:rsidRPr="00531E52">
        <w:rPr>
          <w:rFonts w:ascii="Arial" w:hAnsi="Arial" w:cs="Arial"/>
          <w:sz w:val="20"/>
          <w:szCs w:val="20"/>
        </w:rPr>
        <w:t>Mostafalou</w:t>
      </w:r>
      <w:proofErr w:type="spellEnd"/>
      <w:r w:rsidRPr="00531E52">
        <w:rPr>
          <w:rFonts w:ascii="Arial" w:hAnsi="Arial" w:cs="Arial"/>
          <w:sz w:val="20"/>
          <w:szCs w:val="20"/>
        </w:rPr>
        <w:t xml:space="preserve">, S., &amp; </w:t>
      </w:r>
      <w:proofErr w:type="spellStart"/>
      <w:r w:rsidRPr="00531E52">
        <w:rPr>
          <w:rFonts w:ascii="Arial" w:hAnsi="Arial" w:cs="Arial"/>
          <w:sz w:val="20"/>
          <w:szCs w:val="20"/>
        </w:rPr>
        <w:t>Abdollahi</w:t>
      </w:r>
      <w:proofErr w:type="spellEnd"/>
      <w:r w:rsidRPr="00531E52">
        <w:rPr>
          <w:rFonts w:ascii="Arial" w:hAnsi="Arial" w:cs="Arial"/>
          <w:sz w:val="20"/>
          <w:szCs w:val="20"/>
        </w:rPr>
        <w:t xml:space="preserve">, M. (2013). Pesticides and human chronic diseases: Evidences, mechanisms, and perspectives. </w:t>
      </w:r>
      <w:r w:rsidRPr="00531E52">
        <w:rPr>
          <w:rStyle w:val="Emphasis"/>
          <w:rFonts w:ascii="Arial" w:hAnsi="Arial" w:cs="Arial"/>
          <w:sz w:val="20"/>
          <w:szCs w:val="20"/>
        </w:rPr>
        <w:t>Toxicology and Applied Pharmacology, 268</w:t>
      </w:r>
      <w:r w:rsidRPr="00531E52">
        <w:rPr>
          <w:rFonts w:ascii="Arial" w:hAnsi="Arial" w:cs="Arial"/>
          <w:sz w:val="20"/>
          <w:szCs w:val="20"/>
        </w:rPr>
        <w:t xml:space="preserve">(2), 157–177. </w:t>
      </w:r>
      <w:hyperlink r:id="rId19" w:tgtFrame="_new" w:history="1">
        <w:r w:rsidRPr="00531E52">
          <w:rPr>
            <w:rStyle w:val="Hyperlink"/>
            <w:rFonts w:ascii="Arial" w:hAnsi="Arial" w:cs="Arial"/>
            <w:sz w:val="20"/>
            <w:szCs w:val="20"/>
          </w:rPr>
          <w:t>https://doi.org/10.1016/j.taap.2013.01.025</w:t>
        </w:r>
      </w:hyperlink>
    </w:p>
    <w:p w14:paraId="70931218" w14:textId="77777777" w:rsidR="00562ABC" w:rsidRPr="00865FB3" w:rsidRDefault="00562ABC" w:rsidP="00DF11A9">
      <w:pPr>
        <w:spacing w:after="0" w:line="240" w:lineRule="auto"/>
        <w:ind w:left="360" w:hanging="360"/>
        <w:jc w:val="both"/>
        <w:rPr>
          <w:rFonts w:ascii="Arial" w:eastAsia="Times New Roman" w:hAnsi="Arial" w:cs="Arial"/>
          <w:sz w:val="20"/>
          <w:szCs w:val="20"/>
        </w:rPr>
      </w:pPr>
      <w:r w:rsidRPr="00865FB3">
        <w:rPr>
          <w:rFonts w:ascii="Arial" w:eastAsia="Times New Roman" w:hAnsi="Arial" w:cs="Arial"/>
          <w:sz w:val="20"/>
          <w:szCs w:val="20"/>
        </w:rPr>
        <w:t xml:space="preserve">Pandey, Y., &amp; </w:t>
      </w:r>
      <w:proofErr w:type="spellStart"/>
      <w:r w:rsidRPr="00865FB3">
        <w:rPr>
          <w:rFonts w:ascii="Arial" w:eastAsia="Times New Roman" w:hAnsi="Arial" w:cs="Arial"/>
          <w:sz w:val="20"/>
          <w:szCs w:val="20"/>
        </w:rPr>
        <w:t>Ambwani</w:t>
      </w:r>
      <w:proofErr w:type="spellEnd"/>
      <w:r w:rsidRPr="00865FB3">
        <w:rPr>
          <w:rFonts w:ascii="Arial" w:eastAsia="Times New Roman" w:hAnsi="Arial" w:cs="Arial"/>
          <w:sz w:val="20"/>
          <w:szCs w:val="20"/>
        </w:rPr>
        <w:t>, S. (202</w:t>
      </w:r>
      <w:r>
        <w:rPr>
          <w:rFonts w:ascii="Arial" w:eastAsia="Times New Roman" w:hAnsi="Arial" w:cs="Arial"/>
          <w:sz w:val="20"/>
          <w:szCs w:val="20"/>
        </w:rPr>
        <w:t>2</w:t>
      </w:r>
      <w:r w:rsidRPr="00865FB3">
        <w:rPr>
          <w:rFonts w:ascii="Arial" w:eastAsia="Times New Roman" w:hAnsi="Arial" w:cs="Arial"/>
          <w:sz w:val="20"/>
          <w:szCs w:val="20"/>
        </w:rPr>
        <w:t xml:space="preserve">). Nano metal-based herbal </w:t>
      </w:r>
      <w:proofErr w:type="spellStart"/>
      <w:r w:rsidRPr="00865FB3">
        <w:rPr>
          <w:rFonts w:ascii="Arial" w:eastAsia="Times New Roman" w:hAnsi="Arial" w:cs="Arial"/>
          <w:sz w:val="20"/>
          <w:szCs w:val="20"/>
        </w:rPr>
        <w:t>theranostics</w:t>
      </w:r>
      <w:proofErr w:type="spellEnd"/>
      <w:r w:rsidRPr="00865FB3">
        <w:rPr>
          <w:rFonts w:ascii="Arial" w:eastAsia="Times New Roman" w:hAnsi="Arial" w:cs="Arial"/>
          <w:sz w:val="20"/>
          <w:szCs w:val="20"/>
        </w:rPr>
        <w:t xml:space="preserve"> for cancer management: Coalescing nature’s boon with nanotechnological advancement. </w:t>
      </w:r>
      <w:r w:rsidRPr="00865FB3">
        <w:rPr>
          <w:rFonts w:ascii="Arial" w:eastAsia="Times New Roman" w:hAnsi="Arial" w:cs="Arial"/>
          <w:i/>
          <w:iCs/>
          <w:sz w:val="20"/>
          <w:szCs w:val="20"/>
        </w:rPr>
        <w:t>Current Pharmaceutical Biotechnology, 22</w:t>
      </w:r>
      <w:r w:rsidRPr="00865FB3">
        <w:rPr>
          <w:rFonts w:ascii="Arial" w:eastAsia="Times New Roman" w:hAnsi="Arial" w:cs="Arial"/>
          <w:sz w:val="20"/>
          <w:szCs w:val="20"/>
        </w:rPr>
        <w:t>(1), 30–46.</w:t>
      </w:r>
    </w:p>
    <w:p w14:paraId="552A13EF" w14:textId="77777777" w:rsidR="00562ABC" w:rsidRPr="00531E52" w:rsidRDefault="00562ABC" w:rsidP="00DF11A9">
      <w:pPr>
        <w:spacing w:after="0" w:line="240" w:lineRule="auto"/>
        <w:ind w:left="360" w:hanging="360"/>
        <w:jc w:val="both"/>
        <w:rPr>
          <w:rFonts w:ascii="Arial" w:eastAsia="Times New Roman" w:hAnsi="Arial" w:cs="Arial"/>
          <w:sz w:val="20"/>
          <w:szCs w:val="20"/>
        </w:rPr>
      </w:pPr>
      <w:r w:rsidRPr="00531E52">
        <w:rPr>
          <w:rFonts w:ascii="Arial" w:eastAsia="Times New Roman" w:hAnsi="Arial" w:cs="Arial"/>
          <w:sz w:val="20"/>
          <w:szCs w:val="20"/>
        </w:rPr>
        <w:t xml:space="preserve">Pathak, V. M., Verma, V. K., Rawat, B. S., Kaur, B., </w:t>
      </w:r>
      <w:proofErr w:type="spellStart"/>
      <w:r w:rsidRPr="00531E52">
        <w:rPr>
          <w:rFonts w:ascii="Arial" w:eastAsia="Times New Roman" w:hAnsi="Arial" w:cs="Arial"/>
          <w:sz w:val="20"/>
          <w:szCs w:val="20"/>
        </w:rPr>
        <w:t>Babu</w:t>
      </w:r>
      <w:proofErr w:type="spellEnd"/>
      <w:r w:rsidRPr="00531E52">
        <w:rPr>
          <w:rFonts w:ascii="Arial" w:eastAsia="Times New Roman" w:hAnsi="Arial" w:cs="Arial"/>
          <w:sz w:val="20"/>
          <w:szCs w:val="20"/>
        </w:rPr>
        <w:t xml:space="preserve">, N., Sharma, A., </w:t>
      </w:r>
      <w:proofErr w:type="spellStart"/>
      <w:r w:rsidRPr="00531E52">
        <w:rPr>
          <w:rFonts w:ascii="Arial" w:eastAsia="Times New Roman" w:hAnsi="Arial" w:cs="Arial"/>
          <w:sz w:val="20"/>
          <w:szCs w:val="20"/>
        </w:rPr>
        <w:t>Dewali</w:t>
      </w:r>
      <w:proofErr w:type="spellEnd"/>
      <w:r w:rsidRPr="00531E52">
        <w:rPr>
          <w:rFonts w:ascii="Arial" w:eastAsia="Times New Roman" w:hAnsi="Arial" w:cs="Arial"/>
          <w:sz w:val="20"/>
          <w:szCs w:val="20"/>
        </w:rPr>
        <w:t xml:space="preserve">, S., Yadav, M., Kumari, R., Singh, S., Mohapatra, A., Pandey, V., Rana, N., &amp; </w:t>
      </w:r>
      <w:proofErr w:type="spellStart"/>
      <w:r w:rsidRPr="00531E52">
        <w:rPr>
          <w:rFonts w:ascii="Arial" w:eastAsia="Times New Roman" w:hAnsi="Arial" w:cs="Arial"/>
          <w:sz w:val="20"/>
          <w:szCs w:val="20"/>
        </w:rPr>
        <w:t>Cunill</w:t>
      </w:r>
      <w:proofErr w:type="spellEnd"/>
      <w:r w:rsidRPr="00531E52">
        <w:rPr>
          <w:rFonts w:ascii="Arial" w:eastAsia="Times New Roman" w:hAnsi="Arial" w:cs="Arial"/>
          <w:sz w:val="20"/>
          <w:szCs w:val="20"/>
        </w:rPr>
        <w:t xml:space="preserve">, J. M. (2022). Current status of pesticide effects on environment, human health and its eco-friendly management as bioremediation: A comprehensive review. </w:t>
      </w:r>
      <w:r w:rsidRPr="00531E52">
        <w:rPr>
          <w:rFonts w:ascii="Arial" w:eastAsia="Times New Roman" w:hAnsi="Arial" w:cs="Arial"/>
          <w:i/>
          <w:iCs/>
          <w:sz w:val="20"/>
          <w:szCs w:val="20"/>
        </w:rPr>
        <w:t>Frontiers in Microbiology, 13</w:t>
      </w:r>
      <w:r w:rsidRPr="00531E52">
        <w:rPr>
          <w:rFonts w:ascii="Arial" w:eastAsia="Times New Roman" w:hAnsi="Arial" w:cs="Arial"/>
          <w:sz w:val="20"/>
          <w:szCs w:val="20"/>
        </w:rPr>
        <w:t xml:space="preserve">, 962619. </w:t>
      </w:r>
      <w:hyperlink r:id="rId20" w:tgtFrame="_new" w:history="1">
        <w:r w:rsidRPr="00531E52">
          <w:rPr>
            <w:rFonts w:ascii="Arial" w:eastAsia="Times New Roman" w:hAnsi="Arial" w:cs="Arial"/>
            <w:color w:val="0000FF"/>
            <w:sz w:val="20"/>
            <w:szCs w:val="20"/>
            <w:u w:val="single"/>
          </w:rPr>
          <w:t>https://doi.org/10.3389/fmicb.2022.962619</w:t>
        </w:r>
      </w:hyperlink>
    </w:p>
    <w:p w14:paraId="4A4BA359" w14:textId="77777777" w:rsidR="00562ABC" w:rsidRPr="00531E52" w:rsidRDefault="00562ABC" w:rsidP="00DF11A9">
      <w:pPr>
        <w:pStyle w:val="NormalWeb"/>
        <w:spacing w:before="0" w:beforeAutospacing="0" w:after="0" w:afterAutospacing="0"/>
        <w:ind w:left="360" w:hanging="360"/>
        <w:jc w:val="both"/>
        <w:rPr>
          <w:rFonts w:ascii="Arial" w:hAnsi="Arial" w:cs="Arial"/>
          <w:sz w:val="20"/>
          <w:szCs w:val="20"/>
        </w:rPr>
      </w:pPr>
      <w:r w:rsidRPr="00531E52">
        <w:rPr>
          <w:rFonts w:ascii="Arial" w:hAnsi="Arial" w:cs="Arial"/>
          <w:sz w:val="20"/>
          <w:szCs w:val="20"/>
        </w:rPr>
        <w:t xml:space="preserve">Pisa, L. W., Amaral-Rogers, V., </w:t>
      </w:r>
      <w:proofErr w:type="spellStart"/>
      <w:r w:rsidRPr="00531E52">
        <w:rPr>
          <w:rFonts w:ascii="Arial" w:hAnsi="Arial" w:cs="Arial"/>
          <w:sz w:val="20"/>
          <w:szCs w:val="20"/>
        </w:rPr>
        <w:t>Belzunces</w:t>
      </w:r>
      <w:proofErr w:type="spellEnd"/>
      <w:r w:rsidRPr="00531E52">
        <w:rPr>
          <w:rFonts w:ascii="Arial" w:hAnsi="Arial" w:cs="Arial"/>
          <w:sz w:val="20"/>
          <w:szCs w:val="20"/>
        </w:rPr>
        <w:t xml:space="preserve">, L. P., </w:t>
      </w:r>
      <w:proofErr w:type="spellStart"/>
      <w:r w:rsidRPr="00531E52">
        <w:rPr>
          <w:rFonts w:ascii="Arial" w:hAnsi="Arial" w:cs="Arial"/>
          <w:sz w:val="20"/>
          <w:szCs w:val="20"/>
        </w:rPr>
        <w:t>Bonmatin</w:t>
      </w:r>
      <w:proofErr w:type="spellEnd"/>
      <w:r w:rsidRPr="00531E52">
        <w:rPr>
          <w:rFonts w:ascii="Arial" w:hAnsi="Arial" w:cs="Arial"/>
          <w:sz w:val="20"/>
          <w:szCs w:val="20"/>
        </w:rPr>
        <w:t xml:space="preserve">, J.-M., Downs, C. A., </w:t>
      </w:r>
      <w:proofErr w:type="spellStart"/>
      <w:r w:rsidRPr="00531E52">
        <w:rPr>
          <w:rFonts w:ascii="Arial" w:hAnsi="Arial" w:cs="Arial"/>
          <w:sz w:val="20"/>
          <w:szCs w:val="20"/>
        </w:rPr>
        <w:t>Goulson</w:t>
      </w:r>
      <w:proofErr w:type="spellEnd"/>
      <w:r w:rsidRPr="00531E52">
        <w:rPr>
          <w:rFonts w:ascii="Arial" w:hAnsi="Arial" w:cs="Arial"/>
          <w:sz w:val="20"/>
          <w:szCs w:val="20"/>
        </w:rPr>
        <w:t xml:space="preserve">, D., … </w:t>
      </w:r>
      <w:proofErr w:type="spellStart"/>
      <w:r w:rsidRPr="00531E52">
        <w:rPr>
          <w:rFonts w:ascii="Arial" w:hAnsi="Arial" w:cs="Arial"/>
          <w:sz w:val="20"/>
          <w:szCs w:val="20"/>
        </w:rPr>
        <w:t>Wiemers</w:t>
      </w:r>
      <w:proofErr w:type="spellEnd"/>
      <w:r w:rsidRPr="00531E52">
        <w:rPr>
          <w:rFonts w:ascii="Arial" w:hAnsi="Arial" w:cs="Arial"/>
          <w:sz w:val="20"/>
          <w:szCs w:val="20"/>
        </w:rPr>
        <w:t xml:space="preserve">, M. (2015). Effects of neonicotinoids and fipronil on non-target invertebrates. </w:t>
      </w:r>
      <w:r w:rsidRPr="00531E52">
        <w:rPr>
          <w:rStyle w:val="Emphasis"/>
          <w:rFonts w:ascii="Arial" w:hAnsi="Arial" w:cs="Arial"/>
          <w:sz w:val="20"/>
          <w:szCs w:val="20"/>
        </w:rPr>
        <w:t>Environmental Science and Pollution Research, 22</w:t>
      </w:r>
      <w:r w:rsidRPr="00531E52">
        <w:rPr>
          <w:rFonts w:ascii="Arial" w:hAnsi="Arial" w:cs="Arial"/>
          <w:sz w:val="20"/>
          <w:szCs w:val="20"/>
        </w:rPr>
        <w:t xml:space="preserve">(1), 68–102. </w:t>
      </w:r>
      <w:hyperlink r:id="rId21" w:tgtFrame="_new" w:history="1">
        <w:r w:rsidRPr="00531E52">
          <w:rPr>
            <w:rStyle w:val="Hyperlink"/>
            <w:rFonts w:ascii="Arial" w:hAnsi="Arial" w:cs="Arial"/>
            <w:sz w:val="20"/>
            <w:szCs w:val="20"/>
          </w:rPr>
          <w:t>https://doi.org/10.1007/s11356-014-3471-x</w:t>
        </w:r>
      </w:hyperlink>
    </w:p>
    <w:p w14:paraId="52C659E8" w14:textId="77777777" w:rsidR="00562ABC" w:rsidRPr="00531E52" w:rsidRDefault="00562ABC" w:rsidP="00DF11A9">
      <w:pPr>
        <w:spacing w:after="0" w:line="240" w:lineRule="auto"/>
        <w:ind w:left="360" w:hanging="360"/>
        <w:jc w:val="both"/>
        <w:rPr>
          <w:rFonts w:ascii="Arial" w:hAnsi="Arial" w:cs="Arial"/>
          <w:sz w:val="20"/>
          <w:szCs w:val="20"/>
        </w:rPr>
      </w:pPr>
      <w:r w:rsidRPr="00531E52">
        <w:rPr>
          <w:rFonts w:ascii="Arial" w:hAnsi="Arial" w:cs="Arial"/>
          <w:sz w:val="20"/>
          <w:szCs w:val="20"/>
        </w:rPr>
        <w:t xml:space="preserve">Shekhar, C., </w:t>
      </w:r>
      <w:proofErr w:type="spellStart"/>
      <w:r w:rsidRPr="00531E52">
        <w:rPr>
          <w:rFonts w:ascii="Arial" w:hAnsi="Arial" w:cs="Arial"/>
          <w:sz w:val="20"/>
          <w:szCs w:val="20"/>
        </w:rPr>
        <w:t>Khosya</w:t>
      </w:r>
      <w:proofErr w:type="spellEnd"/>
      <w:r w:rsidRPr="00531E52">
        <w:rPr>
          <w:rFonts w:ascii="Arial" w:hAnsi="Arial" w:cs="Arial"/>
          <w:sz w:val="20"/>
          <w:szCs w:val="20"/>
        </w:rPr>
        <w:t xml:space="preserve">, R., Thakur, K., Mahajan, D., Kumar, R., Kumar, S., &amp; Sharma, A. K. (2024). A systematic review of pesticide exposure, associated risks, and long-term human health impacts. </w:t>
      </w:r>
      <w:r w:rsidRPr="00531E52">
        <w:rPr>
          <w:rStyle w:val="Emphasis"/>
          <w:rFonts w:ascii="Arial" w:hAnsi="Arial" w:cs="Arial"/>
          <w:sz w:val="20"/>
          <w:szCs w:val="20"/>
        </w:rPr>
        <w:t>Toxicology Reports, 13</w:t>
      </w:r>
      <w:r w:rsidRPr="00531E52">
        <w:rPr>
          <w:rFonts w:ascii="Arial" w:hAnsi="Arial" w:cs="Arial"/>
          <w:sz w:val="20"/>
          <w:szCs w:val="20"/>
        </w:rPr>
        <w:t xml:space="preserve">, 101840. </w:t>
      </w:r>
      <w:hyperlink r:id="rId22" w:tgtFrame="_new" w:history="1">
        <w:r w:rsidRPr="00531E52">
          <w:rPr>
            <w:rStyle w:val="Hyperlink"/>
            <w:rFonts w:ascii="Arial" w:hAnsi="Arial" w:cs="Arial"/>
            <w:sz w:val="20"/>
            <w:szCs w:val="20"/>
          </w:rPr>
          <w:t>https://doi.org/10.1016/j.toxrep.2024.101840</w:t>
        </w:r>
      </w:hyperlink>
    </w:p>
    <w:p w14:paraId="1E740B8D" w14:textId="77777777" w:rsidR="00562ABC" w:rsidRPr="00531E52" w:rsidRDefault="00562ABC" w:rsidP="00DF11A9">
      <w:pPr>
        <w:pStyle w:val="NormalWeb"/>
        <w:spacing w:before="0" w:beforeAutospacing="0" w:after="0" w:afterAutospacing="0"/>
        <w:ind w:left="360" w:hanging="360"/>
        <w:jc w:val="both"/>
        <w:rPr>
          <w:rFonts w:ascii="Arial" w:hAnsi="Arial" w:cs="Arial"/>
          <w:sz w:val="20"/>
          <w:szCs w:val="20"/>
        </w:rPr>
      </w:pPr>
      <w:proofErr w:type="spellStart"/>
      <w:r w:rsidRPr="00531E52">
        <w:rPr>
          <w:rFonts w:ascii="Arial" w:hAnsi="Arial" w:cs="Arial"/>
          <w:sz w:val="20"/>
          <w:szCs w:val="20"/>
        </w:rPr>
        <w:t>Stehle</w:t>
      </w:r>
      <w:proofErr w:type="spellEnd"/>
      <w:r w:rsidRPr="00531E52">
        <w:rPr>
          <w:rFonts w:ascii="Arial" w:hAnsi="Arial" w:cs="Arial"/>
          <w:sz w:val="20"/>
          <w:szCs w:val="20"/>
        </w:rPr>
        <w:t xml:space="preserve">, S., &amp; Schulz, R. (2015). Agricultural insecticides threaten surface waters at the global scale. </w:t>
      </w:r>
      <w:r w:rsidRPr="00531E52">
        <w:rPr>
          <w:rStyle w:val="Emphasis"/>
          <w:rFonts w:ascii="Arial" w:hAnsi="Arial" w:cs="Arial"/>
          <w:sz w:val="20"/>
          <w:szCs w:val="20"/>
        </w:rPr>
        <w:t>Proceedings of the National Academy of Sciences, 112</w:t>
      </w:r>
      <w:r w:rsidRPr="00531E52">
        <w:rPr>
          <w:rFonts w:ascii="Arial" w:hAnsi="Arial" w:cs="Arial"/>
          <w:sz w:val="20"/>
          <w:szCs w:val="20"/>
        </w:rPr>
        <w:t>(18), 5750–5755.</w:t>
      </w:r>
    </w:p>
    <w:p w14:paraId="64EBD3C5" w14:textId="77777777" w:rsidR="00562ABC" w:rsidRDefault="00562ABC" w:rsidP="00DF11A9">
      <w:pPr>
        <w:spacing w:after="0" w:line="240" w:lineRule="auto"/>
        <w:ind w:left="360" w:hanging="360"/>
        <w:jc w:val="both"/>
        <w:outlineLvl w:val="1"/>
        <w:rPr>
          <w:rFonts w:ascii="Arial" w:eastAsia="Times New Roman" w:hAnsi="Arial" w:cs="Arial"/>
          <w:sz w:val="20"/>
          <w:szCs w:val="20"/>
        </w:rPr>
      </w:pPr>
      <w:proofErr w:type="spellStart"/>
      <w:r w:rsidRPr="00CA43C2">
        <w:rPr>
          <w:rFonts w:ascii="Arial" w:eastAsia="Times New Roman" w:hAnsi="Arial" w:cs="Arial"/>
          <w:sz w:val="20"/>
          <w:szCs w:val="20"/>
        </w:rPr>
        <w:t>Sule</w:t>
      </w:r>
      <w:proofErr w:type="spellEnd"/>
      <w:r w:rsidRPr="00CA43C2">
        <w:rPr>
          <w:rFonts w:ascii="Arial" w:eastAsia="Times New Roman" w:hAnsi="Arial" w:cs="Arial"/>
          <w:sz w:val="20"/>
          <w:szCs w:val="20"/>
        </w:rPr>
        <w:t xml:space="preserve">, R. O., Condon, L., &amp; Gomes, A. V. (2022). A common feature of pesticides: Oxidative stress—Role and mechanistic pathways. Oxidative Medicine and Cellular Longevity, 2022, 5563759. </w:t>
      </w:r>
      <w:hyperlink r:id="rId23" w:history="1">
        <w:r w:rsidRPr="00E17DB3">
          <w:rPr>
            <w:rStyle w:val="Hyperlink"/>
            <w:rFonts w:ascii="Arial" w:eastAsia="Times New Roman" w:hAnsi="Arial" w:cs="Arial"/>
            <w:sz w:val="20"/>
            <w:szCs w:val="20"/>
          </w:rPr>
          <w:t>https://doi.org/10.1155/2022/5563759</w:t>
        </w:r>
      </w:hyperlink>
      <w:r w:rsidRPr="00CA43C2">
        <w:rPr>
          <w:rFonts w:ascii="Arial" w:eastAsia="Times New Roman" w:hAnsi="Arial" w:cs="Arial"/>
          <w:sz w:val="20"/>
          <w:szCs w:val="20"/>
        </w:rPr>
        <w:t xml:space="preserve"> </w:t>
      </w:r>
    </w:p>
    <w:p w14:paraId="46282B92" w14:textId="77777777" w:rsidR="00562ABC" w:rsidRPr="00531E52" w:rsidRDefault="00562ABC" w:rsidP="00DF11A9">
      <w:pPr>
        <w:pStyle w:val="NormalWeb"/>
        <w:spacing w:before="0" w:beforeAutospacing="0" w:after="0" w:afterAutospacing="0"/>
        <w:ind w:left="360" w:hanging="360"/>
        <w:jc w:val="both"/>
        <w:rPr>
          <w:rFonts w:ascii="Arial" w:hAnsi="Arial" w:cs="Arial"/>
          <w:sz w:val="20"/>
          <w:szCs w:val="20"/>
        </w:rPr>
      </w:pPr>
      <w:proofErr w:type="spellStart"/>
      <w:r w:rsidRPr="00531E52">
        <w:rPr>
          <w:rFonts w:ascii="Arial" w:hAnsi="Arial" w:cs="Arial"/>
          <w:sz w:val="20"/>
          <w:szCs w:val="20"/>
        </w:rPr>
        <w:t>Tangamornsuksan</w:t>
      </w:r>
      <w:proofErr w:type="spellEnd"/>
      <w:r w:rsidRPr="00531E52">
        <w:rPr>
          <w:rFonts w:ascii="Arial" w:hAnsi="Arial" w:cs="Arial"/>
          <w:sz w:val="20"/>
          <w:szCs w:val="20"/>
        </w:rPr>
        <w:t xml:space="preserve">, W., </w:t>
      </w:r>
      <w:proofErr w:type="spellStart"/>
      <w:r w:rsidRPr="00531E52">
        <w:rPr>
          <w:rFonts w:ascii="Arial" w:hAnsi="Arial" w:cs="Arial"/>
          <w:sz w:val="20"/>
          <w:szCs w:val="20"/>
        </w:rPr>
        <w:t>Lohitnavy</w:t>
      </w:r>
      <w:proofErr w:type="spellEnd"/>
      <w:r w:rsidRPr="00531E52">
        <w:rPr>
          <w:rFonts w:ascii="Arial" w:hAnsi="Arial" w:cs="Arial"/>
          <w:sz w:val="20"/>
          <w:szCs w:val="20"/>
        </w:rPr>
        <w:t xml:space="preserve">, O., </w:t>
      </w:r>
      <w:proofErr w:type="spellStart"/>
      <w:r w:rsidRPr="00531E52">
        <w:rPr>
          <w:rFonts w:ascii="Arial" w:hAnsi="Arial" w:cs="Arial"/>
          <w:sz w:val="20"/>
          <w:szCs w:val="20"/>
        </w:rPr>
        <w:t>Sruamsiri</w:t>
      </w:r>
      <w:proofErr w:type="spellEnd"/>
      <w:r w:rsidRPr="00531E52">
        <w:rPr>
          <w:rFonts w:ascii="Arial" w:hAnsi="Arial" w:cs="Arial"/>
          <w:sz w:val="20"/>
          <w:szCs w:val="20"/>
        </w:rPr>
        <w:t xml:space="preserve">, R., </w:t>
      </w:r>
      <w:proofErr w:type="spellStart"/>
      <w:r w:rsidRPr="00531E52">
        <w:rPr>
          <w:rFonts w:ascii="Arial" w:hAnsi="Arial" w:cs="Arial"/>
          <w:sz w:val="20"/>
          <w:szCs w:val="20"/>
        </w:rPr>
        <w:t>Chaiyakunapruk</w:t>
      </w:r>
      <w:proofErr w:type="spellEnd"/>
      <w:r w:rsidRPr="00531E52">
        <w:rPr>
          <w:rFonts w:ascii="Arial" w:hAnsi="Arial" w:cs="Arial"/>
          <w:sz w:val="20"/>
          <w:szCs w:val="20"/>
        </w:rPr>
        <w:t xml:space="preserve">, N., </w:t>
      </w:r>
      <w:proofErr w:type="spellStart"/>
      <w:r w:rsidRPr="00531E52">
        <w:rPr>
          <w:rFonts w:ascii="Arial" w:hAnsi="Arial" w:cs="Arial"/>
          <w:sz w:val="20"/>
          <w:szCs w:val="20"/>
        </w:rPr>
        <w:t>Scholfield</w:t>
      </w:r>
      <w:proofErr w:type="spellEnd"/>
      <w:r w:rsidRPr="00531E52">
        <w:rPr>
          <w:rFonts w:ascii="Arial" w:hAnsi="Arial" w:cs="Arial"/>
          <w:sz w:val="20"/>
          <w:szCs w:val="20"/>
        </w:rPr>
        <w:t xml:space="preserve">, C. N., &amp; </w:t>
      </w:r>
      <w:proofErr w:type="spellStart"/>
      <w:r w:rsidRPr="00531E52">
        <w:rPr>
          <w:rFonts w:ascii="Arial" w:hAnsi="Arial" w:cs="Arial"/>
          <w:sz w:val="20"/>
          <w:szCs w:val="20"/>
        </w:rPr>
        <w:t>Lohitnavy</w:t>
      </w:r>
      <w:proofErr w:type="spellEnd"/>
      <w:r w:rsidRPr="00531E52">
        <w:rPr>
          <w:rFonts w:ascii="Arial" w:hAnsi="Arial" w:cs="Arial"/>
          <w:sz w:val="20"/>
          <w:szCs w:val="20"/>
        </w:rPr>
        <w:t xml:space="preserve">, M. (2019). Paraquat exposure and Parkinson’s disease: A systematic review and meta-analysis. </w:t>
      </w:r>
      <w:r w:rsidRPr="00531E52">
        <w:rPr>
          <w:rStyle w:val="Emphasis"/>
          <w:rFonts w:ascii="Arial" w:hAnsi="Arial" w:cs="Arial"/>
          <w:sz w:val="20"/>
          <w:szCs w:val="20"/>
        </w:rPr>
        <w:t>Archives of Environmental &amp; Occupational Health, 74</w:t>
      </w:r>
      <w:r w:rsidRPr="00531E52">
        <w:rPr>
          <w:rFonts w:ascii="Arial" w:hAnsi="Arial" w:cs="Arial"/>
          <w:sz w:val="20"/>
          <w:szCs w:val="20"/>
        </w:rPr>
        <w:t xml:space="preserve">(5), 225–238. </w:t>
      </w:r>
      <w:hyperlink r:id="rId24" w:tgtFrame="_new" w:history="1">
        <w:r w:rsidRPr="00531E52">
          <w:rPr>
            <w:rStyle w:val="Hyperlink"/>
            <w:rFonts w:ascii="Arial" w:hAnsi="Arial" w:cs="Arial"/>
            <w:sz w:val="20"/>
            <w:szCs w:val="20"/>
          </w:rPr>
          <w:t>https://doi.org/10.1080/19338244.2018.1492894</w:t>
        </w:r>
      </w:hyperlink>
    </w:p>
    <w:p w14:paraId="0E1C5550" w14:textId="77777777" w:rsidR="00562ABC" w:rsidRPr="00531E52" w:rsidRDefault="00562ABC" w:rsidP="00DF11A9">
      <w:pPr>
        <w:pStyle w:val="NormalWeb"/>
        <w:spacing w:before="0" w:beforeAutospacing="0" w:after="0" w:afterAutospacing="0"/>
        <w:ind w:left="360" w:hanging="360"/>
        <w:jc w:val="both"/>
        <w:rPr>
          <w:rFonts w:ascii="Arial" w:hAnsi="Arial" w:cs="Arial"/>
          <w:sz w:val="20"/>
          <w:szCs w:val="20"/>
        </w:rPr>
      </w:pPr>
      <w:proofErr w:type="spellStart"/>
      <w:r w:rsidRPr="00531E52">
        <w:rPr>
          <w:rFonts w:ascii="Arial" w:hAnsi="Arial" w:cs="Arial"/>
          <w:sz w:val="20"/>
          <w:szCs w:val="20"/>
        </w:rPr>
        <w:t>Vaccari</w:t>
      </w:r>
      <w:proofErr w:type="spellEnd"/>
      <w:r w:rsidRPr="00531E52">
        <w:rPr>
          <w:rFonts w:ascii="Arial" w:hAnsi="Arial" w:cs="Arial"/>
          <w:sz w:val="20"/>
          <w:szCs w:val="20"/>
        </w:rPr>
        <w:t xml:space="preserve">, C., El Dib, R., Gomaa, H., Lopes, L. C., &amp; de Camargo, J. L. (2019). Paraquat and Parkinson’s disease: A systematic review and meta-analysis of observational studies. </w:t>
      </w:r>
      <w:r w:rsidRPr="00531E52">
        <w:rPr>
          <w:rStyle w:val="Emphasis"/>
          <w:rFonts w:ascii="Arial" w:hAnsi="Arial" w:cs="Arial"/>
          <w:sz w:val="20"/>
          <w:szCs w:val="20"/>
        </w:rPr>
        <w:t>Journal of Toxicology and Environmental Health, Part B, 22</w:t>
      </w:r>
      <w:r w:rsidRPr="00531E52">
        <w:rPr>
          <w:rFonts w:ascii="Arial" w:hAnsi="Arial" w:cs="Arial"/>
          <w:sz w:val="20"/>
          <w:szCs w:val="20"/>
        </w:rPr>
        <w:t xml:space="preserve">(5–6), 172–202. </w:t>
      </w:r>
      <w:hyperlink r:id="rId25" w:tgtFrame="_new" w:history="1">
        <w:r w:rsidRPr="00531E52">
          <w:rPr>
            <w:rStyle w:val="Hyperlink"/>
            <w:rFonts w:ascii="Arial" w:hAnsi="Arial" w:cs="Arial"/>
            <w:sz w:val="20"/>
            <w:szCs w:val="20"/>
          </w:rPr>
          <w:t>https://doi.org/10.1080/10937404.2019.1659197</w:t>
        </w:r>
      </w:hyperlink>
    </w:p>
    <w:p w14:paraId="7001864C" w14:textId="77777777" w:rsidR="00562ABC" w:rsidRPr="00531E52" w:rsidRDefault="00562ABC" w:rsidP="00DF11A9">
      <w:pPr>
        <w:pStyle w:val="NormalWeb"/>
        <w:spacing w:before="0" w:beforeAutospacing="0" w:after="0" w:afterAutospacing="0"/>
        <w:ind w:left="360" w:hanging="360"/>
        <w:jc w:val="both"/>
        <w:rPr>
          <w:rFonts w:ascii="Arial" w:hAnsi="Arial" w:cs="Arial"/>
          <w:sz w:val="20"/>
          <w:szCs w:val="20"/>
        </w:rPr>
      </w:pPr>
      <w:r w:rsidRPr="00531E52">
        <w:rPr>
          <w:rFonts w:ascii="Arial" w:hAnsi="Arial" w:cs="Arial"/>
          <w:sz w:val="20"/>
          <w:szCs w:val="20"/>
        </w:rPr>
        <w:t xml:space="preserve">van der Oost, R., Beyer, J., &amp; Vermeulen, N. P. (2003). Fish bioaccumulation and biomarkers in environmental risk assessment. </w:t>
      </w:r>
      <w:r w:rsidRPr="00531E52">
        <w:rPr>
          <w:rStyle w:val="Emphasis"/>
          <w:rFonts w:ascii="Arial" w:hAnsi="Arial" w:cs="Arial"/>
          <w:sz w:val="20"/>
          <w:szCs w:val="20"/>
        </w:rPr>
        <w:t>Environmental Toxicology and Pharmacology, 13</w:t>
      </w:r>
      <w:r w:rsidRPr="00531E52">
        <w:rPr>
          <w:rFonts w:ascii="Arial" w:hAnsi="Arial" w:cs="Arial"/>
          <w:sz w:val="20"/>
          <w:szCs w:val="20"/>
        </w:rPr>
        <w:t>(2), 57–149.</w:t>
      </w:r>
    </w:p>
    <w:p w14:paraId="058A0035" w14:textId="77777777" w:rsidR="00562ABC" w:rsidRPr="00562ABC" w:rsidRDefault="00562ABC" w:rsidP="00562ABC">
      <w:pPr>
        <w:pStyle w:val="NormalWeb"/>
        <w:spacing w:before="0" w:beforeAutospacing="0" w:after="0" w:afterAutospacing="0"/>
        <w:ind w:left="360" w:hanging="360"/>
        <w:jc w:val="both"/>
        <w:rPr>
          <w:rFonts w:ascii="Arial" w:hAnsi="Arial" w:cs="Arial"/>
          <w:sz w:val="20"/>
          <w:szCs w:val="20"/>
          <w:highlight w:val="yellow"/>
        </w:rPr>
      </w:pPr>
      <w:r w:rsidRPr="00562ABC">
        <w:rPr>
          <w:rFonts w:ascii="Arial" w:hAnsi="Arial" w:cs="Arial"/>
          <w:sz w:val="20"/>
          <w:szCs w:val="20"/>
          <w:highlight w:val="yellow"/>
        </w:rPr>
        <w:lastRenderedPageBreak/>
        <w:t xml:space="preserve">Van </w:t>
      </w:r>
      <w:proofErr w:type="spellStart"/>
      <w:r w:rsidRPr="00562ABC">
        <w:rPr>
          <w:rFonts w:ascii="Arial" w:hAnsi="Arial" w:cs="Arial"/>
          <w:sz w:val="20"/>
          <w:szCs w:val="20"/>
          <w:highlight w:val="yellow"/>
        </w:rPr>
        <w:t>Maele</w:t>
      </w:r>
      <w:proofErr w:type="spellEnd"/>
      <w:r w:rsidRPr="00562ABC">
        <w:rPr>
          <w:rFonts w:ascii="Arial" w:hAnsi="Arial" w:cs="Arial"/>
          <w:sz w:val="20"/>
          <w:szCs w:val="20"/>
          <w:highlight w:val="yellow"/>
        </w:rPr>
        <w:t xml:space="preserve">-Fabry, G., </w:t>
      </w:r>
      <w:proofErr w:type="spellStart"/>
      <w:r w:rsidRPr="00562ABC">
        <w:rPr>
          <w:rFonts w:ascii="Arial" w:hAnsi="Arial" w:cs="Arial"/>
          <w:sz w:val="20"/>
          <w:szCs w:val="20"/>
          <w:highlight w:val="yellow"/>
        </w:rPr>
        <w:t>Hoet</w:t>
      </w:r>
      <w:proofErr w:type="spellEnd"/>
      <w:r w:rsidRPr="00562ABC">
        <w:rPr>
          <w:rFonts w:ascii="Arial" w:hAnsi="Arial" w:cs="Arial"/>
          <w:sz w:val="20"/>
          <w:szCs w:val="20"/>
          <w:highlight w:val="yellow"/>
        </w:rPr>
        <w:t xml:space="preserve">, P., &amp; </w:t>
      </w:r>
      <w:proofErr w:type="spellStart"/>
      <w:r w:rsidRPr="00562ABC">
        <w:rPr>
          <w:rFonts w:ascii="Arial" w:hAnsi="Arial" w:cs="Arial"/>
          <w:sz w:val="20"/>
          <w:szCs w:val="20"/>
          <w:highlight w:val="yellow"/>
        </w:rPr>
        <w:t>Lison</w:t>
      </w:r>
      <w:proofErr w:type="spellEnd"/>
      <w:r w:rsidRPr="00562ABC">
        <w:rPr>
          <w:rFonts w:ascii="Arial" w:hAnsi="Arial" w:cs="Arial"/>
          <w:sz w:val="20"/>
          <w:szCs w:val="20"/>
          <w:highlight w:val="yellow"/>
        </w:rPr>
        <w:t xml:space="preserve">, D. (2012). Parental occupational exposure to pesticides and Parkinson’s disease in offspring: A systematic review and meta-analysis. </w:t>
      </w:r>
      <w:r w:rsidRPr="00562ABC">
        <w:rPr>
          <w:rFonts w:ascii="Arial" w:hAnsi="Arial" w:cs="Arial"/>
          <w:i/>
          <w:iCs/>
          <w:sz w:val="20"/>
          <w:szCs w:val="20"/>
          <w:highlight w:val="yellow"/>
        </w:rPr>
        <w:t>Environment International, 46</w:t>
      </w:r>
      <w:r w:rsidRPr="00562ABC">
        <w:rPr>
          <w:rFonts w:ascii="Arial" w:hAnsi="Arial" w:cs="Arial"/>
          <w:sz w:val="20"/>
          <w:szCs w:val="20"/>
          <w:highlight w:val="yellow"/>
        </w:rPr>
        <w:t xml:space="preserve">, 30–43. </w:t>
      </w:r>
      <w:hyperlink r:id="rId26" w:history="1">
        <w:r w:rsidRPr="00562ABC">
          <w:rPr>
            <w:rStyle w:val="Hyperlink"/>
            <w:rFonts w:ascii="Arial" w:hAnsi="Arial" w:cs="Arial"/>
            <w:sz w:val="20"/>
            <w:szCs w:val="20"/>
            <w:highlight w:val="yellow"/>
          </w:rPr>
          <w:t>https://doi.org/10.1016/j.envint.2012.04.001</w:t>
        </w:r>
      </w:hyperlink>
    </w:p>
    <w:p w14:paraId="1A36A8A1" w14:textId="77777777" w:rsidR="00562ABC" w:rsidRPr="00562ABC" w:rsidRDefault="00562ABC" w:rsidP="00562ABC">
      <w:pPr>
        <w:pStyle w:val="NormalWeb"/>
        <w:spacing w:before="0" w:beforeAutospacing="0" w:after="0" w:afterAutospacing="0"/>
        <w:ind w:left="360" w:hanging="360"/>
        <w:jc w:val="both"/>
        <w:rPr>
          <w:rFonts w:ascii="Arial" w:hAnsi="Arial" w:cs="Arial"/>
          <w:sz w:val="20"/>
          <w:szCs w:val="20"/>
        </w:rPr>
      </w:pPr>
      <w:r w:rsidRPr="00562ABC">
        <w:rPr>
          <w:rFonts w:ascii="Arial" w:hAnsi="Arial" w:cs="Arial"/>
          <w:sz w:val="20"/>
          <w:szCs w:val="20"/>
          <w:highlight w:val="yellow"/>
        </w:rPr>
        <w:t xml:space="preserve">Vandenberg, L. N., </w:t>
      </w:r>
      <w:proofErr w:type="spellStart"/>
      <w:r w:rsidRPr="00562ABC">
        <w:rPr>
          <w:rFonts w:ascii="Arial" w:hAnsi="Arial" w:cs="Arial"/>
          <w:sz w:val="20"/>
          <w:szCs w:val="20"/>
          <w:highlight w:val="yellow"/>
        </w:rPr>
        <w:t>Colborn</w:t>
      </w:r>
      <w:proofErr w:type="spellEnd"/>
      <w:r w:rsidRPr="00562ABC">
        <w:rPr>
          <w:rFonts w:ascii="Arial" w:hAnsi="Arial" w:cs="Arial"/>
          <w:sz w:val="20"/>
          <w:szCs w:val="20"/>
          <w:highlight w:val="yellow"/>
        </w:rPr>
        <w:t xml:space="preserve">, T., Hayes, T. B., </w:t>
      </w:r>
      <w:proofErr w:type="spellStart"/>
      <w:r w:rsidRPr="00562ABC">
        <w:rPr>
          <w:rFonts w:ascii="Arial" w:hAnsi="Arial" w:cs="Arial"/>
          <w:sz w:val="20"/>
          <w:szCs w:val="20"/>
          <w:highlight w:val="yellow"/>
        </w:rPr>
        <w:t>Heindel</w:t>
      </w:r>
      <w:proofErr w:type="spellEnd"/>
      <w:r w:rsidRPr="00562ABC">
        <w:rPr>
          <w:rFonts w:ascii="Arial" w:hAnsi="Arial" w:cs="Arial"/>
          <w:sz w:val="20"/>
          <w:szCs w:val="20"/>
          <w:highlight w:val="yellow"/>
        </w:rPr>
        <w:t xml:space="preserve">, J. J., Jacobs, D. R., Jr., Lee, D.-H., </w:t>
      </w:r>
      <w:proofErr w:type="spellStart"/>
      <w:r w:rsidRPr="00562ABC">
        <w:rPr>
          <w:rFonts w:ascii="Arial" w:hAnsi="Arial" w:cs="Arial"/>
          <w:sz w:val="20"/>
          <w:szCs w:val="20"/>
          <w:highlight w:val="yellow"/>
        </w:rPr>
        <w:t>Shioda</w:t>
      </w:r>
      <w:proofErr w:type="spellEnd"/>
      <w:r w:rsidRPr="00562ABC">
        <w:rPr>
          <w:rFonts w:ascii="Arial" w:hAnsi="Arial" w:cs="Arial"/>
          <w:sz w:val="20"/>
          <w:szCs w:val="20"/>
          <w:highlight w:val="yellow"/>
        </w:rPr>
        <w:t xml:space="preserve">, T., Soto, A. M., </w:t>
      </w:r>
      <w:proofErr w:type="spellStart"/>
      <w:r w:rsidRPr="00562ABC">
        <w:rPr>
          <w:rFonts w:ascii="Arial" w:hAnsi="Arial" w:cs="Arial"/>
          <w:sz w:val="20"/>
          <w:szCs w:val="20"/>
          <w:highlight w:val="yellow"/>
        </w:rPr>
        <w:t>vom</w:t>
      </w:r>
      <w:proofErr w:type="spellEnd"/>
      <w:r w:rsidRPr="00562ABC">
        <w:rPr>
          <w:rFonts w:ascii="Arial" w:hAnsi="Arial" w:cs="Arial"/>
          <w:sz w:val="20"/>
          <w:szCs w:val="20"/>
          <w:highlight w:val="yellow"/>
        </w:rPr>
        <w:t xml:space="preserve"> Saal, F. S., </w:t>
      </w:r>
      <w:proofErr w:type="spellStart"/>
      <w:r w:rsidRPr="00562ABC">
        <w:rPr>
          <w:rFonts w:ascii="Arial" w:hAnsi="Arial" w:cs="Arial"/>
          <w:sz w:val="20"/>
          <w:szCs w:val="20"/>
          <w:highlight w:val="yellow"/>
        </w:rPr>
        <w:t>Welshons</w:t>
      </w:r>
      <w:proofErr w:type="spellEnd"/>
      <w:r w:rsidRPr="00562ABC">
        <w:rPr>
          <w:rFonts w:ascii="Arial" w:hAnsi="Arial" w:cs="Arial"/>
          <w:sz w:val="20"/>
          <w:szCs w:val="20"/>
          <w:highlight w:val="yellow"/>
        </w:rPr>
        <w:t xml:space="preserve">, W. V., &amp; Zoeller, R. T. (2012). Hormones and endocrine-disrupting chemicals: Low-dose effects and nonmonotonic dose responses. </w:t>
      </w:r>
      <w:r w:rsidRPr="00562ABC">
        <w:rPr>
          <w:rFonts w:ascii="Arial" w:hAnsi="Arial" w:cs="Arial"/>
          <w:i/>
          <w:iCs/>
          <w:sz w:val="20"/>
          <w:szCs w:val="20"/>
          <w:highlight w:val="yellow"/>
        </w:rPr>
        <w:t>Endocrine Reviews, 33</w:t>
      </w:r>
      <w:r w:rsidRPr="00562ABC">
        <w:rPr>
          <w:rFonts w:ascii="Arial" w:hAnsi="Arial" w:cs="Arial"/>
          <w:sz w:val="20"/>
          <w:szCs w:val="20"/>
          <w:highlight w:val="yellow"/>
        </w:rPr>
        <w:t xml:space="preserve">(3), 378–455. </w:t>
      </w:r>
      <w:hyperlink r:id="rId27" w:tgtFrame="_new" w:history="1">
        <w:r w:rsidRPr="00562ABC">
          <w:rPr>
            <w:rStyle w:val="Hyperlink"/>
            <w:rFonts w:ascii="Arial" w:hAnsi="Arial" w:cs="Arial"/>
            <w:sz w:val="20"/>
            <w:szCs w:val="20"/>
            <w:highlight w:val="yellow"/>
          </w:rPr>
          <w:t>https://doi.org/10.1210/er.2011-1050</w:t>
        </w:r>
      </w:hyperlink>
    </w:p>
    <w:p w14:paraId="3DEFE4E2" w14:textId="77777777" w:rsidR="00562ABC" w:rsidRPr="00531E52" w:rsidRDefault="00562ABC" w:rsidP="00DF11A9">
      <w:pPr>
        <w:spacing w:after="0" w:line="240" w:lineRule="auto"/>
        <w:ind w:left="360" w:hanging="360"/>
        <w:jc w:val="both"/>
        <w:rPr>
          <w:rFonts w:ascii="Arial" w:hAnsi="Arial" w:cs="Arial"/>
          <w:sz w:val="20"/>
          <w:szCs w:val="20"/>
        </w:rPr>
      </w:pPr>
      <w:r w:rsidRPr="00531E52">
        <w:rPr>
          <w:rFonts w:ascii="Arial" w:hAnsi="Arial" w:cs="Arial"/>
          <w:sz w:val="20"/>
          <w:szCs w:val="20"/>
        </w:rPr>
        <w:t xml:space="preserve">Vandenberg, L. N., Pierce, E. J., &amp; Arsenault, R. M. (2025). Pesticides: An urgent challenge to global environmental health and planetary boundaries. </w:t>
      </w:r>
      <w:r w:rsidRPr="00531E52">
        <w:rPr>
          <w:rStyle w:val="Emphasis"/>
          <w:rFonts w:ascii="Arial" w:hAnsi="Arial" w:cs="Arial"/>
          <w:sz w:val="20"/>
          <w:szCs w:val="20"/>
        </w:rPr>
        <w:t>Frontiers in Toxicology, 7</w:t>
      </w:r>
      <w:r w:rsidRPr="00531E52">
        <w:rPr>
          <w:rFonts w:ascii="Arial" w:hAnsi="Arial" w:cs="Arial"/>
          <w:sz w:val="20"/>
          <w:szCs w:val="20"/>
        </w:rPr>
        <w:t xml:space="preserve">, 1656297. </w:t>
      </w:r>
      <w:hyperlink r:id="rId28" w:tgtFrame="_new" w:history="1">
        <w:r w:rsidRPr="00531E52">
          <w:rPr>
            <w:rStyle w:val="Hyperlink"/>
            <w:rFonts w:ascii="Arial" w:hAnsi="Arial" w:cs="Arial"/>
            <w:sz w:val="20"/>
            <w:szCs w:val="20"/>
          </w:rPr>
          <w:t>https://doi.org/10.3389/ftox.2025.1656297</w:t>
        </w:r>
      </w:hyperlink>
    </w:p>
    <w:p w14:paraId="372C7503" w14:textId="77777777" w:rsidR="00562ABC" w:rsidRDefault="00562ABC" w:rsidP="00DF11A9">
      <w:pPr>
        <w:spacing w:after="0" w:line="240" w:lineRule="auto"/>
        <w:ind w:left="360" w:hanging="360"/>
        <w:jc w:val="both"/>
        <w:outlineLvl w:val="1"/>
        <w:rPr>
          <w:rFonts w:ascii="Arial" w:eastAsia="Times New Roman" w:hAnsi="Arial" w:cs="Arial"/>
          <w:sz w:val="20"/>
          <w:szCs w:val="20"/>
        </w:rPr>
      </w:pPr>
      <w:proofErr w:type="spellStart"/>
      <w:r w:rsidRPr="00CA43C2">
        <w:rPr>
          <w:rFonts w:ascii="Arial" w:eastAsia="Times New Roman" w:hAnsi="Arial" w:cs="Arial"/>
          <w:sz w:val="20"/>
          <w:szCs w:val="20"/>
        </w:rPr>
        <w:t>Vellingiri</w:t>
      </w:r>
      <w:proofErr w:type="spellEnd"/>
      <w:r w:rsidRPr="00CA43C2">
        <w:rPr>
          <w:rFonts w:ascii="Arial" w:eastAsia="Times New Roman" w:hAnsi="Arial" w:cs="Arial"/>
          <w:sz w:val="20"/>
          <w:szCs w:val="20"/>
        </w:rPr>
        <w:t xml:space="preserve">, B., Chandrasekhar, M., Sri Sabari, S., Gopalakrishnan, A. V., </w:t>
      </w:r>
      <w:proofErr w:type="spellStart"/>
      <w:r w:rsidRPr="00CA43C2">
        <w:rPr>
          <w:rFonts w:ascii="Arial" w:eastAsia="Times New Roman" w:hAnsi="Arial" w:cs="Arial"/>
          <w:sz w:val="20"/>
          <w:szCs w:val="20"/>
        </w:rPr>
        <w:t>Narayanasamy</w:t>
      </w:r>
      <w:proofErr w:type="spellEnd"/>
      <w:r w:rsidRPr="00CA43C2">
        <w:rPr>
          <w:rFonts w:ascii="Arial" w:eastAsia="Times New Roman" w:hAnsi="Arial" w:cs="Arial"/>
          <w:sz w:val="20"/>
          <w:szCs w:val="20"/>
        </w:rPr>
        <w:t xml:space="preserve">, A., Venkatesan, D., </w:t>
      </w:r>
      <w:r w:rsidRPr="00DA06B6">
        <w:rPr>
          <w:rFonts w:ascii="Arial" w:eastAsia="Times New Roman" w:hAnsi="Arial" w:cs="Arial"/>
          <w:i/>
          <w:sz w:val="20"/>
          <w:szCs w:val="20"/>
        </w:rPr>
        <w:t>et al</w:t>
      </w:r>
      <w:r w:rsidRPr="00CA43C2">
        <w:rPr>
          <w:rFonts w:ascii="Arial" w:eastAsia="Times New Roman" w:hAnsi="Arial" w:cs="Arial"/>
          <w:sz w:val="20"/>
          <w:szCs w:val="20"/>
        </w:rPr>
        <w:t xml:space="preserve">. (2022). Neurotoxicity of pesticides—A link to neurodegeneration. Ecotoxicology and Environmental Safety, 243, 113972. </w:t>
      </w:r>
      <w:hyperlink r:id="rId29" w:history="1">
        <w:r w:rsidRPr="00E17DB3">
          <w:rPr>
            <w:rStyle w:val="Hyperlink"/>
            <w:rFonts w:ascii="Arial" w:eastAsia="Times New Roman" w:hAnsi="Arial" w:cs="Arial"/>
            <w:sz w:val="20"/>
            <w:szCs w:val="20"/>
          </w:rPr>
          <w:t>https://doi.org/10.1016/j.ecoenv.2022.113972</w:t>
        </w:r>
      </w:hyperlink>
      <w:r w:rsidRPr="00CA43C2">
        <w:rPr>
          <w:rFonts w:ascii="Arial" w:eastAsia="Times New Roman" w:hAnsi="Arial" w:cs="Arial"/>
          <w:sz w:val="20"/>
          <w:szCs w:val="20"/>
        </w:rPr>
        <w:t xml:space="preserve"> </w:t>
      </w:r>
    </w:p>
    <w:p w14:paraId="3F91D5CC" w14:textId="77777777" w:rsidR="00562ABC" w:rsidRPr="00531E52" w:rsidRDefault="00562ABC" w:rsidP="00DF11A9">
      <w:pPr>
        <w:pStyle w:val="NormalWeb"/>
        <w:spacing w:before="0" w:beforeAutospacing="0" w:after="0" w:afterAutospacing="0"/>
        <w:ind w:left="360" w:hanging="360"/>
        <w:jc w:val="both"/>
        <w:rPr>
          <w:rFonts w:ascii="Arial" w:hAnsi="Arial" w:cs="Arial"/>
          <w:sz w:val="20"/>
          <w:szCs w:val="20"/>
        </w:rPr>
      </w:pPr>
      <w:r w:rsidRPr="00531E52">
        <w:rPr>
          <w:rFonts w:ascii="Arial" w:hAnsi="Arial" w:cs="Arial"/>
          <w:sz w:val="20"/>
          <w:szCs w:val="20"/>
        </w:rPr>
        <w:t xml:space="preserve">Werner, I., &amp; Moran, K. (2008). Effects of pyrethroid insecticides on aquatic organisms. </w:t>
      </w:r>
      <w:r w:rsidRPr="00531E52">
        <w:rPr>
          <w:rStyle w:val="Emphasis"/>
          <w:rFonts w:ascii="Arial" w:hAnsi="Arial" w:cs="Arial"/>
          <w:sz w:val="20"/>
          <w:szCs w:val="20"/>
        </w:rPr>
        <w:t>Reviews of Environmental Contamination and Toxicology, 195</w:t>
      </w:r>
      <w:r w:rsidRPr="00531E52">
        <w:rPr>
          <w:rFonts w:ascii="Arial" w:hAnsi="Arial" w:cs="Arial"/>
          <w:sz w:val="20"/>
          <w:szCs w:val="20"/>
        </w:rPr>
        <w:t>, 1–44.</w:t>
      </w:r>
    </w:p>
    <w:p w14:paraId="58C3C78D" w14:textId="77777777" w:rsidR="00562ABC" w:rsidRDefault="00562ABC" w:rsidP="00562ABC">
      <w:pPr>
        <w:pStyle w:val="NormalWeb"/>
        <w:spacing w:before="0" w:beforeAutospacing="0" w:after="0" w:afterAutospacing="0"/>
        <w:ind w:left="360" w:hanging="360"/>
        <w:jc w:val="both"/>
        <w:rPr>
          <w:rStyle w:val="Hyperlink"/>
          <w:rFonts w:ascii="Arial" w:hAnsi="Arial" w:cs="Arial"/>
          <w:sz w:val="20"/>
          <w:szCs w:val="20"/>
        </w:rPr>
      </w:pPr>
      <w:r w:rsidRPr="00531E52">
        <w:rPr>
          <w:rFonts w:ascii="Arial" w:hAnsi="Arial" w:cs="Arial"/>
          <w:sz w:val="20"/>
          <w:szCs w:val="20"/>
        </w:rPr>
        <w:t xml:space="preserve">Zhang, C., Wang, X., Kaur, P., &amp; Gan, J. (2023). A critical review on the accumulation of neonicotinoid insecticides in pollen and nectar: Influencing factors and implications for pollinator exposure. </w:t>
      </w:r>
      <w:r w:rsidRPr="00531E52">
        <w:rPr>
          <w:rStyle w:val="Emphasis"/>
          <w:rFonts w:ascii="Arial" w:hAnsi="Arial" w:cs="Arial"/>
          <w:sz w:val="20"/>
          <w:szCs w:val="20"/>
        </w:rPr>
        <w:t>Science of the Total Environment, 899</w:t>
      </w:r>
      <w:r w:rsidRPr="00531E52">
        <w:rPr>
          <w:rFonts w:ascii="Arial" w:hAnsi="Arial" w:cs="Arial"/>
          <w:sz w:val="20"/>
          <w:szCs w:val="20"/>
        </w:rPr>
        <w:t xml:space="preserve">, 165670. </w:t>
      </w:r>
      <w:hyperlink r:id="rId30" w:tgtFrame="_new" w:history="1">
        <w:r w:rsidRPr="00531E52">
          <w:rPr>
            <w:rStyle w:val="Hyperlink"/>
            <w:rFonts w:ascii="Arial" w:hAnsi="Arial" w:cs="Arial"/>
            <w:sz w:val="20"/>
            <w:szCs w:val="20"/>
          </w:rPr>
          <w:t>https://doi.org/10.1016/j.scitotenv.2023.165670</w:t>
        </w:r>
      </w:hyperlink>
    </w:p>
    <w:p w14:paraId="4741AB47" w14:textId="3D54AFD0" w:rsidR="00500C47" w:rsidRPr="00531E52" w:rsidRDefault="00500C47" w:rsidP="00DF11A9">
      <w:pPr>
        <w:spacing w:after="0" w:line="240" w:lineRule="auto"/>
        <w:jc w:val="both"/>
        <w:rPr>
          <w:rFonts w:ascii="Arial" w:hAnsi="Arial" w:cs="Arial"/>
          <w:sz w:val="20"/>
          <w:szCs w:val="20"/>
        </w:rPr>
      </w:pPr>
    </w:p>
    <w:p w14:paraId="231807F1" w14:textId="77777777" w:rsidR="00562ABC" w:rsidRDefault="00562ABC">
      <w:pPr>
        <w:rPr>
          <w:rFonts w:ascii="Arial" w:hAnsi="Arial" w:cs="Arial"/>
          <w:b/>
          <w:sz w:val="20"/>
          <w:szCs w:val="20"/>
        </w:rPr>
      </w:pPr>
      <w:r>
        <w:rPr>
          <w:rFonts w:ascii="Arial" w:hAnsi="Arial" w:cs="Arial"/>
          <w:b/>
          <w:sz w:val="20"/>
          <w:szCs w:val="20"/>
        </w:rPr>
        <w:br w:type="page"/>
      </w:r>
    </w:p>
    <w:p w14:paraId="26917311" w14:textId="4AE73639" w:rsidR="005627FD" w:rsidRPr="005627FD" w:rsidRDefault="005627FD" w:rsidP="00FA61C7">
      <w:pPr>
        <w:spacing w:after="0" w:line="240" w:lineRule="auto"/>
        <w:jc w:val="both"/>
        <w:rPr>
          <w:rFonts w:ascii="Arial" w:hAnsi="Arial" w:cs="Arial"/>
          <w:b/>
          <w:sz w:val="20"/>
          <w:szCs w:val="20"/>
        </w:rPr>
      </w:pPr>
      <w:r w:rsidRPr="005627FD">
        <w:rPr>
          <w:rFonts w:ascii="Arial" w:hAnsi="Arial" w:cs="Arial"/>
          <w:b/>
          <w:sz w:val="20"/>
          <w:szCs w:val="20"/>
        </w:rPr>
        <w:lastRenderedPageBreak/>
        <w:t>Table 1: Classification of widely used pesticide groups, representative active compounds, and their general properties, including environmental persistence, principal biological targets, and broad human toxicity characteristics.</w:t>
      </w:r>
    </w:p>
    <w:p w14:paraId="34F81CFB" w14:textId="77777777" w:rsidR="005627FD" w:rsidRPr="005627FD" w:rsidRDefault="005627FD" w:rsidP="005627FD">
      <w:pPr>
        <w:rPr>
          <w:rFonts w:ascii="Arial" w:hAnsi="Arial" w:cs="Arial"/>
          <w:b/>
          <w:sz w:val="20"/>
          <w:szCs w:val="20"/>
        </w:rPr>
      </w:pPr>
    </w:p>
    <w:tbl>
      <w:tblPr>
        <w:tblW w:w="9422"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2052"/>
        <w:gridCol w:w="1691"/>
        <w:gridCol w:w="1915"/>
        <w:gridCol w:w="1627"/>
        <w:gridCol w:w="2137"/>
      </w:tblGrid>
      <w:tr w:rsidR="005627FD" w:rsidRPr="00FA61C7" w14:paraId="2C5E0C95" w14:textId="77777777" w:rsidTr="00FA61C7">
        <w:trPr>
          <w:tblHeader/>
          <w:tblCellSpacing w:w="15" w:type="dxa"/>
        </w:trPr>
        <w:tc>
          <w:tcPr>
            <w:tcW w:w="2007" w:type="dxa"/>
            <w:vAlign w:val="center"/>
            <w:hideMark/>
          </w:tcPr>
          <w:p w14:paraId="2D7C9FCD" w14:textId="77777777" w:rsidR="005627FD" w:rsidRPr="00FA61C7" w:rsidRDefault="005627FD" w:rsidP="00FA61C7">
            <w:pPr>
              <w:spacing w:after="0" w:line="240" w:lineRule="auto"/>
              <w:rPr>
                <w:rFonts w:ascii="Arial" w:hAnsi="Arial" w:cs="Arial"/>
                <w:b/>
                <w:bCs/>
                <w:sz w:val="20"/>
                <w:szCs w:val="20"/>
              </w:rPr>
            </w:pPr>
            <w:r w:rsidRPr="00FA61C7">
              <w:rPr>
                <w:rFonts w:ascii="Arial" w:hAnsi="Arial" w:cs="Arial"/>
                <w:b/>
                <w:bCs/>
                <w:sz w:val="20"/>
                <w:szCs w:val="20"/>
              </w:rPr>
              <w:t>Pesticide Class</w:t>
            </w:r>
          </w:p>
        </w:tc>
        <w:tc>
          <w:tcPr>
            <w:tcW w:w="1661" w:type="dxa"/>
            <w:vAlign w:val="center"/>
            <w:hideMark/>
          </w:tcPr>
          <w:p w14:paraId="210B546A" w14:textId="77777777" w:rsidR="005627FD" w:rsidRPr="00FA61C7" w:rsidRDefault="005627FD" w:rsidP="00FA61C7">
            <w:pPr>
              <w:spacing w:after="0" w:line="240" w:lineRule="auto"/>
              <w:rPr>
                <w:rFonts w:ascii="Arial" w:hAnsi="Arial" w:cs="Arial"/>
                <w:b/>
                <w:bCs/>
                <w:sz w:val="20"/>
                <w:szCs w:val="20"/>
              </w:rPr>
            </w:pPr>
            <w:r w:rsidRPr="00FA61C7">
              <w:rPr>
                <w:rFonts w:ascii="Arial" w:hAnsi="Arial" w:cs="Arial"/>
                <w:b/>
                <w:bCs/>
                <w:sz w:val="20"/>
                <w:szCs w:val="20"/>
              </w:rPr>
              <w:t>Representative Active Ingredients</w:t>
            </w:r>
          </w:p>
        </w:tc>
        <w:tc>
          <w:tcPr>
            <w:tcW w:w="1885" w:type="dxa"/>
            <w:vAlign w:val="center"/>
            <w:hideMark/>
          </w:tcPr>
          <w:p w14:paraId="4AB23149" w14:textId="77777777" w:rsidR="005627FD" w:rsidRPr="00FA61C7" w:rsidRDefault="005627FD" w:rsidP="00FA61C7">
            <w:pPr>
              <w:spacing w:after="0" w:line="240" w:lineRule="auto"/>
              <w:rPr>
                <w:rFonts w:ascii="Arial" w:hAnsi="Arial" w:cs="Arial"/>
                <w:b/>
                <w:bCs/>
                <w:sz w:val="20"/>
                <w:szCs w:val="20"/>
              </w:rPr>
            </w:pPr>
            <w:r w:rsidRPr="00FA61C7">
              <w:rPr>
                <w:rFonts w:ascii="Arial" w:hAnsi="Arial" w:cs="Arial"/>
                <w:b/>
                <w:bCs/>
                <w:sz w:val="20"/>
                <w:szCs w:val="20"/>
              </w:rPr>
              <w:t>Primary Target / Mode of Action</w:t>
            </w:r>
          </w:p>
        </w:tc>
        <w:tc>
          <w:tcPr>
            <w:tcW w:w="1597" w:type="dxa"/>
            <w:vAlign w:val="center"/>
            <w:hideMark/>
          </w:tcPr>
          <w:p w14:paraId="3119A200" w14:textId="77777777" w:rsidR="005627FD" w:rsidRPr="00FA61C7" w:rsidRDefault="005627FD" w:rsidP="00FA61C7">
            <w:pPr>
              <w:spacing w:after="0" w:line="240" w:lineRule="auto"/>
              <w:rPr>
                <w:rFonts w:ascii="Arial" w:hAnsi="Arial" w:cs="Arial"/>
                <w:b/>
                <w:bCs/>
                <w:sz w:val="20"/>
                <w:szCs w:val="20"/>
              </w:rPr>
            </w:pPr>
            <w:r w:rsidRPr="00FA61C7">
              <w:rPr>
                <w:rFonts w:ascii="Arial" w:hAnsi="Arial" w:cs="Arial"/>
                <w:b/>
                <w:bCs/>
                <w:sz w:val="20"/>
                <w:szCs w:val="20"/>
              </w:rPr>
              <w:t>Environmental Persistence</w:t>
            </w:r>
          </w:p>
        </w:tc>
        <w:tc>
          <w:tcPr>
            <w:tcW w:w="2092" w:type="dxa"/>
            <w:vAlign w:val="center"/>
            <w:hideMark/>
          </w:tcPr>
          <w:p w14:paraId="3F68A3BB" w14:textId="77777777" w:rsidR="005627FD" w:rsidRPr="00FA61C7" w:rsidRDefault="005627FD" w:rsidP="00FA61C7">
            <w:pPr>
              <w:spacing w:after="0" w:line="240" w:lineRule="auto"/>
              <w:rPr>
                <w:rFonts w:ascii="Arial" w:hAnsi="Arial" w:cs="Arial"/>
                <w:b/>
                <w:bCs/>
                <w:sz w:val="20"/>
                <w:szCs w:val="20"/>
              </w:rPr>
            </w:pPr>
            <w:r w:rsidRPr="00FA61C7">
              <w:rPr>
                <w:rFonts w:ascii="Arial" w:hAnsi="Arial" w:cs="Arial"/>
                <w:b/>
                <w:bCs/>
                <w:sz w:val="20"/>
                <w:szCs w:val="20"/>
              </w:rPr>
              <w:t>General Human Toxicity Profile</w:t>
            </w:r>
          </w:p>
        </w:tc>
      </w:tr>
      <w:tr w:rsidR="005627FD" w:rsidRPr="00FA61C7" w14:paraId="2D5C23A8" w14:textId="77777777" w:rsidTr="00FA61C7">
        <w:trPr>
          <w:tblCellSpacing w:w="15" w:type="dxa"/>
        </w:trPr>
        <w:tc>
          <w:tcPr>
            <w:tcW w:w="2007" w:type="dxa"/>
            <w:vAlign w:val="center"/>
            <w:hideMark/>
          </w:tcPr>
          <w:p w14:paraId="2F158D31"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b/>
                <w:bCs/>
                <w:sz w:val="20"/>
                <w:szCs w:val="20"/>
              </w:rPr>
              <w:t>Organochlorines (OCs)</w:t>
            </w:r>
          </w:p>
        </w:tc>
        <w:tc>
          <w:tcPr>
            <w:tcW w:w="1661" w:type="dxa"/>
            <w:vAlign w:val="center"/>
            <w:hideMark/>
          </w:tcPr>
          <w:p w14:paraId="68D65B34"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 xml:space="preserve">DDT, Lindane, </w:t>
            </w:r>
            <w:proofErr w:type="spellStart"/>
            <w:r w:rsidRPr="00FA61C7">
              <w:rPr>
                <w:rFonts w:ascii="Arial" w:hAnsi="Arial" w:cs="Arial"/>
                <w:sz w:val="20"/>
                <w:szCs w:val="20"/>
              </w:rPr>
              <w:t>Endosulfan</w:t>
            </w:r>
            <w:proofErr w:type="spellEnd"/>
          </w:p>
        </w:tc>
        <w:tc>
          <w:tcPr>
            <w:tcW w:w="1885" w:type="dxa"/>
            <w:vAlign w:val="center"/>
            <w:hideMark/>
          </w:tcPr>
          <w:p w14:paraId="0275C1E5"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Disruption of sodium channel function in nerve membranes</w:t>
            </w:r>
          </w:p>
        </w:tc>
        <w:tc>
          <w:tcPr>
            <w:tcW w:w="1597" w:type="dxa"/>
            <w:vAlign w:val="center"/>
            <w:hideMark/>
          </w:tcPr>
          <w:p w14:paraId="7A9C2629"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 xml:space="preserve">Highly persistent; </w:t>
            </w:r>
            <w:proofErr w:type="spellStart"/>
            <w:r w:rsidRPr="00FA61C7">
              <w:rPr>
                <w:rFonts w:ascii="Arial" w:hAnsi="Arial" w:cs="Arial"/>
                <w:sz w:val="20"/>
                <w:szCs w:val="20"/>
              </w:rPr>
              <w:t>bioaccumulative</w:t>
            </w:r>
            <w:proofErr w:type="spellEnd"/>
            <w:r w:rsidRPr="00FA61C7">
              <w:rPr>
                <w:rFonts w:ascii="Arial" w:hAnsi="Arial" w:cs="Arial"/>
                <w:sz w:val="20"/>
                <w:szCs w:val="20"/>
              </w:rPr>
              <w:t>; long half-life in soil and fat tissues</w:t>
            </w:r>
          </w:p>
        </w:tc>
        <w:tc>
          <w:tcPr>
            <w:tcW w:w="2092" w:type="dxa"/>
            <w:vAlign w:val="center"/>
            <w:hideMark/>
          </w:tcPr>
          <w:p w14:paraId="5370E709"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Neurotoxic; endocrine disruption; possible carcinogenicity; bioaccumulation in adipose tissue</w:t>
            </w:r>
          </w:p>
        </w:tc>
      </w:tr>
      <w:tr w:rsidR="005627FD" w:rsidRPr="00FA61C7" w14:paraId="7AD44468" w14:textId="77777777" w:rsidTr="00FA61C7">
        <w:trPr>
          <w:tblCellSpacing w:w="15" w:type="dxa"/>
        </w:trPr>
        <w:tc>
          <w:tcPr>
            <w:tcW w:w="2007" w:type="dxa"/>
            <w:vAlign w:val="center"/>
            <w:hideMark/>
          </w:tcPr>
          <w:p w14:paraId="42D0A046"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b/>
                <w:bCs/>
                <w:sz w:val="20"/>
                <w:szCs w:val="20"/>
              </w:rPr>
              <w:t>Organophosphates (OPs)</w:t>
            </w:r>
          </w:p>
        </w:tc>
        <w:tc>
          <w:tcPr>
            <w:tcW w:w="1661" w:type="dxa"/>
            <w:vAlign w:val="center"/>
            <w:hideMark/>
          </w:tcPr>
          <w:p w14:paraId="58A178C4"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Chlorpyrifos, Dimethoate, Malathion, Parathion</w:t>
            </w:r>
          </w:p>
        </w:tc>
        <w:tc>
          <w:tcPr>
            <w:tcW w:w="1885" w:type="dxa"/>
            <w:vAlign w:val="center"/>
            <w:hideMark/>
          </w:tcPr>
          <w:p w14:paraId="45A2E127"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Acetylcholinesterase (</w:t>
            </w:r>
            <w:proofErr w:type="spellStart"/>
            <w:r w:rsidRPr="00FA61C7">
              <w:rPr>
                <w:rFonts w:ascii="Arial" w:hAnsi="Arial" w:cs="Arial"/>
                <w:sz w:val="20"/>
                <w:szCs w:val="20"/>
              </w:rPr>
              <w:t>AChE</w:t>
            </w:r>
            <w:proofErr w:type="spellEnd"/>
            <w:r w:rsidRPr="00FA61C7">
              <w:rPr>
                <w:rFonts w:ascii="Arial" w:hAnsi="Arial" w:cs="Arial"/>
                <w:sz w:val="20"/>
                <w:szCs w:val="20"/>
              </w:rPr>
              <w:t>) inhibition causing cholinergic overstimulation</w:t>
            </w:r>
          </w:p>
        </w:tc>
        <w:tc>
          <w:tcPr>
            <w:tcW w:w="1597" w:type="dxa"/>
            <w:vAlign w:val="center"/>
            <w:hideMark/>
          </w:tcPr>
          <w:p w14:paraId="14A468DE" w14:textId="2AAE7FE4"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 xml:space="preserve">Moderate persistence; </w:t>
            </w:r>
            <w:r w:rsidR="00626FBF" w:rsidRPr="00FA61C7">
              <w:rPr>
                <w:rFonts w:ascii="Arial" w:hAnsi="Arial" w:cs="Arial"/>
                <w:sz w:val="20"/>
                <w:szCs w:val="20"/>
              </w:rPr>
              <w:t>generally,</w:t>
            </w:r>
            <w:r w:rsidRPr="00FA61C7">
              <w:rPr>
                <w:rFonts w:ascii="Arial" w:hAnsi="Arial" w:cs="Arial"/>
                <w:sz w:val="20"/>
                <w:szCs w:val="20"/>
              </w:rPr>
              <w:t xml:space="preserve"> less stable than OCs</w:t>
            </w:r>
          </w:p>
        </w:tc>
        <w:tc>
          <w:tcPr>
            <w:tcW w:w="2092" w:type="dxa"/>
            <w:vAlign w:val="center"/>
            <w:hideMark/>
          </w:tcPr>
          <w:p w14:paraId="0257BC02"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 xml:space="preserve">Acute neurotoxicity; respiratory distress; cholinergic syndrome; possible developmental and </w:t>
            </w:r>
            <w:proofErr w:type="spellStart"/>
            <w:r w:rsidRPr="00FA61C7">
              <w:rPr>
                <w:rFonts w:ascii="Arial" w:hAnsi="Arial" w:cs="Arial"/>
                <w:sz w:val="20"/>
                <w:szCs w:val="20"/>
              </w:rPr>
              <w:t>immunotoxic</w:t>
            </w:r>
            <w:proofErr w:type="spellEnd"/>
            <w:r w:rsidRPr="00FA61C7">
              <w:rPr>
                <w:rFonts w:ascii="Arial" w:hAnsi="Arial" w:cs="Arial"/>
                <w:sz w:val="20"/>
                <w:szCs w:val="20"/>
              </w:rPr>
              <w:t xml:space="preserve"> effects</w:t>
            </w:r>
          </w:p>
        </w:tc>
      </w:tr>
      <w:tr w:rsidR="005627FD" w:rsidRPr="00FA61C7" w14:paraId="2891DDEA" w14:textId="77777777" w:rsidTr="00FA61C7">
        <w:trPr>
          <w:tblCellSpacing w:w="15" w:type="dxa"/>
        </w:trPr>
        <w:tc>
          <w:tcPr>
            <w:tcW w:w="2007" w:type="dxa"/>
            <w:vAlign w:val="center"/>
            <w:hideMark/>
          </w:tcPr>
          <w:p w14:paraId="3C514604"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b/>
                <w:bCs/>
                <w:sz w:val="20"/>
                <w:szCs w:val="20"/>
              </w:rPr>
              <w:t>Carbamates</w:t>
            </w:r>
          </w:p>
        </w:tc>
        <w:tc>
          <w:tcPr>
            <w:tcW w:w="1661" w:type="dxa"/>
            <w:vAlign w:val="center"/>
            <w:hideMark/>
          </w:tcPr>
          <w:p w14:paraId="14F7D827"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Carbaryl, Propoxur, Carbofuran</w:t>
            </w:r>
          </w:p>
        </w:tc>
        <w:tc>
          <w:tcPr>
            <w:tcW w:w="1885" w:type="dxa"/>
            <w:vAlign w:val="center"/>
            <w:hideMark/>
          </w:tcPr>
          <w:p w14:paraId="032C1BB3"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Reversible inhibition of acetylcholinesterase</w:t>
            </w:r>
          </w:p>
        </w:tc>
        <w:tc>
          <w:tcPr>
            <w:tcW w:w="1597" w:type="dxa"/>
            <w:vAlign w:val="center"/>
            <w:hideMark/>
          </w:tcPr>
          <w:p w14:paraId="4E2F5919"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Low to moderate persistence</w:t>
            </w:r>
          </w:p>
        </w:tc>
        <w:tc>
          <w:tcPr>
            <w:tcW w:w="2092" w:type="dxa"/>
            <w:vAlign w:val="center"/>
            <w:hideMark/>
          </w:tcPr>
          <w:p w14:paraId="097A0155" w14:textId="5BA38878"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 xml:space="preserve">Acute neurotoxicity; headache, nausea; </w:t>
            </w:r>
            <w:r w:rsidR="00626FBF" w:rsidRPr="00FA61C7">
              <w:rPr>
                <w:rFonts w:ascii="Arial" w:hAnsi="Arial" w:cs="Arial"/>
                <w:sz w:val="20"/>
                <w:szCs w:val="20"/>
              </w:rPr>
              <w:t>typically,</w:t>
            </w:r>
            <w:r w:rsidRPr="00FA61C7">
              <w:rPr>
                <w:rFonts w:ascii="Arial" w:hAnsi="Arial" w:cs="Arial"/>
                <w:sz w:val="20"/>
                <w:szCs w:val="20"/>
              </w:rPr>
              <w:t xml:space="preserve"> shorter duration toxicity compared to OPs</w:t>
            </w:r>
          </w:p>
        </w:tc>
      </w:tr>
      <w:tr w:rsidR="005627FD" w:rsidRPr="00FA61C7" w14:paraId="14B388AE" w14:textId="77777777" w:rsidTr="00FA61C7">
        <w:trPr>
          <w:tblCellSpacing w:w="15" w:type="dxa"/>
        </w:trPr>
        <w:tc>
          <w:tcPr>
            <w:tcW w:w="2007" w:type="dxa"/>
            <w:vAlign w:val="center"/>
            <w:hideMark/>
          </w:tcPr>
          <w:p w14:paraId="7EFB3125"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b/>
                <w:bCs/>
                <w:sz w:val="20"/>
                <w:szCs w:val="20"/>
              </w:rPr>
              <w:t>Synthetic Pyrethroids</w:t>
            </w:r>
          </w:p>
        </w:tc>
        <w:tc>
          <w:tcPr>
            <w:tcW w:w="1661" w:type="dxa"/>
            <w:vAlign w:val="center"/>
            <w:hideMark/>
          </w:tcPr>
          <w:p w14:paraId="0599622A"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Cypermethrin, Deltamethrin, Permethrin</w:t>
            </w:r>
          </w:p>
        </w:tc>
        <w:tc>
          <w:tcPr>
            <w:tcW w:w="1885" w:type="dxa"/>
            <w:vAlign w:val="center"/>
            <w:hideMark/>
          </w:tcPr>
          <w:p w14:paraId="68579356"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Prolonged activation of voltage-gated sodium channels in nerve cells</w:t>
            </w:r>
          </w:p>
        </w:tc>
        <w:tc>
          <w:tcPr>
            <w:tcW w:w="1597" w:type="dxa"/>
            <w:vAlign w:val="center"/>
            <w:hideMark/>
          </w:tcPr>
          <w:p w14:paraId="02BC3F49"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Low environmental persistence; rapidly degraded by sunlight</w:t>
            </w:r>
          </w:p>
        </w:tc>
        <w:tc>
          <w:tcPr>
            <w:tcW w:w="2092" w:type="dxa"/>
            <w:vAlign w:val="center"/>
            <w:hideMark/>
          </w:tcPr>
          <w:p w14:paraId="0AD47C5C"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 xml:space="preserve">Neurotoxic at high doses; paresthesia; potential </w:t>
            </w:r>
            <w:proofErr w:type="spellStart"/>
            <w:r w:rsidRPr="00FA61C7">
              <w:rPr>
                <w:rFonts w:ascii="Arial" w:hAnsi="Arial" w:cs="Arial"/>
                <w:sz w:val="20"/>
                <w:szCs w:val="20"/>
              </w:rPr>
              <w:t>immunotoxic</w:t>
            </w:r>
            <w:proofErr w:type="spellEnd"/>
            <w:r w:rsidRPr="00FA61C7">
              <w:rPr>
                <w:rFonts w:ascii="Arial" w:hAnsi="Arial" w:cs="Arial"/>
                <w:sz w:val="20"/>
                <w:szCs w:val="20"/>
              </w:rPr>
              <w:t xml:space="preserve"> and endocrine effects</w:t>
            </w:r>
          </w:p>
        </w:tc>
      </w:tr>
      <w:tr w:rsidR="005627FD" w:rsidRPr="00FA61C7" w14:paraId="2C2640C3" w14:textId="77777777" w:rsidTr="00FA61C7">
        <w:trPr>
          <w:tblCellSpacing w:w="15" w:type="dxa"/>
        </w:trPr>
        <w:tc>
          <w:tcPr>
            <w:tcW w:w="2007" w:type="dxa"/>
            <w:vAlign w:val="center"/>
            <w:hideMark/>
          </w:tcPr>
          <w:p w14:paraId="468F289C"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b/>
                <w:bCs/>
                <w:sz w:val="20"/>
                <w:szCs w:val="20"/>
              </w:rPr>
              <w:t>Neonicotinoids</w:t>
            </w:r>
          </w:p>
        </w:tc>
        <w:tc>
          <w:tcPr>
            <w:tcW w:w="1661" w:type="dxa"/>
            <w:vAlign w:val="center"/>
            <w:hideMark/>
          </w:tcPr>
          <w:p w14:paraId="7D15B61B"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Imidacloprid, Thiamethoxam, Clothianidin</w:t>
            </w:r>
          </w:p>
        </w:tc>
        <w:tc>
          <w:tcPr>
            <w:tcW w:w="1885" w:type="dxa"/>
            <w:vAlign w:val="center"/>
            <w:hideMark/>
          </w:tcPr>
          <w:p w14:paraId="44F832A1"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Agonists of nicotinic acetylcholine receptors in insects</w:t>
            </w:r>
          </w:p>
        </w:tc>
        <w:tc>
          <w:tcPr>
            <w:tcW w:w="1597" w:type="dxa"/>
            <w:vAlign w:val="center"/>
            <w:hideMark/>
          </w:tcPr>
          <w:p w14:paraId="00BB180B"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Moderate persistence; systemic in plants</w:t>
            </w:r>
          </w:p>
        </w:tc>
        <w:tc>
          <w:tcPr>
            <w:tcW w:w="2092" w:type="dxa"/>
            <w:vAlign w:val="center"/>
            <w:hideMark/>
          </w:tcPr>
          <w:p w14:paraId="24961166"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Low acute mammalian toxicity; potential neurobehavioral and developmental concerns</w:t>
            </w:r>
          </w:p>
        </w:tc>
      </w:tr>
      <w:tr w:rsidR="005627FD" w:rsidRPr="00FA61C7" w14:paraId="270B8CCD" w14:textId="77777777" w:rsidTr="00FA61C7">
        <w:trPr>
          <w:tblCellSpacing w:w="15" w:type="dxa"/>
        </w:trPr>
        <w:tc>
          <w:tcPr>
            <w:tcW w:w="2007" w:type="dxa"/>
            <w:vAlign w:val="center"/>
            <w:hideMark/>
          </w:tcPr>
          <w:p w14:paraId="528F3B7D"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b/>
                <w:bCs/>
                <w:sz w:val="20"/>
                <w:szCs w:val="20"/>
              </w:rPr>
              <w:t>Herbicides (e.g., Glyphosate group)</w:t>
            </w:r>
          </w:p>
        </w:tc>
        <w:tc>
          <w:tcPr>
            <w:tcW w:w="1661" w:type="dxa"/>
            <w:vAlign w:val="center"/>
            <w:hideMark/>
          </w:tcPr>
          <w:p w14:paraId="5BEA06E8"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Glyphosate, Paraquat</w:t>
            </w:r>
          </w:p>
        </w:tc>
        <w:tc>
          <w:tcPr>
            <w:tcW w:w="1885" w:type="dxa"/>
            <w:vAlign w:val="center"/>
            <w:hideMark/>
          </w:tcPr>
          <w:p w14:paraId="3C17E85E"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Inhibition of plant-specific metabolic pathways (e.g., EPSPS enzyme)</w:t>
            </w:r>
          </w:p>
        </w:tc>
        <w:tc>
          <w:tcPr>
            <w:tcW w:w="1597" w:type="dxa"/>
            <w:vAlign w:val="center"/>
            <w:hideMark/>
          </w:tcPr>
          <w:p w14:paraId="7C3A422D"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Variable; glyphosate relatively low persistence; paraquat binds strongly to soil</w:t>
            </w:r>
          </w:p>
        </w:tc>
        <w:tc>
          <w:tcPr>
            <w:tcW w:w="2092" w:type="dxa"/>
            <w:vAlign w:val="center"/>
            <w:hideMark/>
          </w:tcPr>
          <w:p w14:paraId="6209A4FE"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Eye/skin irritation; possible carcinogenic concerns (glyphosate debated); paraquat highly toxic if ingested</w:t>
            </w:r>
          </w:p>
        </w:tc>
      </w:tr>
      <w:tr w:rsidR="005627FD" w:rsidRPr="00FA61C7" w14:paraId="4E97F581" w14:textId="77777777" w:rsidTr="00FA61C7">
        <w:trPr>
          <w:tblCellSpacing w:w="15" w:type="dxa"/>
        </w:trPr>
        <w:tc>
          <w:tcPr>
            <w:tcW w:w="2007" w:type="dxa"/>
            <w:vAlign w:val="center"/>
            <w:hideMark/>
          </w:tcPr>
          <w:p w14:paraId="012556DD"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b/>
                <w:bCs/>
                <w:sz w:val="20"/>
                <w:szCs w:val="20"/>
              </w:rPr>
              <w:t>Triazine Herbicides</w:t>
            </w:r>
          </w:p>
        </w:tc>
        <w:tc>
          <w:tcPr>
            <w:tcW w:w="1661" w:type="dxa"/>
            <w:vAlign w:val="center"/>
            <w:hideMark/>
          </w:tcPr>
          <w:p w14:paraId="10820D37"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Atrazine, Simazine</w:t>
            </w:r>
          </w:p>
        </w:tc>
        <w:tc>
          <w:tcPr>
            <w:tcW w:w="1885" w:type="dxa"/>
            <w:vAlign w:val="center"/>
            <w:hideMark/>
          </w:tcPr>
          <w:p w14:paraId="6841C1E8"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Inhibition of photosystem II in plants</w:t>
            </w:r>
          </w:p>
        </w:tc>
        <w:tc>
          <w:tcPr>
            <w:tcW w:w="1597" w:type="dxa"/>
            <w:vAlign w:val="center"/>
            <w:hideMark/>
          </w:tcPr>
          <w:p w14:paraId="3DB8DF33"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Moderate persistence in soil and water</w:t>
            </w:r>
          </w:p>
        </w:tc>
        <w:tc>
          <w:tcPr>
            <w:tcW w:w="2092" w:type="dxa"/>
            <w:vAlign w:val="center"/>
            <w:hideMark/>
          </w:tcPr>
          <w:p w14:paraId="785777B3"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Endocrine-disrupting potential; reproductive toxicity concerns</w:t>
            </w:r>
          </w:p>
        </w:tc>
      </w:tr>
      <w:tr w:rsidR="005627FD" w:rsidRPr="00FA61C7" w14:paraId="5AD055D5" w14:textId="77777777" w:rsidTr="00FA61C7">
        <w:trPr>
          <w:tblCellSpacing w:w="15" w:type="dxa"/>
        </w:trPr>
        <w:tc>
          <w:tcPr>
            <w:tcW w:w="2007" w:type="dxa"/>
            <w:vAlign w:val="center"/>
            <w:hideMark/>
          </w:tcPr>
          <w:p w14:paraId="36B229DC"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b/>
                <w:bCs/>
                <w:sz w:val="20"/>
                <w:szCs w:val="20"/>
              </w:rPr>
              <w:t>Fungicides (</w:t>
            </w:r>
            <w:proofErr w:type="spellStart"/>
            <w:r w:rsidRPr="00FA61C7">
              <w:rPr>
                <w:rFonts w:ascii="Arial" w:hAnsi="Arial" w:cs="Arial"/>
                <w:b/>
                <w:bCs/>
                <w:sz w:val="20"/>
                <w:szCs w:val="20"/>
              </w:rPr>
              <w:t>Dithiocarbamates</w:t>
            </w:r>
            <w:proofErr w:type="spellEnd"/>
            <w:r w:rsidRPr="00FA61C7">
              <w:rPr>
                <w:rFonts w:ascii="Arial" w:hAnsi="Arial" w:cs="Arial"/>
                <w:b/>
                <w:bCs/>
                <w:sz w:val="20"/>
                <w:szCs w:val="20"/>
              </w:rPr>
              <w:t>, Phthalimides)</w:t>
            </w:r>
          </w:p>
        </w:tc>
        <w:tc>
          <w:tcPr>
            <w:tcW w:w="1661" w:type="dxa"/>
            <w:vAlign w:val="center"/>
            <w:hideMark/>
          </w:tcPr>
          <w:p w14:paraId="6BFCA826"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 xml:space="preserve">Mancozeb, </w:t>
            </w:r>
            <w:proofErr w:type="spellStart"/>
            <w:r w:rsidRPr="00FA61C7">
              <w:rPr>
                <w:rFonts w:ascii="Arial" w:hAnsi="Arial" w:cs="Arial"/>
                <w:sz w:val="20"/>
                <w:szCs w:val="20"/>
              </w:rPr>
              <w:t>Captan</w:t>
            </w:r>
            <w:proofErr w:type="spellEnd"/>
          </w:p>
        </w:tc>
        <w:tc>
          <w:tcPr>
            <w:tcW w:w="1885" w:type="dxa"/>
            <w:vAlign w:val="center"/>
            <w:hideMark/>
          </w:tcPr>
          <w:p w14:paraId="56CBA1BB"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Disruption of fungal enzyme systems; thiol reactivity</w:t>
            </w:r>
          </w:p>
        </w:tc>
        <w:tc>
          <w:tcPr>
            <w:tcW w:w="1597" w:type="dxa"/>
            <w:vAlign w:val="center"/>
            <w:hideMark/>
          </w:tcPr>
          <w:p w14:paraId="5D085A60"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Moderate persistence; degradable under environmental conditions</w:t>
            </w:r>
          </w:p>
        </w:tc>
        <w:tc>
          <w:tcPr>
            <w:tcW w:w="2092" w:type="dxa"/>
            <w:vAlign w:val="center"/>
            <w:hideMark/>
          </w:tcPr>
          <w:p w14:paraId="247FEDBE"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Skin and respiratory irritation; possible mutagenicity (compound-specific)</w:t>
            </w:r>
          </w:p>
        </w:tc>
      </w:tr>
      <w:tr w:rsidR="005627FD" w:rsidRPr="00FA61C7" w14:paraId="2DCD736B" w14:textId="77777777" w:rsidTr="00FA61C7">
        <w:trPr>
          <w:tblCellSpacing w:w="15" w:type="dxa"/>
        </w:trPr>
        <w:tc>
          <w:tcPr>
            <w:tcW w:w="2007" w:type="dxa"/>
            <w:vAlign w:val="center"/>
            <w:hideMark/>
          </w:tcPr>
          <w:p w14:paraId="0579B4FC"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b/>
                <w:bCs/>
                <w:sz w:val="20"/>
                <w:szCs w:val="20"/>
              </w:rPr>
              <w:t>Rodenticides (Anticoagulants)</w:t>
            </w:r>
          </w:p>
        </w:tc>
        <w:tc>
          <w:tcPr>
            <w:tcW w:w="1661" w:type="dxa"/>
            <w:vAlign w:val="center"/>
            <w:hideMark/>
          </w:tcPr>
          <w:p w14:paraId="2920CA8A"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Warfarin, Brodifacoum</w:t>
            </w:r>
          </w:p>
        </w:tc>
        <w:tc>
          <w:tcPr>
            <w:tcW w:w="1885" w:type="dxa"/>
            <w:vAlign w:val="center"/>
            <w:hideMark/>
          </w:tcPr>
          <w:p w14:paraId="6A06E34D"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Inhibition of vitamin K–dependent clotting factor synthesis</w:t>
            </w:r>
          </w:p>
        </w:tc>
        <w:tc>
          <w:tcPr>
            <w:tcW w:w="1597" w:type="dxa"/>
            <w:vAlign w:val="center"/>
            <w:hideMark/>
          </w:tcPr>
          <w:p w14:paraId="254AF2A4"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Variable; some second-generation compounds highly persistent</w:t>
            </w:r>
          </w:p>
        </w:tc>
        <w:tc>
          <w:tcPr>
            <w:tcW w:w="2092" w:type="dxa"/>
            <w:vAlign w:val="center"/>
            <w:hideMark/>
          </w:tcPr>
          <w:p w14:paraId="474B461C" w14:textId="77777777" w:rsidR="005627FD" w:rsidRPr="00FA61C7" w:rsidRDefault="005627FD" w:rsidP="00FA61C7">
            <w:pPr>
              <w:spacing w:after="0" w:line="240" w:lineRule="auto"/>
              <w:rPr>
                <w:rFonts w:ascii="Arial" w:hAnsi="Arial" w:cs="Arial"/>
                <w:sz w:val="20"/>
                <w:szCs w:val="20"/>
              </w:rPr>
            </w:pPr>
            <w:r w:rsidRPr="00FA61C7">
              <w:rPr>
                <w:rFonts w:ascii="Arial" w:hAnsi="Arial" w:cs="Arial"/>
                <w:sz w:val="20"/>
                <w:szCs w:val="20"/>
              </w:rPr>
              <w:t>Hemorrhagic toxicity; prolonged bleeding disorders</w:t>
            </w:r>
          </w:p>
        </w:tc>
      </w:tr>
    </w:tbl>
    <w:p w14:paraId="5518856D" w14:textId="77777777" w:rsidR="00F46312" w:rsidRDefault="00F46312" w:rsidP="005627FD">
      <w:pPr>
        <w:rPr>
          <w:rFonts w:ascii="Arial" w:hAnsi="Arial" w:cs="Arial"/>
          <w:sz w:val="20"/>
          <w:szCs w:val="20"/>
        </w:rPr>
      </w:pPr>
    </w:p>
    <w:p w14:paraId="5C0B420A" w14:textId="77777777" w:rsidR="00F46312" w:rsidRDefault="00F46312">
      <w:pPr>
        <w:rPr>
          <w:rFonts w:ascii="Arial" w:hAnsi="Arial" w:cs="Arial"/>
          <w:sz w:val="20"/>
          <w:szCs w:val="20"/>
        </w:rPr>
      </w:pPr>
      <w:r>
        <w:rPr>
          <w:rFonts w:ascii="Arial" w:hAnsi="Arial" w:cs="Arial"/>
          <w:sz w:val="20"/>
          <w:szCs w:val="20"/>
        </w:rPr>
        <w:br w:type="page"/>
      </w:r>
    </w:p>
    <w:p w14:paraId="07E3BD3C" w14:textId="387990B1" w:rsidR="00F46312" w:rsidRPr="00F46312" w:rsidRDefault="00F46312" w:rsidP="00F46312">
      <w:pPr>
        <w:rPr>
          <w:rFonts w:ascii="Arial" w:hAnsi="Arial" w:cs="Arial"/>
          <w:b/>
          <w:sz w:val="20"/>
          <w:szCs w:val="20"/>
        </w:rPr>
      </w:pPr>
      <w:r w:rsidRPr="00F46312">
        <w:rPr>
          <w:rFonts w:ascii="Arial" w:hAnsi="Arial" w:cs="Arial"/>
          <w:b/>
          <w:sz w:val="20"/>
          <w:szCs w:val="20"/>
        </w:rPr>
        <w:lastRenderedPageBreak/>
        <w:t xml:space="preserve">Table </w:t>
      </w:r>
      <w:r w:rsidR="00C0314D">
        <w:rPr>
          <w:rFonts w:ascii="Arial" w:hAnsi="Arial" w:cs="Arial"/>
          <w:b/>
          <w:sz w:val="20"/>
          <w:szCs w:val="20"/>
        </w:rPr>
        <w:t>2</w:t>
      </w:r>
      <w:r w:rsidRPr="00F46312">
        <w:rPr>
          <w:rFonts w:ascii="Arial" w:hAnsi="Arial" w:cs="Arial"/>
          <w:b/>
          <w:sz w:val="20"/>
          <w:szCs w:val="20"/>
        </w:rPr>
        <w:t xml:space="preserve">: Negative </w:t>
      </w:r>
      <w:r>
        <w:rPr>
          <w:rFonts w:ascii="Arial" w:hAnsi="Arial" w:cs="Arial"/>
          <w:b/>
          <w:sz w:val="20"/>
          <w:szCs w:val="20"/>
        </w:rPr>
        <w:t xml:space="preserve">environmental </w:t>
      </w:r>
      <w:r w:rsidRPr="00F46312">
        <w:rPr>
          <w:rFonts w:ascii="Arial" w:hAnsi="Arial" w:cs="Arial"/>
          <w:b/>
          <w:sz w:val="20"/>
          <w:szCs w:val="20"/>
        </w:rPr>
        <w:t>impacts of pesticides</w:t>
      </w:r>
    </w:p>
    <w:tbl>
      <w:tblPr>
        <w:tblW w:w="9364" w:type="dxa"/>
        <w:tblCellSpacing w:w="15" w:type="dxa"/>
        <w:tblInd w:w="-355" w:type="dxa"/>
        <w:tblCellMar>
          <w:top w:w="15" w:type="dxa"/>
          <w:left w:w="15" w:type="dxa"/>
          <w:bottom w:w="15" w:type="dxa"/>
          <w:right w:w="15" w:type="dxa"/>
        </w:tblCellMar>
        <w:tblLook w:val="04A0" w:firstRow="1" w:lastRow="0" w:firstColumn="1" w:lastColumn="0" w:noHBand="0" w:noVBand="1"/>
      </w:tblPr>
      <w:tblGrid>
        <w:gridCol w:w="2074"/>
        <w:gridCol w:w="2400"/>
        <w:gridCol w:w="2446"/>
        <w:gridCol w:w="2444"/>
      </w:tblGrid>
      <w:tr w:rsidR="005627FD" w:rsidRPr="005627FD" w14:paraId="6697F7FB" w14:textId="77777777" w:rsidTr="00FA61C7">
        <w:trPr>
          <w:tblHeader/>
          <w:tblCellSpacing w:w="15" w:type="dxa"/>
        </w:trPr>
        <w:tc>
          <w:tcPr>
            <w:tcW w:w="2029" w:type="dxa"/>
            <w:vAlign w:val="center"/>
            <w:hideMark/>
          </w:tcPr>
          <w:p w14:paraId="4962699F" w14:textId="77777777" w:rsidR="005627FD" w:rsidRPr="005627FD" w:rsidRDefault="005627FD" w:rsidP="005627FD">
            <w:pPr>
              <w:rPr>
                <w:rFonts w:ascii="Arial" w:hAnsi="Arial" w:cs="Arial"/>
                <w:b/>
                <w:bCs/>
                <w:sz w:val="20"/>
                <w:szCs w:val="20"/>
              </w:rPr>
            </w:pPr>
            <w:r w:rsidRPr="005627FD">
              <w:rPr>
                <w:rFonts w:ascii="Arial" w:hAnsi="Arial" w:cs="Arial"/>
                <w:b/>
                <w:bCs/>
                <w:sz w:val="20"/>
                <w:szCs w:val="20"/>
              </w:rPr>
              <w:t>Ecosystem Component</w:t>
            </w:r>
          </w:p>
        </w:tc>
        <w:tc>
          <w:tcPr>
            <w:tcW w:w="0" w:type="auto"/>
            <w:vAlign w:val="center"/>
            <w:hideMark/>
          </w:tcPr>
          <w:p w14:paraId="5F7ACC74" w14:textId="77777777" w:rsidR="005627FD" w:rsidRPr="005627FD" w:rsidRDefault="005627FD" w:rsidP="005627FD">
            <w:pPr>
              <w:rPr>
                <w:rFonts w:ascii="Arial" w:hAnsi="Arial" w:cs="Arial"/>
                <w:b/>
                <w:bCs/>
                <w:sz w:val="20"/>
                <w:szCs w:val="20"/>
              </w:rPr>
            </w:pPr>
            <w:r w:rsidRPr="005627FD">
              <w:rPr>
                <w:rFonts w:ascii="Arial" w:hAnsi="Arial" w:cs="Arial"/>
                <w:b/>
                <w:bCs/>
                <w:sz w:val="20"/>
                <w:szCs w:val="20"/>
              </w:rPr>
              <w:t>Type of Impact</w:t>
            </w:r>
          </w:p>
        </w:tc>
        <w:tc>
          <w:tcPr>
            <w:tcW w:w="0" w:type="auto"/>
            <w:vAlign w:val="center"/>
            <w:hideMark/>
          </w:tcPr>
          <w:p w14:paraId="05027A3A" w14:textId="77777777" w:rsidR="005627FD" w:rsidRPr="005627FD" w:rsidRDefault="005627FD" w:rsidP="005627FD">
            <w:pPr>
              <w:rPr>
                <w:rFonts w:ascii="Arial" w:hAnsi="Arial" w:cs="Arial"/>
                <w:b/>
                <w:bCs/>
                <w:sz w:val="20"/>
                <w:szCs w:val="20"/>
              </w:rPr>
            </w:pPr>
            <w:r w:rsidRPr="005627FD">
              <w:rPr>
                <w:rFonts w:ascii="Arial" w:hAnsi="Arial" w:cs="Arial"/>
                <w:b/>
                <w:bCs/>
                <w:sz w:val="20"/>
                <w:szCs w:val="20"/>
              </w:rPr>
              <w:t>Mechanism</w:t>
            </w:r>
          </w:p>
        </w:tc>
        <w:tc>
          <w:tcPr>
            <w:tcW w:w="0" w:type="auto"/>
            <w:vAlign w:val="center"/>
            <w:hideMark/>
          </w:tcPr>
          <w:p w14:paraId="4B17AEC1" w14:textId="77777777" w:rsidR="005627FD" w:rsidRPr="005627FD" w:rsidRDefault="005627FD" w:rsidP="005627FD">
            <w:pPr>
              <w:rPr>
                <w:rFonts w:ascii="Arial" w:hAnsi="Arial" w:cs="Arial"/>
                <w:b/>
                <w:bCs/>
                <w:sz w:val="20"/>
                <w:szCs w:val="20"/>
              </w:rPr>
            </w:pPr>
            <w:r w:rsidRPr="005627FD">
              <w:rPr>
                <w:rFonts w:ascii="Arial" w:hAnsi="Arial" w:cs="Arial"/>
                <w:b/>
                <w:bCs/>
                <w:sz w:val="20"/>
                <w:szCs w:val="20"/>
              </w:rPr>
              <w:t>Ecological Consequences</w:t>
            </w:r>
          </w:p>
        </w:tc>
      </w:tr>
      <w:tr w:rsidR="005627FD" w:rsidRPr="005627FD" w14:paraId="2BC3A2EF" w14:textId="77777777" w:rsidTr="00FA61C7">
        <w:trPr>
          <w:tblCellSpacing w:w="15" w:type="dxa"/>
        </w:trPr>
        <w:tc>
          <w:tcPr>
            <w:tcW w:w="2029" w:type="dxa"/>
            <w:vAlign w:val="center"/>
            <w:hideMark/>
          </w:tcPr>
          <w:p w14:paraId="6F11382A" w14:textId="77777777" w:rsidR="005627FD" w:rsidRPr="005627FD" w:rsidRDefault="005627FD" w:rsidP="005627FD">
            <w:pPr>
              <w:rPr>
                <w:rFonts w:ascii="Arial" w:hAnsi="Arial" w:cs="Arial"/>
                <w:sz w:val="20"/>
                <w:szCs w:val="20"/>
              </w:rPr>
            </w:pPr>
            <w:r w:rsidRPr="005627FD">
              <w:rPr>
                <w:rFonts w:ascii="Arial" w:hAnsi="Arial" w:cs="Arial"/>
                <w:b/>
                <w:bCs/>
                <w:sz w:val="20"/>
                <w:szCs w:val="20"/>
              </w:rPr>
              <w:t>Birds (Avifauna)</w:t>
            </w:r>
          </w:p>
        </w:tc>
        <w:tc>
          <w:tcPr>
            <w:tcW w:w="0" w:type="auto"/>
            <w:vAlign w:val="center"/>
            <w:hideMark/>
          </w:tcPr>
          <w:p w14:paraId="02A49740" w14:textId="77777777" w:rsidR="005627FD" w:rsidRPr="005627FD" w:rsidRDefault="005627FD" w:rsidP="005627FD">
            <w:pPr>
              <w:rPr>
                <w:rFonts w:ascii="Arial" w:hAnsi="Arial" w:cs="Arial"/>
                <w:sz w:val="20"/>
                <w:szCs w:val="20"/>
              </w:rPr>
            </w:pPr>
            <w:r w:rsidRPr="005627FD">
              <w:rPr>
                <w:rFonts w:ascii="Arial" w:hAnsi="Arial" w:cs="Arial"/>
                <w:sz w:val="20"/>
                <w:szCs w:val="20"/>
              </w:rPr>
              <w:t>Acute mortality, eggshell thinning</w:t>
            </w:r>
          </w:p>
        </w:tc>
        <w:tc>
          <w:tcPr>
            <w:tcW w:w="0" w:type="auto"/>
            <w:vAlign w:val="center"/>
            <w:hideMark/>
          </w:tcPr>
          <w:p w14:paraId="7F4B2C9E" w14:textId="77777777" w:rsidR="005627FD" w:rsidRPr="005627FD" w:rsidRDefault="005627FD" w:rsidP="005627FD">
            <w:pPr>
              <w:rPr>
                <w:rFonts w:ascii="Arial" w:hAnsi="Arial" w:cs="Arial"/>
                <w:sz w:val="20"/>
                <w:szCs w:val="20"/>
              </w:rPr>
            </w:pPr>
            <w:r w:rsidRPr="005627FD">
              <w:rPr>
                <w:rFonts w:ascii="Arial" w:hAnsi="Arial" w:cs="Arial"/>
                <w:sz w:val="20"/>
                <w:szCs w:val="20"/>
              </w:rPr>
              <w:t>Ingestion of treated seeds; bioaccumulation</w:t>
            </w:r>
          </w:p>
        </w:tc>
        <w:tc>
          <w:tcPr>
            <w:tcW w:w="0" w:type="auto"/>
            <w:vAlign w:val="center"/>
            <w:hideMark/>
          </w:tcPr>
          <w:p w14:paraId="01FB965A" w14:textId="77777777" w:rsidR="005627FD" w:rsidRPr="005627FD" w:rsidRDefault="005627FD" w:rsidP="005627FD">
            <w:pPr>
              <w:rPr>
                <w:rFonts w:ascii="Arial" w:hAnsi="Arial" w:cs="Arial"/>
                <w:sz w:val="20"/>
                <w:szCs w:val="20"/>
              </w:rPr>
            </w:pPr>
            <w:r w:rsidRPr="005627FD">
              <w:rPr>
                <w:rFonts w:ascii="Arial" w:hAnsi="Arial" w:cs="Arial"/>
                <w:sz w:val="20"/>
                <w:szCs w:val="20"/>
              </w:rPr>
              <w:t>Population decline, altered predator-prey dynamics</w:t>
            </w:r>
          </w:p>
        </w:tc>
      </w:tr>
      <w:tr w:rsidR="005627FD" w:rsidRPr="005627FD" w14:paraId="2BED7E06" w14:textId="77777777" w:rsidTr="00FA61C7">
        <w:trPr>
          <w:tblCellSpacing w:w="15" w:type="dxa"/>
        </w:trPr>
        <w:tc>
          <w:tcPr>
            <w:tcW w:w="2029" w:type="dxa"/>
            <w:vAlign w:val="center"/>
            <w:hideMark/>
          </w:tcPr>
          <w:p w14:paraId="0B4E7310" w14:textId="77777777" w:rsidR="005627FD" w:rsidRPr="005627FD" w:rsidRDefault="005627FD" w:rsidP="005627FD">
            <w:pPr>
              <w:rPr>
                <w:rFonts w:ascii="Arial" w:hAnsi="Arial" w:cs="Arial"/>
                <w:sz w:val="20"/>
                <w:szCs w:val="20"/>
              </w:rPr>
            </w:pPr>
            <w:r w:rsidRPr="005627FD">
              <w:rPr>
                <w:rFonts w:ascii="Arial" w:hAnsi="Arial" w:cs="Arial"/>
                <w:b/>
                <w:bCs/>
                <w:sz w:val="20"/>
                <w:szCs w:val="20"/>
              </w:rPr>
              <w:t>Pollinators (Bees, butterflies)</w:t>
            </w:r>
          </w:p>
        </w:tc>
        <w:tc>
          <w:tcPr>
            <w:tcW w:w="0" w:type="auto"/>
            <w:vAlign w:val="center"/>
            <w:hideMark/>
          </w:tcPr>
          <w:p w14:paraId="5BA0D4D3" w14:textId="77777777" w:rsidR="005627FD" w:rsidRPr="005627FD" w:rsidRDefault="005627FD" w:rsidP="005627FD">
            <w:pPr>
              <w:rPr>
                <w:rFonts w:ascii="Arial" w:hAnsi="Arial" w:cs="Arial"/>
                <w:sz w:val="20"/>
                <w:szCs w:val="20"/>
              </w:rPr>
            </w:pPr>
            <w:r w:rsidRPr="005627FD">
              <w:rPr>
                <w:rFonts w:ascii="Arial" w:hAnsi="Arial" w:cs="Arial"/>
                <w:sz w:val="20"/>
                <w:szCs w:val="20"/>
              </w:rPr>
              <w:t>Impaired navigation, reduced colony strength</w:t>
            </w:r>
          </w:p>
        </w:tc>
        <w:tc>
          <w:tcPr>
            <w:tcW w:w="0" w:type="auto"/>
            <w:vAlign w:val="center"/>
            <w:hideMark/>
          </w:tcPr>
          <w:p w14:paraId="44117C57" w14:textId="77777777" w:rsidR="005627FD" w:rsidRPr="005627FD" w:rsidRDefault="005627FD" w:rsidP="005627FD">
            <w:pPr>
              <w:rPr>
                <w:rFonts w:ascii="Arial" w:hAnsi="Arial" w:cs="Arial"/>
                <w:sz w:val="20"/>
                <w:szCs w:val="20"/>
              </w:rPr>
            </w:pPr>
            <w:r w:rsidRPr="005627FD">
              <w:rPr>
                <w:rFonts w:ascii="Arial" w:hAnsi="Arial" w:cs="Arial"/>
                <w:sz w:val="20"/>
                <w:szCs w:val="20"/>
              </w:rPr>
              <w:t>Neonicotinoids in pollen/nectar; immune suppression</w:t>
            </w:r>
          </w:p>
        </w:tc>
        <w:tc>
          <w:tcPr>
            <w:tcW w:w="0" w:type="auto"/>
            <w:vAlign w:val="center"/>
            <w:hideMark/>
          </w:tcPr>
          <w:p w14:paraId="6DDBFFB4" w14:textId="77777777" w:rsidR="005627FD" w:rsidRPr="005627FD" w:rsidRDefault="005627FD" w:rsidP="005627FD">
            <w:pPr>
              <w:rPr>
                <w:rFonts w:ascii="Arial" w:hAnsi="Arial" w:cs="Arial"/>
                <w:sz w:val="20"/>
                <w:szCs w:val="20"/>
              </w:rPr>
            </w:pPr>
            <w:r w:rsidRPr="005627FD">
              <w:rPr>
                <w:rFonts w:ascii="Arial" w:hAnsi="Arial" w:cs="Arial"/>
                <w:sz w:val="20"/>
                <w:szCs w:val="20"/>
              </w:rPr>
              <w:t>Colony collapse, reduced crop pollination</w:t>
            </w:r>
          </w:p>
        </w:tc>
      </w:tr>
      <w:tr w:rsidR="005627FD" w:rsidRPr="005627FD" w14:paraId="324BC344" w14:textId="77777777" w:rsidTr="00FA61C7">
        <w:trPr>
          <w:tblCellSpacing w:w="15" w:type="dxa"/>
        </w:trPr>
        <w:tc>
          <w:tcPr>
            <w:tcW w:w="2029" w:type="dxa"/>
            <w:vAlign w:val="center"/>
            <w:hideMark/>
          </w:tcPr>
          <w:p w14:paraId="510879BB" w14:textId="77777777" w:rsidR="005627FD" w:rsidRPr="005627FD" w:rsidRDefault="005627FD" w:rsidP="005627FD">
            <w:pPr>
              <w:rPr>
                <w:rFonts w:ascii="Arial" w:hAnsi="Arial" w:cs="Arial"/>
                <w:sz w:val="20"/>
                <w:szCs w:val="20"/>
              </w:rPr>
            </w:pPr>
            <w:r w:rsidRPr="005627FD">
              <w:rPr>
                <w:rFonts w:ascii="Arial" w:hAnsi="Arial" w:cs="Arial"/>
                <w:b/>
                <w:bCs/>
                <w:sz w:val="20"/>
                <w:szCs w:val="20"/>
              </w:rPr>
              <w:t>Aquatic Organisms (Fish, Amphibians)</w:t>
            </w:r>
          </w:p>
        </w:tc>
        <w:tc>
          <w:tcPr>
            <w:tcW w:w="0" w:type="auto"/>
            <w:vAlign w:val="center"/>
            <w:hideMark/>
          </w:tcPr>
          <w:p w14:paraId="4D32D4B2" w14:textId="77777777" w:rsidR="005627FD" w:rsidRPr="005627FD" w:rsidRDefault="005627FD" w:rsidP="005627FD">
            <w:pPr>
              <w:rPr>
                <w:rFonts w:ascii="Arial" w:hAnsi="Arial" w:cs="Arial"/>
                <w:sz w:val="20"/>
                <w:szCs w:val="20"/>
              </w:rPr>
            </w:pPr>
            <w:r w:rsidRPr="005627FD">
              <w:rPr>
                <w:rFonts w:ascii="Arial" w:hAnsi="Arial" w:cs="Arial"/>
                <w:sz w:val="20"/>
                <w:szCs w:val="20"/>
              </w:rPr>
              <w:t>Developmental abnormalities, reproductive failure</w:t>
            </w:r>
          </w:p>
        </w:tc>
        <w:tc>
          <w:tcPr>
            <w:tcW w:w="0" w:type="auto"/>
            <w:vAlign w:val="center"/>
            <w:hideMark/>
          </w:tcPr>
          <w:p w14:paraId="3216A1BB" w14:textId="77777777" w:rsidR="005627FD" w:rsidRPr="005627FD" w:rsidRDefault="005627FD" w:rsidP="005627FD">
            <w:pPr>
              <w:rPr>
                <w:rFonts w:ascii="Arial" w:hAnsi="Arial" w:cs="Arial"/>
                <w:sz w:val="20"/>
                <w:szCs w:val="20"/>
              </w:rPr>
            </w:pPr>
            <w:r w:rsidRPr="005627FD">
              <w:rPr>
                <w:rFonts w:ascii="Arial" w:hAnsi="Arial" w:cs="Arial"/>
                <w:sz w:val="20"/>
                <w:szCs w:val="20"/>
              </w:rPr>
              <w:t>Runoff → water contamination; oxidative stress</w:t>
            </w:r>
          </w:p>
        </w:tc>
        <w:tc>
          <w:tcPr>
            <w:tcW w:w="0" w:type="auto"/>
            <w:vAlign w:val="center"/>
            <w:hideMark/>
          </w:tcPr>
          <w:p w14:paraId="29476072" w14:textId="77777777" w:rsidR="005627FD" w:rsidRPr="005627FD" w:rsidRDefault="005627FD" w:rsidP="005627FD">
            <w:pPr>
              <w:rPr>
                <w:rFonts w:ascii="Arial" w:hAnsi="Arial" w:cs="Arial"/>
                <w:sz w:val="20"/>
                <w:szCs w:val="20"/>
              </w:rPr>
            </w:pPr>
            <w:r w:rsidRPr="005627FD">
              <w:rPr>
                <w:rFonts w:ascii="Arial" w:hAnsi="Arial" w:cs="Arial"/>
                <w:sz w:val="20"/>
                <w:szCs w:val="20"/>
              </w:rPr>
              <w:t>Altered species composition, biodiversity loss</w:t>
            </w:r>
          </w:p>
        </w:tc>
      </w:tr>
      <w:tr w:rsidR="005627FD" w:rsidRPr="005627FD" w14:paraId="3902BF27" w14:textId="77777777" w:rsidTr="00FA61C7">
        <w:trPr>
          <w:tblCellSpacing w:w="15" w:type="dxa"/>
        </w:trPr>
        <w:tc>
          <w:tcPr>
            <w:tcW w:w="2029" w:type="dxa"/>
            <w:vAlign w:val="center"/>
            <w:hideMark/>
          </w:tcPr>
          <w:p w14:paraId="1F8ED6FB" w14:textId="77777777" w:rsidR="005627FD" w:rsidRPr="005627FD" w:rsidRDefault="005627FD" w:rsidP="005627FD">
            <w:pPr>
              <w:rPr>
                <w:rFonts w:ascii="Arial" w:hAnsi="Arial" w:cs="Arial"/>
                <w:sz w:val="20"/>
                <w:szCs w:val="20"/>
              </w:rPr>
            </w:pPr>
            <w:r w:rsidRPr="005627FD">
              <w:rPr>
                <w:rFonts w:ascii="Arial" w:hAnsi="Arial" w:cs="Arial"/>
                <w:b/>
                <w:bCs/>
                <w:sz w:val="20"/>
                <w:szCs w:val="20"/>
              </w:rPr>
              <w:t>Soil Microbiota</w:t>
            </w:r>
          </w:p>
        </w:tc>
        <w:tc>
          <w:tcPr>
            <w:tcW w:w="0" w:type="auto"/>
            <w:vAlign w:val="center"/>
            <w:hideMark/>
          </w:tcPr>
          <w:p w14:paraId="45DA1567" w14:textId="77777777" w:rsidR="005627FD" w:rsidRPr="005627FD" w:rsidRDefault="005627FD" w:rsidP="005627FD">
            <w:pPr>
              <w:rPr>
                <w:rFonts w:ascii="Arial" w:hAnsi="Arial" w:cs="Arial"/>
                <w:sz w:val="20"/>
                <w:szCs w:val="20"/>
              </w:rPr>
            </w:pPr>
            <w:r w:rsidRPr="005627FD">
              <w:rPr>
                <w:rFonts w:ascii="Arial" w:hAnsi="Arial" w:cs="Arial"/>
                <w:sz w:val="20"/>
                <w:szCs w:val="20"/>
              </w:rPr>
              <w:t>Reduced microbial biomass and enzymatic activity</w:t>
            </w:r>
          </w:p>
        </w:tc>
        <w:tc>
          <w:tcPr>
            <w:tcW w:w="0" w:type="auto"/>
            <w:vAlign w:val="center"/>
            <w:hideMark/>
          </w:tcPr>
          <w:p w14:paraId="5A73EF6D" w14:textId="77777777" w:rsidR="005627FD" w:rsidRPr="005627FD" w:rsidRDefault="005627FD" w:rsidP="005627FD">
            <w:pPr>
              <w:rPr>
                <w:rFonts w:ascii="Arial" w:hAnsi="Arial" w:cs="Arial"/>
                <w:sz w:val="20"/>
                <w:szCs w:val="20"/>
              </w:rPr>
            </w:pPr>
            <w:r w:rsidRPr="005627FD">
              <w:rPr>
                <w:rFonts w:ascii="Arial" w:hAnsi="Arial" w:cs="Arial"/>
                <w:sz w:val="20"/>
                <w:szCs w:val="20"/>
              </w:rPr>
              <w:t>Disruption of nutrient cycling pathways</w:t>
            </w:r>
          </w:p>
        </w:tc>
        <w:tc>
          <w:tcPr>
            <w:tcW w:w="0" w:type="auto"/>
            <w:vAlign w:val="center"/>
            <w:hideMark/>
          </w:tcPr>
          <w:p w14:paraId="2CB50EBA" w14:textId="77777777" w:rsidR="005627FD" w:rsidRPr="005627FD" w:rsidRDefault="005627FD" w:rsidP="005627FD">
            <w:pPr>
              <w:rPr>
                <w:rFonts w:ascii="Arial" w:hAnsi="Arial" w:cs="Arial"/>
                <w:sz w:val="20"/>
                <w:szCs w:val="20"/>
              </w:rPr>
            </w:pPr>
            <w:r w:rsidRPr="005627FD">
              <w:rPr>
                <w:rFonts w:ascii="Arial" w:hAnsi="Arial" w:cs="Arial"/>
                <w:sz w:val="20"/>
                <w:szCs w:val="20"/>
              </w:rPr>
              <w:t>Impaired soil fertility, reduced ecosystem productivity</w:t>
            </w:r>
          </w:p>
        </w:tc>
      </w:tr>
      <w:tr w:rsidR="005627FD" w:rsidRPr="005627FD" w14:paraId="78F93E62" w14:textId="77777777" w:rsidTr="00FA61C7">
        <w:trPr>
          <w:tblCellSpacing w:w="15" w:type="dxa"/>
        </w:trPr>
        <w:tc>
          <w:tcPr>
            <w:tcW w:w="2029" w:type="dxa"/>
            <w:vAlign w:val="center"/>
            <w:hideMark/>
          </w:tcPr>
          <w:p w14:paraId="396BFCE1" w14:textId="77777777" w:rsidR="005627FD" w:rsidRPr="005627FD" w:rsidRDefault="005627FD" w:rsidP="005627FD">
            <w:pPr>
              <w:rPr>
                <w:rFonts w:ascii="Arial" w:hAnsi="Arial" w:cs="Arial"/>
                <w:sz w:val="20"/>
                <w:szCs w:val="20"/>
              </w:rPr>
            </w:pPr>
            <w:r w:rsidRPr="005627FD">
              <w:rPr>
                <w:rFonts w:ascii="Arial" w:hAnsi="Arial" w:cs="Arial"/>
                <w:b/>
                <w:bCs/>
                <w:sz w:val="20"/>
                <w:szCs w:val="20"/>
              </w:rPr>
              <w:t>Non-target Invertebrates</w:t>
            </w:r>
          </w:p>
        </w:tc>
        <w:tc>
          <w:tcPr>
            <w:tcW w:w="0" w:type="auto"/>
            <w:vAlign w:val="center"/>
            <w:hideMark/>
          </w:tcPr>
          <w:p w14:paraId="7ED1290A" w14:textId="77777777" w:rsidR="005627FD" w:rsidRPr="005627FD" w:rsidRDefault="005627FD" w:rsidP="005627FD">
            <w:pPr>
              <w:rPr>
                <w:rFonts w:ascii="Arial" w:hAnsi="Arial" w:cs="Arial"/>
                <w:sz w:val="20"/>
                <w:szCs w:val="20"/>
              </w:rPr>
            </w:pPr>
            <w:r w:rsidRPr="005627FD">
              <w:rPr>
                <w:rFonts w:ascii="Arial" w:hAnsi="Arial" w:cs="Arial"/>
                <w:sz w:val="20"/>
                <w:szCs w:val="20"/>
              </w:rPr>
              <w:t>Sublethal neurotoxicity</w:t>
            </w:r>
          </w:p>
        </w:tc>
        <w:tc>
          <w:tcPr>
            <w:tcW w:w="0" w:type="auto"/>
            <w:vAlign w:val="center"/>
            <w:hideMark/>
          </w:tcPr>
          <w:p w14:paraId="392054A7" w14:textId="77777777" w:rsidR="005627FD" w:rsidRPr="005627FD" w:rsidRDefault="005627FD" w:rsidP="005627FD">
            <w:pPr>
              <w:rPr>
                <w:rFonts w:ascii="Arial" w:hAnsi="Arial" w:cs="Arial"/>
                <w:sz w:val="20"/>
                <w:szCs w:val="20"/>
              </w:rPr>
            </w:pPr>
            <w:r w:rsidRPr="005627FD">
              <w:rPr>
                <w:rFonts w:ascii="Arial" w:hAnsi="Arial" w:cs="Arial"/>
                <w:sz w:val="20"/>
                <w:szCs w:val="20"/>
              </w:rPr>
              <w:t>Ion channel interference</w:t>
            </w:r>
          </w:p>
        </w:tc>
        <w:tc>
          <w:tcPr>
            <w:tcW w:w="0" w:type="auto"/>
            <w:vAlign w:val="center"/>
            <w:hideMark/>
          </w:tcPr>
          <w:p w14:paraId="285C536D" w14:textId="77777777" w:rsidR="005627FD" w:rsidRPr="005627FD" w:rsidRDefault="005627FD" w:rsidP="005627FD">
            <w:pPr>
              <w:rPr>
                <w:rFonts w:ascii="Arial" w:hAnsi="Arial" w:cs="Arial"/>
                <w:sz w:val="20"/>
                <w:szCs w:val="20"/>
              </w:rPr>
            </w:pPr>
            <w:r w:rsidRPr="005627FD">
              <w:rPr>
                <w:rFonts w:ascii="Arial" w:hAnsi="Arial" w:cs="Arial"/>
                <w:sz w:val="20"/>
                <w:szCs w:val="20"/>
              </w:rPr>
              <w:t>Food web disruption</w:t>
            </w:r>
          </w:p>
        </w:tc>
      </w:tr>
      <w:tr w:rsidR="005627FD" w:rsidRPr="005627FD" w14:paraId="62DDA5ED" w14:textId="77777777" w:rsidTr="00FA61C7">
        <w:trPr>
          <w:tblCellSpacing w:w="15" w:type="dxa"/>
        </w:trPr>
        <w:tc>
          <w:tcPr>
            <w:tcW w:w="2029" w:type="dxa"/>
            <w:vAlign w:val="center"/>
            <w:hideMark/>
          </w:tcPr>
          <w:p w14:paraId="0CDB21E0" w14:textId="77777777" w:rsidR="005627FD" w:rsidRPr="005627FD" w:rsidRDefault="005627FD" w:rsidP="005627FD">
            <w:pPr>
              <w:rPr>
                <w:rFonts w:ascii="Arial" w:hAnsi="Arial" w:cs="Arial"/>
                <w:sz w:val="20"/>
                <w:szCs w:val="20"/>
              </w:rPr>
            </w:pPr>
            <w:r w:rsidRPr="005627FD">
              <w:rPr>
                <w:rFonts w:ascii="Arial" w:hAnsi="Arial" w:cs="Arial"/>
                <w:b/>
                <w:bCs/>
                <w:sz w:val="20"/>
                <w:szCs w:val="20"/>
              </w:rPr>
              <w:t>Top Predators</w:t>
            </w:r>
          </w:p>
        </w:tc>
        <w:tc>
          <w:tcPr>
            <w:tcW w:w="0" w:type="auto"/>
            <w:vAlign w:val="center"/>
            <w:hideMark/>
          </w:tcPr>
          <w:p w14:paraId="4DAF53FC" w14:textId="77777777" w:rsidR="005627FD" w:rsidRPr="005627FD" w:rsidRDefault="005627FD" w:rsidP="005627FD">
            <w:pPr>
              <w:rPr>
                <w:rFonts w:ascii="Arial" w:hAnsi="Arial" w:cs="Arial"/>
                <w:sz w:val="20"/>
                <w:szCs w:val="20"/>
              </w:rPr>
            </w:pPr>
            <w:r w:rsidRPr="005627FD">
              <w:rPr>
                <w:rFonts w:ascii="Arial" w:hAnsi="Arial" w:cs="Arial"/>
                <w:sz w:val="20"/>
                <w:szCs w:val="20"/>
              </w:rPr>
              <w:t>Biomagnification</w:t>
            </w:r>
          </w:p>
        </w:tc>
        <w:tc>
          <w:tcPr>
            <w:tcW w:w="0" w:type="auto"/>
            <w:vAlign w:val="center"/>
            <w:hideMark/>
          </w:tcPr>
          <w:p w14:paraId="5A35BA92" w14:textId="77777777" w:rsidR="005627FD" w:rsidRPr="005627FD" w:rsidRDefault="005627FD" w:rsidP="005627FD">
            <w:pPr>
              <w:rPr>
                <w:rFonts w:ascii="Arial" w:hAnsi="Arial" w:cs="Arial"/>
                <w:sz w:val="20"/>
                <w:szCs w:val="20"/>
              </w:rPr>
            </w:pPr>
            <w:r w:rsidRPr="005627FD">
              <w:rPr>
                <w:rFonts w:ascii="Arial" w:hAnsi="Arial" w:cs="Arial"/>
                <w:sz w:val="20"/>
                <w:szCs w:val="20"/>
              </w:rPr>
              <w:t>Lipophilic persistence</w:t>
            </w:r>
          </w:p>
        </w:tc>
        <w:tc>
          <w:tcPr>
            <w:tcW w:w="0" w:type="auto"/>
            <w:vAlign w:val="center"/>
            <w:hideMark/>
          </w:tcPr>
          <w:p w14:paraId="5A434C94" w14:textId="77777777" w:rsidR="005627FD" w:rsidRPr="005627FD" w:rsidRDefault="005627FD" w:rsidP="005627FD">
            <w:pPr>
              <w:rPr>
                <w:rFonts w:ascii="Arial" w:hAnsi="Arial" w:cs="Arial"/>
                <w:sz w:val="20"/>
                <w:szCs w:val="20"/>
              </w:rPr>
            </w:pPr>
            <w:r w:rsidRPr="005627FD">
              <w:rPr>
                <w:rFonts w:ascii="Arial" w:hAnsi="Arial" w:cs="Arial"/>
                <w:sz w:val="20"/>
                <w:szCs w:val="20"/>
              </w:rPr>
              <w:t>Trophic cascades</w:t>
            </w:r>
          </w:p>
        </w:tc>
      </w:tr>
      <w:tr w:rsidR="005627FD" w:rsidRPr="005627FD" w14:paraId="7B6E59BF" w14:textId="77777777" w:rsidTr="00FA61C7">
        <w:trPr>
          <w:tblCellSpacing w:w="15" w:type="dxa"/>
        </w:trPr>
        <w:tc>
          <w:tcPr>
            <w:tcW w:w="2029" w:type="dxa"/>
            <w:vAlign w:val="center"/>
            <w:hideMark/>
          </w:tcPr>
          <w:p w14:paraId="6C335EF8" w14:textId="77777777" w:rsidR="005627FD" w:rsidRPr="005627FD" w:rsidRDefault="005627FD" w:rsidP="005627FD">
            <w:pPr>
              <w:rPr>
                <w:rFonts w:ascii="Arial" w:hAnsi="Arial" w:cs="Arial"/>
                <w:sz w:val="20"/>
                <w:szCs w:val="20"/>
              </w:rPr>
            </w:pPr>
            <w:r w:rsidRPr="005627FD">
              <w:rPr>
                <w:rFonts w:ascii="Arial" w:hAnsi="Arial" w:cs="Arial"/>
                <w:b/>
                <w:bCs/>
                <w:sz w:val="20"/>
                <w:szCs w:val="20"/>
              </w:rPr>
              <w:t>Sediment Microbes</w:t>
            </w:r>
          </w:p>
        </w:tc>
        <w:tc>
          <w:tcPr>
            <w:tcW w:w="0" w:type="auto"/>
            <w:vAlign w:val="center"/>
            <w:hideMark/>
          </w:tcPr>
          <w:p w14:paraId="09CF4330" w14:textId="77777777" w:rsidR="005627FD" w:rsidRPr="005627FD" w:rsidRDefault="005627FD" w:rsidP="005627FD">
            <w:pPr>
              <w:rPr>
                <w:rFonts w:ascii="Arial" w:hAnsi="Arial" w:cs="Arial"/>
                <w:sz w:val="20"/>
                <w:szCs w:val="20"/>
              </w:rPr>
            </w:pPr>
            <w:r w:rsidRPr="005627FD">
              <w:rPr>
                <w:rFonts w:ascii="Arial" w:hAnsi="Arial" w:cs="Arial"/>
                <w:sz w:val="20"/>
                <w:szCs w:val="20"/>
              </w:rPr>
              <w:t>Altered nitrogen/carbon cycling</w:t>
            </w:r>
          </w:p>
        </w:tc>
        <w:tc>
          <w:tcPr>
            <w:tcW w:w="0" w:type="auto"/>
            <w:vAlign w:val="center"/>
            <w:hideMark/>
          </w:tcPr>
          <w:p w14:paraId="6F513BE9" w14:textId="77777777" w:rsidR="005627FD" w:rsidRPr="005627FD" w:rsidRDefault="005627FD" w:rsidP="005627FD">
            <w:pPr>
              <w:rPr>
                <w:rFonts w:ascii="Arial" w:hAnsi="Arial" w:cs="Arial"/>
                <w:sz w:val="20"/>
                <w:szCs w:val="20"/>
              </w:rPr>
            </w:pPr>
            <w:r w:rsidRPr="005627FD">
              <w:rPr>
                <w:rFonts w:ascii="Arial" w:hAnsi="Arial" w:cs="Arial"/>
                <w:sz w:val="20"/>
                <w:szCs w:val="20"/>
              </w:rPr>
              <w:t>Oxidative and enzymatic inhibition</w:t>
            </w:r>
          </w:p>
        </w:tc>
        <w:tc>
          <w:tcPr>
            <w:tcW w:w="0" w:type="auto"/>
            <w:vAlign w:val="center"/>
            <w:hideMark/>
          </w:tcPr>
          <w:p w14:paraId="1A7451AF" w14:textId="77777777" w:rsidR="005627FD" w:rsidRPr="005627FD" w:rsidRDefault="005627FD" w:rsidP="005627FD">
            <w:pPr>
              <w:rPr>
                <w:rFonts w:ascii="Arial" w:hAnsi="Arial" w:cs="Arial"/>
                <w:sz w:val="20"/>
                <w:szCs w:val="20"/>
              </w:rPr>
            </w:pPr>
            <w:r w:rsidRPr="005627FD">
              <w:rPr>
                <w:rFonts w:ascii="Arial" w:hAnsi="Arial" w:cs="Arial"/>
                <w:sz w:val="20"/>
                <w:szCs w:val="20"/>
              </w:rPr>
              <w:t>Ecosystem function destabilization</w:t>
            </w:r>
          </w:p>
        </w:tc>
      </w:tr>
    </w:tbl>
    <w:p w14:paraId="5375F6E9" w14:textId="77777777" w:rsidR="005627FD" w:rsidRPr="005627FD" w:rsidRDefault="005627FD" w:rsidP="005627FD">
      <w:pPr>
        <w:rPr>
          <w:rFonts w:ascii="Arial" w:hAnsi="Arial" w:cs="Arial"/>
          <w:sz w:val="20"/>
          <w:szCs w:val="20"/>
        </w:rPr>
      </w:pPr>
    </w:p>
    <w:p w14:paraId="2AAA50B8" w14:textId="24378575" w:rsidR="00C0314D" w:rsidRDefault="005627FD" w:rsidP="005A7952">
      <w:pPr>
        <w:pStyle w:val="NormalWeb"/>
        <w:jc w:val="both"/>
        <w:rPr>
          <w:noProof/>
        </w:rPr>
      </w:pPr>
      <w:r>
        <w:rPr>
          <w:noProof/>
        </w:rPr>
        <w:br w:type="page"/>
      </w:r>
      <w:r w:rsidR="00C0314D" w:rsidRPr="00C0314D">
        <w:rPr>
          <w:noProof/>
        </w:rPr>
        <w:lastRenderedPageBreak/>
        <w:drawing>
          <wp:inline distT="0" distB="0" distL="0" distR="0" wp14:anchorId="71CB989A" wp14:editId="0D58379C">
            <wp:extent cx="3522136" cy="2836697"/>
            <wp:effectExtent l="0" t="0" r="2540" b="1905"/>
            <wp:docPr id="4" name="Picture 4" descr="D:\2024\Panchgavya 2026\cowpathy dec 2021\Image 1 21 feb 2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2024\Panchgavya 2026\cowpathy dec 2021\Image 1 21 feb 2026.p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t="8925"/>
                    <a:stretch/>
                  </pic:blipFill>
                  <pic:spPr bwMode="auto">
                    <a:xfrm>
                      <a:off x="0" y="0"/>
                      <a:ext cx="3561408" cy="2868327"/>
                    </a:xfrm>
                    <a:prstGeom prst="rect">
                      <a:avLst/>
                    </a:prstGeom>
                    <a:noFill/>
                    <a:ln>
                      <a:noFill/>
                    </a:ln>
                    <a:extLst>
                      <a:ext uri="{53640926-AAD7-44D8-BBD7-CCE9431645EC}">
                        <a14:shadowObscured xmlns:a14="http://schemas.microsoft.com/office/drawing/2010/main"/>
                      </a:ext>
                    </a:extLst>
                  </pic:spPr>
                </pic:pic>
              </a:graphicData>
            </a:graphic>
          </wp:inline>
        </w:drawing>
      </w:r>
    </w:p>
    <w:p w14:paraId="0107A32A" w14:textId="483BCB64" w:rsidR="005A7952" w:rsidRPr="0012380B" w:rsidRDefault="005A7952" w:rsidP="005A7952">
      <w:pPr>
        <w:pStyle w:val="NormalWeb"/>
        <w:jc w:val="both"/>
        <w:rPr>
          <w:rFonts w:ascii="Arial" w:hAnsi="Arial" w:cs="Arial"/>
          <w:b/>
          <w:sz w:val="20"/>
          <w:szCs w:val="20"/>
        </w:rPr>
      </w:pPr>
      <w:r w:rsidRPr="0012380B">
        <w:rPr>
          <w:rFonts w:ascii="Arial" w:hAnsi="Arial" w:cs="Arial"/>
          <w:b/>
          <w:sz w:val="20"/>
          <w:szCs w:val="20"/>
        </w:rPr>
        <w:t xml:space="preserve">Figure 1: Negative effect of pesticides exposure on </w:t>
      </w:r>
      <w:r w:rsidR="005F3873">
        <w:rPr>
          <w:rFonts w:ascii="Arial" w:hAnsi="Arial" w:cs="Arial"/>
          <w:b/>
          <w:sz w:val="20"/>
          <w:szCs w:val="20"/>
        </w:rPr>
        <w:t xml:space="preserve">the </w:t>
      </w:r>
      <w:r w:rsidRPr="0012380B">
        <w:rPr>
          <w:rFonts w:ascii="Arial" w:hAnsi="Arial" w:cs="Arial"/>
          <w:b/>
          <w:sz w:val="20"/>
          <w:szCs w:val="20"/>
        </w:rPr>
        <w:t>health</w:t>
      </w:r>
    </w:p>
    <w:p w14:paraId="274D06EF" w14:textId="510FC089" w:rsidR="0012380B" w:rsidRDefault="0012380B" w:rsidP="005A7952">
      <w:pPr>
        <w:pStyle w:val="NormalWeb"/>
        <w:jc w:val="both"/>
      </w:pPr>
    </w:p>
    <w:p w14:paraId="645A2D12" w14:textId="727FFB8E" w:rsidR="0012380B" w:rsidRDefault="0012380B">
      <w:pPr>
        <w:rPr>
          <w:rFonts w:ascii="Times New Roman" w:eastAsia="Times New Roman" w:hAnsi="Times New Roman" w:cs="Times New Roman"/>
          <w:sz w:val="24"/>
          <w:szCs w:val="24"/>
        </w:rPr>
      </w:pPr>
      <w:r>
        <w:br w:type="page"/>
      </w:r>
    </w:p>
    <w:p w14:paraId="4DAA2C59" w14:textId="275A7523" w:rsidR="0012380B" w:rsidRDefault="0012380B" w:rsidP="0012380B">
      <w:pPr>
        <w:pStyle w:val="NormalWeb"/>
        <w:jc w:val="both"/>
      </w:pPr>
      <w:r w:rsidRPr="0012380B">
        <w:rPr>
          <w:noProof/>
        </w:rPr>
        <w:lastRenderedPageBreak/>
        <w:drawing>
          <wp:inline distT="0" distB="0" distL="0" distR="0" wp14:anchorId="218D8814" wp14:editId="23845916">
            <wp:extent cx="3723103" cy="2865552"/>
            <wp:effectExtent l="0" t="0" r="0" b="0"/>
            <wp:docPr id="5" name="Picture 5" descr="D:\2024\Panchgavya 2026\cowpathy dec 2021\Image 2 21 feb 2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2024\Panchgavya 2026\cowpathy dec 2021\Image 2 21 feb 2026.p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9474"/>
                    <a:stretch/>
                  </pic:blipFill>
                  <pic:spPr bwMode="auto">
                    <a:xfrm>
                      <a:off x="0" y="0"/>
                      <a:ext cx="3750426" cy="2886582"/>
                    </a:xfrm>
                    <a:prstGeom prst="rect">
                      <a:avLst/>
                    </a:prstGeom>
                    <a:noFill/>
                    <a:ln>
                      <a:noFill/>
                    </a:ln>
                    <a:extLst>
                      <a:ext uri="{53640926-AAD7-44D8-BBD7-CCE9431645EC}">
                        <a14:shadowObscured xmlns:a14="http://schemas.microsoft.com/office/drawing/2010/main"/>
                      </a:ext>
                    </a:extLst>
                  </pic:spPr>
                </pic:pic>
              </a:graphicData>
            </a:graphic>
          </wp:inline>
        </w:drawing>
      </w:r>
    </w:p>
    <w:p w14:paraId="544C98E1" w14:textId="5721FB49" w:rsidR="0012380B" w:rsidRPr="0012380B" w:rsidRDefault="0012380B" w:rsidP="0012380B">
      <w:pPr>
        <w:pStyle w:val="NormalWeb"/>
        <w:jc w:val="both"/>
        <w:rPr>
          <w:rFonts w:ascii="Arial" w:hAnsi="Arial" w:cs="Arial"/>
          <w:b/>
          <w:sz w:val="20"/>
          <w:szCs w:val="20"/>
        </w:rPr>
      </w:pPr>
      <w:r w:rsidRPr="0012380B">
        <w:rPr>
          <w:rFonts w:ascii="Arial" w:hAnsi="Arial" w:cs="Arial"/>
          <w:b/>
          <w:sz w:val="20"/>
          <w:szCs w:val="20"/>
        </w:rPr>
        <w:t>Figure 2: Effect of pesticides exposure on</w:t>
      </w:r>
      <w:r w:rsidR="005F3873">
        <w:rPr>
          <w:rFonts w:ascii="Arial" w:hAnsi="Arial" w:cs="Arial"/>
          <w:b/>
          <w:sz w:val="20"/>
          <w:szCs w:val="20"/>
        </w:rPr>
        <w:t xml:space="preserve"> the</w:t>
      </w:r>
      <w:r w:rsidRPr="0012380B">
        <w:rPr>
          <w:rFonts w:ascii="Arial" w:hAnsi="Arial" w:cs="Arial"/>
          <w:b/>
          <w:sz w:val="20"/>
          <w:szCs w:val="20"/>
        </w:rPr>
        <w:t xml:space="preserve"> environment</w:t>
      </w:r>
    </w:p>
    <w:p w14:paraId="32E265A1" w14:textId="77777777" w:rsidR="0012380B" w:rsidRPr="00C0314D" w:rsidRDefault="0012380B" w:rsidP="005A7952">
      <w:pPr>
        <w:pStyle w:val="NormalWeb"/>
        <w:jc w:val="both"/>
      </w:pPr>
    </w:p>
    <w:p w14:paraId="0BF3E47E" w14:textId="77777777" w:rsidR="005627FD" w:rsidRDefault="005627FD">
      <w:pPr>
        <w:rPr>
          <w:rFonts w:ascii="Times New Roman" w:eastAsia="Times New Roman" w:hAnsi="Times New Roman" w:cs="Times New Roman"/>
          <w:noProof/>
          <w:sz w:val="24"/>
          <w:szCs w:val="24"/>
        </w:rPr>
      </w:pPr>
    </w:p>
    <w:sectPr w:rsidR="005627FD" w:rsidSect="00F83199">
      <w:headerReference w:type="even" r:id="rId33"/>
      <w:headerReference w:type="default" r:id="rId34"/>
      <w:footerReference w:type="even" r:id="rId35"/>
      <w:footerReference w:type="default" r:id="rId36"/>
      <w:headerReference w:type="first" r:id="rId37"/>
      <w:footerReference w:type="first" r:id="rId38"/>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E6DCC" w14:textId="77777777" w:rsidR="00D64657" w:rsidRDefault="00D64657" w:rsidP="00C227E7">
      <w:pPr>
        <w:spacing w:after="0" w:line="240" w:lineRule="auto"/>
      </w:pPr>
      <w:r>
        <w:separator/>
      </w:r>
    </w:p>
  </w:endnote>
  <w:endnote w:type="continuationSeparator" w:id="0">
    <w:p w14:paraId="1B8889BF" w14:textId="77777777" w:rsidR="00D64657" w:rsidRDefault="00D64657" w:rsidP="00C2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AF72A" w14:textId="77777777" w:rsidR="00A624D8" w:rsidRDefault="00A62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875119"/>
      <w:docPartObj>
        <w:docPartGallery w:val="Page Numbers (Bottom of Page)"/>
        <w:docPartUnique/>
      </w:docPartObj>
    </w:sdtPr>
    <w:sdtEndPr>
      <w:rPr>
        <w:noProof/>
      </w:rPr>
    </w:sdtEndPr>
    <w:sdtContent>
      <w:p w14:paraId="39B5B62E" w14:textId="1FBCE835" w:rsidR="00C227E7" w:rsidRDefault="00C227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D3CC30" w14:textId="77777777" w:rsidR="00C227E7" w:rsidRDefault="00C22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3B6F" w14:textId="77777777" w:rsidR="00A624D8" w:rsidRDefault="00A62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6D805" w14:textId="77777777" w:rsidR="00D64657" w:rsidRDefault="00D64657" w:rsidP="00C227E7">
      <w:pPr>
        <w:spacing w:after="0" w:line="240" w:lineRule="auto"/>
      </w:pPr>
      <w:r>
        <w:separator/>
      </w:r>
    </w:p>
  </w:footnote>
  <w:footnote w:type="continuationSeparator" w:id="0">
    <w:p w14:paraId="7B119872" w14:textId="77777777" w:rsidR="00D64657" w:rsidRDefault="00D64657" w:rsidP="00C22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81230" w14:textId="394103E2" w:rsidR="00A624D8" w:rsidRDefault="00D64657">
    <w:pPr>
      <w:pStyle w:val="Header"/>
    </w:pPr>
    <w:r>
      <w:rPr>
        <w:noProof/>
      </w:rPr>
      <w:pict w14:anchorId="7D336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C31FF" w14:textId="296E54F2" w:rsidR="00A624D8" w:rsidRDefault="00D64657">
    <w:pPr>
      <w:pStyle w:val="Header"/>
    </w:pPr>
    <w:r>
      <w:rPr>
        <w:noProof/>
      </w:rPr>
      <w:pict w14:anchorId="589A1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3FF6E" w14:textId="56C86F85" w:rsidR="00A624D8" w:rsidRDefault="00D64657">
    <w:pPr>
      <w:pStyle w:val="Header"/>
    </w:pPr>
    <w:r>
      <w:rPr>
        <w:noProof/>
      </w:rPr>
      <w:pict w14:anchorId="36D2F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D38AF"/>
    <w:multiLevelType w:val="multilevel"/>
    <w:tmpl w:val="8F984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3605EF"/>
    <w:multiLevelType w:val="multilevel"/>
    <w:tmpl w:val="A61E7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4A"/>
    <w:rsid w:val="00025C0D"/>
    <w:rsid w:val="00037C9B"/>
    <w:rsid w:val="00044F7C"/>
    <w:rsid w:val="000E5410"/>
    <w:rsid w:val="000F250B"/>
    <w:rsid w:val="0011732B"/>
    <w:rsid w:val="00121529"/>
    <w:rsid w:val="0012380B"/>
    <w:rsid w:val="00130D7E"/>
    <w:rsid w:val="00152A68"/>
    <w:rsid w:val="00167D06"/>
    <w:rsid w:val="001930B3"/>
    <w:rsid w:val="001A6821"/>
    <w:rsid w:val="001F7346"/>
    <w:rsid w:val="00220829"/>
    <w:rsid w:val="00224042"/>
    <w:rsid w:val="00233EE9"/>
    <w:rsid w:val="00272108"/>
    <w:rsid w:val="00272833"/>
    <w:rsid w:val="002B54AA"/>
    <w:rsid w:val="002F5BCC"/>
    <w:rsid w:val="002F6B4A"/>
    <w:rsid w:val="003163E0"/>
    <w:rsid w:val="00383543"/>
    <w:rsid w:val="00383DD4"/>
    <w:rsid w:val="00392B68"/>
    <w:rsid w:val="004127D4"/>
    <w:rsid w:val="00413DAC"/>
    <w:rsid w:val="00431A00"/>
    <w:rsid w:val="004454EA"/>
    <w:rsid w:val="004C2712"/>
    <w:rsid w:val="004D458B"/>
    <w:rsid w:val="004D539C"/>
    <w:rsid w:val="00500C47"/>
    <w:rsid w:val="0050671B"/>
    <w:rsid w:val="005248E2"/>
    <w:rsid w:val="00531E52"/>
    <w:rsid w:val="00547AA7"/>
    <w:rsid w:val="005553EC"/>
    <w:rsid w:val="005627FD"/>
    <w:rsid w:val="00562ABC"/>
    <w:rsid w:val="005760D1"/>
    <w:rsid w:val="005A2A7E"/>
    <w:rsid w:val="005A7952"/>
    <w:rsid w:val="005C00FB"/>
    <w:rsid w:val="005F3873"/>
    <w:rsid w:val="005F3FF9"/>
    <w:rsid w:val="005F65A4"/>
    <w:rsid w:val="006102DC"/>
    <w:rsid w:val="00614048"/>
    <w:rsid w:val="00626FBF"/>
    <w:rsid w:val="006B3D57"/>
    <w:rsid w:val="007019A1"/>
    <w:rsid w:val="00713938"/>
    <w:rsid w:val="00772E5C"/>
    <w:rsid w:val="007D216C"/>
    <w:rsid w:val="00813E20"/>
    <w:rsid w:val="00824838"/>
    <w:rsid w:val="0082646A"/>
    <w:rsid w:val="0085615E"/>
    <w:rsid w:val="0086345C"/>
    <w:rsid w:val="00865FB3"/>
    <w:rsid w:val="00896DE2"/>
    <w:rsid w:val="008B7422"/>
    <w:rsid w:val="008B7844"/>
    <w:rsid w:val="008D725C"/>
    <w:rsid w:val="008F02BD"/>
    <w:rsid w:val="0094184B"/>
    <w:rsid w:val="00965275"/>
    <w:rsid w:val="009907E5"/>
    <w:rsid w:val="009A0D29"/>
    <w:rsid w:val="009E4AE8"/>
    <w:rsid w:val="00A00342"/>
    <w:rsid w:val="00A12909"/>
    <w:rsid w:val="00A624D8"/>
    <w:rsid w:val="00A77C57"/>
    <w:rsid w:val="00A96EB1"/>
    <w:rsid w:val="00AA07FC"/>
    <w:rsid w:val="00AE02FC"/>
    <w:rsid w:val="00B765C7"/>
    <w:rsid w:val="00B76DC0"/>
    <w:rsid w:val="00B828EC"/>
    <w:rsid w:val="00B86F6E"/>
    <w:rsid w:val="00BA4830"/>
    <w:rsid w:val="00BC3FA6"/>
    <w:rsid w:val="00C0314D"/>
    <w:rsid w:val="00C12B89"/>
    <w:rsid w:val="00C227E7"/>
    <w:rsid w:val="00C808C3"/>
    <w:rsid w:val="00CA43C2"/>
    <w:rsid w:val="00CF1DD8"/>
    <w:rsid w:val="00D50792"/>
    <w:rsid w:val="00D64657"/>
    <w:rsid w:val="00D76D99"/>
    <w:rsid w:val="00D93149"/>
    <w:rsid w:val="00DA06B6"/>
    <w:rsid w:val="00DA0CB2"/>
    <w:rsid w:val="00DA6CD7"/>
    <w:rsid w:val="00DB5A0C"/>
    <w:rsid w:val="00DF11A9"/>
    <w:rsid w:val="00E12474"/>
    <w:rsid w:val="00E33B3F"/>
    <w:rsid w:val="00E967DB"/>
    <w:rsid w:val="00ED0E96"/>
    <w:rsid w:val="00F126DD"/>
    <w:rsid w:val="00F46312"/>
    <w:rsid w:val="00F5419F"/>
    <w:rsid w:val="00F83199"/>
    <w:rsid w:val="00FA3A1E"/>
    <w:rsid w:val="00FA61C7"/>
    <w:rsid w:val="00FD51B4"/>
    <w:rsid w:val="00FE3A2A"/>
    <w:rsid w:val="00FE3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40DC9B"/>
  <w15:chartTrackingRefBased/>
  <w15:docId w15:val="{CDB9F827-DC21-4682-A9B8-8140D979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E02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02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02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2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02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02FC"/>
    <w:rPr>
      <w:rFonts w:ascii="Times New Roman" w:eastAsia="Times New Roman" w:hAnsi="Times New Roman" w:cs="Times New Roman"/>
      <w:b/>
      <w:bCs/>
      <w:sz w:val="27"/>
      <w:szCs w:val="27"/>
    </w:rPr>
  </w:style>
  <w:style w:type="paragraph" w:styleId="NormalWeb">
    <w:name w:val="Normal (Web)"/>
    <w:basedOn w:val="Normal"/>
    <w:uiPriority w:val="99"/>
    <w:unhideWhenUsed/>
    <w:rsid w:val="00AE02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AE02FC"/>
  </w:style>
  <w:style w:type="paragraph" w:customStyle="1" w:styleId="not-prose">
    <w:name w:val="not-prose"/>
    <w:basedOn w:val="Normal"/>
    <w:rsid w:val="00AE02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02FC"/>
    <w:rPr>
      <w:b/>
      <w:bCs/>
    </w:rPr>
  </w:style>
  <w:style w:type="character" w:styleId="Emphasis">
    <w:name w:val="Emphasis"/>
    <w:basedOn w:val="DefaultParagraphFont"/>
    <w:uiPriority w:val="20"/>
    <w:qFormat/>
    <w:rsid w:val="00AE02FC"/>
    <w:rPr>
      <w:i/>
      <w:iCs/>
    </w:rPr>
  </w:style>
  <w:style w:type="character" w:styleId="Hyperlink">
    <w:name w:val="Hyperlink"/>
    <w:basedOn w:val="DefaultParagraphFont"/>
    <w:uiPriority w:val="99"/>
    <w:unhideWhenUsed/>
    <w:rsid w:val="008B7422"/>
    <w:rPr>
      <w:color w:val="0000FF"/>
      <w:u w:val="single"/>
    </w:rPr>
  </w:style>
  <w:style w:type="paragraph" w:styleId="ListParagraph">
    <w:name w:val="List Paragraph"/>
    <w:basedOn w:val="Normal"/>
    <w:uiPriority w:val="34"/>
    <w:qFormat/>
    <w:rsid w:val="008B7422"/>
    <w:pPr>
      <w:ind w:left="720"/>
      <w:contextualSpacing/>
    </w:pPr>
  </w:style>
  <w:style w:type="paragraph" w:styleId="Header">
    <w:name w:val="header"/>
    <w:basedOn w:val="Normal"/>
    <w:link w:val="HeaderChar"/>
    <w:uiPriority w:val="99"/>
    <w:unhideWhenUsed/>
    <w:rsid w:val="00C22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7E7"/>
  </w:style>
  <w:style w:type="paragraph" w:styleId="Footer">
    <w:name w:val="footer"/>
    <w:basedOn w:val="Normal"/>
    <w:link w:val="FooterChar"/>
    <w:uiPriority w:val="99"/>
    <w:unhideWhenUsed/>
    <w:rsid w:val="00C22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7E7"/>
  </w:style>
  <w:style w:type="character" w:styleId="UnresolvedMention">
    <w:name w:val="Unresolved Mention"/>
    <w:basedOn w:val="DefaultParagraphFont"/>
    <w:uiPriority w:val="99"/>
    <w:semiHidden/>
    <w:unhideWhenUsed/>
    <w:rsid w:val="00CA43C2"/>
    <w:rPr>
      <w:color w:val="605E5C"/>
      <w:shd w:val="clear" w:color="auto" w:fill="E1DFDD"/>
    </w:rPr>
  </w:style>
  <w:style w:type="paragraph" w:customStyle="1" w:styleId="ReferHead">
    <w:name w:val="Refer Head"/>
    <w:basedOn w:val="Normal"/>
    <w:rsid w:val="00A00342"/>
    <w:pPr>
      <w:keepNext/>
      <w:spacing w:after="240" w:line="240" w:lineRule="auto"/>
    </w:pPr>
    <w:rPr>
      <w:rFonts w:ascii="Helvetica" w:eastAsia="Times New Roman" w:hAnsi="Helvetica" w:cs="Times New Roman"/>
      <w:b/>
      <w:caps/>
      <w:szCs w:val="20"/>
    </w:rPr>
  </w:style>
  <w:style w:type="paragraph" w:styleId="NoSpacing">
    <w:name w:val="No Spacing"/>
    <w:uiPriority w:val="1"/>
    <w:qFormat/>
    <w:rsid w:val="00392B6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40889">
      <w:bodyDiv w:val="1"/>
      <w:marLeft w:val="0"/>
      <w:marRight w:val="0"/>
      <w:marTop w:val="0"/>
      <w:marBottom w:val="0"/>
      <w:divBdr>
        <w:top w:val="none" w:sz="0" w:space="0" w:color="auto"/>
        <w:left w:val="none" w:sz="0" w:space="0" w:color="auto"/>
        <w:bottom w:val="none" w:sz="0" w:space="0" w:color="auto"/>
        <w:right w:val="none" w:sz="0" w:space="0" w:color="auto"/>
      </w:divBdr>
    </w:div>
    <w:div w:id="242228106">
      <w:bodyDiv w:val="1"/>
      <w:marLeft w:val="0"/>
      <w:marRight w:val="0"/>
      <w:marTop w:val="0"/>
      <w:marBottom w:val="0"/>
      <w:divBdr>
        <w:top w:val="none" w:sz="0" w:space="0" w:color="auto"/>
        <w:left w:val="none" w:sz="0" w:space="0" w:color="auto"/>
        <w:bottom w:val="none" w:sz="0" w:space="0" w:color="auto"/>
        <w:right w:val="none" w:sz="0" w:space="0" w:color="auto"/>
      </w:divBdr>
    </w:div>
    <w:div w:id="314455700">
      <w:bodyDiv w:val="1"/>
      <w:marLeft w:val="0"/>
      <w:marRight w:val="0"/>
      <w:marTop w:val="0"/>
      <w:marBottom w:val="0"/>
      <w:divBdr>
        <w:top w:val="none" w:sz="0" w:space="0" w:color="auto"/>
        <w:left w:val="none" w:sz="0" w:space="0" w:color="auto"/>
        <w:bottom w:val="none" w:sz="0" w:space="0" w:color="auto"/>
        <w:right w:val="none" w:sz="0" w:space="0" w:color="auto"/>
      </w:divBdr>
    </w:div>
    <w:div w:id="367607337">
      <w:bodyDiv w:val="1"/>
      <w:marLeft w:val="0"/>
      <w:marRight w:val="0"/>
      <w:marTop w:val="0"/>
      <w:marBottom w:val="0"/>
      <w:divBdr>
        <w:top w:val="none" w:sz="0" w:space="0" w:color="auto"/>
        <w:left w:val="none" w:sz="0" w:space="0" w:color="auto"/>
        <w:bottom w:val="none" w:sz="0" w:space="0" w:color="auto"/>
        <w:right w:val="none" w:sz="0" w:space="0" w:color="auto"/>
      </w:divBdr>
    </w:div>
    <w:div w:id="377821306">
      <w:bodyDiv w:val="1"/>
      <w:marLeft w:val="0"/>
      <w:marRight w:val="0"/>
      <w:marTop w:val="0"/>
      <w:marBottom w:val="0"/>
      <w:divBdr>
        <w:top w:val="none" w:sz="0" w:space="0" w:color="auto"/>
        <w:left w:val="none" w:sz="0" w:space="0" w:color="auto"/>
        <w:bottom w:val="none" w:sz="0" w:space="0" w:color="auto"/>
        <w:right w:val="none" w:sz="0" w:space="0" w:color="auto"/>
      </w:divBdr>
    </w:div>
    <w:div w:id="380130462">
      <w:bodyDiv w:val="1"/>
      <w:marLeft w:val="0"/>
      <w:marRight w:val="0"/>
      <w:marTop w:val="0"/>
      <w:marBottom w:val="0"/>
      <w:divBdr>
        <w:top w:val="none" w:sz="0" w:space="0" w:color="auto"/>
        <w:left w:val="none" w:sz="0" w:space="0" w:color="auto"/>
        <w:bottom w:val="none" w:sz="0" w:space="0" w:color="auto"/>
        <w:right w:val="none" w:sz="0" w:space="0" w:color="auto"/>
      </w:divBdr>
    </w:div>
    <w:div w:id="512307637">
      <w:bodyDiv w:val="1"/>
      <w:marLeft w:val="0"/>
      <w:marRight w:val="0"/>
      <w:marTop w:val="0"/>
      <w:marBottom w:val="0"/>
      <w:divBdr>
        <w:top w:val="none" w:sz="0" w:space="0" w:color="auto"/>
        <w:left w:val="none" w:sz="0" w:space="0" w:color="auto"/>
        <w:bottom w:val="none" w:sz="0" w:space="0" w:color="auto"/>
        <w:right w:val="none" w:sz="0" w:space="0" w:color="auto"/>
      </w:divBdr>
    </w:div>
    <w:div w:id="513883504">
      <w:bodyDiv w:val="1"/>
      <w:marLeft w:val="0"/>
      <w:marRight w:val="0"/>
      <w:marTop w:val="0"/>
      <w:marBottom w:val="0"/>
      <w:divBdr>
        <w:top w:val="none" w:sz="0" w:space="0" w:color="auto"/>
        <w:left w:val="none" w:sz="0" w:space="0" w:color="auto"/>
        <w:bottom w:val="none" w:sz="0" w:space="0" w:color="auto"/>
        <w:right w:val="none" w:sz="0" w:space="0" w:color="auto"/>
      </w:divBdr>
    </w:div>
    <w:div w:id="607349058">
      <w:bodyDiv w:val="1"/>
      <w:marLeft w:val="0"/>
      <w:marRight w:val="0"/>
      <w:marTop w:val="0"/>
      <w:marBottom w:val="0"/>
      <w:divBdr>
        <w:top w:val="none" w:sz="0" w:space="0" w:color="auto"/>
        <w:left w:val="none" w:sz="0" w:space="0" w:color="auto"/>
        <w:bottom w:val="none" w:sz="0" w:space="0" w:color="auto"/>
        <w:right w:val="none" w:sz="0" w:space="0" w:color="auto"/>
      </w:divBdr>
      <w:divsChild>
        <w:div w:id="1537040560">
          <w:marLeft w:val="0"/>
          <w:marRight w:val="0"/>
          <w:marTop w:val="0"/>
          <w:marBottom w:val="0"/>
          <w:divBdr>
            <w:top w:val="none" w:sz="0" w:space="0" w:color="auto"/>
            <w:left w:val="none" w:sz="0" w:space="0" w:color="auto"/>
            <w:bottom w:val="none" w:sz="0" w:space="0" w:color="auto"/>
            <w:right w:val="none" w:sz="0" w:space="0" w:color="auto"/>
          </w:divBdr>
        </w:div>
        <w:div w:id="1554853801">
          <w:marLeft w:val="0"/>
          <w:marRight w:val="0"/>
          <w:marTop w:val="0"/>
          <w:marBottom w:val="0"/>
          <w:divBdr>
            <w:top w:val="none" w:sz="0" w:space="0" w:color="auto"/>
            <w:left w:val="none" w:sz="0" w:space="0" w:color="auto"/>
            <w:bottom w:val="none" w:sz="0" w:space="0" w:color="auto"/>
            <w:right w:val="none" w:sz="0" w:space="0" w:color="auto"/>
          </w:divBdr>
        </w:div>
      </w:divsChild>
    </w:div>
    <w:div w:id="631784776">
      <w:bodyDiv w:val="1"/>
      <w:marLeft w:val="0"/>
      <w:marRight w:val="0"/>
      <w:marTop w:val="0"/>
      <w:marBottom w:val="0"/>
      <w:divBdr>
        <w:top w:val="none" w:sz="0" w:space="0" w:color="auto"/>
        <w:left w:val="none" w:sz="0" w:space="0" w:color="auto"/>
        <w:bottom w:val="none" w:sz="0" w:space="0" w:color="auto"/>
        <w:right w:val="none" w:sz="0" w:space="0" w:color="auto"/>
      </w:divBdr>
    </w:div>
    <w:div w:id="694616444">
      <w:bodyDiv w:val="1"/>
      <w:marLeft w:val="0"/>
      <w:marRight w:val="0"/>
      <w:marTop w:val="0"/>
      <w:marBottom w:val="0"/>
      <w:divBdr>
        <w:top w:val="none" w:sz="0" w:space="0" w:color="auto"/>
        <w:left w:val="none" w:sz="0" w:space="0" w:color="auto"/>
        <w:bottom w:val="none" w:sz="0" w:space="0" w:color="auto"/>
        <w:right w:val="none" w:sz="0" w:space="0" w:color="auto"/>
      </w:divBdr>
    </w:div>
    <w:div w:id="705954575">
      <w:bodyDiv w:val="1"/>
      <w:marLeft w:val="0"/>
      <w:marRight w:val="0"/>
      <w:marTop w:val="0"/>
      <w:marBottom w:val="0"/>
      <w:divBdr>
        <w:top w:val="none" w:sz="0" w:space="0" w:color="auto"/>
        <w:left w:val="none" w:sz="0" w:space="0" w:color="auto"/>
        <w:bottom w:val="none" w:sz="0" w:space="0" w:color="auto"/>
        <w:right w:val="none" w:sz="0" w:space="0" w:color="auto"/>
      </w:divBdr>
    </w:div>
    <w:div w:id="720131145">
      <w:bodyDiv w:val="1"/>
      <w:marLeft w:val="0"/>
      <w:marRight w:val="0"/>
      <w:marTop w:val="0"/>
      <w:marBottom w:val="0"/>
      <w:divBdr>
        <w:top w:val="none" w:sz="0" w:space="0" w:color="auto"/>
        <w:left w:val="none" w:sz="0" w:space="0" w:color="auto"/>
        <w:bottom w:val="none" w:sz="0" w:space="0" w:color="auto"/>
        <w:right w:val="none" w:sz="0" w:space="0" w:color="auto"/>
      </w:divBdr>
    </w:div>
    <w:div w:id="723720977">
      <w:bodyDiv w:val="1"/>
      <w:marLeft w:val="0"/>
      <w:marRight w:val="0"/>
      <w:marTop w:val="0"/>
      <w:marBottom w:val="0"/>
      <w:divBdr>
        <w:top w:val="none" w:sz="0" w:space="0" w:color="auto"/>
        <w:left w:val="none" w:sz="0" w:space="0" w:color="auto"/>
        <w:bottom w:val="none" w:sz="0" w:space="0" w:color="auto"/>
        <w:right w:val="none" w:sz="0" w:space="0" w:color="auto"/>
      </w:divBdr>
    </w:div>
    <w:div w:id="781069991">
      <w:bodyDiv w:val="1"/>
      <w:marLeft w:val="0"/>
      <w:marRight w:val="0"/>
      <w:marTop w:val="0"/>
      <w:marBottom w:val="0"/>
      <w:divBdr>
        <w:top w:val="none" w:sz="0" w:space="0" w:color="auto"/>
        <w:left w:val="none" w:sz="0" w:space="0" w:color="auto"/>
        <w:bottom w:val="none" w:sz="0" w:space="0" w:color="auto"/>
        <w:right w:val="none" w:sz="0" w:space="0" w:color="auto"/>
      </w:divBdr>
      <w:divsChild>
        <w:div w:id="1584530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854366">
      <w:bodyDiv w:val="1"/>
      <w:marLeft w:val="0"/>
      <w:marRight w:val="0"/>
      <w:marTop w:val="0"/>
      <w:marBottom w:val="0"/>
      <w:divBdr>
        <w:top w:val="none" w:sz="0" w:space="0" w:color="auto"/>
        <w:left w:val="none" w:sz="0" w:space="0" w:color="auto"/>
        <w:bottom w:val="none" w:sz="0" w:space="0" w:color="auto"/>
        <w:right w:val="none" w:sz="0" w:space="0" w:color="auto"/>
      </w:divBdr>
    </w:div>
    <w:div w:id="1029795516">
      <w:bodyDiv w:val="1"/>
      <w:marLeft w:val="0"/>
      <w:marRight w:val="0"/>
      <w:marTop w:val="0"/>
      <w:marBottom w:val="0"/>
      <w:divBdr>
        <w:top w:val="none" w:sz="0" w:space="0" w:color="auto"/>
        <w:left w:val="none" w:sz="0" w:space="0" w:color="auto"/>
        <w:bottom w:val="none" w:sz="0" w:space="0" w:color="auto"/>
        <w:right w:val="none" w:sz="0" w:space="0" w:color="auto"/>
      </w:divBdr>
    </w:div>
    <w:div w:id="1356808101">
      <w:bodyDiv w:val="1"/>
      <w:marLeft w:val="0"/>
      <w:marRight w:val="0"/>
      <w:marTop w:val="0"/>
      <w:marBottom w:val="0"/>
      <w:divBdr>
        <w:top w:val="none" w:sz="0" w:space="0" w:color="auto"/>
        <w:left w:val="none" w:sz="0" w:space="0" w:color="auto"/>
        <w:bottom w:val="none" w:sz="0" w:space="0" w:color="auto"/>
        <w:right w:val="none" w:sz="0" w:space="0" w:color="auto"/>
      </w:divBdr>
    </w:div>
    <w:div w:id="1373186376">
      <w:bodyDiv w:val="1"/>
      <w:marLeft w:val="0"/>
      <w:marRight w:val="0"/>
      <w:marTop w:val="0"/>
      <w:marBottom w:val="0"/>
      <w:divBdr>
        <w:top w:val="none" w:sz="0" w:space="0" w:color="auto"/>
        <w:left w:val="none" w:sz="0" w:space="0" w:color="auto"/>
        <w:bottom w:val="none" w:sz="0" w:space="0" w:color="auto"/>
        <w:right w:val="none" w:sz="0" w:space="0" w:color="auto"/>
      </w:divBdr>
    </w:div>
    <w:div w:id="1635596929">
      <w:bodyDiv w:val="1"/>
      <w:marLeft w:val="0"/>
      <w:marRight w:val="0"/>
      <w:marTop w:val="0"/>
      <w:marBottom w:val="0"/>
      <w:divBdr>
        <w:top w:val="none" w:sz="0" w:space="0" w:color="auto"/>
        <w:left w:val="none" w:sz="0" w:space="0" w:color="auto"/>
        <w:bottom w:val="none" w:sz="0" w:space="0" w:color="auto"/>
        <w:right w:val="none" w:sz="0" w:space="0" w:color="auto"/>
      </w:divBdr>
    </w:div>
    <w:div w:id="1649632141">
      <w:bodyDiv w:val="1"/>
      <w:marLeft w:val="0"/>
      <w:marRight w:val="0"/>
      <w:marTop w:val="0"/>
      <w:marBottom w:val="0"/>
      <w:divBdr>
        <w:top w:val="none" w:sz="0" w:space="0" w:color="auto"/>
        <w:left w:val="none" w:sz="0" w:space="0" w:color="auto"/>
        <w:bottom w:val="none" w:sz="0" w:space="0" w:color="auto"/>
        <w:right w:val="none" w:sz="0" w:space="0" w:color="auto"/>
      </w:divBdr>
    </w:div>
    <w:div w:id="1713186145">
      <w:bodyDiv w:val="1"/>
      <w:marLeft w:val="0"/>
      <w:marRight w:val="0"/>
      <w:marTop w:val="0"/>
      <w:marBottom w:val="0"/>
      <w:divBdr>
        <w:top w:val="none" w:sz="0" w:space="0" w:color="auto"/>
        <w:left w:val="none" w:sz="0" w:space="0" w:color="auto"/>
        <w:bottom w:val="none" w:sz="0" w:space="0" w:color="auto"/>
        <w:right w:val="none" w:sz="0" w:space="0" w:color="auto"/>
      </w:divBdr>
    </w:div>
    <w:div w:id="1747024247">
      <w:bodyDiv w:val="1"/>
      <w:marLeft w:val="0"/>
      <w:marRight w:val="0"/>
      <w:marTop w:val="0"/>
      <w:marBottom w:val="0"/>
      <w:divBdr>
        <w:top w:val="none" w:sz="0" w:space="0" w:color="auto"/>
        <w:left w:val="none" w:sz="0" w:space="0" w:color="auto"/>
        <w:bottom w:val="none" w:sz="0" w:space="0" w:color="auto"/>
        <w:right w:val="none" w:sz="0" w:space="0" w:color="auto"/>
      </w:divBdr>
    </w:div>
    <w:div w:id="1763527897">
      <w:bodyDiv w:val="1"/>
      <w:marLeft w:val="0"/>
      <w:marRight w:val="0"/>
      <w:marTop w:val="0"/>
      <w:marBottom w:val="0"/>
      <w:divBdr>
        <w:top w:val="none" w:sz="0" w:space="0" w:color="auto"/>
        <w:left w:val="none" w:sz="0" w:space="0" w:color="auto"/>
        <w:bottom w:val="none" w:sz="0" w:space="0" w:color="auto"/>
        <w:right w:val="none" w:sz="0" w:space="0" w:color="auto"/>
      </w:divBdr>
    </w:div>
    <w:div w:id="1828130466">
      <w:bodyDiv w:val="1"/>
      <w:marLeft w:val="0"/>
      <w:marRight w:val="0"/>
      <w:marTop w:val="0"/>
      <w:marBottom w:val="0"/>
      <w:divBdr>
        <w:top w:val="none" w:sz="0" w:space="0" w:color="auto"/>
        <w:left w:val="none" w:sz="0" w:space="0" w:color="auto"/>
        <w:bottom w:val="none" w:sz="0" w:space="0" w:color="auto"/>
        <w:right w:val="none" w:sz="0" w:space="0" w:color="auto"/>
      </w:divBdr>
    </w:div>
    <w:div w:id="1864201454">
      <w:bodyDiv w:val="1"/>
      <w:marLeft w:val="0"/>
      <w:marRight w:val="0"/>
      <w:marTop w:val="0"/>
      <w:marBottom w:val="0"/>
      <w:divBdr>
        <w:top w:val="none" w:sz="0" w:space="0" w:color="auto"/>
        <w:left w:val="none" w:sz="0" w:space="0" w:color="auto"/>
        <w:bottom w:val="none" w:sz="0" w:space="0" w:color="auto"/>
        <w:right w:val="none" w:sz="0" w:space="0" w:color="auto"/>
      </w:divBdr>
      <w:divsChild>
        <w:div w:id="1725904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03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10/er.2015-1010" TargetMode="External"/><Relationship Id="rId18" Type="http://schemas.openxmlformats.org/officeDocument/2006/relationships/hyperlink" Target="https://doi.org/10.3923/rjet.2011.81.96" TargetMode="External"/><Relationship Id="rId26" Type="http://schemas.openxmlformats.org/officeDocument/2006/relationships/hyperlink" Target="https://doi.org/10.1016/j.envint.2012.04.001" TargetMode="External"/><Relationship Id="rId39" Type="http://schemas.openxmlformats.org/officeDocument/2006/relationships/fontTable" Target="fontTable.xml"/><Relationship Id="rId21" Type="http://schemas.openxmlformats.org/officeDocument/2006/relationships/hyperlink" Target="https://doi.org/10.1007/s11356-014-3471-x" TargetMode="External"/><Relationship Id="rId34" Type="http://schemas.openxmlformats.org/officeDocument/2006/relationships/header" Target="header2.xml"/><Relationship Id="rId7" Type="http://schemas.openxmlformats.org/officeDocument/2006/relationships/hyperlink" Target="https://doi.org/10.1007/s13762-024-05631-7" TargetMode="External"/><Relationship Id="rId12" Type="http://schemas.openxmlformats.org/officeDocument/2006/relationships/hyperlink" Target="https://doi.org/10.3389/ftox.2024.1474792" TargetMode="External"/><Relationship Id="rId17" Type="http://schemas.openxmlformats.org/officeDocument/2006/relationships/hyperlink" Target="https://doi.org/10.1016/j.envres.2023.115965" TargetMode="External"/><Relationship Id="rId25" Type="http://schemas.openxmlformats.org/officeDocument/2006/relationships/hyperlink" Target="https://doi.org/10.1080/10937404.2019.1659197"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S2542-5196(22)00062-6" TargetMode="External"/><Relationship Id="rId20" Type="http://schemas.openxmlformats.org/officeDocument/2006/relationships/hyperlink" Target="https://doi.org/10.3389/fmicb.2022.962619" TargetMode="External"/><Relationship Id="rId29" Type="http://schemas.openxmlformats.org/officeDocument/2006/relationships/hyperlink" Target="https://doi.org/10.1016/j.ecoenv.2022.1139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nvsci.2024.103762" TargetMode="External"/><Relationship Id="rId24" Type="http://schemas.openxmlformats.org/officeDocument/2006/relationships/hyperlink" Target="https://doi.org/10.1080/19338244.2018.1492894" TargetMode="External"/><Relationship Id="rId32" Type="http://schemas.openxmlformats.org/officeDocument/2006/relationships/image" Target="media/image2.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onographs.iarc.who.int/wp-content/uploads/2018/06/MonographVolume112.pdf" TargetMode="External"/><Relationship Id="rId23" Type="http://schemas.openxmlformats.org/officeDocument/2006/relationships/hyperlink" Target="https://doi.org/10.1155/2022/5563759" TargetMode="External"/><Relationship Id="rId28" Type="http://schemas.openxmlformats.org/officeDocument/2006/relationships/hyperlink" Target="https://doi.org/10.3389/ftox.2025.1656297" TargetMode="External"/><Relationship Id="rId36" Type="http://schemas.openxmlformats.org/officeDocument/2006/relationships/footer" Target="footer2.xml"/><Relationship Id="rId10" Type="http://schemas.openxmlformats.org/officeDocument/2006/relationships/hyperlink" Target="https://doi.org/10.1073/pnas.1314923110" TargetMode="External"/><Relationship Id="rId19" Type="http://schemas.openxmlformats.org/officeDocument/2006/relationships/hyperlink" Target="https://doi.org/10.1016/j.taap.2013.01.025"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doi.org/10.1289/ehp.1003185" TargetMode="External"/><Relationship Id="rId14" Type="http://schemas.openxmlformats.org/officeDocument/2006/relationships/hyperlink" Target="https://doi.org/10.1097/ACI.0b013e32835c3be3" TargetMode="External"/><Relationship Id="rId22" Type="http://schemas.openxmlformats.org/officeDocument/2006/relationships/hyperlink" Target="https://doi.org/10.1016/j.toxrep.2024.101840" TargetMode="External"/><Relationship Id="rId27" Type="http://schemas.openxmlformats.org/officeDocument/2006/relationships/hyperlink" Target="https://doi.org/10.1210/er.2011-1050" TargetMode="External"/><Relationship Id="rId30" Type="http://schemas.openxmlformats.org/officeDocument/2006/relationships/hyperlink" Target="https://doi.org/10.1016/j.scitotenv.2023.165670" TargetMode="External"/><Relationship Id="rId35" Type="http://schemas.openxmlformats.org/officeDocument/2006/relationships/footer" Target="footer1.xml"/><Relationship Id="rId8" Type="http://schemas.openxmlformats.org/officeDocument/2006/relationships/hyperlink" Target="https://doi.org/10.1016/j.heliyon.2024.e2912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15</Pages>
  <Words>6820</Words>
  <Characters>38879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1022</cp:lastModifiedBy>
  <cp:revision>73</cp:revision>
  <cp:lastPrinted>2026-02-20T11:12:00Z</cp:lastPrinted>
  <dcterms:created xsi:type="dcterms:W3CDTF">2026-02-09T08:24:00Z</dcterms:created>
  <dcterms:modified xsi:type="dcterms:W3CDTF">2026-02-28T13:47:00Z</dcterms:modified>
</cp:coreProperties>
</file>