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1090" w14:textId="7EF85E18" w:rsidR="000956C5" w:rsidRPr="006107DB" w:rsidRDefault="000956C5" w:rsidP="00F74854">
      <w:pPr>
        <w:spacing w:after="0" w:line="360" w:lineRule="auto"/>
        <w:rPr>
          <w:rFonts w:ascii="Arial" w:hAnsi="Arial" w:cs="Arial"/>
          <w:b/>
          <w:bCs/>
        </w:rPr>
      </w:pPr>
      <w:r w:rsidRPr="006107DB">
        <w:rPr>
          <w:rFonts w:ascii="Arial" w:hAnsi="Arial" w:cs="Arial"/>
          <w:b/>
          <w:bCs/>
        </w:rPr>
        <w:t xml:space="preserve">Comparative Analysis of Parameter Estimation Methods for the Transmuted Exponential-New Weibull Pareto Model: Method of Moments, Maximum Likelihood, and </w:t>
      </w:r>
      <w:r w:rsidR="007D664D" w:rsidRPr="006107DB">
        <w:rPr>
          <w:rFonts w:ascii="Arial" w:hAnsi="Arial" w:cs="Arial"/>
          <w:b/>
          <w:bCs/>
        </w:rPr>
        <w:t xml:space="preserve">Expectation–Maximization </w:t>
      </w:r>
      <w:r w:rsidRPr="006107DB">
        <w:rPr>
          <w:rFonts w:ascii="Arial" w:hAnsi="Arial" w:cs="Arial"/>
          <w:b/>
          <w:bCs/>
        </w:rPr>
        <w:t>Algorithm Approaches</w:t>
      </w:r>
      <w:r w:rsidR="007D664D" w:rsidRPr="006107DB">
        <w:rPr>
          <w:rFonts w:ascii="Arial" w:hAnsi="Arial" w:cs="Arial"/>
          <w:b/>
          <w:bCs/>
        </w:rPr>
        <w:t>.</w:t>
      </w:r>
    </w:p>
    <w:p w14:paraId="1DE7A0D7" w14:textId="77777777" w:rsidR="000956C5" w:rsidRPr="006107DB" w:rsidRDefault="000956C5" w:rsidP="003D7684">
      <w:pPr>
        <w:spacing w:after="0" w:line="360" w:lineRule="auto"/>
        <w:rPr>
          <w:rFonts w:ascii="Arial" w:hAnsi="Arial" w:cs="Arial"/>
          <w:sz w:val="24"/>
          <w:szCs w:val="24"/>
        </w:rPr>
      </w:pPr>
    </w:p>
    <w:p w14:paraId="7328D9F2" w14:textId="77777777" w:rsidR="00124A5B" w:rsidRPr="006107DB" w:rsidRDefault="00124A5B" w:rsidP="00124A5B">
      <w:pPr>
        <w:spacing w:line="240" w:lineRule="auto"/>
        <w:jc w:val="center"/>
        <w:rPr>
          <w:rFonts w:ascii="Arial" w:hAnsi="Arial" w:cs="Arial"/>
          <w:b/>
          <w:bCs/>
        </w:rPr>
      </w:pPr>
      <w:r w:rsidRPr="006107DB">
        <w:rPr>
          <w:rFonts w:ascii="Arial" w:hAnsi="Arial" w:cs="Arial"/>
          <w:b/>
          <w:bCs/>
        </w:rPr>
        <w:t>Abstract</w:t>
      </w:r>
    </w:p>
    <w:p w14:paraId="1BC17863" w14:textId="6994E4CB" w:rsidR="006063C5" w:rsidRPr="006063C5" w:rsidRDefault="006063C5" w:rsidP="006063C5">
      <w:pPr>
        <w:jc w:val="both"/>
        <w:rPr>
          <w:rFonts w:ascii="Arial" w:hAnsi="Arial" w:cs="Arial"/>
        </w:rPr>
      </w:pPr>
      <w:r w:rsidRPr="006063C5">
        <w:rPr>
          <w:rFonts w:ascii="Arial" w:hAnsi="Arial" w:cs="Arial"/>
        </w:rPr>
        <w:t>Flexible lifetime distributions are crucial for modeling skewed and heavy-tailed data commonly encountered in reliability, environmental studies, and risk modeling. The practical utility of these models depends on efficient parameter estimation methods that provide accurate and stable estimates, particularly for distributions with complex likelihoods. This study presents a comparative analysis of three parameter estimation methods —Method of Moments (MM), Maximum Likelihood Estimation (MLE), and the Expectation-Maximization (EM) algorithm for the Transmuted Exponential-New Weibull Pareto (TE-NWP) distribution. The TE-NWP extends the New Weibull Pareto distribution by introducing a transmutation parameter, enhancing flexibility in modeling skewed and heavy-tailed lifetime data. Due to its five parameters, the TE-NWP likelihood function is highly nonlinear, making analytical solutions challenging. To assess estimator performance, a Monte Carlo simulation was conducted with sample sizes of n = 20, 100, and 500, using 1,000 replications per scenario to evaluate bias and mean squared error (MSE). Results show that the EM algorithm consistently produces smaller bias and lower MSE than MM and MLE, especially as sample size increases. The estimation methods were also applied to Kevlar 373/epoxy fatigue fracture data. Based on log-likelihood, Akaike Information Criterion (AIC), and Bayesian Information Criterion (BIC)</w:t>
      </w:r>
      <w:r w:rsidR="00166918">
        <w:rPr>
          <w:rFonts w:ascii="Arial" w:hAnsi="Arial" w:cs="Arial"/>
        </w:rPr>
        <w:t xml:space="preserve">. </w:t>
      </w:r>
      <w:r w:rsidRPr="006063C5">
        <w:rPr>
          <w:rFonts w:ascii="Arial" w:hAnsi="Arial" w:cs="Arial"/>
        </w:rPr>
        <w:t xml:space="preserve">EM-based estimates provided the best fit. These results indicate that the EM algorithm is the most efficient approach for estimating TE-NWP parameters, making it a valuable tool for analyzing complex lifetime data in reliability and risk studies. </w:t>
      </w:r>
    </w:p>
    <w:p w14:paraId="605C501E" w14:textId="2CFFC74B" w:rsidR="00391471" w:rsidRPr="006107DB" w:rsidRDefault="00391471" w:rsidP="00391471">
      <w:pPr>
        <w:jc w:val="both"/>
        <w:rPr>
          <w:rFonts w:ascii="Arial" w:hAnsi="Arial" w:cs="Arial"/>
        </w:rPr>
      </w:pPr>
      <w:r w:rsidRPr="006107DB">
        <w:rPr>
          <w:rFonts w:ascii="Arial" w:hAnsi="Arial" w:cs="Arial"/>
        </w:rPr>
        <w:t>Keywords: Transmuted Exponential</w:t>
      </w:r>
      <w:r w:rsidR="007D767D" w:rsidRPr="006107DB">
        <w:rPr>
          <w:rFonts w:ascii="Arial" w:hAnsi="Arial" w:cs="Arial"/>
        </w:rPr>
        <w:t>-</w:t>
      </w:r>
      <w:r w:rsidRPr="006107DB">
        <w:rPr>
          <w:rFonts w:ascii="Arial" w:hAnsi="Arial" w:cs="Arial"/>
        </w:rPr>
        <w:t>New Weibull Pareto (TE</w:t>
      </w:r>
      <w:r w:rsidR="007D767D" w:rsidRPr="006107DB">
        <w:rPr>
          <w:rFonts w:ascii="Arial" w:hAnsi="Arial" w:cs="Arial"/>
        </w:rPr>
        <w:t>-</w:t>
      </w:r>
      <w:r w:rsidRPr="006107DB">
        <w:rPr>
          <w:rFonts w:ascii="Arial" w:hAnsi="Arial" w:cs="Arial"/>
        </w:rPr>
        <w:t>NWP) distribution</w:t>
      </w:r>
      <w:r w:rsidR="00C32C79" w:rsidRPr="006107DB">
        <w:rPr>
          <w:rFonts w:ascii="Arial" w:hAnsi="Arial" w:cs="Arial"/>
        </w:rPr>
        <w:t>;</w:t>
      </w:r>
      <w:r w:rsidR="007D767D" w:rsidRPr="006107DB">
        <w:rPr>
          <w:rFonts w:ascii="Arial" w:hAnsi="Arial" w:cs="Arial"/>
        </w:rPr>
        <w:t xml:space="preserve"> </w:t>
      </w:r>
      <w:r w:rsidR="00C32C79" w:rsidRPr="006107DB">
        <w:rPr>
          <w:rFonts w:ascii="Arial" w:hAnsi="Arial" w:cs="Arial"/>
        </w:rPr>
        <w:t xml:space="preserve">Parameter </w:t>
      </w:r>
      <w:r w:rsidRPr="006107DB">
        <w:rPr>
          <w:rFonts w:ascii="Arial" w:hAnsi="Arial" w:cs="Arial"/>
        </w:rPr>
        <w:t>estimation</w:t>
      </w:r>
      <w:r w:rsidR="00C32C79" w:rsidRPr="006107DB">
        <w:rPr>
          <w:rFonts w:ascii="Arial" w:hAnsi="Arial" w:cs="Arial"/>
        </w:rPr>
        <w:t>;</w:t>
      </w:r>
      <w:r w:rsidRPr="006107DB">
        <w:rPr>
          <w:rFonts w:ascii="Arial" w:hAnsi="Arial" w:cs="Arial"/>
        </w:rPr>
        <w:t xml:space="preserve"> </w:t>
      </w:r>
      <w:r w:rsidR="00C32C79" w:rsidRPr="006107DB">
        <w:rPr>
          <w:rFonts w:ascii="Arial" w:hAnsi="Arial" w:cs="Arial"/>
        </w:rPr>
        <w:t xml:space="preserve">Method </w:t>
      </w:r>
      <w:r w:rsidRPr="006107DB">
        <w:rPr>
          <w:rFonts w:ascii="Arial" w:hAnsi="Arial" w:cs="Arial"/>
        </w:rPr>
        <w:t xml:space="preserve">of </w:t>
      </w:r>
      <w:r w:rsidR="00C32C79" w:rsidRPr="006107DB">
        <w:rPr>
          <w:rFonts w:ascii="Arial" w:hAnsi="Arial" w:cs="Arial"/>
        </w:rPr>
        <w:t xml:space="preserve">moments </w:t>
      </w:r>
      <w:r w:rsidRPr="006107DB">
        <w:rPr>
          <w:rFonts w:ascii="Arial" w:hAnsi="Arial" w:cs="Arial"/>
        </w:rPr>
        <w:t>(MM)</w:t>
      </w:r>
      <w:r w:rsidR="00C32C79" w:rsidRPr="006107DB">
        <w:rPr>
          <w:rFonts w:ascii="Arial" w:hAnsi="Arial" w:cs="Arial"/>
        </w:rPr>
        <w:t>;</w:t>
      </w:r>
      <w:r w:rsidRPr="006107DB">
        <w:rPr>
          <w:rFonts w:ascii="Arial" w:hAnsi="Arial" w:cs="Arial"/>
        </w:rPr>
        <w:t xml:space="preserve"> Maximum </w:t>
      </w:r>
      <w:r w:rsidR="00C32C79" w:rsidRPr="006107DB">
        <w:rPr>
          <w:rFonts w:ascii="Arial" w:hAnsi="Arial" w:cs="Arial"/>
        </w:rPr>
        <w:t xml:space="preserve">likelihood estimation </w:t>
      </w:r>
      <w:r w:rsidRPr="006107DB">
        <w:rPr>
          <w:rFonts w:ascii="Arial" w:hAnsi="Arial" w:cs="Arial"/>
        </w:rPr>
        <w:t>(MLE)</w:t>
      </w:r>
      <w:r w:rsidR="00C32C79" w:rsidRPr="006107DB">
        <w:rPr>
          <w:rFonts w:ascii="Arial" w:hAnsi="Arial" w:cs="Arial"/>
        </w:rPr>
        <w:t>;</w:t>
      </w:r>
      <w:r w:rsidRPr="006107DB">
        <w:rPr>
          <w:rFonts w:ascii="Arial" w:hAnsi="Arial" w:cs="Arial"/>
        </w:rPr>
        <w:t xml:space="preserve"> Expectation–</w:t>
      </w:r>
      <w:r w:rsidR="00C32C79" w:rsidRPr="006107DB">
        <w:rPr>
          <w:rFonts w:ascii="Arial" w:hAnsi="Arial" w:cs="Arial"/>
        </w:rPr>
        <w:t xml:space="preserve">maximization </w:t>
      </w:r>
      <w:r w:rsidRPr="006107DB">
        <w:rPr>
          <w:rFonts w:ascii="Arial" w:hAnsi="Arial" w:cs="Arial"/>
        </w:rPr>
        <w:t>(EM) algorithm</w:t>
      </w:r>
      <w:r w:rsidR="00A5217E" w:rsidRPr="006107DB">
        <w:rPr>
          <w:rFonts w:ascii="Arial" w:hAnsi="Arial" w:cs="Arial"/>
        </w:rPr>
        <w:t>.</w:t>
      </w:r>
    </w:p>
    <w:p w14:paraId="149EE112" w14:textId="507A6E22" w:rsidR="00391471" w:rsidRPr="006107DB" w:rsidRDefault="00391471" w:rsidP="004622E3">
      <w:pPr>
        <w:spacing w:line="240" w:lineRule="auto"/>
        <w:jc w:val="both"/>
        <w:rPr>
          <w:rFonts w:ascii="Arial" w:hAnsi="Arial" w:cs="Arial"/>
        </w:rPr>
      </w:pPr>
      <w:r w:rsidRPr="006107DB">
        <w:rPr>
          <w:rFonts w:ascii="Arial" w:hAnsi="Arial" w:cs="Arial"/>
        </w:rPr>
        <w:t xml:space="preserve"> </w:t>
      </w:r>
    </w:p>
    <w:p w14:paraId="392EE345" w14:textId="3B43A195" w:rsidR="0043675C" w:rsidRPr="006107DB" w:rsidRDefault="0043675C" w:rsidP="00331393">
      <w:pPr>
        <w:pStyle w:val="ListParagraph"/>
        <w:numPr>
          <w:ilvl w:val="0"/>
          <w:numId w:val="16"/>
        </w:numPr>
        <w:spacing w:line="240" w:lineRule="auto"/>
        <w:jc w:val="both"/>
        <w:rPr>
          <w:rFonts w:ascii="Arial" w:hAnsi="Arial" w:cs="Arial"/>
          <w:b/>
          <w:bCs/>
          <w:sz w:val="20"/>
          <w:szCs w:val="20"/>
        </w:rPr>
      </w:pPr>
      <w:r w:rsidRPr="006107DB">
        <w:rPr>
          <w:rFonts w:ascii="Arial" w:hAnsi="Arial" w:cs="Arial"/>
          <w:b/>
          <w:bCs/>
          <w:sz w:val="20"/>
          <w:szCs w:val="20"/>
        </w:rPr>
        <w:t>Introduction</w:t>
      </w:r>
    </w:p>
    <w:p w14:paraId="3CD7CB18" w14:textId="3C5F562C"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 xml:space="preserve">Flexible lifetime distributions play a fundamental role in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real-world phenomena characterized by positive skewness and heavy-tailed </w:t>
      </w:r>
      <w:proofErr w:type="spellStart"/>
      <w:r w:rsidRPr="006107DB">
        <w:rPr>
          <w:rFonts w:ascii="Arial" w:hAnsi="Arial" w:cs="Arial"/>
          <w:sz w:val="20"/>
          <w:szCs w:val="20"/>
          <w:lang w:val="en-NG"/>
        </w:rPr>
        <w:t>behavior</w:t>
      </w:r>
      <w:proofErr w:type="spellEnd"/>
      <w:r w:rsidRPr="006107DB">
        <w:rPr>
          <w:rFonts w:ascii="Arial" w:hAnsi="Arial" w:cs="Arial"/>
          <w:sz w:val="20"/>
          <w:szCs w:val="20"/>
          <w:lang w:val="en-NG"/>
        </w:rPr>
        <w:t xml:space="preserve">, such as failure times, rainfall measurements, and financial losses (Abdulrahman et al., 2025; </w:t>
      </w:r>
      <w:proofErr w:type="spellStart"/>
      <w:r w:rsidRPr="006107DB">
        <w:rPr>
          <w:rFonts w:ascii="Arial" w:hAnsi="Arial" w:cs="Arial"/>
          <w:sz w:val="20"/>
          <w:szCs w:val="20"/>
          <w:lang w:val="en-NG"/>
        </w:rPr>
        <w:t>Gillariose</w:t>
      </w:r>
      <w:proofErr w:type="spellEnd"/>
      <w:r w:rsidRPr="006107DB">
        <w:rPr>
          <w:rFonts w:ascii="Arial" w:hAnsi="Arial" w:cs="Arial"/>
          <w:sz w:val="20"/>
          <w:szCs w:val="20"/>
          <w:lang w:val="en-NG"/>
        </w:rPr>
        <w:t xml:space="preserve"> et al., 2025). Classical lifetime models such as the Exponential, Weibull, and Pareto distributions have been widely applied in reliability and survival analysis due to their mathematical tractability and interpretability (see </w:t>
      </w:r>
      <w:proofErr w:type="spellStart"/>
      <w:r w:rsidRPr="006107DB">
        <w:rPr>
          <w:rFonts w:ascii="Arial" w:hAnsi="Arial" w:cs="Arial"/>
          <w:sz w:val="20"/>
          <w:szCs w:val="20"/>
          <w:lang w:val="en-NG"/>
        </w:rPr>
        <w:t>Shiha</w:t>
      </w:r>
      <w:proofErr w:type="spellEnd"/>
      <w:r w:rsidRPr="006107DB">
        <w:rPr>
          <w:rFonts w:ascii="Arial" w:hAnsi="Arial" w:cs="Arial"/>
          <w:sz w:val="20"/>
          <w:szCs w:val="20"/>
          <w:lang w:val="en-NG"/>
        </w:rPr>
        <w:t xml:space="preserve">, 2026; Kariuki et al., 2024). The Exponential model assumes a constant hazard rate, whereas the Weibull distribution allows monotonic hazard functions, and the Pareto distribution is particularly suitable for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heavy-tailed risks (</w:t>
      </w:r>
      <w:r w:rsidRPr="006107DB">
        <w:rPr>
          <w:rFonts w:ascii="Arial" w:eastAsia="Times New Roman" w:hAnsi="Arial" w:cs="Arial"/>
          <w:sz w:val="20"/>
          <w:szCs w:val="20"/>
        </w:rPr>
        <w:t>Karakaş &amp; Bulut, 2025).</w:t>
      </w:r>
    </w:p>
    <w:p w14:paraId="3D973528" w14:textId="77777777"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 xml:space="preserve">However, as noted by Johnston (2003), these traditional models often lack sufficient flexibility to simultaneously capture early-life failure </w:t>
      </w:r>
      <w:proofErr w:type="spellStart"/>
      <w:r w:rsidRPr="006107DB">
        <w:rPr>
          <w:rFonts w:ascii="Arial" w:hAnsi="Arial" w:cs="Arial"/>
          <w:sz w:val="20"/>
          <w:szCs w:val="20"/>
          <w:lang w:val="en-NG"/>
        </w:rPr>
        <w:t>behavior</w:t>
      </w:r>
      <w:proofErr w:type="spellEnd"/>
      <w:r w:rsidRPr="006107DB">
        <w:rPr>
          <w:rFonts w:ascii="Arial" w:hAnsi="Arial" w:cs="Arial"/>
          <w:sz w:val="20"/>
          <w:szCs w:val="20"/>
          <w:lang w:val="en-NG"/>
        </w:rPr>
        <w:t xml:space="preserve"> and long-tail risk characteristics within a single framework. Similarly, Burke et al. (2020) observed that single- or two-parameter lifetime models may fail to adequately represent datasets exhibiting varying hazard shapes and extreme tail </w:t>
      </w:r>
      <w:proofErr w:type="spellStart"/>
      <w:r w:rsidRPr="006107DB">
        <w:rPr>
          <w:rFonts w:ascii="Arial" w:hAnsi="Arial" w:cs="Arial"/>
          <w:sz w:val="20"/>
          <w:szCs w:val="20"/>
          <w:lang w:val="en-NG"/>
        </w:rPr>
        <w:t>behavior</w:t>
      </w:r>
      <w:proofErr w:type="spellEnd"/>
      <w:r w:rsidRPr="006107DB">
        <w:rPr>
          <w:rFonts w:ascii="Arial" w:hAnsi="Arial" w:cs="Arial"/>
          <w:sz w:val="20"/>
          <w:szCs w:val="20"/>
          <w:lang w:val="en-NG"/>
        </w:rPr>
        <w:t xml:space="preserve">. More recently, Vogel et al. (2024) emphasized the need for more adaptable distributional structures capable of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asymmetric and heavy-tailed empirical data observed in environmental and financial applications.</w:t>
      </w:r>
    </w:p>
    <w:p w14:paraId="6CDF0669" w14:textId="77777777" w:rsidR="00AF36F5" w:rsidRPr="006107DB" w:rsidRDefault="00AF36F5" w:rsidP="00AF36F5">
      <w:pPr>
        <w:pStyle w:val="ListBullet"/>
        <w:numPr>
          <w:ilvl w:val="0"/>
          <w:numId w:val="0"/>
        </w:numPr>
        <w:rPr>
          <w:rFonts w:ascii="Arial" w:hAnsi="Arial" w:cs="Arial"/>
          <w:sz w:val="20"/>
          <w:szCs w:val="20"/>
          <w:lang w:val="en-NG"/>
        </w:rPr>
      </w:pPr>
      <w:r w:rsidRPr="006107DB">
        <w:rPr>
          <w:rFonts w:ascii="Arial" w:hAnsi="Arial" w:cs="Arial"/>
          <w:sz w:val="20"/>
          <w:szCs w:val="20"/>
          <w:lang w:val="en-NG"/>
        </w:rPr>
        <w:t xml:space="preserve">To enhance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flexibility, several extensions and generalizations of classical distributions have been proposed in the literature. The introduction of generator families, such as the Beta-G and Kumaraswamy-G distributions (Eugene et al., 2002; Cordeiro et al., 2015; </w:t>
      </w:r>
      <w:r w:rsidRPr="006107DB">
        <w:rPr>
          <w:rFonts w:ascii="Arial" w:eastAsia="Times New Roman" w:hAnsi="Arial" w:cs="Arial"/>
          <w:sz w:val="20"/>
          <w:szCs w:val="20"/>
        </w:rPr>
        <w:t>Kariuki et al., 2024;</w:t>
      </w:r>
      <w:r w:rsidRPr="006107DB">
        <w:rPr>
          <w:rFonts w:ascii="Arial" w:eastAsia="Times New Roman" w:hAnsi="Arial" w:cs="Arial"/>
          <w:b/>
          <w:bCs/>
          <w:sz w:val="24"/>
          <w:szCs w:val="24"/>
        </w:rPr>
        <w:t xml:space="preserve"> </w:t>
      </w:r>
      <w:r w:rsidRPr="006107DB">
        <w:rPr>
          <w:rFonts w:ascii="Arial" w:eastAsia="Times New Roman" w:hAnsi="Arial" w:cs="Arial"/>
          <w:sz w:val="20"/>
          <w:szCs w:val="20"/>
        </w:rPr>
        <w:lastRenderedPageBreak/>
        <w:t>Karakaş &amp; Bulut, 2025</w:t>
      </w:r>
      <w:r w:rsidRPr="006107DB">
        <w:rPr>
          <w:rFonts w:ascii="Arial" w:hAnsi="Arial" w:cs="Arial"/>
          <w:sz w:val="20"/>
          <w:szCs w:val="20"/>
          <w:lang w:val="en-NG"/>
        </w:rPr>
        <w:t>), significantly expands the ability to control skewness and kurtosis through additional shape parameters. Likewise, the transmutation approach introduced by Shaw and Buckley (2007) provides a systematic mechanism for constructing new distributions with improved tail adjustment and asymmetry.</w:t>
      </w:r>
    </w:p>
    <w:p w14:paraId="4305E3E7" w14:textId="5BC74420" w:rsidR="00AF36F5" w:rsidRPr="006107DB" w:rsidRDefault="00AF36F5" w:rsidP="00AF36F5">
      <w:pPr>
        <w:jc w:val="both"/>
        <w:rPr>
          <w:rFonts w:ascii="Arial" w:hAnsi="Arial" w:cs="Arial"/>
          <w:sz w:val="20"/>
          <w:szCs w:val="20"/>
        </w:rPr>
      </w:pPr>
      <w:r w:rsidRPr="006107DB">
        <w:rPr>
          <w:rFonts w:ascii="Arial" w:hAnsi="Arial" w:cs="Arial"/>
          <w:sz w:val="20"/>
          <w:szCs w:val="20"/>
          <w:lang w:val="en-NG"/>
        </w:rPr>
        <w:t xml:space="preserve">Within this line of development, the New Weibull Pareto (NWP) distribution introduced by Nasiru and </w:t>
      </w:r>
      <w:proofErr w:type="spellStart"/>
      <w:r w:rsidRPr="006107DB">
        <w:rPr>
          <w:rFonts w:ascii="Arial" w:hAnsi="Arial" w:cs="Arial"/>
          <w:sz w:val="20"/>
          <w:szCs w:val="20"/>
          <w:lang w:val="en-NG"/>
        </w:rPr>
        <w:t>Luguterah</w:t>
      </w:r>
      <w:proofErr w:type="spellEnd"/>
      <w:r w:rsidRPr="006107DB">
        <w:rPr>
          <w:rFonts w:ascii="Arial" w:hAnsi="Arial" w:cs="Arial"/>
          <w:sz w:val="20"/>
          <w:szCs w:val="20"/>
          <w:lang w:val="en-NG"/>
        </w:rPr>
        <w:t xml:space="preserve"> (2015) and further studied by Abiad et al. (2025) combines features of the Weibull and Pareto families to improve tail </w:t>
      </w:r>
      <w:proofErr w:type="spellStart"/>
      <w:r w:rsidRPr="006107DB">
        <w:rPr>
          <w:rFonts w:ascii="Arial" w:hAnsi="Arial" w:cs="Arial"/>
          <w:sz w:val="20"/>
          <w:szCs w:val="20"/>
          <w:lang w:val="en-NG"/>
        </w:rPr>
        <w:t>behavior</w:t>
      </w:r>
      <w:proofErr w:type="spellEnd"/>
      <w:r w:rsidRPr="006107DB">
        <w:rPr>
          <w:rFonts w:ascii="Arial" w:hAnsi="Arial" w:cs="Arial"/>
          <w:sz w:val="20"/>
          <w:szCs w:val="20"/>
          <w:lang w:val="en-NG"/>
        </w:rPr>
        <w:t xml:space="preserve"> and hazard rate flexibility. Although the NWP distribution offers improved adaptability compared to its parent models, subsequent studies have noted that further flexibility may be required to regulate skewness and kurtosis across highly heterogeneous datasets (</w:t>
      </w:r>
      <w:r w:rsidR="008E0D1F" w:rsidRPr="006107DB">
        <w:rPr>
          <w:rFonts w:ascii="Arial" w:eastAsia="Times New Roman" w:hAnsi="Arial" w:cs="Arial"/>
          <w:sz w:val="20"/>
          <w:szCs w:val="20"/>
        </w:rPr>
        <w:t xml:space="preserve">Yadav et al., 2020; </w:t>
      </w:r>
      <w:r w:rsidRPr="006107DB">
        <w:rPr>
          <w:rFonts w:ascii="Arial" w:hAnsi="Arial" w:cs="Arial"/>
          <w:sz w:val="20"/>
          <w:szCs w:val="20"/>
          <w:lang w:val="en-NG"/>
        </w:rPr>
        <w:t xml:space="preserve">Rahmouni </w:t>
      </w:r>
      <w:r w:rsidR="00C32C79" w:rsidRPr="006107DB">
        <w:rPr>
          <w:rFonts w:ascii="Arial" w:hAnsi="Arial" w:cs="Arial"/>
          <w:sz w:val="20"/>
          <w:szCs w:val="20"/>
        </w:rPr>
        <w:t>&amp;</w:t>
      </w:r>
      <w:r w:rsidRPr="006107DB">
        <w:rPr>
          <w:rFonts w:ascii="Arial" w:hAnsi="Arial" w:cs="Arial"/>
          <w:sz w:val="20"/>
          <w:szCs w:val="20"/>
        </w:rPr>
        <w:t xml:space="preserve"> </w:t>
      </w:r>
      <w:r w:rsidRPr="006107DB">
        <w:rPr>
          <w:rFonts w:ascii="Arial" w:hAnsi="Arial" w:cs="Arial"/>
          <w:sz w:val="20"/>
          <w:szCs w:val="20"/>
          <w:lang w:val="en-NG"/>
        </w:rPr>
        <w:t>Ziedan, 2025</w:t>
      </w:r>
      <w:r w:rsidRPr="006107DB">
        <w:rPr>
          <w:rFonts w:ascii="Arial" w:hAnsi="Arial" w:cs="Arial"/>
          <w:sz w:val="20"/>
          <w:szCs w:val="20"/>
        </w:rPr>
        <w:t xml:space="preserve">; </w:t>
      </w:r>
      <w:r w:rsidRPr="006107DB">
        <w:rPr>
          <w:rFonts w:ascii="Arial" w:eastAsia="Times New Roman" w:hAnsi="Arial" w:cs="Arial"/>
          <w:sz w:val="20"/>
          <w:szCs w:val="20"/>
        </w:rPr>
        <w:t xml:space="preserve">Null </w:t>
      </w:r>
      <w:r w:rsidR="00C32C79" w:rsidRPr="006107DB">
        <w:rPr>
          <w:rFonts w:ascii="Arial" w:eastAsia="Times New Roman" w:hAnsi="Arial" w:cs="Arial"/>
          <w:sz w:val="20"/>
          <w:szCs w:val="20"/>
        </w:rPr>
        <w:t>&amp;</w:t>
      </w:r>
      <w:r w:rsidRPr="006107DB">
        <w:rPr>
          <w:rFonts w:ascii="Arial" w:eastAsia="Times New Roman" w:hAnsi="Arial" w:cs="Arial"/>
          <w:sz w:val="20"/>
          <w:szCs w:val="20"/>
        </w:rPr>
        <w:t xml:space="preserve"> Karim, 2025</w:t>
      </w:r>
      <w:r w:rsidRPr="006107DB">
        <w:rPr>
          <w:rFonts w:ascii="Arial" w:hAnsi="Arial" w:cs="Arial"/>
          <w:sz w:val="20"/>
          <w:szCs w:val="20"/>
          <w:lang w:val="en-NG"/>
        </w:rPr>
        <w:t>)</w:t>
      </w:r>
      <w:r w:rsidR="00583745" w:rsidRPr="006107DB">
        <w:rPr>
          <w:rFonts w:ascii="Arial" w:hAnsi="Arial" w:cs="Arial"/>
          <w:sz w:val="20"/>
          <w:szCs w:val="20"/>
          <w:lang w:val="en-NG"/>
        </w:rPr>
        <w:t>.</w:t>
      </w:r>
    </w:p>
    <w:p w14:paraId="5404F533" w14:textId="114F7B23"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Building on the transmutation framework, Nweze et al. (2026) proposed the Transmuted Exponential–New Weibull Pareto (TE–NWP) distribution by incorporating a transmutation parameter into the NWP model. Similarly, Eze</w:t>
      </w:r>
      <w:r w:rsidR="00C32C79" w:rsidRPr="006107DB">
        <w:rPr>
          <w:rFonts w:ascii="Arial" w:hAnsi="Arial" w:cs="Arial"/>
          <w:sz w:val="20"/>
          <w:szCs w:val="20"/>
          <w:lang w:val="en-NG"/>
        </w:rPr>
        <w:t xml:space="preserve"> &amp; </w:t>
      </w:r>
      <w:r w:rsidRPr="006107DB">
        <w:rPr>
          <w:rFonts w:ascii="Arial" w:hAnsi="Arial" w:cs="Arial"/>
          <w:sz w:val="20"/>
          <w:szCs w:val="20"/>
          <w:lang w:val="en-NG"/>
        </w:rPr>
        <w:t xml:space="preserve">Yahya (2025) proposed the Transmuted Exponential–Compound Weibull distribution for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positively skewed data by introducing an additional parameter. The inclusion of this parameter enhances the model’s ability to regulate skewness, kurtosis, and tail thickness, thereby allowing it to accommodate a broader spectrum of lifetime data structures</w:t>
      </w:r>
      <w:r w:rsidR="003E609C" w:rsidRPr="006107DB">
        <w:rPr>
          <w:rFonts w:ascii="Arial" w:hAnsi="Arial" w:cs="Arial"/>
          <w:sz w:val="20"/>
          <w:szCs w:val="20"/>
          <w:lang w:val="en-NG"/>
        </w:rPr>
        <w:t xml:space="preserve"> (</w:t>
      </w:r>
      <w:proofErr w:type="spellStart"/>
      <w:r w:rsidR="003E609C" w:rsidRPr="006107DB">
        <w:rPr>
          <w:rFonts w:ascii="Arial" w:hAnsi="Arial" w:cs="Arial"/>
          <w:sz w:val="20"/>
          <w:szCs w:val="20"/>
        </w:rPr>
        <w:t>Saileshwari</w:t>
      </w:r>
      <w:proofErr w:type="spellEnd"/>
      <w:r w:rsidR="003E609C" w:rsidRPr="006107DB">
        <w:rPr>
          <w:rFonts w:ascii="Arial" w:hAnsi="Arial" w:cs="Arial"/>
          <w:sz w:val="20"/>
          <w:szCs w:val="20"/>
        </w:rPr>
        <w:t xml:space="preserve"> et al., 2025)</w:t>
      </w:r>
      <w:r w:rsidRPr="006107DB">
        <w:rPr>
          <w:rFonts w:ascii="Arial" w:hAnsi="Arial" w:cs="Arial"/>
          <w:sz w:val="20"/>
          <w:szCs w:val="20"/>
          <w:lang w:val="en-NG"/>
        </w:rPr>
        <w:t xml:space="preserve">. Similar arguments regarding the importance of flexible tail adjustment and skewness control were highlighted by Joseph </w:t>
      </w:r>
      <w:r w:rsidR="00C32C79" w:rsidRPr="006107DB">
        <w:rPr>
          <w:rFonts w:ascii="Arial" w:hAnsi="Arial" w:cs="Arial"/>
          <w:sz w:val="20"/>
          <w:szCs w:val="20"/>
          <w:lang w:val="en-NG"/>
        </w:rPr>
        <w:t>&amp;</w:t>
      </w:r>
      <w:r w:rsidRPr="006107DB">
        <w:rPr>
          <w:rFonts w:ascii="Arial" w:hAnsi="Arial" w:cs="Arial"/>
          <w:sz w:val="20"/>
          <w:szCs w:val="20"/>
          <w:lang w:val="en-NG"/>
        </w:rPr>
        <w:t xml:space="preserve"> Kim (2025) in their study of extended heavy-tailed models.</w:t>
      </w:r>
    </w:p>
    <w:p w14:paraId="5D3F8F06" w14:textId="79429518"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 xml:space="preserve">Despite the theoretical advantages of flexible multi-parameter distributions such as the TE–NWP model, reliable statistical inference fundamentally depends on efficient and stable parameter estimation techniques. The five-parameter structure of the TE–NWP distribution, comprising shape (β), scale </w:t>
      </w:r>
      <m:oMath>
        <m:r>
          <w:rPr>
            <w:rFonts w:ascii="Cambria Math" w:hAnsi="Cambria Math" w:cs="Arial"/>
            <w:sz w:val="20"/>
            <w:szCs w:val="20"/>
            <w:lang w:val="en-NG"/>
          </w:rPr>
          <m:t>(σ, τ, γ)</m:t>
        </m:r>
      </m:oMath>
      <w:r w:rsidRPr="006107DB">
        <w:rPr>
          <w:rFonts w:ascii="Arial" w:hAnsi="Arial" w:cs="Arial"/>
          <w:sz w:val="20"/>
          <w:szCs w:val="20"/>
          <w:lang w:val="en-NG"/>
        </w:rPr>
        <w:t xml:space="preserve">, and transmutation (θ) parameters, results in a highly nonlinear likelihood function. </w:t>
      </w:r>
      <w:r w:rsidR="00B847B7" w:rsidRPr="006107DB">
        <w:rPr>
          <w:rFonts w:ascii="Arial" w:hAnsi="Arial" w:cs="Arial"/>
          <w:sz w:val="20"/>
          <w:szCs w:val="20"/>
          <w:lang w:val="en-NG"/>
        </w:rPr>
        <w:t>This</w:t>
      </w:r>
      <w:r w:rsidRPr="006107DB">
        <w:rPr>
          <w:rFonts w:ascii="Arial" w:hAnsi="Arial" w:cs="Arial"/>
          <w:sz w:val="20"/>
          <w:szCs w:val="20"/>
          <w:lang w:val="en-NG"/>
        </w:rPr>
        <w:t xml:space="preserve"> complexity poses significant challenges for </w:t>
      </w:r>
      <w:r w:rsidR="00676AE9">
        <w:rPr>
          <w:rFonts w:ascii="Arial" w:hAnsi="Arial" w:cs="Arial"/>
          <w:sz w:val="20"/>
          <w:szCs w:val="20"/>
          <w:lang w:val="en-NG"/>
        </w:rPr>
        <w:t xml:space="preserve">parameter </w:t>
      </w:r>
      <w:r w:rsidRPr="006107DB">
        <w:rPr>
          <w:rFonts w:ascii="Arial" w:hAnsi="Arial" w:cs="Arial"/>
          <w:sz w:val="20"/>
          <w:szCs w:val="20"/>
          <w:lang w:val="en-NG"/>
        </w:rPr>
        <w:t>estimation and may affect convergence stability and estimator efficiency.</w:t>
      </w:r>
    </w:p>
    <w:p w14:paraId="6A5ECFCA" w14:textId="3F6AF62E"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 xml:space="preserve">In statistical estimation, the Method of Moments (MM) has traditionally been used due to its computational simplicity and straightforward implementation. Casella </w:t>
      </w:r>
      <w:r w:rsidR="006107DB" w:rsidRPr="006107DB">
        <w:rPr>
          <w:rFonts w:ascii="Arial" w:hAnsi="Arial" w:cs="Arial"/>
          <w:sz w:val="20"/>
          <w:szCs w:val="20"/>
          <w:lang w:val="en-NG"/>
        </w:rPr>
        <w:t>&amp;</w:t>
      </w:r>
      <w:r w:rsidRPr="006107DB">
        <w:rPr>
          <w:rFonts w:ascii="Arial" w:hAnsi="Arial" w:cs="Arial"/>
          <w:sz w:val="20"/>
          <w:szCs w:val="20"/>
          <w:lang w:val="en-NG"/>
        </w:rPr>
        <w:t xml:space="preserve"> Berger (2002) highlighted MM’s practicality for standard parametric models, while Wu</w:t>
      </w:r>
      <w:r w:rsidR="006107DB" w:rsidRPr="006107DB">
        <w:rPr>
          <w:rFonts w:ascii="Arial" w:hAnsi="Arial" w:cs="Arial"/>
          <w:sz w:val="20"/>
          <w:szCs w:val="20"/>
          <w:lang w:val="en-NG"/>
        </w:rPr>
        <w:t xml:space="preserve"> &amp; </w:t>
      </w:r>
      <w:r w:rsidRPr="006107DB">
        <w:rPr>
          <w:rFonts w:ascii="Arial" w:hAnsi="Arial" w:cs="Arial"/>
          <w:sz w:val="20"/>
          <w:szCs w:val="20"/>
          <w:lang w:val="en-NG"/>
        </w:rPr>
        <w:t>Hu (</w:t>
      </w:r>
      <w:r w:rsidRPr="006107DB">
        <w:rPr>
          <w:rFonts w:ascii="Arial" w:hAnsi="Arial" w:cs="Arial"/>
          <w:i/>
          <w:iCs/>
          <w:sz w:val="20"/>
          <w:szCs w:val="20"/>
          <w:lang w:val="en-NG"/>
        </w:rPr>
        <w:t>2025</w:t>
      </w:r>
      <w:r w:rsidRPr="006107DB">
        <w:rPr>
          <w:rFonts w:ascii="Arial" w:hAnsi="Arial" w:cs="Arial"/>
          <w:sz w:val="20"/>
          <w:szCs w:val="20"/>
          <w:lang w:val="en-NG"/>
        </w:rPr>
        <w:t xml:space="preserve">) demonstrated its application in estimating parameters of generalized distributions where direct likelihood maximization is challenging. </w:t>
      </w:r>
      <w:proofErr w:type="spellStart"/>
      <w:r w:rsidRPr="006107DB">
        <w:rPr>
          <w:rFonts w:ascii="Arial" w:hAnsi="Arial" w:cs="Arial"/>
          <w:sz w:val="20"/>
          <w:szCs w:val="20"/>
          <w:lang w:val="en-NG"/>
        </w:rPr>
        <w:t>Gorgoso</w:t>
      </w:r>
      <w:proofErr w:type="spellEnd"/>
      <w:r w:rsidRPr="006107DB">
        <w:rPr>
          <w:rFonts w:ascii="Arial" w:hAnsi="Arial" w:cs="Arial"/>
          <w:sz w:val="20"/>
          <w:szCs w:val="20"/>
          <w:lang w:val="en-NG"/>
        </w:rPr>
        <w:noBreakHyphen/>
        <w:t xml:space="preserve">Varela </w:t>
      </w:r>
      <w:r w:rsidRPr="006107DB">
        <w:rPr>
          <w:rFonts w:ascii="Arial" w:hAnsi="Arial" w:cs="Arial"/>
          <w:i/>
          <w:iCs/>
          <w:sz w:val="20"/>
          <w:szCs w:val="20"/>
          <w:lang w:val="en-NG"/>
        </w:rPr>
        <w:t>et al.</w:t>
      </w:r>
      <w:r w:rsidRPr="006107DB">
        <w:rPr>
          <w:rFonts w:ascii="Arial" w:hAnsi="Arial" w:cs="Arial"/>
          <w:sz w:val="20"/>
          <w:szCs w:val="20"/>
          <w:lang w:val="en-NG"/>
        </w:rPr>
        <w:t xml:space="preserve"> (</w:t>
      </w:r>
      <w:r w:rsidRPr="006107DB">
        <w:rPr>
          <w:rFonts w:ascii="Arial" w:hAnsi="Arial" w:cs="Arial"/>
          <w:i/>
          <w:iCs/>
          <w:sz w:val="20"/>
          <w:szCs w:val="20"/>
          <w:lang w:val="en-NG"/>
        </w:rPr>
        <w:t>2024</w:t>
      </w:r>
      <w:r w:rsidRPr="006107DB">
        <w:rPr>
          <w:rFonts w:ascii="Arial" w:hAnsi="Arial" w:cs="Arial"/>
          <w:sz w:val="20"/>
          <w:szCs w:val="20"/>
          <w:lang w:val="en-NG"/>
        </w:rPr>
        <w:t>) compared MM with Maximum Likelihood Estimation (MLE), emphasizing the superior asymptotic properties of MLE</w:t>
      </w:r>
      <w:r w:rsidR="00CD17AC" w:rsidRPr="006107DB">
        <w:rPr>
          <w:rFonts w:ascii="Arial" w:hAnsi="Arial" w:cs="Arial"/>
          <w:sz w:val="20"/>
          <w:szCs w:val="20"/>
          <w:lang w:val="en-NG"/>
        </w:rPr>
        <w:t xml:space="preserve">, </w:t>
      </w:r>
      <w:r w:rsidRPr="006107DB">
        <w:rPr>
          <w:rFonts w:ascii="Arial" w:hAnsi="Arial" w:cs="Arial"/>
          <w:sz w:val="20"/>
          <w:szCs w:val="20"/>
          <w:lang w:val="en-NG"/>
        </w:rPr>
        <w:t>such as consistency, efficiency, and asymptotic normality</w:t>
      </w:r>
      <w:r w:rsidR="00871592">
        <w:rPr>
          <w:rFonts w:ascii="Arial" w:hAnsi="Arial" w:cs="Arial"/>
          <w:sz w:val="20"/>
          <w:szCs w:val="20"/>
          <w:lang w:val="en-NG"/>
        </w:rPr>
        <w:t>,</w:t>
      </w:r>
      <w:r w:rsidR="00C45EE4" w:rsidRPr="006107DB">
        <w:rPr>
          <w:rFonts w:ascii="Arial" w:hAnsi="Arial" w:cs="Arial"/>
          <w:sz w:val="20"/>
          <w:szCs w:val="20"/>
          <w:lang w:val="en-NG"/>
        </w:rPr>
        <w:t xml:space="preserve"> </w:t>
      </w:r>
      <w:r w:rsidRPr="006107DB">
        <w:rPr>
          <w:rFonts w:ascii="Arial" w:hAnsi="Arial" w:cs="Arial"/>
          <w:sz w:val="20"/>
          <w:szCs w:val="20"/>
          <w:lang w:val="en-NG"/>
        </w:rPr>
        <w:t>originally established by Fisher (1922).</w:t>
      </w:r>
      <w:r w:rsidR="00871592">
        <w:rPr>
          <w:rFonts w:ascii="Arial" w:hAnsi="Arial" w:cs="Arial"/>
          <w:sz w:val="20"/>
          <w:szCs w:val="20"/>
          <w:lang w:val="en-NG"/>
        </w:rPr>
        <w:t xml:space="preserve"> </w:t>
      </w:r>
      <w:r w:rsidRPr="006107DB">
        <w:rPr>
          <w:rFonts w:ascii="Arial" w:hAnsi="Arial" w:cs="Arial"/>
          <w:sz w:val="20"/>
          <w:szCs w:val="20"/>
          <w:lang w:val="en-NG"/>
        </w:rPr>
        <w:t xml:space="preserve">For models with complex likelihood structures or latent components, direct MLE can be computationally difficult or unstable. To address this, Dempster </w:t>
      </w:r>
      <w:r w:rsidRPr="006107DB">
        <w:rPr>
          <w:rFonts w:ascii="Arial" w:hAnsi="Arial" w:cs="Arial"/>
          <w:i/>
          <w:iCs/>
          <w:sz w:val="20"/>
          <w:szCs w:val="20"/>
          <w:lang w:val="en-NG"/>
        </w:rPr>
        <w:t>et al.</w:t>
      </w:r>
      <w:r w:rsidRPr="006107DB">
        <w:rPr>
          <w:rFonts w:ascii="Arial" w:hAnsi="Arial" w:cs="Arial"/>
          <w:sz w:val="20"/>
          <w:szCs w:val="20"/>
          <w:lang w:val="en-NG"/>
        </w:rPr>
        <w:t xml:space="preserve"> (1977) introduced the Expectation–Maximization (EM) algorithm, an iterative approach that ensures monotonic increases in the likelihood and enhanced numerical stability. A growing body of research demonstrate</w:t>
      </w:r>
      <w:r w:rsidR="0092621C">
        <w:rPr>
          <w:rFonts w:ascii="Arial" w:hAnsi="Arial" w:cs="Arial"/>
          <w:sz w:val="20"/>
          <w:szCs w:val="20"/>
          <w:lang w:val="en-NG"/>
        </w:rPr>
        <w:t>s</w:t>
      </w:r>
      <w:r w:rsidRPr="006107DB">
        <w:rPr>
          <w:rFonts w:ascii="Arial" w:hAnsi="Arial" w:cs="Arial"/>
          <w:sz w:val="20"/>
          <w:szCs w:val="20"/>
          <w:lang w:val="en-NG"/>
        </w:rPr>
        <w:t xml:space="preserve"> the</w:t>
      </w:r>
      <w:r w:rsidR="0092621C">
        <w:rPr>
          <w:rFonts w:ascii="Arial" w:hAnsi="Arial" w:cs="Arial"/>
          <w:sz w:val="20"/>
          <w:szCs w:val="20"/>
          <w:lang w:val="en-NG"/>
        </w:rPr>
        <w:t xml:space="preserve"> </w:t>
      </w:r>
      <w:r w:rsidRPr="006107DB">
        <w:rPr>
          <w:rFonts w:ascii="Arial" w:hAnsi="Arial" w:cs="Arial"/>
          <w:sz w:val="20"/>
          <w:szCs w:val="20"/>
          <w:lang w:val="en-NG"/>
        </w:rPr>
        <w:t>effectiveness of EM</w:t>
      </w:r>
      <w:r w:rsidRPr="006107DB">
        <w:rPr>
          <w:rFonts w:ascii="Arial" w:hAnsi="Arial" w:cs="Arial"/>
          <w:sz w:val="20"/>
          <w:szCs w:val="20"/>
          <w:lang w:val="en-NG"/>
        </w:rPr>
        <w:noBreakHyphen/>
        <w:t>based estimation for heavy</w:t>
      </w:r>
      <w:r w:rsidRPr="006107DB">
        <w:rPr>
          <w:rFonts w:ascii="Arial" w:hAnsi="Arial" w:cs="Arial"/>
          <w:sz w:val="20"/>
          <w:szCs w:val="20"/>
          <w:lang w:val="en-NG"/>
        </w:rPr>
        <w:noBreakHyphen/>
        <w:t xml:space="preserve">tailed and generalized lifetime distributions. For example, Gupta </w:t>
      </w:r>
      <w:r w:rsidR="006107DB" w:rsidRPr="006107DB">
        <w:rPr>
          <w:rFonts w:ascii="Arial" w:hAnsi="Arial" w:cs="Arial"/>
          <w:sz w:val="20"/>
          <w:szCs w:val="20"/>
          <w:lang w:val="en-NG"/>
        </w:rPr>
        <w:t>&amp;</w:t>
      </w:r>
      <w:r w:rsidRPr="006107DB">
        <w:rPr>
          <w:rFonts w:ascii="Arial" w:hAnsi="Arial" w:cs="Arial"/>
          <w:sz w:val="20"/>
          <w:szCs w:val="20"/>
          <w:lang w:val="en-NG"/>
        </w:rPr>
        <w:t xml:space="preserve"> Kundu (2001) applied EM to improve parameter estimation accuracy in complex lifetime models, </w:t>
      </w:r>
      <w:proofErr w:type="spellStart"/>
      <w:r w:rsidRPr="006107DB">
        <w:rPr>
          <w:rFonts w:ascii="Arial" w:hAnsi="Arial" w:cs="Arial"/>
          <w:sz w:val="20"/>
          <w:szCs w:val="20"/>
          <w:lang w:val="en-NG"/>
        </w:rPr>
        <w:t>Dhull</w:t>
      </w:r>
      <w:proofErr w:type="spellEnd"/>
      <w:r w:rsidRPr="006107DB">
        <w:rPr>
          <w:rFonts w:ascii="Arial" w:hAnsi="Arial" w:cs="Arial"/>
          <w:sz w:val="20"/>
          <w:szCs w:val="20"/>
          <w:lang w:val="en-NG"/>
        </w:rPr>
        <w:t xml:space="preserve"> </w:t>
      </w:r>
      <w:r w:rsidR="00C32C79" w:rsidRPr="006107DB">
        <w:rPr>
          <w:rFonts w:ascii="Arial" w:hAnsi="Arial" w:cs="Arial"/>
          <w:sz w:val="20"/>
          <w:szCs w:val="20"/>
          <w:lang w:val="en-NG"/>
        </w:rPr>
        <w:t>&amp;</w:t>
      </w:r>
      <w:r w:rsidRPr="006107DB">
        <w:rPr>
          <w:rFonts w:ascii="Arial" w:hAnsi="Arial" w:cs="Arial"/>
          <w:sz w:val="20"/>
          <w:szCs w:val="20"/>
          <w:lang w:val="en-NG"/>
        </w:rPr>
        <w:t xml:space="preserve"> Kumar (2021) highlighted its stability in multi</w:t>
      </w:r>
      <w:r w:rsidRPr="006107DB">
        <w:rPr>
          <w:rFonts w:ascii="Arial" w:hAnsi="Arial" w:cs="Arial"/>
          <w:sz w:val="20"/>
          <w:szCs w:val="20"/>
          <w:lang w:val="en-NG"/>
        </w:rPr>
        <w:noBreakHyphen/>
        <w:t>parameter generalized distributions, and Guo (</w:t>
      </w:r>
      <w:r w:rsidRPr="006107DB">
        <w:rPr>
          <w:rFonts w:ascii="Arial" w:hAnsi="Arial" w:cs="Arial"/>
          <w:i/>
          <w:iCs/>
          <w:sz w:val="20"/>
          <w:szCs w:val="20"/>
          <w:lang w:val="en-NG"/>
        </w:rPr>
        <w:t>2025</w:t>
      </w:r>
      <w:r w:rsidRPr="006107DB">
        <w:rPr>
          <w:rFonts w:ascii="Arial" w:hAnsi="Arial" w:cs="Arial"/>
          <w:sz w:val="20"/>
          <w:szCs w:val="20"/>
          <w:lang w:val="en-NG"/>
        </w:rPr>
        <w:t>) showcased enhanced convergence and reliability for skewed or heavy</w:t>
      </w:r>
      <w:r w:rsidRPr="006107DB">
        <w:rPr>
          <w:rFonts w:ascii="Arial" w:hAnsi="Arial" w:cs="Arial"/>
          <w:sz w:val="20"/>
          <w:szCs w:val="20"/>
          <w:lang w:val="en-NG"/>
        </w:rPr>
        <w:noBreakHyphen/>
        <w:t xml:space="preserve">tailed data. Hajjaji </w:t>
      </w:r>
      <w:r w:rsidRPr="006107DB">
        <w:rPr>
          <w:rFonts w:ascii="Arial" w:hAnsi="Arial" w:cs="Arial"/>
          <w:i/>
          <w:iCs/>
          <w:sz w:val="20"/>
          <w:szCs w:val="20"/>
          <w:lang w:val="en-NG"/>
        </w:rPr>
        <w:t>et al.</w:t>
      </w:r>
      <w:r w:rsidRPr="006107DB">
        <w:rPr>
          <w:rFonts w:ascii="Arial" w:hAnsi="Arial" w:cs="Arial"/>
          <w:sz w:val="20"/>
          <w:szCs w:val="20"/>
          <w:lang w:val="en-NG"/>
        </w:rPr>
        <w:t xml:space="preserve"> (2024) enhanced parameter estimation for mixtures of stable distributions by integrating the EM algorithm with characteristic function and Bayesian approaches, enabling more accurate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of heavy</w:t>
      </w:r>
      <w:r w:rsidRPr="006107DB">
        <w:rPr>
          <w:rFonts w:ascii="Arial" w:hAnsi="Arial" w:cs="Arial"/>
          <w:sz w:val="20"/>
          <w:szCs w:val="20"/>
          <w:lang w:val="en-NG"/>
        </w:rPr>
        <w:noBreakHyphen/>
        <w:t>tailed and multi-component structures.</w:t>
      </w:r>
      <w:r w:rsidRPr="006107DB">
        <w:rPr>
          <w:rFonts w:ascii="Arial" w:hAnsi="Arial" w:cs="Arial"/>
          <w:sz w:val="20"/>
          <w:szCs w:val="20"/>
        </w:rPr>
        <w:t xml:space="preserve"> </w:t>
      </w:r>
    </w:p>
    <w:p w14:paraId="525666D4" w14:textId="77777777"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 xml:space="preserve">Although these estimation methods have been extensively studied in various distributional contexts, there remains limited comparative evidence regarding their relative performance for the TE–NWP distribution. In particular, no comprehensive study has systematically examined the bias, mean squared error (MSE), and convergence </w:t>
      </w:r>
      <w:proofErr w:type="spellStart"/>
      <w:r w:rsidRPr="006107DB">
        <w:rPr>
          <w:rFonts w:ascii="Arial" w:hAnsi="Arial" w:cs="Arial"/>
          <w:sz w:val="20"/>
          <w:szCs w:val="20"/>
          <w:lang w:val="en-NG"/>
        </w:rPr>
        <w:t>behavior</w:t>
      </w:r>
      <w:proofErr w:type="spellEnd"/>
      <w:r w:rsidRPr="006107DB">
        <w:rPr>
          <w:rFonts w:ascii="Arial" w:hAnsi="Arial" w:cs="Arial"/>
          <w:sz w:val="20"/>
          <w:szCs w:val="20"/>
          <w:lang w:val="en-NG"/>
        </w:rPr>
        <w:t xml:space="preserve"> of MM, MLE, and EM estimators under varying sample sizes within the TE–NWP framework.</w:t>
      </w:r>
    </w:p>
    <w:p w14:paraId="57B3A2D0" w14:textId="77777777" w:rsidR="00AF36F5" w:rsidRPr="006107DB" w:rsidRDefault="00AF36F5" w:rsidP="00AF36F5">
      <w:pPr>
        <w:jc w:val="both"/>
        <w:rPr>
          <w:rFonts w:ascii="Arial" w:hAnsi="Arial" w:cs="Arial"/>
          <w:sz w:val="20"/>
          <w:szCs w:val="20"/>
          <w:lang w:val="en-NG"/>
        </w:rPr>
      </w:pPr>
      <w:r w:rsidRPr="006107DB">
        <w:rPr>
          <w:rFonts w:ascii="Arial" w:hAnsi="Arial" w:cs="Arial"/>
          <w:sz w:val="20"/>
          <w:szCs w:val="20"/>
          <w:lang w:val="en-NG"/>
        </w:rPr>
        <w:t xml:space="preserve">Therefore, the primary aim of this study is to comparatively evaluate the performance of the Method of Moments (MM), Maximum Likelihood Estimation (MLE), and the Expectation–Maximization (EM) algorithm for estimating the parameters of the TE–NWP distribution. Through comprehensive Monte Carlo simulations conducted under varying sample sizes, the study assesses estimator performance in terms of bias and mean squared error (MSE). In addition, the methods are applied to Kevlar 373/epoxy fatigue fracture data to evaluate their practical performance in </w:t>
      </w:r>
      <w:proofErr w:type="spellStart"/>
      <w:r w:rsidRPr="006107DB">
        <w:rPr>
          <w:rFonts w:ascii="Arial" w:hAnsi="Arial" w:cs="Arial"/>
          <w:sz w:val="20"/>
          <w:szCs w:val="20"/>
          <w:lang w:val="en-NG"/>
        </w:rPr>
        <w:t>modeling</w:t>
      </w:r>
      <w:proofErr w:type="spellEnd"/>
      <w:r w:rsidRPr="006107DB">
        <w:rPr>
          <w:rFonts w:ascii="Arial" w:hAnsi="Arial" w:cs="Arial"/>
          <w:sz w:val="20"/>
          <w:szCs w:val="20"/>
          <w:lang w:val="en-NG"/>
        </w:rPr>
        <w:t xml:space="preserve"> real reliability datasets.</w:t>
      </w:r>
    </w:p>
    <w:p w14:paraId="2179F090" w14:textId="77777777" w:rsidR="00AF36F5" w:rsidRPr="006107DB" w:rsidRDefault="00AF36F5" w:rsidP="00507F78">
      <w:pPr>
        <w:jc w:val="both"/>
        <w:rPr>
          <w:rFonts w:ascii="Arial" w:hAnsi="Arial" w:cs="Arial"/>
          <w:sz w:val="20"/>
          <w:szCs w:val="20"/>
          <w:lang w:val="en-NG"/>
        </w:rPr>
      </w:pPr>
      <w:r w:rsidRPr="006107DB">
        <w:rPr>
          <w:rFonts w:ascii="Arial" w:hAnsi="Arial" w:cs="Arial"/>
          <w:sz w:val="20"/>
          <w:szCs w:val="20"/>
          <w:lang w:val="en-NG"/>
        </w:rPr>
        <w:lastRenderedPageBreak/>
        <w:t>The remainder of this paper is organized as follows. Section 2 presents the probability density function (PDF), cumulative distribution function (CDF), and parameter estimation methods for the TE–NWP distribution. Section 3 presents the simulation study and real-life application results, while the final section concludes the paper with remarks and directions for future research.</w:t>
      </w:r>
    </w:p>
    <w:p w14:paraId="7F578197" w14:textId="73EBBD51" w:rsidR="00986B3F" w:rsidRPr="006107DB" w:rsidRDefault="00986B3F" w:rsidP="00986B3F">
      <w:pPr>
        <w:pStyle w:val="ListParagraph"/>
        <w:numPr>
          <w:ilvl w:val="0"/>
          <w:numId w:val="3"/>
        </w:numPr>
        <w:spacing w:after="200" w:line="240" w:lineRule="auto"/>
        <w:rPr>
          <w:rFonts w:ascii="Arial" w:hAnsi="Arial" w:cs="Arial"/>
          <w:b/>
          <w:bCs/>
        </w:rPr>
      </w:pPr>
      <w:r w:rsidRPr="006107DB">
        <w:rPr>
          <w:rFonts w:ascii="Arial" w:hAnsi="Arial" w:cs="Arial"/>
          <w:b/>
          <w:bCs/>
        </w:rPr>
        <w:t>Material and Methods</w:t>
      </w:r>
    </w:p>
    <w:p w14:paraId="6A8A6BD3" w14:textId="2C8C8E70" w:rsidR="00986B3F" w:rsidRPr="006107DB" w:rsidRDefault="00986B3F" w:rsidP="00986B3F">
      <w:pPr>
        <w:pStyle w:val="NormalWeb"/>
        <w:numPr>
          <w:ilvl w:val="1"/>
          <w:numId w:val="3"/>
        </w:numPr>
        <w:jc w:val="both"/>
        <w:rPr>
          <w:rFonts w:ascii="Arial" w:hAnsi="Arial" w:cs="Arial"/>
          <w:sz w:val="20"/>
          <w:szCs w:val="20"/>
        </w:rPr>
      </w:pPr>
      <w:r w:rsidRPr="006107DB">
        <w:rPr>
          <w:rFonts w:ascii="Arial" w:hAnsi="Arial" w:cs="Arial"/>
          <w:sz w:val="20"/>
          <w:szCs w:val="20"/>
        </w:rPr>
        <w:t xml:space="preserve"> </w:t>
      </w:r>
      <w:r w:rsidRPr="006107DB">
        <w:rPr>
          <w:rFonts w:ascii="Arial" w:hAnsi="Arial" w:cs="Arial"/>
          <w:b/>
          <w:bCs/>
          <w:sz w:val="20"/>
          <w:szCs w:val="20"/>
        </w:rPr>
        <w:t>Transmuted Exponential–New Weibull Pareto (TE-NWP)</w:t>
      </w:r>
    </w:p>
    <w:p w14:paraId="0FC75C4D" w14:textId="582A4AED" w:rsidR="001F44B2" w:rsidRPr="006107DB" w:rsidRDefault="001F44B2" w:rsidP="00AE370B">
      <w:pPr>
        <w:spacing w:before="100" w:beforeAutospacing="1" w:after="100" w:afterAutospacing="1" w:line="240" w:lineRule="auto"/>
        <w:rPr>
          <w:rFonts w:ascii="Arial" w:eastAsia="Times New Roman" w:hAnsi="Arial" w:cs="Arial"/>
          <w:sz w:val="20"/>
          <w:szCs w:val="20"/>
        </w:rPr>
      </w:pPr>
      <w:r w:rsidRPr="006107DB">
        <w:rPr>
          <w:rFonts w:ascii="Arial" w:eastAsia="Times New Roman" w:hAnsi="Arial" w:cs="Arial"/>
          <w:sz w:val="20"/>
          <w:szCs w:val="20"/>
        </w:rPr>
        <w:t xml:space="preserve">Let </w:t>
      </w:r>
      <m:oMath>
        <m:r>
          <w:rPr>
            <w:rFonts w:ascii="Cambria Math" w:eastAsia="Times New Roman" w:hAnsi="Cambria Math" w:cs="Arial"/>
            <w:sz w:val="20"/>
            <w:szCs w:val="20"/>
          </w:rPr>
          <m:t>X</m:t>
        </m:r>
      </m:oMath>
      <w:r w:rsidR="00521261" w:rsidRPr="006107DB">
        <w:rPr>
          <w:rFonts w:ascii="Arial" w:eastAsia="Times New Roman" w:hAnsi="Arial" w:cs="Arial"/>
          <w:sz w:val="20"/>
          <w:szCs w:val="20"/>
        </w:rPr>
        <w:t xml:space="preserve"> </w:t>
      </w:r>
      <w:r w:rsidRPr="006107DB">
        <w:rPr>
          <w:rFonts w:ascii="Arial" w:eastAsia="Times New Roman" w:hAnsi="Arial" w:cs="Arial"/>
          <w:sz w:val="20"/>
          <w:szCs w:val="20"/>
        </w:rPr>
        <w:t xml:space="preserve">be a continuous random variable. The probability density function (PDF) </w:t>
      </w:r>
      <w:r w:rsidR="0015125B" w:rsidRPr="006107DB">
        <w:rPr>
          <w:rFonts w:ascii="Arial" w:eastAsia="Times New Roman" w:hAnsi="Arial" w:cs="Arial"/>
          <w:sz w:val="20"/>
          <w:szCs w:val="20"/>
        </w:rPr>
        <w:t xml:space="preserve">and cumulative distribution function (CDF) </w:t>
      </w:r>
      <w:r w:rsidRPr="006107DB">
        <w:rPr>
          <w:rFonts w:ascii="Arial" w:eastAsia="Times New Roman" w:hAnsi="Arial" w:cs="Arial"/>
          <w:sz w:val="20"/>
          <w:szCs w:val="20"/>
        </w:rPr>
        <w:t xml:space="preserve">of the TE–NWP distribution, as introduced by </w:t>
      </w:r>
      <w:r w:rsidR="0015125B" w:rsidRPr="006107DB">
        <w:rPr>
          <w:rFonts w:ascii="Arial" w:eastAsia="Times New Roman" w:hAnsi="Arial" w:cs="Arial"/>
          <w:sz w:val="20"/>
          <w:szCs w:val="20"/>
        </w:rPr>
        <w:t>Nweze</w:t>
      </w:r>
      <w:r w:rsidRPr="006107DB">
        <w:rPr>
          <w:rFonts w:ascii="Arial" w:eastAsia="Times New Roman" w:hAnsi="Arial" w:cs="Arial"/>
          <w:sz w:val="20"/>
          <w:szCs w:val="20"/>
        </w:rPr>
        <w:t xml:space="preserve"> et al. (2026), are given by:</w:t>
      </w:r>
    </w:p>
    <w:p w14:paraId="4F6FB6A6" w14:textId="545E71B4" w:rsidR="001F44B2" w:rsidRPr="006107DB" w:rsidRDefault="001F44B2" w:rsidP="001F44B2">
      <w:pPr>
        <w:spacing w:before="100" w:beforeAutospacing="1" w:after="100" w:afterAutospacing="1" w:line="240" w:lineRule="auto"/>
        <w:ind w:left="360"/>
        <w:rPr>
          <w:rFonts w:ascii="Arial" w:eastAsia="Times New Roman" w:hAnsi="Arial" w:cs="Arial"/>
          <w:sz w:val="20"/>
          <w:szCs w:val="20"/>
        </w:rPr>
      </w:pPr>
      <w:r w:rsidRPr="006107DB">
        <w:rPr>
          <w:rFonts w:ascii="Arial" w:eastAsia="Times New Roman" w:hAnsi="Arial" w:cs="Arial"/>
          <w:sz w:val="20"/>
          <w:szCs w:val="20"/>
        </w:rPr>
        <w:t>CDF:</w:t>
      </w:r>
    </w:p>
    <w:p w14:paraId="4411686C" w14:textId="35B684E3" w:rsidR="00986B3F" w:rsidRPr="006107DB" w:rsidRDefault="001F44B2" w:rsidP="00986B3F">
      <w:pPr>
        <w:pStyle w:val="NormalWeb"/>
        <w:jc w:val="both"/>
        <w:rPr>
          <w:rFonts w:ascii="Arial" w:hAnsi="Arial" w:cs="Arial"/>
          <w:sz w:val="20"/>
          <w:szCs w:val="20"/>
        </w:rPr>
      </w:pPr>
      <m:oMathPara>
        <m:oMath>
          <m:r>
            <w:rPr>
              <w:rFonts w:ascii="Cambria Math" w:eastAsiaTheme="minorEastAsia" w:hAnsi="Cambria Math" w:cs="Arial"/>
              <w:sz w:val="20"/>
              <w:szCs w:val="20"/>
            </w:rPr>
            <m:t xml:space="preserve"> F</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x;</m:t>
              </m:r>
              <m:r>
                <m:rPr>
                  <m:sty m:val="p"/>
                </m:rPr>
                <w:rPr>
                  <w:rFonts w:ascii="Cambria Math" w:hAnsi="Cambria Math" w:cs="Arial"/>
                  <w:sz w:val="20"/>
                  <w:szCs w:val="20"/>
                </w:rPr>
                <m:t>τ,θ</m:t>
              </m:r>
              <m:r>
                <w:rPr>
                  <w:rFonts w:ascii="Cambria Math" w:eastAsiaTheme="minorEastAsia" w:hAnsi="Cambria Math" w:cs="Arial"/>
                  <w:sz w:val="20"/>
                  <w:szCs w:val="20"/>
                </w:rPr>
                <m:t>,γ,σ,β</m:t>
              </m:r>
            </m:e>
          </m:d>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1-exp-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τσ</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x</m:t>
                              </m:r>
                            </m:num>
                            <m:den>
                              <m:r>
                                <w:rPr>
                                  <w:rFonts w:ascii="Cambria Math" w:eastAsiaTheme="minorEastAsia" w:hAnsi="Cambria Math" w:cs="Arial"/>
                                  <w:sz w:val="20"/>
                                  <w:szCs w:val="20"/>
                                </w:rPr>
                                <m:t>γ</m:t>
                              </m:r>
                            </m:den>
                          </m:f>
                        </m:e>
                      </m:d>
                    </m:e>
                    <m:sup>
                      <m:r>
                        <w:rPr>
                          <w:rFonts w:ascii="Cambria Math" w:eastAsiaTheme="minorEastAsia" w:hAnsi="Cambria Math" w:cs="Arial"/>
                          <w:sz w:val="20"/>
                          <w:szCs w:val="20"/>
                        </w:rPr>
                        <m:t>β</m:t>
                      </m:r>
                    </m:sup>
                  </m:sSup>
                </m:e>
              </m:d>
            </m:e>
          </m:d>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1+θ</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exp-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τσ</m:t>
                      </m:r>
                      <m:sSup>
                        <m:sSupPr>
                          <m:ctrlPr>
                            <w:rPr>
                              <w:rFonts w:ascii="Cambria Math" w:eastAsiaTheme="minorEastAsia" w:hAnsi="Cambria Math" w:cs="Arial"/>
                              <w:i/>
                              <w:sz w:val="20"/>
                              <w:szCs w:val="20"/>
                            </w:rPr>
                          </m:ctrlPr>
                        </m:sSupPr>
                        <m:e>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x</m:t>
                                  </m:r>
                                </m:num>
                                <m:den>
                                  <m:r>
                                    <w:rPr>
                                      <w:rFonts w:ascii="Cambria Math" w:eastAsiaTheme="minorEastAsia" w:hAnsi="Cambria Math" w:cs="Arial"/>
                                      <w:sz w:val="20"/>
                                      <w:szCs w:val="20"/>
                                    </w:rPr>
                                    <m:t>γ</m:t>
                                  </m:r>
                                </m:den>
                              </m:f>
                            </m:e>
                          </m:d>
                        </m:e>
                        <m:sup>
                          <m:r>
                            <w:rPr>
                              <w:rFonts w:ascii="Cambria Math" w:eastAsiaTheme="minorEastAsia" w:hAnsi="Cambria Math" w:cs="Arial"/>
                              <w:sz w:val="20"/>
                              <w:szCs w:val="20"/>
                            </w:rPr>
                            <m:t>β</m:t>
                          </m:r>
                        </m:sup>
                      </m:sSup>
                    </m:e>
                  </m:d>
                </m:e>
              </m:d>
            </m:e>
          </m:d>
          <m:r>
            <w:rPr>
              <w:rFonts w:ascii="Cambria Math" w:eastAsiaTheme="minorEastAsia" w:hAnsi="Cambria Math" w:cs="Arial"/>
              <w:sz w:val="20"/>
              <w:szCs w:val="20"/>
            </w:rPr>
            <m:t xml:space="preserve">                                                         (1)</m:t>
          </m:r>
        </m:oMath>
      </m:oMathPara>
    </w:p>
    <w:p w14:paraId="4F8358D3" w14:textId="4ECB0D0F" w:rsidR="001F44B2" w:rsidRPr="006107DB" w:rsidRDefault="001F44B2" w:rsidP="00986B3F">
      <w:pPr>
        <w:pStyle w:val="NormalWeb"/>
        <w:jc w:val="both"/>
        <w:rPr>
          <w:rFonts w:ascii="Arial" w:hAnsi="Arial" w:cs="Arial"/>
          <w:sz w:val="20"/>
          <w:szCs w:val="20"/>
        </w:rPr>
      </w:pPr>
      <w:r w:rsidRPr="006107DB">
        <w:rPr>
          <w:rFonts w:ascii="Arial" w:hAnsi="Arial" w:cs="Arial"/>
          <w:sz w:val="20"/>
          <w:szCs w:val="20"/>
        </w:rPr>
        <w:t xml:space="preserve">PDF: </w:t>
      </w:r>
    </w:p>
    <w:p w14:paraId="6ADFE0A8" w14:textId="5FDA7FDA" w:rsidR="00986B3F" w:rsidRPr="006107DB" w:rsidRDefault="001F44B2" w:rsidP="00986B3F">
      <w:pPr>
        <w:spacing w:after="0" w:line="240" w:lineRule="auto"/>
        <w:jc w:val="both"/>
        <w:rPr>
          <w:rFonts w:ascii="Arial" w:eastAsia="Times New Roman" w:hAnsi="Arial" w:cs="Arial"/>
          <w:i/>
          <w:sz w:val="20"/>
          <w:szCs w:val="20"/>
        </w:rPr>
      </w:pPr>
      <m:oMathPara>
        <m:oMath>
          <m:r>
            <w:rPr>
              <w:rFonts w:ascii="Cambria Math" w:eastAsiaTheme="minorEastAsia" w:hAnsi="Cambria Math" w:cs="Arial"/>
              <w:sz w:val="20"/>
              <w:szCs w:val="20"/>
            </w:rPr>
            <m:t xml:space="preserve"> f</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x;</m:t>
              </m:r>
              <m:r>
                <m:rPr>
                  <m:sty m:val="p"/>
                </m:rPr>
                <w:rPr>
                  <w:rFonts w:ascii="Cambria Math" w:hAnsi="Cambria Math" w:cs="Arial"/>
                  <w:sz w:val="20"/>
                  <w:szCs w:val="20"/>
                </w:rPr>
                <m:t>τ,θ</m:t>
              </m:r>
              <m:r>
                <m:rPr>
                  <m:sty m:val="p"/>
                </m:rPr>
                <w:rPr>
                  <w:rFonts w:ascii="Cambria Math" w:eastAsiaTheme="minorEastAsia" w:hAnsi="Cambria Math" w:cs="Arial"/>
                  <w:sz w:val="20"/>
                  <w:szCs w:val="20"/>
                </w:rPr>
                <m:t>,γ,σ,β</m:t>
              </m:r>
            </m:e>
          </m:d>
          <m:r>
            <m:rPr>
              <m:sty m:val="p"/>
            </m:rP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d>
            <m:dPr>
              <m:ctrlPr>
                <w:rPr>
                  <w:rFonts w:ascii="Cambria Math" w:eastAsiaTheme="minorEastAsia" w:hAnsi="Cambria Math" w:cs="Arial"/>
                  <w:i/>
                  <w:sz w:val="20"/>
                  <w:szCs w:val="20"/>
                </w:rPr>
              </m:ctrlPr>
            </m:dPr>
            <m:e>
              <m:r>
                <w:rPr>
                  <w:rFonts w:ascii="Cambria Math" w:eastAsiaTheme="minorEastAsia" w:hAnsi="Cambria Math" w:cs="Arial"/>
                  <w:sz w:val="20"/>
                  <w:szCs w:val="20"/>
                </w:rPr>
                <m:t>1-</m:t>
              </m:r>
              <m:r>
                <m:rPr>
                  <m:sty m:val="p"/>
                </m:rPr>
                <w:rPr>
                  <w:rFonts w:ascii="Cambria Math" w:eastAsiaTheme="minorEastAsia" w:hAnsi="Cambria Math" w:cs="Arial"/>
                  <w:sz w:val="20"/>
                  <w:szCs w:val="20"/>
                </w:rPr>
                <m:t>θ</m:t>
              </m:r>
            </m:e>
          </m:d>
          <m:r>
            <m:rPr>
              <m:sty m:val="p"/>
            </m:rPr>
            <w:rPr>
              <w:rFonts w:ascii="Cambria Math" w:eastAsiaTheme="minorEastAsia" w:hAnsi="Cambria Math" w:cs="Arial"/>
              <w:sz w:val="20"/>
              <w:szCs w:val="20"/>
            </w:rPr>
            <m:t>exp-</m:t>
          </m:r>
          <m:d>
            <m:dPr>
              <m:ctrlPr>
                <w:rPr>
                  <w:rFonts w:ascii="Cambria Math" w:eastAsiaTheme="minorEastAsia" w:hAnsi="Cambria Math" w:cs="Arial"/>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 xml:space="preserve"> exp-</m:t>
          </m:r>
          <m:d>
            <m:dPr>
              <m:ctrlPr>
                <w:rPr>
                  <w:rFonts w:ascii="Cambria Math" w:eastAsiaTheme="minorEastAsia" w:hAnsi="Cambria Math" w:cs="Arial"/>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sz w:val="20"/>
                      <w:szCs w:val="20"/>
                    </w:rPr>
                  </m:ctrlPr>
                </m:sSupPr>
                <m:e>
                  <m:d>
                    <m:dPr>
                      <m:ctrlPr>
                        <w:rPr>
                          <w:rFonts w:ascii="Cambria Math" w:eastAsiaTheme="minorEastAsia" w:hAnsi="Cambria Math" w:cs="Arial"/>
                          <w:sz w:val="20"/>
                          <w:szCs w:val="20"/>
                        </w:rPr>
                      </m:ctrlPr>
                    </m:dPr>
                    <m:e>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x</m:t>
                          </m:r>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w:rPr>
              <w:rFonts w:ascii="Cambria Math" w:eastAsia="Times New Roman" w:hAnsi="Cambria Math" w:cs="Arial"/>
              <w:sz w:val="20"/>
              <w:szCs w:val="20"/>
            </w:rPr>
            <m:t xml:space="preserve">                     (2)</m:t>
          </m:r>
        </m:oMath>
      </m:oMathPara>
    </w:p>
    <w:p w14:paraId="29BA7CAD" w14:textId="72E7688F" w:rsidR="00986B3F" w:rsidRPr="006107DB" w:rsidRDefault="00986B3F" w:rsidP="00986B3F">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iCs/>
          <w:sz w:val="20"/>
          <w:szCs w:val="20"/>
        </w:rPr>
        <w:t xml:space="preserve">where </w:t>
      </w:r>
      <m:oMath>
        <m:r>
          <w:rPr>
            <w:rFonts w:ascii="Cambria Math" w:eastAsiaTheme="minorEastAsia" w:hAnsi="Cambria Math" w:cs="Arial"/>
            <w:sz w:val="20"/>
            <w:szCs w:val="20"/>
          </w:rPr>
          <m:t>γ,  σ</m:t>
        </m:r>
        <m:r>
          <w:rPr>
            <w:rFonts w:ascii="Cambria Math" w:eastAsiaTheme="minorEastAsia" w:hAnsi="Cambria Math" w:cs="Arial"/>
            <w:sz w:val="20"/>
            <w:szCs w:val="20"/>
          </w:rPr>
          <m:t>,</m:t>
        </m:r>
        <m:r>
          <w:rPr>
            <w:rFonts w:ascii="Cambria Math" w:eastAsiaTheme="minorEastAsia" w:hAnsi="Cambria Math" w:cs="Arial"/>
            <w:sz w:val="20"/>
            <w:szCs w:val="20"/>
          </w:rPr>
          <m:t xml:space="preserve">  and  τ </m:t>
        </m:r>
      </m:oMath>
      <w:r w:rsidRPr="006107DB">
        <w:rPr>
          <w:rFonts w:ascii="Arial" w:eastAsia="Times New Roman" w:hAnsi="Arial" w:cs="Arial"/>
          <w:sz w:val="20"/>
          <w:szCs w:val="20"/>
        </w:rPr>
        <w:t xml:space="preserve"> are the scale parameters, </w:t>
      </w:r>
      <m:oMath>
        <m:r>
          <w:rPr>
            <w:rFonts w:ascii="Cambria Math" w:eastAsiaTheme="minorEastAsia" w:hAnsi="Cambria Math" w:cs="Arial"/>
            <w:sz w:val="20"/>
            <w:szCs w:val="20"/>
          </w:rPr>
          <m:t>β</m:t>
        </m:r>
      </m:oMath>
      <w:r w:rsidRPr="006107DB">
        <w:rPr>
          <w:rFonts w:ascii="Arial" w:eastAsia="Times New Roman" w:hAnsi="Arial" w:cs="Arial"/>
          <w:sz w:val="20"/>
          <w:szCs w:val="20"/>
        </w:rPr>
        <w:t xml:space="preserve"> is the shape parameter and </w:t>
      </w:r>
      <m:oMath>
        <m:r>
          <w:rPr>
            <w:rFonts w:ascii="Cambria Math" w:eastAsiaTheme="minorEastAsia" w:hAnsi="Cambria Math" w:cs="Arial"/>
            <w:sz w:val="20"/>
            <w:szCs w:val="20"/>
          </w:rPr>
          <m:t>θ</m:t>
        </m:r>
      </m:oMath>
      <w:r w:rsidRPr="006107DB">
        <w:rPr>
          <w:rFonts w:ascii="Arial" w:eastAsia="Times New Roman" w:hAnsi="Arial" w:cs="Arial"/>
          <w:sz w:val="20"/>
          <w:szCs w:val="20"/>
        </w:rPr>
        <w:t xml:space="preserve"> is the transmut</w:t>
      </w:r>
      <w:r w:rsidR="008701DA" w:rsidRPr="006107DB">
        <w:rPr>
          <w:rFonts w:ascii="Arial" w:eastAsia="Times New Roman" w:hAnsi="Arial" w:cs="Arial"/>
          <w:sz w:val="20"/>
          <w:szCs w:val="20"/>
        </w:rPr>
        <w:t>e</w:t>
      </w:r>
      <w:r w:rsidRPr="006107DB">
        <w:rPr>
          <w:rFonts w:ascii="Arial" w:eastAsia="Times New Roman" w:hAnsi="Arial" w:cs="Arial"/>
          <w:sz w:val="20"/>
          <w:szCs w:val="20"/>
        </w:rPr>
        <w:t xml:space="preserve"> parameter</w:t>
      </w:r>
      <w:r w:rsidR="001F44B2" w:rsidRPr="006107DB">
        <w:rPr>
          <w:rFonts w:ascii="Arial" w:eastAsia="Times New Roman" w:hAnsi="Arial" w:cs="Arial"/>
          <w:sz w:val="20"/>
          <w:szCs w:val="20"/>
        </w:rPr>
        <w:t>. The parameters satisfy</w:t>
      </w:r>
      <w:r w:rsidRPr="006107DB">
        <w:rPr>
          <w:rFonts w:ascii="Arial" w:eastAsia="Times New Roman" w:hAnsi="Arial" w:cs="Arial"/>
          <w:sz w:val="20"/>
          <w:szCs w:val="20"/>
        </w:rPr>
        <w:t xml:space="preserve"> </w:t>
      </w:r>
      <w:r w:rsidRPr="006107DB">
        <w:rPr>
          <w:rFonts w:ascii="Arial" w:eastAsia="Times New Roman" w:hAnsi="Arial" w:cs="Arial"/>
          <w:iCs/>
          <w:sz w:val="20"/>
          <w:szCs w:val="20"/>
        </w:rPr>
        <w:t xml:space="preserve"> </w:t>
      </w:r>
      <m:oMath>
        <m:r>
          <w:rPr>
            <w:rFonts w:ascii="Cambria Math" w:eastAsiaTheme="minorEastAsia" w:hAnsi="Cambria Math" w:cs="Arial"/>
            <w:sz w:val="20"/>
            <w:szCs w:val="20"/>
          </w:rPr>
          <m:t>γ,  σ,  β,  τ&gt;0</m:t>
        </m:r>
      </m:oMath>
      <w:r w:rsidR="00370F7F" w:rsidRPr="006107DB">
        <w:rPr>
          <w:rFonts w:ascii="Arial" w:eastAsia="Times New Roman" w:hAnsi="Arial" w:cs="Arial"/>
          <w:sz w:val="20"/>
          <w:szCs w:val="20"/>
        </w:rPr>
        <w:t xml:space="preserve"> </w:t>
      </w:r>
      <w:r w:rsidRPr="006107DB">
        <w:rPr>
          <w:rFonts w:ascii="Arial" w:eastAsia="Times New Roman" w:hAnsi="Arial" w:cs="Arial"/>
          <w:sz w:val="20"/>
          <w:szCs w:val="20"/>
        </w:rPr>
        <w:t xml:space="preserve"> and </w:t>
      </w:r>
      <m:oMath>
        <m:r>
          <w:rPr>
            <w:rFonts w:ascii="Cambria Math" w:eastAsiaTheme="minorEastAsia" w:hAnsi="Cambria Math" w:cs="Arial"/>
            <w:sz w:val="20"/>
            <w:szCs w:val="20"/>
          </w:rPr>
          <m:t>-1≤θ≤1</m:t>
        </m:r>
      </m:oMath>
    </w:p>
    <w:p w14:paraId="0834FDAE" w14:textId="77777777" w:rsidR="00A34DE2" w:rsidRPr="006107DB" w:rsidRDefault="00A34DE2" w:rsidP="00A34DE2">
      <w:pPr>
        <w:spacing w:before="100" w:beforeAutospacing="1" w:after="100" w:afterAutospacing="1" w:line="240" w:lineRule="auto"/>
        <w:jc w:val="both"/>
        <w:rPr>
          <w:rFonts w:ascii="Arial" w:eastAsia="Times New Roman" w:hAnsi="Arial" w:cs="Arial"/>
          <w:b/>
          <w:bCs/>
          <w:sz w:val="20"/>
          <w:szCs w:val="20"/>
        </w:rPr>
      </w:pPr>
      <w:r w:rsidRPr="006107DB">
        <w:rPr>
          <w:rFonts w:ascii="Arial" w:eastAsia="Times New Roman" w:hAnsi="Arial" w:cs="Arial"/>
          <w:b/>
          <w:bCs/>
          <w:sz w:val="20"/>
          <w:szCs w:val="20"/>
        </w:rPr>
        <w:t>Compact Representation of the PDF</w:t>
      </w:r>
    </w:p>
    <w:p w14:paraId="73F4C2A4" w14:textId="77777777" w:rsidR="00A34DE2" w:rsidRPr="006107DB" w:rsidRDefault="00A34DE2" w:rsidP="00A34DE2">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For computational convenience, the PDF can also be expressed in a more compact form:</w:t>
      </w:r>
    </w:p>
    <w:p w14:paraId="6C2C240C" w14:textId="54426889" w:rsidR="00A2434A" w:rsidRPr="006107DB" w:rsidRDefault="00A2434A" w:rsidP="00A2434A">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f</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x;</m:t>
              </m:r>
              <m:r>
                <m:rPr>
                  <m:sty m:val="p"/>
                </m:rPr>
                <w:rPr>
                  <w:rFonts w:ascii="Cambria Math" w:hAnsi="Cambria Math" w:cs="Arial"/>
                  <w:sz w:val="20"/>
                  <w:szCs w:val="20"/>
                </w:rPr>
                <m:t>τ,θ</m:t>
              </m:r>
              <m:r>
                <m:rPr>
                  <m:sty m:val="p"/>
                </m:rPr>
                <w:rPr>
                  <w:rFonts w:ascii="Cambria Math" w:eastAsiaTheme="minorEastAsia" w:hAnsi="Cambria Math" w:cs="Arial"/>
                  <w:sz w:val="20"/>
                  <w:szCs w:val="20"/>
                </w:rPr>
                <m:t>,γ,σ,β</m:t>
              </m:r>
            </m:e>
          </m:d>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β-1</m:t>
              </m:r>
            </m:sup>
          </m:sSup>
          <m:r>
            <w:rPr>
              <w:rFonts w:ascii="Cambria Math" w:eastAsiaTheme="minorEastAsia" w:hAnsi="Cambria Math" w:cs="Arial"/>
              <w:sz w:val="20"/>
              <w:szCs w:val="20"/>
            </w:rPr>
            <m:t>exp(-a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r>
            <w:rPr>
              <w:rFonts w:ascii="Cambria Math" w:eastAsiaTheme="minorEastAsia" w:hAnsi="Cambria Math" w:cs="Arial"/>
              <w:sz w:val="20"/>
              <w:szCs w:val="20"/>
            </w:rPr>
            <m:t>)+B</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β-1</m:t>
              </m:r>
            </m:sup>
          </m:sSup>
          <m:r>
            <w:rPr>
              <w:rFonts w:ascii="Cambria Math" w:eastAsiaTheme="minorEastAsia" w:hAnsi="Cambria Math" w:cs="Arial"/>
              <w:sz w:val="20"/>
              <w:szCs w:val="20"/>
            </w:rPr>
            <m:t>exp(-2a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r>
            <w:rPr>
              <w:rFonts w:ascii="Cambria Math" w:eastAsiaTheme="minorEastAsia" w:hAnsi="Cambria Math" w:cs="Arial"/>
              <w:sz w:val="20"/>
              <w:szCs w:val="20"/>
            </w:rPr>
            <m:t>)</m:t>
          </m:r>
        </m:oMath>
      </m:oMathPara>
    </w:p>
    <w:p w14:paraId="15BA3780" w14:textId="77777777" w:rsidR="00A2434A" w:rsidRPr="006107DB" w:rsidRDefault="00A2434A" w:rsidP="00A2434A">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where the constants A, B, and a are defined as:</w:t>
      </w:r>
    </w:p>
    <w:p w14:paraId="2CCB5103" w14:textId="6D48C275" w:rsidR="00A2434A" w:rsidRPr="006107DB" w:rsidRDefault="00A2434A" w:rsidP="001401C8">
      <w:pPr>
        <w:pStyle w:val="ListParagraph"/>
        <w:spacing w:before="100" w:beforeAutospacing="1" w:after="100" w:afterAutospacing="1" w:line="240" w:lineRule="auto"/>
        <w:jc w:val="both"/>
        <w:rPr>
          <w:rFonts w:ascii="Arial" w:eastAsia="Times New Roman" w:hAnsi="Arial" w:cs="Arial"/>
          <w:sz w:val="20"/>
          <w:szCs w:val="20"/>
        </w:rPr>
      </w:pPr>
      <m:oMathPara>
        <m:oMath>
          <m:r>
            <w:rPr>
              <w:rFonts w:ascii="Cambria Math" w:eastAsia="Times New Roman" w:hAnsi="Cambria Math" w:cs="Arial"/>
              <w:sz w:val="20"/>
              <w:szCs w:val="20"/>
            </w:rPr>
            <m:t>A=</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num>
            <m:den>
              <m:sSup>
                <m:sSupPr>
                  <m:ctrlPr>
                    <w:rPr>
                      <w:rFonts w:ascii="Cambria Math" w:eastAsiaTheme="minorEastAsia" w:hAnsi="Cambria Math" w:cs="Arial"/>
                      <w:iCs/>
                      <w:sz w:val="20"/>
                      <w:szCs w:val="20"/>
                    </w:rPr>
                  </m:ctrlPr>
                </m:sSupPr>
                <m:e>
                  <m:r>
                    <m:rPr>
                      <m:sty m:val="p"/>
                    </m:rPr>
                    <w:rPr>
                      <w:rFonts w:ascii="Cambria Math" w:eastAsiaTheme="minorEastAsia" w:hAnsi="Cambria Math" w:cs="Arial"/>
                      <w:sz w:val="20"/>
                      <w:szCs w:val="20"/>
                    </w:rPr>
                    <m:t>γ</m:t>
                  </m:r>
                </m:e>
                <m:sup>
                  <m:r>
                    <w:rPr>
                      <w:rFonts w:ascii="Cambria Math" w:eastAsiaTheme="minorEastAsia" w:hAnsi="Cambria Math" w:cs="Arial"/>
                      <w:sz w:val="20"/>
                      <w:szCs w:val="20"/>
                    </w:rPr>
                    <m:t>β</m:t>
                  </m:r>
                </m:sup>
              </m:sSup>
            </m:den>
          </m:f>
          <m:r>
            <w:rPr>
              <w:rFonts w:ascii="Cambria Math" w:eastAsiaTheme="minorEastAsia" w:hAnsi="Cambria Math" w:cs="Arial"/>
              <w:sz w:val="20"/>
              <w:szCs w:val="20"/>
            </w:rPr>
            <m:t xml:space="preserve">,  </m:t>
          </m:r>
        </m:oMath>
      </m:oMathPara>
    </w:p>
    <w:p w14:paraId="3AE0522C" w14:textId="37013B25" w:rsidR="00A2434A" w:rsidRPr="006107DB" w:rsidRDefault="00A2434A" w:rsidP="001401C8">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B</m:t>
          </m:r>
          <m:r>
            <m:rPr>
              <m:sty m:val="bi"/>
            </m:rPr>
            <w:rPr>
              <w:rFonts w:ascii="Cambria Math" w:eastAsiaTheme="minorEastAsia"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sSup>
                <m:sSupPr>
                  <m:ctrlPr>
                    <w:rPr>
                      <w:rFonts w:ascii="Cambria Math" w:eastAsiaTheme="minorEastAsia" w:hAnsi="Cambria Math" w:cs="Arial"/>
                      <w:iCs/>
                      <w:sz w:val="20"/>
                      <w:szCs w:val="20"/>
                    </w:rPr>
                  </m:ctrlPr>
                </m:sSupPr>
                <m:e>
                  <m:r>
                    <m:rPr>
                      <m:sty m:val="p"/>
                    </m:rPr>
                    <w:rPr>
                      <w:rFonts w:ascii="Cambria Math" w:eastAsiaTheme="minorEastAsia" w:hAnsi="Cambria Math" w:cs="Arial"/>
                      <w:sz w:val="20"/>
                      <w:szCs w:val="20"/>
                    </w:rPr>
                    <m:t>γ</m:t>
                  </m:r>
                </m:e>
                <m:sup>
                  <m:r>
                    <w:rPr>
                      <w:rFonts w:ascii="Cambria Math" w:eastAsiaTheme="minorEastAsia" w:hAnsi="Cambria Math" w:cs="Arial"/>
                      <w:sz w:val="20"/>
                      <w:szCs w:val="20"/>
                    </w:rPr>
                    <m:t>β</m:t>
                  </m:r>
                </m:sup>
              </m:sSup>
            </m:den>
          </m:f>
        </m:oMath>
      </m:oMathPara>
    </w:p>
    <w:p w14:paraId="6B328323" w14:textId="77777777" w:rsidR="00A2434A" w:rsidRPr="006107DB" w:rsidRDefault="00A2434A" w:rsidP="001401C8">
      <w:pPr>
        <w:spacing w:before="100" w:beforeAutospacing="1" w:after="100" w:afterAutospacing="1" w:line="240" w:lineRule="auto"/>
        <w:jc w:val="both"/>
        <w:rPr>
          <w:rFonts w:ascii="Arial" w:eastAsia="Times New Roman" w:hAnsi="Arial" w:cs="Arial"/>
          <w:iCs/>
          <w:sz w:val="20"/>
          <w:szCs w:val="20"/>
        </w:rPr>
      </w:pPr>
      <m:oMathPara>
        <m:oMath>
          <m:r>
            <w:rPr>
              <w:rFonts w:ascii="Cambria Math" w:eastAsiaTheme="minorEastAsia" w:hAnsi="Cambria Math" w:cs="Arial"/>
              <w:sz w:val="20"/>
              <w:szCs w:val="20"/>
            </w:rPr>
            <m:t>a=</m:t>
          </m:r>
          <m:f>
            <m:fPr>
              <m:ctrlPr>
                <w:rPr>
                  <w:rFonts w:ascii="Cambria Math" w:eastAsiaTheme="minorEastAsia" w:hAnsi="Cambria Math" w:cs="Arial"/>
                  <w:i/>
                  <w:iCs/>
                  <w:sz w:val="20"/>
                  <w:szCs w:val="20"/>
                </w:rPr>
              </m:ctrlPr>
            </m:fPr>
            <m:num>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num>
            <m:den>
              <m:sSup>
                <m:sSupPr>
                  <m:ctrlPr>
                    <w:rPr>
                      <w:rFonts w:ascii="Cambria Math" w:eastAsiaTheme="minorEastAsia" w:hAnsi="Cambria Math" w:cs="Arial"/>
                      <w:iCs/>
                      <w:sz w:val="20"/>
                      <w:szCs w:val="20"/>
                    </w:rPr>
                  </m:ctrlPr>
                </m:sSupPr>
                <m:e>
                  <m:r>
                    <m:rPr>
                      <m:sty m:val="p"/>
                    </m:rPr>
                    <w:rPr>
                      <w:rFonts w:ascii="Cambria Math" w:eastAsiaTheme="minorEastAsia" w:hAnsi="Cambria Math" w:cs="Arial"/>
                      <w:sz w:val="20"/>
                      <w:szCs w:val="20"/>
                    </w:rPr>
                    <m:t>γ</m:t>
                  </m:r>
                </m:e>
                <m:sup>
                  <m:r>
                    <w:rPr>
                      <w:rFonts w:ascii="Cambria Math" w:eastAsiaTheme="minorEastAsia" w:hAnsi="Cambria Math" w:cs="Arial"/>
                      <w:sz w:val="20"/>
                      <w:szCs w:val="20"/>
                    </w:rPr>
                    <m:t>β</m:t>
                  </m:r>
                </m:sup>
              </m:sSup>
            </m:den>
          </m:f>
        </m:oMath>
      </m:oMathPara>
    </w:p>
    <w:p w14:paraId="5A3EAD1D" w14:textId="59F8C1CD" w:rsidR="002F07AE" w:rsidRPr="006107DB" w:rsidRDefault="002F07AE" w:rsidP="002F07AE">
      <w:pPr>
        <w:spacing w:before="100" w:beforeAutospacing="1" w:after="100" w:afterAutospacing="1" w:line="240" w:lineRule="auto"/>
        <w:jc w:val="both"/>
        <w:rPr>
          <w:rFonts w:ascii="Arial" w:eastAsia="Times New Roman" w:hAnsi="Arial" w:cs="Arial"/>
          <w:iCs/>
          <w:sz w:val="20"/>
          <w:szCs w:val="20"/>
        </w:rPr>
      </w:pPr>
      <w:r w:rsidRPr="006107DB">
        <w:rPr>
          <w:rFonts w:ascii="Arial" w:eastAsia="Times New Roman" w:hAnsi="Arial" w:cs="Arial"/>
          <w:iCs/>
          <w:sz w:val="20"/>
          <w:szCs w:val="20"/>
        </w:rPr>
        <w:t>This compact form facilitates parameter estimation and simplifies analytical derivations in subsequent sections.</w:t>
      </w:r>
    </w:p>
    <w:p w14:paraId="2E5415AD" w14:textId="77777777" w:rsidR="00A2434A" w:rsidRPr="006107DB" w:rsidRDefault="00A2434A" w:rsidP="00A2434A">
      <w:pPr>
        <w:pStyle w:val="ListParagraph"/>
        <w:spacing w:before="100" w:beforeAutospacing="1" w:after="100" w:afterAutospacing="1" w:line="240" w:lineRule="auto"/>
        <w:jc w:val="both"/>
        <w:rPr>
          <w:rFonts w:ascii="Arial" w:eastAsia="Times New Roman" w:hAnsi="Arial" w:cs="Arial"/>
          <w:sz w:val="20"/>
          <w:szCs w:val="20"/>
        </w:rPr>
      </w:pPr>
    </w:p>
    <w:p w14:paraId="44AB83FA" w14:textId="0926200A" w:rsidR="000C3CE9" w:rsidRPr="006107DB" w:rsidRDefault="00C36016" w:rsidP="001E5507">
      <w:pPr>
        <w:pStyle w:val="ListParagraph"/>
        <w:numPr>
          <w:ilvl w:val="1"/>
          <w:numId w:val="3"/>
        </w:numPr>
        <w:spacing w:after="200" w:line="240" w:lineRule="auto"/>
        <w:rPr>
          <w:rFonts w:ascii="Arial" w:hAnsi="Arial" w:cs="Arial"/>
          <w:b/>
          <w:bCs/>
        </w:rPr>
      </w:pPr>
      <w:r w:rsidRPr="006107DB">
        <w:rPr>
          <w:rFonts w:ascii="Arial" w:hAnsi="Arial" w:cs="Arial"/>
          <w:b/>
          <w:bCs/>
        </w:rPr>
        <w:t>Parameter Estimation Methods</w:t>
      </w:r>
    </w:p>
    <w:p w14:paraId="526E0E0D" w14:textId="1AAAC695"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eastAsia="en-NG"/>
        </w:rPr>
      </w:pPr>
      <w:r w:rsidRPr="006107DB">
        <w:rPr>
          <w:rFonts w:ascii="Arial" w:eastAsia="Times New Roman" w:hAnsi="Arial" w:cs="Arial"/>
          <w:sz w:val="20"/>
          <w:szCs w:val="20"/>
          <w:lang w:val="en-NG" w:eastAsia="en-NG"/>
        </w:rPr>
        <w:t xml:space="preserve">Let </w:t>
      </w:r>
      <w:r w:rsidR="000448FC" w:rsidRPr="006107DB">
        <w:rPr>
          <w:rFonts w:ascii="Arial" w:eastAsia="Times New Roman" w:hAnsi="Arial" w:cs="Arial"/>
          <w:sz w:val="20"/>
          <w:szCs w:val="20"/>
          <w:lang w:val="en-NG" w:eastAsia="en-NG"/>
        </w:rPr>
        <w:t xml:space="preserve"> </w:t>
      </w:r>
      <m:oMath>
        <m:sSub>
          <m:sSubPr>
            <m:ctrlPr>
              <w:rPr>
                <w:rFonts w:ascii="Cambria Math" w:eastAsia="Times New Roman" w:hAnsi="Cambria Math" w:cs="Arial"/>
                <w:i/>
                <w:sz w:val="20"/>
                <w:szCs w:val="20"/>
                <w:lang w:eastAsia="en-NG"/>
              </w:rPr>
            </m:ctrlPr>
          </m:sSubPr>
          <m:e>
            <m:r>
              <w:rPr>
                <w:rFonts w:ascii="Cambria Math" w:eastAsia="Times New Roman" w:hAnsi="Cambria Math" w:cs="Arial"/>
                <w:sz w:val="20"/>
                <w:szCs w:val="20"/>
                <w:lang w:eastAsia="en-NG"/>
              </w:rPr>
              <m:t>X</m:t>
            </m:r>
          </m:e>
          <m:sub>
            <m:r>
              <w:rPr>
                <w:rFonts w:ascii="Cambria Math" w:eastAsia="Times New Roman" w:hAnsi="Cambria Math" w:cs="Arial"/>
                <w:sz w:val="20"/>
                <w:szCs w:val="20"/>
                <w:lang w:eastAsia="en-NG"/>
              </w:rPr>
              <m:t>1</m:t>
            </m:r>
          </m:sub>
        </m:sSub>
        <m:r>
          <w:rPr>
            <w:rFonts w:ascii="Cambria Math" w:eastAsia="Times New Roman" w:hAnsi="Cambria Math" w:cs="Arial"/>
            <w:sz w:val="20"/>
            <w:szCs w:val="20"/>
            <w:lang w:eastAsia="en-NG"/>
          </w:rPr>
          <m:t>,</m:t>
        </m:r>
        <m:sSub>
          <m:sSubPr>
            <m:ctrlPr>
              <w:rPr>
                <w:rFonts w:ascii="Cambria Math" w:eastAsia="Times New Roman" w:hAnsi="Cambria Math" w:cs="Arial"/>
                <w:i/>
                <w:sz w:val="20"/>
                <w:szCs w:val="20"/>
                <w:lang w:eastAsia="en-NG"/>
              </w:rPr>
            </m:ctrlPr>
          </m:sSubPr>
          <m:e>
            <m:r>
              <w:rPr>
                <w:rFonts w:ascii="Cambria Math" w:eastAsia="Times New Roman" w:hAnsi="Cambria Math" w:cs="Arial"/>
                <w:sz w:val="20"/>
                <w:szCs w:val="20"/>
                <w:lang w:eastAsia="en-NG"/>
              </w:rPr>
              <m:t>X</m:t>
            </m:r>
          </m:e>
          <m:sub>
            <m:r>
              <w:rPr>
                <w:rFonts w:ascii="Cambria Math" w:eastAsia="Times New Roman" w:hAnsi="Cambria Math" w:cs="Arial"/>
                <w:sz w:val="20"/>
                <w:szCs w:val="20"/>
                <w:lang w:eastAsia="en-NG"/>
              </w:rPr>
              <m:t>2</m:t>
            </m:r>
          </m:sub>
        </m:sSub>
        <m:r>
          <w:rPr>
            <w:rFonts w:ascii="Cambria Math" w:eastAsia="Times New Roman" w:hAnsi="Cambria Math" w:cs="Arial"/>
            <w:sz w:val="20"/>
            <w:szCs w:val="20"/>
            <w:lang w:eastAsia="en-NG"/>
          </w:rPr>
          <m:t>,…,</m:t>
        </m:r>
        <m:sSub>
          <m:sSubPr>
            <m:ctrlPr>
              <w:rPr>
                <w:rFonts w:ascii="Cambria Math" w:eastAsia="Times New Roman" w:hAnsi="Cambria Math" w:cs="Arial"/>
                <w:i/>
                <w:sz w:val="20"/>
                <w:szCs w:val="20"/>
                <w:lang w:eastAsia="en-NG"/>
              </w:rPr>
            </m:ctrlPr>
          </m:sSubPr>
          <m:e>
            <m:r>
              <w:rPr>
                <w:rFonts w:ascii="Cambria Math" w:eastAsia="Times New Roman" w:hAnsi="Cambria Math" w:cs="Arial"/>
                <w:sz w:val="20"/>
                <w:szCs w:val="20"/>
                <w:lang w:eastAsia="en-NG"/>
              </w:rPr>
              <m:t>X</m:t>
            </m:r>
          </m:e>
          <m:sub>
            <m:r>
              <w:rPr>
                <w:rFonts w:ascii="Cambria Math" w:eastAsia="Times New Roman" w:hAnsi="Cambria Math" w:cs="Arial"/>
                <w:sz w:val="20"/>
                <w:szCs w:val="20"/>
                <w:lang w:eastAsia="en-NG"/>
              </w:rPr>
              <m:t>n</m:t>
            </m:r>
          </m:sub>
        </m:sSub>
      </m:oMath>
      <w:r w:rsidR="000448FC" w:rsidRPr="006107DB">
        <w:rPr>
          <w:rFonts w:ascii="Arial" w:eastAsia="Times New Roman" w:hAnsi="Arial" w:cs="Arial"/>
          <w:sz w:val="20"/>
          <w:szCs w:val="20"/>
          <w:lang w:eastAsia="en-NG"/>
        </w:rPr>
        <w:t xml:space="preserve"> </w:t>
      </w:r>
      <w:r w:rsidRPr="006107DB">
        <w:rPr>
          <w:rFonts w:ascii="Arial" w:eastAsia="Times New Roman" w:hAnsi="Arial" w:cs="Arial"/>
          <w:sz w:val="20"/>
          <w:szCs w:val="20"/>
          <w:lang w:val="en-NG" w:eastAsia="en-NG"/>
        </w:rPr>
        <w:t xml:space="preserve">denote a random sample of size </w:t>
      </w:r>
      <m:oMath>
        <m:r>
          <w:rPr>
            <w:rFonts w:ascii="Cambria Math" w:eastAsia="Times New Roman" w:hAnsi="Cambria Math" w:cs="Arial"/>
            <w:sz w:val="20"/>
            <w:szCs w:val="20"/>
            <w:lang w:val="en-NG" w:eastAsia="en-NG"/>
          </w:rPr>
          <m:t>n</m:t>
        </m:r>
      </m:oMath>
      <w:r w:rsidRPr="006107DB">
        <w:rPr>
          <w:rFonts w:ascii="Arial" w:eastAsia="Times New Roman" w:hAnsi="Arial" w:cs="Arial"/>
          <w:sz w:val="20"/>
          <w:szCs w:val="20"/>
          <w:lang w:val="en-NG" w:eastAsia="en-NG"/>
        </w:rPr>
        <w:t>drawn from the Transmuted Exponential–New Weibull Pareto (TE–NWP) distribution, characterized by the parameter vector</w:t>
      </w:r>
    </w:p>
    <w:p w14:paraId="631DF55E" w14:textId="2583A9D0" w:rsidR="009F1B20" w:rsidRPr="006107DB" w:rsidRDefault="009F1B20" w:rsidP="009F1B20">
      <w:pPr>
        <w:spacing w:after="0" w:line="240" w:lineRule="auto"/>
        <w:ind w:left="360"/>
        <w:jc w:val="both"/>
        <w:rPr>
          <w:rFonts w:ascii="Arial" w:eastAsia="Times New Roman" w:hAnsi="Arial" w:cs="Arial"/>
          <w:sz w:val="20"/>
          <w:szCs w:val="20"/>
          <w:lang w:val="en-NG" w:eastAsia="en-NG"/>
        </w:rPr>
      </w:pPr>
      <m:oMathPara>
        <m:oMath>
          <m:r>
            <w:rPr>
              <w:rFonts w:ascii="Cambria Math" w:eastAsia="Times New Roman" w:hAnsi="Cambria Math" w:cs="Arial"/>
              <w:sz w:val="20"/>
              <w:szCs w:val="20"/>
              <w:lang w:val="en-NG" w:eastAsia="en-NG"/>
            </w:rPr>
            <m:t>ψ=(τ,θ,γ,σ,β)</m:t>
          </m:r>
          <m:r>
            <m:rPr>
              <m:sty m:val="p"/>
            </m:rPr>
            <w:rPr>
              <w:rFonts w:ascii="Cambria Math" w:eastAsia="Times New Roman" w:hAnsi="Cambria Math" w:cs="Arial"/>
              <w:sz w:val="20"/>
              <w:szCs w:val="20"/>
              <w:lang w:val="en-NG" w:eastAsia="en-NG"/>
            </w:rPr>
            <m:t>.</m:t>
          </m:r>
          <m:r>
            <m:rPr>
              <m:sty m:val="p"/>
            </m:rPr>
            <w:rPr>
              <w:rFonts w:ascii="Cambria Math" w:eastAsia="Times New Roman" w:hAnsi="Cambria Math" w:cs="Arial"/>
              <w:sz w:val="20"/>
              <w:szCs w:val="20"/>
              <w:lang w:val="en-NG" w:eastAsia="en-NG"/>
            </w:rPr>
            <w:br/>
          </m:r>
        </m:oMath>
      </m:oMathPara>
    </w:p>
    <w:p w14:paraId="0F5AFF87" w14:textId="77777777"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eastAsia="en-NG"/>
        </w:rPr>
      </w:pPr>
      <w:r w:rsidRPr="006107DB">
        <w:rPr>
          <w:rFonts w:ascii="Arial" w:eastAsia="Times New Roman" w:hAnsi="Arial" w:cs="Arial"/>
          <w:sz w:val="20"/>
          <w:szCs w:val="20"/>
          <w:lang w:val="en-NG" w:eastAsia="en-NG"/>
        </w:rPr>
        <w:lastRenderedPageBreak/>
        <w:t>In this study, three estimation approaches are considered for determining the parameters of the TE–NWP distribution: the Method of Moments (MM), Maximum Likelihood Estimation (MLE), and the Expectation–Maximization (EM) algorithm. These methods are selected to compare their efficiency, computational feasibility, and suitability for complex likelihood structures inherent in the TE–NWP model.</w:t>
      </w:r>
    </w:p>
    <w:p w14:paraId="35DB5F15" w14:textId="2AF2520A" w:rsidR="00820A6C" w:rsidRPr="006107DB" w:rsidRDefault="00446FEE" w:rsidP="00820A6C">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b/>
          <w:bCs/>
          <w:sz w:val="20"/>
          <w:szCs w:val="20"/>
        </w:rPr>
        <w:t xml:space="preserve">2.2.1 </w:t>
      </w:r>
      <w:r w:rsidR="00820A6C" w:rsidRPr="006107DB">
        <w:rPr>
          <w:rFonts w:ascii="Arial" w:eastAsia="Times New Roman" w:hAnsi="Arial" w:cs="Arial"/>
          <w:b/>
          <w:bCs/>
          <w:sz w:val="20"/>
          <w:szCs w:val="20"/>
        </w:rPr>
        <w:t>Method of Moments (MM</w:t>
      </w:r>
      <w:r w:rsidR="00820A6C" w:rsidRPr="006107DB">
        <w:rPr>
          <w:rFonts w:ascii="Arial" w:eastAsia="Times New Roman" w:hAnsi="Arial" w:cs="Arial"/>
          <w:sz w:val="20"/>
          <w:szCs w:val="20"/>
        </w:rPr>
        <w:t>)</w:t>
      </w:r>
    </w:p>
    <w:p w14:paraId="37B7FB41" w14:textId="77777777" w:rsidR="00C45EE4"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The Method of Moments (MM) estimates the parameters of the TE–NWP distribution by equating the theoretical moments to their corresponding sample moments (Muhammad </w:t>
      </w:r>
      <w:r w:rsidRPr="006107DB">
        <w:rPr>
          <w:rFonts w:ascii="Arial" w:eastAsia="Times New Roman" w:hAnsi="Arial" w:cs="Arial"/>
          <w:i/>
          <w:iCs/>
          <w:sz w:val="20"/>
          <w:szCs w:val="20"/>
          <w:lang w:val="en-NG"/>
        </w:rPr>
        <w:t>et al.</w:t>
      </w:r>
      <w:r w:rsidRPr="006107DB">
        <w:rPr>
          <w:rFonts w:ascii="Arial" w:eastAsia="Times New Roman" w:hAnsi="Arial" w:cs="Arial"/>
          <w:sz w:val="20"/>
          <w:szCs w:val="20"/>
          <w:lang w:val="en-NG"/>
        </w:rPr>
        <w:t xml:space="preserve">, 2025). </w:t>
      </w:r>
    </w:p>
    <w:p w14:paraId="48F54A94" w14:textId="13D18287"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Let </w:t>
      </w:r>
      <m:oMath>
        <m:sSubSup>
          <m:sSubSupPr>
            <m:ctrlPr>
              <w:rPr>
                <w:rFonts w:ascii="Cambria Math" w:eastAsia="Times New Roman" w:hAnsi="Cambria Math" w:cs="Arial"/>
                <w:sz w:val="20"/>
                <w:szCs w:val="20"/>
                <w:lang w:val="en-NG"/>
              </w:rPr>
            </m:ctrlPr>
          </m:sSubSupPr>
          <m:e>
            <m:r>
              <w:rPr>
                <w:rFonts w:ascii="Cambria Math" w:eastAsia="Times New Roman" w:hAnsi="Cambria Math" w:cs="Arial"/>
                <w:sz w:val="20"/>
                <w:szCs w:val="20"/>
                <w:lang w:val="en-NG"/>
              </w:rPr>
              <m:t>μ</m:t>
            </m:r>
          </m:e>
          <m:sub>
            <m:r>
              <w:rPr>
                <w:rFonts w:ascii="Cambria Math" w:eastAsia="Times New Roman" w:hAnsi="Cambria Math" w:cs="Arial"/>
                <w:sz w:val="20"/>
                <w:szCs w:val="20"/>
                <w:lang w:val="en-NG"/>
              </w:rPr>
              <m:t>r</m:t>
            </m:r>
          </m:sub>
          <m:sup>
            <m:r>
              <m:rPr>
                <m:sty m:val="p"/>
              </m:rPr>
              <w:rPr>
                <w:rFonts w:ascii="Cambria Math" w:eastAsia="Times New Roman" w:hAnsi="Cambria Math" w:cs="Arial"/>
                <w:sz w:val="20"/>
                <w:szCs w:val="20"/>
                <w:lang w:val="en-NG"/>
              </w:rPr>
              <m:t>'</m:t>
            </m:r>
          </m:sup>
        </m:sSubSup>
        <m:r>
          <w:rPr>
            <w:rFonts w:ascii="Cambria Math" w:eastAsia="Times New Roman" w:hAnsi="Cambria Math" w:cs="Arial"/>
            <w:sz w:val="20"/>
            <w:szCs w:val="20"/>
            <w:lang w:val="en-NG"/>
          </w:rPr>
          <m:t>=E(</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r</m:t>
            </m:r>
          </m:sup>
        </m:sSup>
        <m:r>
          <w:rPr>
            <w:rFonts w:ascii="Cambria Math" w:eastAsia="Times New Roman" w:hAnsi="Cambria Math" w:cs="Arial"/>
            <w:sz w:val="20"/>
            <w:szCs w:val="20"/>
            <w:lang w:val="en-NG"/>
          </w:rPr>
          <m:t>)</m:t>
        </m:r>
      </m:oMath>
      <w:r w:rsidR="00DF7A14"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 xml:space="preserve">denote 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-th theoretical moment, and let</w:t>
      </w:r>
    </w:p>
    <w:p w14:paraId="053AEAF5" w14:textId="61317F4B" w:rsidR="009F1B20" w:rsidRPr="006107DB" w:rsidRDefault="00000000" w:rsidP="009F1B20">
      <w:pPr>
        <w:spacing w:before="100" w:beforeAutospacing="1" w:after="100" w:afterAutospacing="1" w:line="240" w:lineRule="auto"/>
        <w:jc w:val="both"/>
        <w:rPr>
          <w:rFonts w:ascii="Arial" w:eastAsia="Times New Roman" w:hAnsi="Arial" w:cs="Arial"/>
          <w:sz w:val="20"/>
          <w:szCs w:val="20"/>
          <w:lang w:val="en-NG"/>
        </w:rPr>
      </w:pPr>
      <m:oMathPara>
        <m:oMath>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M</m:t>
              </m:r>
            </m:e>
            <m:sub>
              <m:r>
                <w:rPr>
                  <w:rFonts w:ascii="Cambria Math" w:eastAsia="Times New Roman" w:hAnsi="Cambria Math" w:cs="Arial"/>
                  <w:sz w:val="20"/>
                  <w:szCs w:val="20"/>
                  <w:lang w:val="en-NG"/>
                </w:rPr>
                <m:t>r</m:t>
              </m:r>
            </m:sub>
          </m:sSub>
          <m:r>
            <w:rPr>
              <w:rFonts w:ascii="Cambria Math" w:eastAsia="Times New Roman" w:hAnsi="Cambria Math" w:cs="Arial"/>
              <w:sz w:val="20"/>
              <w:szCs w:val="20"/>
              <w:lang w:val="en-NG"/>
            </w:rPr>
            <m:t>=</m:t>
          </m:r>
          <m:f>
            <m:fPr>
              <m:ctrlPr>
                <w:rPr>
                  <w:rFonts w:ascii="Cambria Math" w:eastAsia="Times New Roman" w:hAnsi="Cambria Math" w:cs="Arial"/>
                  <w:sz w:val="20"/>
                  <w:szCs w:val="20"/>
                  <w:lang w:val="en-NG"/>
                </w:rPr>
              </m:ctrlPr>
            </m:fPr>
            <m:num>
              <m:r>
                <w:rPr>
                  <w:rFonts w:ascii="Cambria Math" w:eastAsia="Times New Roman" w:hAnsi="Cambria Math" w:cs="Arial"/>
                  <w:sz w:val="20"/>
                  <w:szCs w:val="20"/>
                  <w:lang w:val="en-NG"/>
                </w:rPr>
                <m:t>1</m:t>
              </m:r>
            </m:num>
            <m:den>
              <m:r>
                <w:rPr>
                  <w:rFonts w:ascii="Cambria Math" w:eastAsia="Times New Roman" w:hAnsi="Cambria Math" w:cs="Arial"/>
                  <w:sz w:val="20"/>
                  <w:szCs w:val="20"/>
                  <w:lang w:val="en-NG"/>
                </w:rPr>
                <m:t>n</m:t>
              </m:r>
            </m:den>
          </m:f>
          <m:nary>
            <m:naryPr>
              <m:chr m:val="∑"/>
              <m:limLoc m:val="undOvr"/>
              <m:grow m:val="1"/>
              <m:ctrlPr>
                <w:rPr>
                  <w:rFonts w:ascii="Cambria Math" w:eastAsia="Times New Roman" w:hAnsi="Cambria Math" w:cs="Arial"/>
                  <w:sz w:val="20"/>
                  <w:szCs w:val="20"/>
                  <w:lang w:val="en-NG"/>
                </w:rPr>
              </m:ctrlPr>
            </m:naryPr>
            <m:sub>
              <m:r>
                <w:rPr>
                  <w:rFonts w:ascii="Cambria Math" w:eastAsia="Times New Roman" w:hAnsi="Cambria Math" w:cs="Arial"/>
                  <w:sz w:val="20"/>
                  <w:szCs w:val="20"/>
                  <w:lang w:val="en-NG"/>
                </w:rPr>
                <m:t>i=1</m:t>
              </m:r>
            </m:sub>
            <m:sup>
              <m:r>
                <w:rPr>
                  <w:rFonts w:ascii="Cambria Math" w:eastAsia="Times New Roman" w:hAnsi="Cambria Math" w:cs="Arial"/>
                  <w:sz w:val="20"/>
                  <w:szCs w:val="20"/>
                  <w:lang w:val="en-NG"/>
                </w:rPr>
                <m:t>n</m:t>
              </m:r>
            </m:sup>
            <m:e>
              <m:sSubSup>
                <m:sSubSupPr>
                  <m:ctrlPr>
                    <w:rPr>
                      <w:rFonts w:ascii="Cambria Math" w:eastAsia="Times New Roman" w:hAnsi="Cambria Math" w:cs="Arial"/>
                      <w:sz w:val="20"/>
                      <w:szCs w:val="20"/>
                      <w:lang w:val="en-NG"/>
                    </w:rPr>
                  </m:ctrlPr>
                </m:sSubSup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up>
                  <m:r>
                    <w:rPr>
                      <w:rFonts w:ascii="Cambria Math" w:eastAsia="Times New Roman" w:hAnsi="Cambria Math" w:cs="Arial"/>
                      <w:sz w:val="20"/>
                      <w:szCs w:val="20"/>
                      <w:lang w:val="en-NG"/>
                    </w:rPr>
                    <m:t>r</m:t>
                  </m:r>
                </m:sup>
              </m:sSubSup>
            </m:e>
          </m:nary>
          <m:r>
            <m:rPr>
              <m:sty m:val="p"/>
            </m:rPr>
            <w:rPr>
              <w:rFonts w:ascii="Cambria Math" w:eastAsia="Times New Roman" w:hAnsi="Cambria Math" w:cs="Arial"/>
              <w:sz w:val="20"/>
              <w:szCs w:val="20"/>
              <w:lang w:val="en-NG"/>
            </w:rPr>
            <w:br/>
          </m:r>
        </m:oMath>
      </m:oMathPara>
    </w:p>
    <w:p w14:paraId="40546EA7" w14:textId="7D2A0EE5"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denote 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 xml:space="preserve">-th sample moment. For the TE–NWP distribution, 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-th theoretical moment is expressed as</w:t>
      </w:r>
    </w:p>
    <w:p w14:paraId="0225D89C" w14:textId="44998801"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m:oMathPara>
        <m:oMath>
          <m:r>
            <w:rPr>
              <w:rFonts w:ascii="Cambria Math" w:eastAsia="Times New Roman" w:hAnsi="Cambria Math" w:cs="Arial"/>
              <w:sz w:val="20"/>
              <w:szCs w:val="20"/>
              <w:lang w:val="en-NG"/>
            </w:rPr>
            <m:t>E(</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r</m:t>
              </m:r>
            </m:sup>
          </m:sSup>
          <m:r>
            <w:rPr>
              <w:rFonts w:ascii="Cambria Math" w:eastAsia="Times New Roman" w:hAnsi="Cambria Math" w:cs="Arial"/>
              <w:sz w:val="20"/>
              <w:szCs w:val="20"/>
              <w:lang w:val="en-NG"/>
            </w:rPr>
            <m:t>)=A</m:t>
          </m:r>
          <m:nary>
            <m:naryPr>
              <m:limLoc m:val="subSup"/>
              <m:grow m:val="1"/>
              <m:ctrlPr>
                <w:rPr>
                  <w:rFonts w:ascii="Cambria Math" w:eastAsia="Times New Roman" w:hAnsi="Cambria Math" w:cs="Arial"/>
                  <w:sz w:val="20"/>
                  <w:szCs w:val="20"/>
                  <w:lang w:val="en-NG"/>
                </w:rPr>
              </m:ctrlPr>
            </m:naryPr>
            <m:sub>
              <m:r>
                <w:rPr>
                  <w:rFonts w:ascii="Cambria Math" w:eastAsia="Times New Roman" w:hAnsi="Cambria Math" w:cs="Arial"/>
                  <w:sz w:val="20"/>
                  <w:szCs w:val="20"/>
                  <w:lang w:val="en-NG"/>
                </w:rPr>
                <m:t>0</m:t>
              </m:r>
            </m:sub>
            <m:sup>
              <m:r>
                <m:rPr>
                  <m:sty m:val="p"/>
                </m:rPr>
                <w:rPr>
                  <w:rFonts w:ascii="Cambria Math" w:eastAsia="Times New Roman" w:hAnsi="Cambria Math" w:cs="Arial"/>
                  <w:sz w:val="20"/>
                  <w:szCs w:val="20"/>
                  <w:lang w:val="en-NG"/>
                </w:rPr>
                <m:t>∞</m:t>
              </m:r>
            </m:sup>
            <m:e>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r+β-1</m:t>
                  </m:r>
                </m:sup>
              </m:sSup>
            </m:e>
          </m:nary>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e</m:t>
              </m:r>
            </m:e>
            <m:sup>
              <m:r>
                <w:rPr>
                  <w:rFonts w:ascii="Cambria Math" w:eastAsia="Times New Roman" w:hAnsi="Cambria Math" w:cs="Arial"/>
                  <w:sz w:val="20"/>
                  <w:szCs w:val="20"/>
                  <w:lang w:val="en-NG"/>
                </w:rPr>
                <m:t>-a</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β</m:t>
                  </m:r>
                </m:sup>
              </m:sSup>
            </m:sup>
          </m:sSup>
          <m:r>
            <m:rPr>
              <m:nor/>
            </m:rPr>
            <w:rPr>
              <w:rFonts w:ascii="Arial" w:eastAsia="Times New Roman" w:hAnsi="Arial" w:cs="Arial"/>
              <w:sz w:val="20"/>
              <w:szCs w:val="20"/>
              <w:lang w:val="en-NG"/>
            </w:rPr>
            <m:t> </m:t>
          </m:r>
          <m:r>
            <w:rPr>
              <w:rFonts w:ascii="Cambria Math" w:eastAsia="Times New Roman" w:hAnsi="Cambria Math" w:cs="Arial"/>
              <w:sz w:val="20"/>
              <w:szCs w:val="20"/>
              <w:lang w:val="en-NG"/>
            </w:rPr>
            <m:t>dx+B</m:t>
          </m:r>
          <m:nary>
            <m:naryPr>
              <m:limLoc m:val="subSup"/>
              <m:grow m:val="1"/>
              <m:ctrlPr>
                <w:rPr>
                  <w:rFonts w:ascii="Cambria Math" w:eastAsia="Times New Roman" w:hAnsi="Cambria Math" w:cs="Arial"/>
                  <w:sz w:val="20"/>
                  <w:szCs w:val="20"/>
                  <w:lang w:val="en-NG"/>
                </w:rPr>
              </m:ctrlPr>
            </m:naryPr>
            <m:sub>
              <m:r>
                <w:rPr>
                  <w:rFonts w:ascii="Cambria Math" w:eastAsia="Times New Roman" w:hAnsi="Cambria Math" w:cs="Arial"/>
                  <w:sz w:val="20"/>
                  <w:szCs w:val="20"/>
                  <w:lang w:val="en-NG"/>
                </w:rPr>
                <m:t>0</m:t>
              </m:r>
            </m:sub>
            <m:sup>
              <m:r>
                <m:rPr>
                  <m:sty m:val="p"/>
                </m:rPr>
                <w:rPr>
                  <w:rFonts w:ascii="Cambria Math" w:eastAsia="Times New Roman" w:hAnsi="Cambria Math" w:cs="Arial"/>
                  <w:sz w:val="20"/>
                  <w:szCs w:val="20"/>
                  <w:lang w:val="en-NG"/>
                </w:rPr>
                <m:t>∞</m:t>
              </m:r>
            </m:sup>
            <m:e>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r+β-1</m:t>
                  </m:r>
                </m:sup>
              </m:sSup>
            </m:e>
          </m:nary>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e</m:t>
              </m:r>
            </m:e>
            <m:sup>
              <m:r>
                <w:rPr>
                  <w:rFonts w:ascii="Cambria Math" w:eastAsia="Times New Roman" w:hAnsi="Cambria Math" w:cs="Arial"/>
                  <w:sz w:val="20"/>
                  <w:szCs w:val="20"/>
                  <w:lang w:val="en-NG"/>
                </w:rPr>
                <m:t>-2a</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β</m:t>
                  </m:r>
                </m:sup>
              </m:sSup>
            </m:sup>
          </m:sSup>
          <m:r>
            <m:rPr>
              <m:nor/>
            </m:rPr>
            <w:rPr>
              <w:rFonts w:ascii="Arial" w:eastAsia="Times New Roman" w:hAnsi="Arial" w:cs="Arial"/>
              <w:sz w:val="20"/>
              <w:szCs w:val="20"/>
              <w:lang w:val="en-NG"/>
            </w:rPr>
            <m:t> </m:t>
          </m:r>
          <m:r>
            <w:rPr>
              <w:rFonts w:ascii="Cambria Math" w:eastAsia="Times New Roman" w:hAnsi="Cambria Math" w:cs="Arial"/>
              <w:sz w:val="20"/>
              <w:szCs w:val="20"/>
              <w:lang w:val="en-NG"/>
            </w:rPr>
            <m:t>dx,</m:t>
          </m:r>
          <m:r>
            <m:rPr>
              <m:sty m:val="p"/>
            </m:rPr>
            <w:rPr>
              <w:rFonts w:ascii="Cambria Math" w:eastAsia="Times New Roman" w:hAnsi="Cambria Math" w:cs="Arial"/>
              <w:sz w:val="20"/>
              <w:szCs w:val="20"/>
              <w:lang w:val="en-NG"/>
            </w:rPr>
            <w:br/>
          </m:r>
        </m:oMath>
      </m:oMathPara>
    </w:p>
    <w:p w14:paraId="00F38748" w14:textId="74AB5121"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where </w:t>
      </w:r>
      <m:oMath>
        <m:r>
          <w:rPr>
            <w:rFonts w:ascii="Cambria Math" w:eastAsia="Times New Roman" w:hAnsi="Cambria Math" w:cs="Arial"/>
            <w:sz w:val="20"/>
            <w:szCs w:val="20"/>
            <w:lang w:val="en-NG"/>
          </w:rPr>
          <m:t>A</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B</m:t>
        </m:r>
      </m:oMath>
      <w:r w:rsidRPr="006107DB">
        <w:rPr>
          <w:rFonts w:ascii="Arial" w:eastAsia="Times New Roman" w:hAnsi="Arial" w:cs="Arial"/>
          <w:sz w:val="20"/>
          <w:szCs w:val="20"/>
          <w:lang w:val="en-NG"/>
        </w:rPr>
        <w:t xml:space="preserve">, and  </w:t>
      </w:r>
      <m:oMath>
        <m:r>
          <w:rPr>
            <w:rFonts w:ascii="Cambria Math" w:eastAsia="Times New Roman" w:hAnsi="Cambria Math" w:cs="Arial"/>
            <w:sz w:val="20"/>
            <w:szCs w:val="20"/>
            <w:lang w:val="en-NG"/>
          </w:rPr>
          <m:t>a</m:t>
        </m:r>
      </m:oMath>
      <w:r w:rsidRPr="006107DB">
        <w:rPr>
          <w:rFonts w:ascii="Arial" w:eastAsia="Times New Roman" w:hAnsi="Arial" w:cs="Arial"/>
          <w:sz w:val="20"/>
          <w:szCs w:val="20"/>
          <w:lang w:val="en-NG"/>
        </w:rPr>
        <w:t>, are distribution constants.</w:t>
      </w:r>
    </w:p>
    <w:p w14:paraId="48AC8086" w14:textId="5E89BA91"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-th population moment of the TE–NWP distribution can be obtained using the gamma integral identity:</w:t>
      </w:r>
    </w:p>
    <w:p w14:paraId="1CCB6CA6" w14:textId="37C80498" w:rsidR="009F1B20" w:rsidRPr="006107DB" w:rsidRDefault="00000000" w:rsidP="009F1B20">
      <w:pPr>
        <w:spacing w:before="100" w:beforeAutospacing="1" w:after="100" w:afterAutospacing="1" w:line="240" w:lineRule="auto"/>
        <w:jc w:val="both"/>
        <w:rPr>
          <w:rFonts w:ascii="Arial" w:eastAsia="Times New Roman" w:hAnsi="Arial" w:cs="Arial"/>
          <w:sz w:val="20"/>
          <w:szCs w:val="20"/>
          <w:lang w:val="en-NG"/>
        </w:rPr>
      </w:pPr>
      <m:oMathPara>
        <m:oMath>
          <m:nary>
            <m:naryPr>
              <m:limLoc m:val="subSup"/>
              <m:grow m:val="1"/>
              <m:ctrlPr>
                <w:rPr>
                  <w:rFonts w:ascii="Cambria Math" w:eastAsia="Times New Roman" w:hAnsi="Cambria Math" w:cs="Arial"/>
                  <w:sz w:val="20"/>
                  <w:szCs w:val="20"/>
                  <w:lang w:val="en-NG"/>
                </w:rPr>
              </m:ctrlPr>
            </m:naryPr>
            <m:sub>
              <m:r>
                <w:rPr>
                  <w:rFonts w:ascii="Cambria Math" w:eastAsia="Times New Roman" w:hAnsi="Cambria Math" w:cs="Arial"/>
                  <w:sz w:val="20"/>
                  <w:szCs w:val="20"/>
                  <w:lang w:val="en-NG"/>
                </w:rPr>
                <m:t>0</m:t>
              </m:r>
            </m:sub>
            <m:sup>
              <m:r>
                <m:rPr>
                  <m:sty m:val="p"/>
                </m:rPr>
                <w:rPr>
                  <w:rFonts w:ascii="Cambria Math" w:eastAsia="Times New Roman" w:hAnsi="Cambria Math" w:cs="Arial"/>
                  <w:sz w:val="20"/>
                  <w:szCs w:val="20"/>
                  <w:lang w:val="en-NG"/>
                </w:rPr>
                <m:t>∞</m:t>
              </m:r>
            </m:sup>
            <m:e>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m-1</m:t>
                  </m:r>
                </m:sup>
              </m:sSup>
            </m:e>
          </m:nary>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e</m:t>
              </m:r>
            </m:e>
            <m:sup>
              <m:r>
                <w:rPr>
                  <w:rFonts w:ascii="Cambria Math" w:eastAsia="Times New Roman" w:hAnsi="Cambria Math" w:cs="Arial"/>
                  <w:sz w:val="20"/>
                  <w:szCs w:val="20"/>
                  <w:lang w:val="en-NG"/>
                </w:rPr>
                <m:t>-c</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β</m:t>
                  </m:r>
                </m:sup>
              </m:sSup>
            </m:sup>
          </m:sSup>
          <m:r>
            <m:rPr>
              <m:nor/>
            </m:rPr>
            <w:rPr>
              <w:rFonts w:ascii="Arial" w:eastAsia="Times New Roman" w:hAnsi="Arial" w:cs="Arial"/>
              <w:sz w:val="20"/>
              <w:szCs w:val="20"/>
              <w:lang w:val="en-NG"/>
            </w:rPr>
            <m:t> </m:t>
          </m:r>
          <m:r>
            <w:rPr>
              <w:rFonts w:ascii="Cambria Math" w:eastAsia="Times New Roman" w:hAnsi="Cambria Math" w:cs="Arial"/>
              <w:sz w:val="20"/>
              <w:szCs w:val="20"/>
              <w:lang w:val="en-NG"/>
            </w:rPr>
            <m:t>dx=</m:t>
          </m:r>
          <m:f>
            <m:fPr>
              <m:ctrlPr>
                <w:rPr>
                  <w:rFonts w:ascii="Cambria Math" w:eastAsia="Times New Roman" w:hAnsi="Cambria Math" w:cs="Arial"/>
                  <w:sz w:val="20"/>
                  <w:szCs w:val="20"/>
                  <w:lang w:val="en-NG"/>
                </w:rPr>
              </m:ctrlPr>
            </m:fPr>
            <m:num>
              <m:r>
                <w:rPr>
                  <w:rFonts w:ascii="Cambria Math" w:eastAsia="Times New Roman" w:hAnsi="Cambria Math" w:cs="Arial"/>
                  <w:sz w:val="20"/>
                  <w:szCs w:val="20"/>
                  <w:lang w:val="en-NG"/>
                </w:rPr>
                <m:t>1</m:t>
              </m:r>
            </m:num>
            <m:den>
              <m:r>
                <w:rPr>
                  <w:rFonts w:ascii="Cambria Math" w:eastAsia="Times New Roman" w:hAnsi="Cambria Math" w:cs="Arial"/>
                  <w:sz w:val="20"/>
                  <w:szCs w:val="20"/>
                  <w:lang w:val="en-NG"/>
                </w:rPr>
                <m:t>β</m:t>
              </m:r>
            </m:den>
          </m:f>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c</m:t>
              </m:r>
            </m:e>
            <m:sup>
              <m:r>
                <w:rPr>
                  <w:rFonts w:ascii="Cambria Math" w:eastAsia="Times New Roman" w:hAnsi="Cambria Math" w:cs="Arial"/>
                  <w:sz w:val="20"/>
                  <w:szCs w:val="20"/>
                  <w:lang w:val="en-NG"/>
                </w:rPr>
                <m:t>-m</m:t>
              </m:r>
              <m:r>
                <m:rPr>
                  <m:sty m:val="p"/>
                </m:rPr>
                <w:rPr>
                  <w:rFonts w:ascii="Cambria Math" w:eastAsia="Times New Roman" w:hAnsi="Cambria Math" w:cs="Arial"/>
                  <w:sz w:val="20"/>
                  <w:szCs w:val="20"/>
                  <w:lang w:val="en-NG"/>
                </w:rPr>
                <m:t>/</m:t>
              </m:r>
              <m:r>
                <w:rPr>
                  <w:rFonts w:ascii="Cambria Math" w:eastAsia="Times New Roman" w:hAnsi="Cambria Math" w:cs="Arial"/>
                  <w:sz w:val="20"/>
                  <w:szCs w:val="20"/>
                  <w:lang w:val="en-NG"/>
                </w:rPr>
                <m:t>β</m:t>
              </m:r>
            </m:sup>
          </m:sSup>
          <m:r>
            <m:rPr>
              <m:nor/>
            </m:rPr>
            <w:rPr>
              <w:rFonts w:ascii="Arial" w:eastAsia="Times New Roman" w:hAnsi="Arial" w:cs="Arial"/>
              <w:sz w:val="20"/>
              <w:szCs w:val="20"/>
              <w:lang w:val="en-NG"/>
            </w:rPr>
            <m:t> </m:t>
          </m:r>
          <m:r>
            <m:rPr>
              <m:sty m:val="p"/>
            </m:rPr>
            <w:rPr>
              <w:rFonts w:ascii="Cambria Math" w:eastAsia="Times New Roman" w:hAnsi="Cambria Math" w:cs="Arial"/>
              <w:sz w:val="20"/>
              <w:szCs w:val="20"/>
              <w:lang w:val="en-NG"/>
            </w:rPr>
            <m:t>Γ</m:t>
          </m:r>
          <m:d>
            <m:dPr>
              <m:ctrlPr>
                <w:rPr>
                  <w:rFonts w:ascii="Cambria Math" w:eastAsia="Times New Roman" w:hAnsi="Cambria Math" w:cs="Arial"/>
                  <w:sz w:val="20"/>
                  <w:szCs w:val="20"/>
                  <w:lang w:val="en-NG"/>
                </w:rPr>
              </m:ctrlPr>
            </m:dPr>
            <m:e>
              <m:f>
                <m:fPr>
                  <m:ctrlPr>
                    <w:rPr>
                      <w:rFonts w:ascii="Cambria Math" w:eastAsia="Times New Roman" w:hAnsi="Cambria Math" w:cs="Arial"/>
                      <w:sz w:val="20"/>
                      <w:szCs w:val="20"/>
                      <w:lang w:val="en-NG"/>
                    </w:rPr>
                  </m:ctrlPr>
                </m:fPr>
                <m:num>
                  <m:r>
                    <w:rPr>
                      <w:rFonts w:ascii="Cambria Math" w:eastAsia="Times New Roman" w:hAnsi="Cambria Math" w:cs="Arial"/>
                      <w:sz w:val="20"/>
                      <w:szCs w:val="20"/>
                      <w:lang w:val="en-NG"/>
                    </w:rPr>
                    <m:t>m</m:t>
                  </m:r>
                </m:num>
                <m:den>
                  <m:r>
                    <w:rPr>
                      <w:rFonts w:ascii="Cambria Math" w:eastAsia="Times New Roman" w:hAnsi="Cambria Math" w:cs="Arial"/>
                      <w:sz w:val="20"/>
                      <w:szCs w:val="20"/>
                      <w:lang w:val="en-NG"/>
                    </w:rPr>
                    <m:t>β</m:t>
                  </m:r>
                </m:den>
              </m:f>
            </m:e>
          </m:d>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w:br/>
          </m:r>
        </m:oMath>
      </m:oMathPara>
    </w:p>
    <w:p w14:paraId="4313D939" w14:textId="35C1E35E" w:rsidR="009F1B20" w:rsidRPr="006107DB" w:rsidRDefault="009F1B20" w:rsidP="009F1B20">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where </w:t>
      </w:r>
      <m:oMath>
        <m:r>
          <w:rPr>
            <w:rFonts w:ascii="Cambria Math" w:eastAsia="Times New Roman" w:hAnsi="Cambria Math" w:cs="Arial"/>
            <w:sz w:val="20"/>
            <w:szCs w:val="20"/>
            <w:lang w:val="en-NG"/>
          </w:rPr>
          <m:t>m=r+β</m:t>
        </m:r>
      </m:oMath>
      <w:r w:rsidRPr="006107DB">
        <w:rPr>
          <w:rFonts w:ascii="Arial" w:eastAsia="Times New Roman" w:hAnsi="Arial" w:cs="Arial"/>
          <w:sz w:val="20"/>
          <w:szCs w:val="20"/>
          <w:lang w:val="en-NG"/>
        </w:rPr>
        <w:t xml:space="preserve">and </w:t>
      </w:r>
      <m:oMath>
        <m:r>
          <w:rPr>
            <w:rFonts w:ascii="Cambria Math" w:eastAsia="Times New Roman" w:hAnsi="Cambria Math" w:cs="Arial"/>
            <w:sz w:val="20"/>
            <w:szCs w:val="20"/>
            <w:lang w:val="en-NG"/>
          </w:rPr>
          <m:t>c&gt;0</m:t>
        </m:r>
      </m:oMath>
      <w:r w:rsidRPr="006107DB">
        <w:rPr>
          <w:rFonts w:ascii="Arial" w:eastAsia="Times New Roman" w:hAnsi="Arial" w:cs="Arial"/>
          <w:sz w:val="20"/>
          <w:szCs w:val="20"/>
          <w:lang w:val="en-NG"/>
        </w:rPr>
        <w:t>.</w:t>
      </w:r>
    </w:p>
    <w:p w14:paraId="099A3E16" w14:textId="7136FC8A" w:rsidR="00CC2A14" w:rsidRPr="006107DB" w:rsidRDefault="00CC2A14" w:rsidP="00444535">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Using this identity, the r-th theoretical moment of the TE–NWP distribution is derived.</w:t>
      </w:r>
    </w:p>
    <w:p w14:paraId="7004E164" w14:textId="7DA8D463" w:rsidR="000930FF" w:rsidRPr="006107DB" w:rsidRDefault="00000000" w:rsidP="00444535">
      <w:pPr>
        <w:spacing w:before="100" w:beforeAutospacing="1" w:after="100" w:afterAutospacing="1" w:line="240" w:lineRule="auto"/>
        <w:jc w:val="both"/>
        <w:rPr>
          <w:rFonts w:ascii="Arial" w:eastAsia="Times New Roman" w:hAnsi="Arial" w:cs="Arial"/>
          <w:sz w:val="20"/>
          <w:szCs w:val="20"/>
        </w:rPr>
      </w:pPr>
      <m:oMathPara>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r+β-1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sup>
              </m:sSup>
              <m:box>
                <m:boxPr>
                  <m:diff m:val="1"/>
                  <m:ctrlPr>
                    <w:rPr>
                      <w:rFonts w:ascii="Cambria Math" w:eastAsiaTheme="minorEastAsia" w:hAnsi="Cambria Math" w:cs="Arial"/>
                      <w:i/>
                      <w:sz w:val="20"/>
                      <w:szCs w:val="20"/>
                    </w:rPr>
                  </m:ctrlPr>
                </m:boxPr>
                <m:e>
                  <m:r>
                    <w:rPr>
                      <w:rFonts w:ascii="Cambria Math" w:hAnsi="Cambria Math" w:cs="Arial"/>
                      <w:sz w:val="20"/>
                      <w:szCs w:val="20"/>
                    </w:rPr>
                    <m:t>dx</m:t>
                  </m:r>
                </m:e>
              </m:box>
            </m:e>
          </m:nary>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r+β</m:t>
                      </m:r>
                    </m:e>
                  </m:d>
                </m:num>
                <m:den>
                  <m:r>
                    <w:rPr>
                      <w:rFonts w:ascii="Cambria Math" w:eastAsiaTheme="minorEastAsia" w:hAnsi="Cambria Math" w:cs="Arial"/>
                      <w:sz w:val="20"/>
                      <w:szCs w:val="20"/>
                    </w:rPr>
                    <m:t>β</m:t>
                  </m:r>
                </m:den>
              </m:f>
            </m:sup>
          </m:sSup>
          <m:r>
            <m:rPr>
              <m:sty m:val="p"/>
            </m:rPr>
            <w:rPr>
              <w:rFonts w:ascii="Cambria Math" w:eastAsiaTheme="minorEastAsia" w:hAnsi="Cambria Math" w:cs="Arial"/>
              <w:sz w:val="20"/>
              <w:szCs w:val="20"/>
            </w:rPr>
            <m:t xml:space="preserve"> 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r+β</m:t>
                  </m:r>
                </m:num>
                <m:den>
                  <m:r>
                    <w:rPr>
                      <w:rFonts w:ascii="Cambria Math" w:eastAsiaTheme="minorEastAsia" w:hAnsi="Cambria Math" w:cs="Arial"/>
                      <w:sz w:val="20"/>
                      <w:szCs w:val="20"/>
                    </w:rPr>
                    <m:t>β</m:t>
                  </m:r>
                </m:den>
              </m:f>
            </m:e>
          </m:d>
        </m:oMath>
      </m:oMathPara>
    </w:p>
    <w:p w14:paraId="680E6FEA" w14:textId="1B50B8B0" w:rsidR="000930FF" w:rsidRPr="006107DB" w:rsidRDefault="00000000" w:rsidP="00444535">
      <w:pPr>
        <w:spacing w:before="100" w:beforeAutospacing="1" w:after="100" w:afterAutospacing="1" w:line="240" w:lineRule="auto"/>
        <w:jc w:val="both"/>
        <w:rPr>
          <w:rFonts w:ascii="Arial" w:eastAsia="Times New Roman" w:hAnsi="Arial" w:cs="Arial"/>
          <w:sz w:val="20"/>
          <w:szCs w:val="20"/>
        </w:rPr>
      </w:pPr>
      <m:oMathPara>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0</m:t>
              </m:r>
            </m:sub>
            <m:sup>
              <m:r>
                <w:rPr>
                  <w:rFonts w:ascii="Cambria Math" w:eastAsiaTheme="minorEastAsia" w:hAnsi="Cambria Math" w:cs="Arial"/>
                  <w:sz w:val="20"/>
                  <w:szCs w:val="20"/>
                </w:rPr>
                <m:t>∞</m:t>
              </m:r>
            </m:sup>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r+β-1</m:t>
                  </m:r>
                </m:sup>
              </m:sSup>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-2a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β</m:t>
                      </m:r>
                    </m:sup>
                  </m:sSup>
                </m:sup>
              </m:sSup>
              <m:box>
                <m:boxPr>
                  <m:diff m:val="1"/>
                  <m:ctrlPr>
                    <w:rPr>
                      <w:rFonts w:ascii="Cambria Math" w:eastAsiaTheme="minorEastAsia" w:hAnsi="Cambria Math" w:cs="Arial"/>
                      <w:i/>
                      <w:sz w:val="20"/>
                      <w:szCs w:val="20"/>
                    </w:rPr>
                  </m:ctrlPr>
                </m:boxPr>
                <m:e>
                  <m:r>
                    <w:rPr>
                      <w:rFonts w:ascii="Cambria Math" w:hAnsi="Cambria Math" w:cs="Arial"/>
                      <w:sz w:val="20"/>
                      <w:szCs w:val="20"/>
                    </w:rPr>
                    <m:t>dx=</m:t>
                  </m:r>
                </m:e>
              </m:box>
            </m:e>
          </m:nary>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2a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r+β</m:t>
                      </m:r>
                    </m:e>
                  </m:d>
                </m:num>
                <m:den>
                  <m:r>
                    <w:rPr>
                      <w:rFonts w:ascii="Cambria Math" w:eastAsiaTheme="minorEastAsia" w:hAnsi="Cambria Math" w:cs="Arial"/>
                      <w:sz w:val="20"/>
                      <w:szCs w:val="20"/>
                    </w:rPr>
                    <m:t>β</m:t>
                  </m:r>
                </m:den>
              </m:f>
            </m:sup>
          </m:sSup>
          <m:r>
            <m:rPr>
              <m:sty m:val="p"/>
            </m:rPr>
            <w:rPr>
              <w:rFonts w:ascii="Cambria Math" w:eastAsiaTheme="minorEastAsia" w:hAnsi="Cambria Math" w:cs="Arial"/>
              <w:sz w:val="20"/>
              <w:szCs w:val="20"/>
            </w:rPr>
            <m:t xml:space="preserve"> 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r+β</m:t>
                  </m:r>
                </m:num>
                <m:den>
                  <m:r>
                    <w:rPr>
                      <w:rFonts w:ascii="Cambria Math" w:eastAsiaTheme="minorEastAsia" w:hAnsi="Cambria Math" w:cs="Arial"/>
                      <w:sz w:val="20"/>
                      <w:szCs w:val="20"/>
                    </w:rPr>
                    <m:t>β</m:t>
                  </m:r>
                </m:den>
              </m:f>
            </m:e>
          </m:d>
        </m:oMath>
      </m:oMathPara>
    </w:p>
    <w:p w14:paraId="1B7AE397" w14:textId="42956424" w:rsidR="000930FF" w:rsidRPr="006107DB" w:rsidRDefault="000930FF" w:rsidP="00444535">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 xml:space="preserve">Thus, </w:t>
      </w:r>
    </w:p>
    <w:p w14:paraId="36EC9E35" w14:textId="436CA078" w:rsidR="000930FF" w:rsidRPr="006107DB" w:rsidRDefault="000930FF"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heme="minorEastAsia" w:hAnsi="Cambria Math" w:cs="Arial"/>
              <w:sz w:val="20"/>
              <w:szCs w:val="20"/>
            </w:rPr>
            <m:t>E</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X</m:t>
                  </m:r>
                </m:e>
                <m:sup>
                  <m:r>
                    <w:rPr>
                      <w:rFonts w:ascii="Cambria Math" w:eastAsiaTheme="minorEastAsia" w:hAnsi="Cambria Math" w:cs="Arial"/>
                      <w:sz w:val="20"/>
                      <w:szCs w:val="20"/>
                    </w:rPr>
                    <m:t>r</m:t>
                  </m:r>
                </m:sup>
              </m:sSup>
            </m:e>
          </m:d>
          <m:r>
            <w:rPr>
              <w:rFonts w:ascii="Cambria Math" w:eastAsiaTheme="minorEastAsia" w:hAnsi="Cambria Math" w:cs="Arial"/>
              <w:sz w:val="20"/>
              <w:szCs w:val="20"/>
            </w:rPr>
            <m:t>=</m:t>
          </m:r>
          <m:r>
            <m:rPr>
              <m:sty m:val="p"/>
            </m:rPr>
            <w:rPr>
              <w:rFonts w:ascii="Cambria Math" w:eastAsiaTheme="minorEastAsia" w:hAnsi="Cambria Math" w:cs="Arial"/>
              <w:sz w:val="20"/>
              <w:szCs w:val="20"/>
            </w:rPr>
            <m:t>Γ</m:t>
          </m:r>
          <m:d>
            <m:dPr>
              <m:ctrlPr>
                <w:rPr>
                  <w:rFonts w:ascii="Cambria Math" w:eastAsiaTheme="minorEastAsia" w:hAnsi="Cambria Math" w:cs="Arial"/>
                  <w:i/>
                  <w:sz w:val="20"/>
                  <w:szCs w:val="20"/>
                </w:rPr>
              </m:ctrlPr>
            </m:dPr>
            <m:e>
              <m:f>
                <m:fPr>
                  <m:ctrlPr>
                    <w:rPr>
                      <w:rFonts w:ascii="Cambria Math" w:eastAsiaTheme="minorEastAsia" w:hAnsi="Cambria Math" w:cs="Arial"/>
                      <w:i/>
                      <w:sz w:val="20"/>
                      <w:szCs w:val="20"/>
                    </w:rPr>
                  </m:ctrlPr>
                </m:fPr>
                <m:num>
                  <m:r>
                    <w:rPr>
                      <w:rFonts w:ascii="Cambria Math" w:eastAsiaTheme="minorEastAsia" w:hAnsi="Cambria Math" w:cs="Arial"/>
                      <w:sz w:val="20"/>
                      <w:szCs w:val="20"/>
                    </w:rPr>
                    <m:t>r+β</m:t>
                  </m:r>
                </m:num>
                <m:den>
                  <m:r>
                    <w:rPr>
                      <w:rFonts w:ascii="Cambria Math" w:eastAsiaTheme="minorEastAsia" w:hAnsi="Cambria Math" w:cs="Arial"/>
                      <w:sz w:val="20"/>
                      <w:szCs w:val="20"/>
                    </w:rPr>
                    <m:t>β</m:t>
                  </m:r>
                </m:den>
              </m:f>
            </m:e>
          </m:d>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β</m:t>
              </m:r>
            </m:den>
          </m:f>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A</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r+β</m:t>
                          </m:r>
                        </m:e>
                      </m:d>
                    </m:num>
                    <m:den>
                      <m:r>
                        <w:rPr>
                          <w:rFonts w:ascii="Cambria Math" w:eastAsiaTheme="minorEastAsia" w:hAnsi="Cambria Math" w:cs="Arial"/>
                          <w:sz w:val="20"/>
                          <w:szCs w:val="20"/>
                        </w:rPr>
                        <m:t>β</m:t>
                      </m:r>
                    </m:den>
                  </m:f>
                </m:sup>
              </m:sSup>
              <m:r>
                <w:rPr>
                  <w:rFonts w:ascii="Cambria Math" w:eastAsiaTheme="minorEastAsia" w:hAnsi="Cambria Math" w:cs="Arial"/>
                  <w:sz w:val="20"/>
                  <w:szCs w:val="20"/>
                </w:rPr>
                <m:t>+B</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(2a)</m:t>
                  </m:r>
                </m:e>
                <m:sup>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r+β</m:t>
                          </m:r>
                        </m:e>
                      </m:d>
                    </m:num>
                    <m:den>
                      <m:r>
                        <w:rPr>
                          <w:rFonts w:ascii="Cambria Math" w:eastAsiaTheme="minorEastAsia" w:hAnsi="Cambria Math" w:cs="Arial"/>
                          <w:sz w:val="20"/>
                          <w:szCs w:val="20"/>
                        </w:rPr>
                        <m:t>β</m:t>
                      </m:r>
                    </m:den>
                  </m:f>
                </m:sup>
              </m:sSup>
            </m:e>
          </m:d>
        </m:oMath>
      </m:oMathPara>
    </w:p>
    <w:p w14:paraId="6620F162" w14:textId="729C1ECF" w:rsidR="008F737C" w:rsidRPr="006107DB" w:rsidRDefault="008F737C" w:rsidP="008F737C">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Substituting the constants </w:t>
      </w:r>
      <m:oMath>
        <m:r>
          <w:rPr>
            <w:rFonts w:ascii="Cambria Math" w:eastAsia="Times New Roman" w:hAnsi="Cambria Math" w:cs="Arial"/>
            <w:sz w:val="20"/>
            <w:szCs w:val="20"/>
            <w:lang w:val="en-NG"/>
          </w:rPr>
          <m:t>A</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B</m:t>
        </m:r>
      </m:oMath>
      <w:r w:rsidRPr="006107DB">
        <w:rPr>
          <w:rFonts w:ascii="Arial" w:eastAsia="Times New Roman" w:hAnsi="Arial" w:cs="Arial"/>
          <w:sz w:val="20"/>
          <w:szCs w:val="20"/>
          <w:lang w:val="en-NG"/>
        </w:rPr>
        <w:t xml:space="preserve">, and </w:t>
      </w:r>
      <m:oMath>
        <m:r>
          <w:rPr>
            <w:rFonts w:ascii="Cambria Math" w:eastAsia="Times New Roman" w:hAnsi="Cambria Math" w:cs="Arial"/>
            <w:sz w:val="20"/>
            <w:szCs w:val="20"/>
            <w:lang w:val="en-NG"/>
          </w:rPr>
          <m:t>a</m:t>
        </m:r>
      </m:oMath>
      <w:r w:rsidRPr="006107DB">
        <w:rPr>
          <w:rFonts w:ascii="Arial" w:eastAsia="Times New Roman" w:hAnsi="Arial" w:cs="Arial"/>
          <w:sz w:val="20"/>
          <w:szCs w:val="20"/>
          <w:lang w:val="en-NG"/>
        </w:rPr>
        <w:t xml:space="preserve"> into the expression for 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-th theoretical moment, we obtain:</w:t>
      </w:r>
    </w:p>
    <w:p w14:paraId="18D920B5" w14:textId="41E77162" w:rsidR="008F737C" w:rsidRPr="006107DB" w:rsidRDefault="008F737C" w:rsidP="008F737C">
      <w:pPr>
        <w:spacing w:before="100" w:beforeAutospacing="1" w:after="100" w:afterAutospacing="1" w:line="240" w:lineRule="auto"/>
        <w:jc w:val="both"/>
        <w:rPr>
          <w:rFonts w:ascii="Arial" w:eastAsia="Times New Roman" w:hAnsi="Arial" w:cs="Arial"/>
          <w:sz w:val="20"/>
          <w:szCs w:val="20"/>
          <w:lang w:val="en-NG"/>
        </w:rPr>
      </w:pPr>
      <m:oMathPara>
        <m:oMath>
          <m:r>
            <w:rPr>
              <w:rFonts w:ascii="Cambria Math" w:eastAsia="Times New Roman" w:hAnsi="Cambria Math" w:cs="Arial"/>
              <w:sz w:val="20"/>
              <w:szCs w:val="20"/>
              <w:lang w:val="en-NG"/>
            </w:rPr>
            <w:lastRenderedPageBreak/>
            <m:t>E(</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X</m:t>
              </m:r>
            </m:e>
            <m:sup>
              <m:r>
                <w:rPr>
                  <w:rFonts w:ascii="Cambria Math" w:eastAsia="Times New Roman" w:hAnsi="Cambria Math" w:cs="Arial"/>
                  <w:sz w:val="20"/>
                  <w:szCs w:val="20"/>
                  <w:lang w:val="en-NG"/>
                </w:rPr>
                <m:t>r</m:t>
              </m:r>
            </m:sup>
          </m:sSup>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m:t>Γ</m:t>
          </m:r>
          <m:d>
            <m:dPr>
              <m:ctrlPr>
                <w:rPr>
                  <w:rFonts w:ascii="Cambria Math" w:eastAsia="Times New Roman" w:hAnsi="Cambria Math" w:cs="Arial"/>
                  <w:sz w:val="20"/>
                  <w:szCs w:val="20"/>
                  <w:lang w:val="en-NG"/>
                </w:rPr>
              </m:ctrlPr>
            </m:dPr>
            <m:e>
              <m:f>
                <m:fPr>
                  <m:ctrlPr>
                    <w:rPr>
                      <w:rFonts w:ascii="Cambria Math" w:eastAsia="Times New Roman" w:hAnsi="Cambria Math" w:cs="Arial"/>
                      <w:sz w:val="20"/>
                      <w:szCs w:val="20"/>
                      <w:lang w:val="en-NG"/>
                    </w:rPr>
                  </m:ctrlPr>
                </m:fPr>
                <m:num>
                  <m:r>
                    <w:rPr>
                      <w:rFonts w:ascii="Cambria Math" w:eastAsia="Times New Roman" w:hAnsi="Cambria Math" w:cs="Arial"/>
                      <w:sz w:val="20"/>
                      <w:szCs w:val="20"/>
                      <w:lang w:val="en-NG"/>
                    </w:rPr>
                    <m:t>r+β</m:t>
                  </m:r>
                </m:num>
                <m:den>
                  <m:r>
                    <w:rPr>
                      <w:rFonts w:ascii="Cambria Math" w:eastAsia="Times New Roman" w:hAnsi="Cambria Math" w:cs="Arial"/>
                      <w:sz w:val="20"/>
                      <w:szCs w:val="20"/>
                      <w:lang w:val="en-NG"/>
                    </w:rPr>
                    <m:t>β</m:t>
                  </m:r>
                </m:den>
              </m:f>
            </m:e>
          </m:d>
          <m:f>
            <m:fPr>
              <m:ctrlPr>
                <w:rPr>
                  <w:rFonts w:ascii="Cambria Math" w:eastAsia="Times New Roman" w:hAnsi="Cambria Math" w:cs="Arial"/>
                  <w:sz w:val="20"/>
                  <w:szCs w:val="20"/>
                  <w:lang w:val="en-NG"/>
                </w:rPr>
              </m:ctrlPr>
            </m:fPr>
            <m:num>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γ</m:t>
                  </m:r>
                </m:e>
                <m:sup>
                  <m:r>
                    <w:rPr>
                      <w:rFonts w:ascii="Cambria Math" w:eastAsia="Times New Roman" w:hAnsi="Cambria Math" w:cs="Arial"/>
                      <w:sz w:val="20"/>
                      <w:szCs w:val="20"/>
                      <w:lang w:val="en-NG"/>
                    </w:rPr>
                    <m:t>r</m:t>
                  </m:r>
                </m:sup>
              </m:sSup>
            </m:num>
            <m:den>
              <m:d>
                <m:dPr>
                  <m:endChr m:val=""/>
                  <m:ctrlPr>
                    <w:rPr>
                      <w:rFonts w:ascii="Cambria Math" w:eastAsia="Times New Roman" w:hAnsi="Cambria Math" w:cs="Arial"/>
                      <w:sz w:val="20"/>
                      <w:szCs w:val="20"/>
                      <w:lang w:val="en-NG"/>
                    </w:rPr>
                  </m:ctrlPr>
                </m:dPr>
                <m:e>
                  <m:r>
                    <w:rPr>
                      <w:rFonts w:ascii="Cambria Math" w:eastAsia="Times New Roman" w:hAnsi="Cambria Math" w:cs="Arial"/>
                      <w:sz w:val="20"/>
                      <w:szCs w:val="20"/>
                      <w:lang w:val="en-NG"/>
                    </w:rPr>
                    <m:t>τσ</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m:t>
                      </m:r>
                    </m:e>
                    <m:sup>
                      <m:r>
                        <w:rPr>
                          <w:rFonts w:ascii="Cambria Math" w:eastAsia="Times New Roman" w:hAnsi="Cambria Math" w:cs="Arial"/>
                          <w:sz w:val="20"/>
                          <w:szCs w:val="20"/>
                          <w:lang w:val="en-NG"/>
                        </w:rPr>
                        <m:t>r</m:t>
                      </m:r>
                      <m:r>
                        <m:rPr>
                          <m:sty m:val="p"/>
                        </m:rPr>
                        <w:rPr>
                          <w:rFonts w:ascii="Cambria Math" w:eastAsia="Times New Roman" w:hAnsi="Cambria Math" w:cs="Arial"/>
                          <w:sz w:val="20"/>
                          <w:szCs w:val="20"/>
                          <w:lang w:val="en-NG"/>
                        </w:rPr>
                        <m:t>/</m:t>
                      </m:r>
                      <m:r>
                        <w:rPr>
                          <w:rFonts w:ascii="Cambria Math" w:eastAsia="Times New Roman" w:hAnsi="Cambria Math" w:cs="Arial"/>
                          <w:sz w:val="20"/>
                          <w:szCs w:val="20"/>
                          <w:lang w:val="en-NG"/>
                        </w:rPr>
                        <m:t>β</m:t>
                      </m:r>
                    </m:sup>
                  </m:sSup>
                </m:e>
              </m:d>
            </m:den>
          </m:f>
          <m:d>
            <m:dPr>
              <m:begChr m:val="["/>
              <m:endChr m:val="]"/>
              <m:ctrlPr>
                <w:rPr>
                  <w:rFonts w:ascii="Cambria Math" w:eastAsia="Times New Roman" w:hAnsi="Cambria Math" w:cs="Arial"/>
                  <w:sz w:val="20"/>
                  <w:szCs w:val="20"/>
                  <w:lang w:val="en-NG"/>
                </w:rPr>
              </m:ctrlPr>
            </m:dPr>
            <m:e>
              <m:r>
                <w:rPr>
                  <w:rFonts w:ascii="Cambria Math" w:eastAsia="Times New Roman" w:hAnsi="Cambria Math" w:cs="Arial"/>
                  <w:sz w:val="20"/>
                  <w:szCs w:val="20"/>
                  <w:lang w:val="en-NG"/>
                </w:rPr>
                <m:t>(1-θ)+θ</m:t>
              </m:r>
              <m:r>
                <m:rPr>
                  <m:nor/>
                </m:rPr>
                <w:rPr>
                  <w:rFonts w:ascii="Arial" w:eastAsia="Times New Roman" w:hAnsi="Arial" w:cs="Arial"/>
                  <w:sz w:val="20"/>
                  <w:szCs w:val="20"/>
                  <w:lang w:val="en-NG"/>
                </w:rPr>
                <m:t> </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2</m:t>
                  </m:r>
                </m:e>
                <m:sup>
                  <m:r>
                    <w:rPr>
                      <w:rFonts w:ascii="Cambria Math" w:eastAsia="Times New Roman" w:hAnsi="Cambria Math" w:cs="Arial"/>
                      <w:sz w:val="20"/>
                      <w:szCs w:val="20"/>
                      <w:lang w:val="en-NG"/>
                    </w:rPr>
                    <m:t>r</m:t>
                  </m:r>
                  <m:r>
                    <m:rPr>
                      <m:sty m:val="p"/>
                    </m:rPr>
                    <w:rPr>
                      <w:rFonts w:ascii="Cambria Math" w:eastAsia="Times New Roman" w:hAnsi="Cambria Math" w:cs="Arial"/>
                      <w:sz w:val="20"/>
                      <w:szCs w:val="20"/>
                      <w:lang w:val="en-NG"/>
                    </w:rPr>
                    <m:t>/</m:t>
                  </m:r>
                  <m:r>
                    <w:rPr>
                      <w:rFonts w:ascii="Cambria Math" w:eastAsia="Times New Roman" w:hAnsi="Cambria Math" w:cs="Arial"/>
                      <w:sz w:val="20"/>
                      <w:szCs w:val="20"/>
                      <w:lang w:val="en-NG"/>
                    </w:rPr>
                    <m:t>β</m:t>
                  </m:r>
                </m:sup>
              </m:sSup>
            </m:e>
          </m:d>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w:br/>
          </m:r>
        </m:oMath>
      </m:oMathPara>
    </w:p>
    <w:p w14:paraId="5CC88D01" w14:textId="5BDE707E" w:rsidR="008F737C" w:rsidRPr="006107DB" w:rsidRDefault="008F737C" w:rsidP="00924A9D">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where </w:t>
      </w:r>
      <m:oMath>
        <m:r>
          <m:rPr>
            <m:sty m:val="p"/>
          </m:rPr>
          <w:rPr>
            <w:rFonts w:ascii="Cambria Math" w:eastAsia="Times New Roman" w:hAnsi="Cambria Math" w:cs="Arial"/>
            <w:sz w:val="20"/>
            <w:szCs w:val="20"/>
            <w:lang w:val="en-NG"/>
          </w:rPr>
          <m:t>Γ</m:t>
        </m:r>
        <m:r>
          <w:rPr>
            <w:rFonts w:ascii="Cambria Math" w:eastAsia="Times New Roman" w:hAnsi="Cambria Math" w:cs="Arial"/>
            <w:sz w:val="20"/>
            <w:szCs w:val="20"/>
            <w:lang w:val="en-NG"/>
          </w:rPr>
          <m:t>(⋅)</m:t>
        </m:r>
      </m:oMath>
      <w:r w:rsidR="00507F78"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 xml:space="preserve">is the gamma function, and </w:t>
      </w:r>
      <m:oMath>
        <m:r>
          <w:rPr>
            <w:rFonts w:ascii="Cambria Math" w:eastAsia="Times New Roman" w:hAnsi="Cambria Math" w:cs="Arial"/>
            <w:sz w:val="20"/>
            <w:szCs w:val="20"/>
            <w:lang w:val="en-NG"/>
          </w:rPr>
          <m:t>τ</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θ</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γ</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σ</m:t>
        </m:r>
      </m:oMath>
      <w:r w:rsidRPr="006107DB">
        <w:rPr>
          <w:rFonts w:ascii="Arial" w:eastAsia="Times New Roman" w:hAnsi="Arial" w:cs="Arial"/>
          <w:sz w:val="20"/>
          <w:szCs w:val="20"/>
          <w:lang w:val="en-NG"/>
        </w:rPr>
        <w:t xml:space="preserve">, and </w:t>
      </w:r>
      <m:oMath>
        <m:r>
          <w:rPr>
            <w:rFonts w:ascii="Cambria Math" w:eastAsia="Times New Roman" w:hAnsi="Cambria Math" w:cs="Arial"/>
            <w:sz w:val="20"/>
            <w:szCs w:val="20"/>
            <w:lang w:val="en-NG"/>
          </w:rPr>
          <m:t>β</m:t>
        </m:r>
      </m:oMath>
      <w:r w:rsidRPr="006107DB">
        <w:rPr>
          <w:rFonts w:ascii="Arial" w:eastAsia="Times New Roman" w:hAnsi="Arial" w:cs="Arial"/>
          <w:sz w:val="20"/>
          <w:szCs w:val="20"/>
          <w:lang w:val="en-NG"/>
        </w:rPr>
        <w:t xml:space="preserve"> are the parameters of the TE–NWP distribution. This formula provides the explicit form of 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 xml:space="preserve">-th theoretical moment, which </w:t>
      </w:r>
      <w:r w:rsidR="00507F78" w:rsidRPr="006107DB">
        <w:rPr>
          <w:rFonts w:ascii="Arial" w:eastAsia="Times New Roman" w:hAnsi="Arial" w:cs="Arial"/>
          <w:sz w:val="20"/>
          <w:szCs w:val="20"/>
          <w:lang w:val="en-NG"/>
        </w:rPr>
        <w:t>is</w:t>
      </w:r>
      <w:r w:rsidRPr="006107DB">
        <w:rPr>
          <w:rFonts w:ascii="Arial" w:eastAsia="Times New Roman" w:hAnsi="Arial" w:cs="Arial"/>
          <w:sz w:val="20"/>
          <w:szCs w:val="20"/>
          <w:lang w:val="en-NG"/>
        </w:rPr>
        <w:t xml:space="preserve"> then equated with the corresponding sample moment </w:t>
      </w:r>
      <m:oMath>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M</m:t>
            </m:r>
          </m:e>
          <m:sub>
            <m:r>
              <w:rPr>
                <w:rFonts w:ascii="Cambria Math" w:eastAsia="Times New Roman" w:hAnsi="Cambria Math" w:cs="Arial"/>
                <w:sz w:val="20"/>
                <w:szCs w:val="20"/>
                <w:lang w:val="en-NG"/>
              </w:rPr>
              <m:t>r</m:t>
            </m:r>
          </m:sub>
        </m:sSub>
      </m:oMath>
      <w:r w:rsidRPr="006107DB">
        <w:rPr>
          <w:rFonts w:ascii="Arial" w:eastAsia="Times New Roman" w:hAnsi="Arial" w:cs="Arial"/>
          <w:sz w:val="20"/>
          <w:szCs w:val="20"/>
          <w:lang w:val="en-NG"/>
        </w:rPr>
        <w:t xml:space="preserve"> to estimate the parameters via the Method of Moments.</w:t>
      </w:r>
    </w:p>
    <w:p w14:paraId="09C631F9" w14:textId="617FF43B" w:rsidR="00924A9D" w:rsidRPr="006107DB" w:rsidRDefault="00924A9D" w:rsidP="00924A9D">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Therefore, the </w:t>
      </w:r>
      <m:oMath>
        <m:r>
          <w:rPr>
            <w:rFonts w:ascii="Cambria Math" w:eastAsia="Times New Roman" w:hAnsi="Cambria Math" w:cs="Arial"/>
            <w:sz w:val="20"/>
            <w:szCs w:val="20"/>
            <w:lang w:val="en-NG"/>
          </w:rPr>
          <m:t>r</m:t>
        </m:r>
      </m:oMath>
      <w:r w:rsidRPr="006107DB">
        <w:rPr>
          <w:rFonts w:ascii="Arial" w:eastAsia="Times New Roman" w:hAnsi="Arial" w:cs="Arial"/>
          <w:sz w:val="20"/>
          <w:szCs w:val="20"/>
          <w:lang w:val="en-NG"/>
        </w:rPr>
        <w:t>-th sample moment can be expressed as:</w:t>
      </w:r>
    </w:p>
    <w:p w14:paraId="1377D222" w14:textId="041BE2BB" w:rsidR="00924A9D" w:rsidRPr="006107DB" w:rsidRDefault="00000000" w:rsidP="00924A9D">
      <w:pPr>
        <w:spacing w:before="100" w:beforeAutospacing="1" w:after="100" w:afterAutospacing="1" w:line="240" w:lineRule="auto"/>
        <w:jc w:val="both"/>
        <w:rPr>
          <w:rFonts w:ascii="Arial" w:eastAsia="Times New Roman" w:hAnsi="Arial" w:cs="Arial"/>
          <w:sz w:val="20"/>
          <w:szCs w:val="20"/>
          <w:lang w:val="en-NG"/>
        </w:rPr>
      </w:pPr>
      <m:oMathPara>
        <m:oMath>
          <m:m>
            <m:mPr>
              <m:plcHide m:val="1"/>
              <m:mcs>
                <m:mc>
                  <m:mcPr>
                    <m:count m:val="4"/>
                    <m:mcJc m:val="center"/>
                  </m:mcPr>
                </m:mc>
              </m:mcs>
              <m:ctrlPr>
                <w:rPr>
                  <w:rFonts w:ascii="Cambria Math" w:eastAsia="Times New Roman" w:hAnsi="Cambria Math" w:cs="Arial"/>
                  <w:sz w:val="20"/>
                  <w:szCs w:val="20"/>
                  <w:lang w:val="en-NG"/>
                </w:rPr>
              </m:ctrlPr>
            </m:mPr>
            <m:mr>
              <m:e/>
              <m:e>
                <m:sSub>
                  <m:sSubPr>
                    <m:ctrlPr>
                      <w:rPr>
                        <w:rFonts w:ascii="Cambria Math" w:eastAsia="Times New Roman" w:hAnsi="Cambria Math" w:cs="Arial"/>
                        <w:sz w:val="20"/>
                        <w:szCs w:val="20"/>
                        <w:lang w:val="en-NG"/>
                      </w:rPr>
                    </m:ctrlPr>
                  </m:sSubPr>
                  <m:e>
                    <m:acc>
                      <m:accPr>
                        <m:ctrlPr>
                          <w:rPr>
                            <w:rFonts w:ascii="Cambria Math" w:eastAsia="Times New Roman" w:hAnsi="Cambria Math" w:cs="Arial"/>
                            <w:sz w:val="20"/>
                            <w:szCs w:val="20"/>
                            <w:lang w:val="en-NG"/>
                          </w:rPr>
                        </m:ctrlPr>
                      </m:accPr>
                      <m:e>
                        <m:r>
                          <w:rPr>
                            <w:rFonts w:ascii="Cambria Math" w:eastAsia="Times New Roman" w:hAnsi="Cambria Math" w:cs="Arial"/>
                            <w:sz w:val="20"/>
                            <w:szCs w:val="20"/>
                            <w:lang w:val="en-NG"/>
                          </w:rPr>
                          <m:t>M</m:t>
                        </m:r>
                      </m:e>
                    </m:acc>
                  </m:e>
                  <m:sub>
                    <m:r>
                      <w:rPr>
                        <w:rFonts w:ascii="Cambria Math" w:eastAsia="Times New Roman" w:hAnsi="Cambria Math" w:cs="Arial"/>
                        <w:sz w:val="20"/>
                        <w:szCs w:val="20"/>
                        <w:lang w:val="en-NG"/>
                      </w:rPr>
                      <m:t>r</m:t>
                    </m:r>
                  </m:sub>
                </m:sSub>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m:t>Γ</m:t>
                </m:r>
                <m:d>
                  <m:dPr>
                    <m:ctrlPr>
                      <w:rPr>
                        <w:rFonts w:ascii="Cambria Math" w:eastAsia="Times New Roman" w:hAnsi="Cambria Math" w:cs="Arial"/>
                        <w:sz w:val="20"/>
                        <w:szCs w:val="20"/>
                        <w:lang w:val="en-NG"/>
                      </w:rPr>
                    </m:ctrlPr>
                  </m:dPr>
                  <m:e>
                    <m:f>
                      <m:fPr>
                        <m:ctrlPr>
                          <w:rPr>
                            <w:rFonts w:ascii="Cambria Math" w:eastAsia="Times New Roman" w:hAnsi="Cambria Math" w:cs="Arial"/>
                            <w:sz w:val="20"/>
                            <w:szCs w:val="20"/>
                            <w:lang w:val="en-NG"/>
                          </w:rPr>
                        </m:ctrlPr>
                      </m:fPr>
                      <m:num>
                        <m:r>
                          <w:rPr>
                            <w:rFonts w:ascii="Cambria Math" w:eastAsia="Times New Roman" w:hAnsi="Cambria Math" w:cs="Arial"/>
                            <w:sz w:val="20"/>
                            <w:szCs w:val="20"/>
                            <w:lang w:val="en-NG"/>
                          </w:rPr>
                          <m:t>r+β</m:t>
                        </m:r>
                      </m:num>
                      <m:den>
                        <m:r>
                          <w:rPr>
                            <w:rFonts w:ascii="Cambria Math" w:eastAsia="Times New Roman" w:hAnsi="Cambria Math" w:cs="Arial"/>
                            <w:sz w:val="20"/>
                            <w:szCs w:val="20"/>
                            <w:lang w:val="en-NG"/>
                          </w:rPr>
                          <m:t>β</m:t>
                        </m:r>
                      </m:den>
                    </m:f>
                  </m:e>
                </m:d>
                <m:f>
                  <m:fPr>
                    <m:ctrlPr>
                      <w:rPr>
                        <w:rFonts w:ascii="Cambria Math" w:eastAsia="Times New Roman" w:hAnsi="Cambria Math" w:cs="Arial"/>
                        <w:sz w:val="20"/>
                        <w:szCs w:val="20"/>
                        <w:lang w:val="en-NG"/>
                      </w:rPr>
                    </m:ctrlPr>
                  </m:fPr>
                  <m:num>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γ</m:t>
                        </m:r>
                      </m:e>
                      <m:sup>
                        <m:r>
                          <w:rPr>
                            <w:rFonts w:ascii="Cambria Math" w:eastAsia="Times New Roman" w:hAnsi="Cambria Math" w:cs="Arial"/>
                            <w:sz w:val="20"/>
                            <w:szCs w:val="20"/>
                            <w:lang w:val="en-NG"/>
                          </w:rPr>
                          <m:t>r</m:t>
                        </m:r>
                      </m:sup>
                    </m:sSup>
                  </m:num>
                  <m:den>
                    <m:d>
                      <m:dPr>
                        <m:endChr m:val=""/>
                        <m:ctrlPr>
                          <w:rPr>
                            <w:rFonts w:ascii="Cambria Math" w:eastAsia="Times New Roman" w:hAnsi="Cambria Math" w:cs="Arial"/>
                            <w:sz w:val="20"/>
                            <w:szCs w:val="20"/>
                            <w:lang w:val="en-NG"/>
                          </w:rPr>
                        </m:ctrlPr>
                      </m:dPr>
                      <m:e>
                        <m:r>
                          <w:rPr>
                            <w:rFonts w:ascii="Cambria Math" w:eastAsia="Times New Roman" w:hAnsi="Cambria Math" w:cs="Arial"/>
                            <w:sz w:val="20"/>
                            <w:szCs w:val="20"/>
                            <w:lang w:val="en-NG"/>
                          </w:rPr>
                          <m:t>τσ</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m:t>
                            </m:r>
                          </m:e>
                          <m:sup>
                            <m:r>
                              <w:rPr>
                                <w:rFonts w:ascii="Cambria Math" w:eastAsia="Times New Roman" w:hAnsi="Cambria Math" w:cs="Arial"/>
                                <w:sz w:val="20"/>
                                <w:szCs w:val="20"/>
                                <w:lang w:val="en-NG"/>
                              </w:rPr>
                              <m:t>r</m:t>
                            </m:r>
                            <m:r>
                              <m:rPr>
                                <m:sty m:val="p"/>
                              </m:rPr>
                              <w:rPr>
                                <w:rFonts w:ascii="Cambria Math" w:eastAsia="Times New Roman" w:hAnsi="Cambria Math" w:cs="Arial"/>
                                <w:sz w:val="20"/>
                                <w:szCs w:val="20"/>
                                <w:lang w:val="en-NG"/>
                              </w:rPr>
                              <m:t>/</m:t>
                            </m:r>
                            <m:r>
                              <w:rPr>
                                <w:rFonts w:ascii="Cambria Math" w:eastAsia="Times New Roman" w:hAnsi="Cambria Math" w:cs="Arial"/>
                                <w:sz w:val="20"/>
                                <w:szCs w:val="20"/>
                                <w:lang w:val="en-NG"/>
                              </w:rPr>
                              <m:t>β</m:t>
                            </m:r>
                          </m:sup>
                        </m:sSup>
                      </m:e>
                    </m:d>
                  </m:den>
                </m:f>
                <m:d>
                  <m:dPr>
                    <m:begChr m:val="["/>
                    <m:endChr m:val="]"/>
                    <m:ctrlPr>
                      <w:rPr>
                        <w:rFonts w:ascii="Cambria Math" w:eastAsia="Times New Roman" w:hAnsi="Cambria Math" w:cs="Arial"/>
                        <w:sz w:val="20"/>
                        <w:szCs w:val="20"/>
                        <w:lang w:val="en-NG"/>
                      </w:rPr>
                    </m:ctrlPr>
                  </m:dPr>
                  <m:e>
                    <m:r>
                      <w:rPr>
                        <w:rFonts w:ascii="Cambria Math" w:eastAsia="Times New Roman" w:hAnsi="Cambria Math" w:cs="Arial"/>
                        <w:sz w:val="20"/>
                        <w:szCs w:val="20"/>
                        <w:lang w:val="en-NG"/>
                      </w:rPr>
                      <m:t>(1-θ)+θ</m:t>
                    </m:r>
                    <m:r>
                      <m:rPr>
                        <m:nor/>
                      </m:rPr>
                      <w:rPr>
                        <w:rFonts w:ascii="Arial" w:eastAsia="Times New Roman" w:hAnsi="Arial" w:cs="Arial"/>
                        <w:sz w:val="20"/>
                        <w:szCs w:val="20"/>
                        <w:lang w:val="en-NG"/>
                      </w:rPr>
                      <m:t> </m:t>
                    </m:r>
                    <m:sSup>
                      <m:sSupPr>
                        <m:ctrlPr>
                          <w:rPr>
                            <w:rFonts w:ascii="Cambria Math" w:eastAsia="Times New Roman" w:hAnsi="Cambria Math" w:cs="Arial"/>
                            <w:sz w:val="20"/>
                            <w:szCs w:val="20"/>
                            <w:lang w:val="en-NG"/>
                          </w:rPr>
                        </m:ctrlPr>
                      </m:sSupPr>
                      <m:e>
                        <m:r>
                          <w:rPr>
                            <w:rFonts w:ascii="Cambria Math" w:eastAsia="Times New Roman" w:hAnsi="Cambria Math" w:cs="Arial"/>
                            <w:sz w:val="20"/>
                            <w:szCs w:val="20"/>
                            <w:lang w:val="en-NG"/>
                          </w:rPr>
                          <m:t>2</m:t>
                        </m:r>
                      </m:e>
                      <m:sup>
                        <m:r>
                          <w:rPr>
                            <w:rFonts w:ascii="Cambria Math" w:eastAsia="Times New Roman" w:hAnsi="Cambria Math" w:cs="Arial"/>
                            <w:sz w:val="20"/>
                            <w:szCs w:val="20"/>
                            <w:lang w:val="en-NG"/>
                          </w:rPr>
                          <m:t>r</m:t>
                        </m:r>
                        <m:r>
                          <m:rPr>
                            <m:sty m:val="p"/>
                          </m:rPr>
                          <w:rPr>
                            <w:rFonts w:ascii="Cambria Math" w:eastAsia="Times New Roman" w:hAnsi="Cambria Math" w:cs="Arial"/>
                            <w:sz w:val="20"/>
                            <w:szCs w:val="20"/>
                            <w:lang w:val="en-NG"/>
                          </w:rPr>
                          <m:t>/</m:t>
                        </m:r>
                        <m:r>
                          <w:rPr>
                            <w:rFonts w:ascii="Cambria Math" w:eastAsia="Times New Roman" w:hAnsi="Cambria Math" w:cs="Arial"/>
                            <w:sz w:val="20"/>
                            <w:szCs w:val="20"/>
                            <w:lang w:val="en-NG"/>
                          </w:rPr>
                          <m:t>β</m:t>
                        </m:r>
                      </m:sup>
                    </m:sSup>
                  </m:e>
                </m:d>
                <m:r>
                  <w:rPr>
                    <w:rFonts w:ascii="Cambria Math" w:eastAsia="Times New Roman" w:hAnsi="Cambria Math" w:cs="Arial"/>
                    <w:sz w:val="20"/>
                    <w:szCs w:val="20"/>
                    <w:lang w:val="en-NG"/>
                  </w:rPr>
                  <m:t>,r=1,2,3,4,5</m:t>
                </m:r>
              </m:e>
              <m:e/>
              <m:e>
                <m:r>
                  <m:rPr>
                    <m:nor/>
                  </m:rPr>
                  <w:rPr>
                    <w:rFonts w:ascii="Arial" w:eastAsia="Times New Roman" w:hAnsi="Arial" w:cs="Arial"/>
                    <w:sz w:val="20"/>
                    <w:szCs w:val="20"/>
                    <w:lang w:val="en-NG"/>
                  </w:rPr>
                  <m:t xml:space="preserve">                                    (3)</m:t>
                </m:r>
              </m:e>
            </m:mr>
          </m:m>
          <m:r>
            <m:rPr>
              <m:sty m:val="p"/>
            </m:rPr>
            <w:rPr>
              <w:rFonts w:ascii="Cambria Math" w:eastAsia="Times New Roman" w:hAnsi="Cambria Math" w:cs="Arial"/>
              <w:sz w:val="20"/>
              <w:szCs w:val="20"/>
              <w:lang w:val="en-NG"/>
            </w:rPr>
            <w:br/>
          </m:r>
        </m:oMath>
      </m:oMathPara>
    </w:p>
    <w:p w14:paraId="76C5306C" w14:textId="77777777" w:rsidR="00924A9D" w:rsidRPr="006107DB" w:rsidRDefault="00924A9D" w:rsidP="00924A9D">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Since the TE–NWP model contains five parameters, the first five sample moments are equated to their corresponding theoretical moments, resulting in a nonlinear system of five equations. These equations are then solved numerically to obtain the Method of Moments (MM) estimates for the model parameters.</w:t>
      </w:r>
    </w:p>
    <w:p w14:paraId="6A813857" w14:textId="3E02C518" w:rsidR="0052650F" w:rsidRPr="006107DB" w:rsidRDefault="00986B3F" w:rsidP="00444535">
      <w:pPr>
        <w:spacing w:before="100" w:beforeAutospacing="1" w:after="100" w:afterAutospacing="1" w:line="240" w:lineRule="auto"/>
        <w:jc w:val="both"/>
        <w:rPr>
          <w:rFonts w:ascii="Arial" w:eastAsia="Times New Roman" w:hAnsi="Arial" w:cs="Arial"/>
          <w:b/>
          <w:bCs/>
          <w:sz w:val="20"/>
          <w:szCs w:val="20"/>
        </w:rPr>
      </w:pPr>
      <w:r w:rsidRPr="006107DB">
        <w:rPr>
          <w:rFonts w:ascii="Arial" w:eastAsia="Times New Roman" w:hAnsi="Arial" w:cs="Arial"/>
          <w:b/>
          <w:bCs/>
          <w:sz w:val="20"/>
          <w:szCs w:val="20"/>
        </w:rPr>
        <w:t>2.</w:t>
      </w:r>
      <w:r w:rsidR="00446FEE" w:rsidRPr="006107DB">
        <w:rPr>
          <w:rFonts w:ascii="Arial" w:eastAsia="Times New Roman" w:hAnsi="Arial" w:cs="Arial"/>
          <w:b/>
          <w:bCs/>
          <w:sz w:val="20"/>
          <w:szCs w:val="20"/>
        </w:rPr>
        <w:t>2.2</w:t>
      </w:r>
      <w:r w:rsidRPr="006107DB">
        <w:rPr>
          <w:rFonts w:ascii="Arial" w:eastAsia="Times New Roman" w:hAnsi="Arial" w:cs="Arial"/>
          <w:b/>
          <w:bCs/>
          <w:sz w:val="20"/>
          <w:szCs w:val="20"/>
        </w:rPr>
        <w:t xml:space="preserve"> </w:t>
      </w:r>
      <w:r w:rsidR="0052650F" w:rsidRPr="006107DB">
        <w:rPr>
          <w:rFonts w:ascii="Arial" w:eastAsia="Times New Roman" w:hAnsi="Arial" w:cs="Arial"/>
          <w:b/>
          <w:bCs/>
          <w:sz w:val="20"/>
          <w:szCs w:val="20"/>
        </w:rPr>
        <w:t>Maximum Likelihood Estimation (MLE) Method</w:t>
      </w:r>
    </w:p>
    <w:p w14:paraId="18F4DDF9" w14:textId="21D0A073" w:rsidR="003D718A" w:rsidRPr="006107DB" w:rsidRDefault="003D718A" w:rsidP="003D718A">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Let </w:t>
      </w:r>
      <m:oMath>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1</m:t>
            </m:r>
          </m:sub>
        </m:sSub>
        <m:r>
          <w:rPr>
            <w:rFonts w:ascii="Cambria Math" w:eastAsia="Times New Roman" w:hAnsi="Cambria Math" w:cs="Arial"/>
            <w:sz w:val="20"/>
            <w:szCs w:val="20"/>
            <w:lang w:val="en-NG"/>
          </w:rPr>
          <m:t>,</m:t>
        </m:r>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2</m:t>
            </m:r>
          </m:sub>
        </m:sSub>
        <m:r>
          <w:rPr>
            <w:rFonts w:ascii="Cambria Math" w:eastAsia="Times New Roman" w:hAnsi="Cambria Math" w:cs="Arial"/>
            <w:sz w:val="20"/>
            <w:szCs w:val="20"/>
            <w:lang w:val="en-NG"/>
          </w:rPr>
          <m:t>,…,</m:t>
        </m:r>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n</m:t>
            </m:r>
          </m:sub>
        </m:sSub>
      </m:oMath>
      <w:r w:rsidR="00507F78"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 xml:space="preserve">be a random sample of size </w:t>
      </w:r>
      <m:oMath>
        <m:r>
          <w:rPr>
            <w:rFonts w:ascii="Cambria Math" w:eastAsia="Times New Roman" w:hAnsi="Cambria Math" w:cs="Arial"/>
            <w:sz w:val="20"/>
            <w:szCs w:val="20"/>
            <w:lang w:val="en-NG"/>
          </w:rPr>
          <m:t>n</m:t>
        </m:r>
      </m:oMath>
      <w:r w:rsidR="00507F78"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drawn from the Transmuted Exponential</w:t>
      </w:r>
      <w:r w:rsidR="00507F78" w:rsidRPr="006107DB">
        <w:rPr>
          <w:rFonts w:ascii="Arial" w:eastAsia="Times New Roman" w:hAnsi="Arial" w:cs="Arial"/>
          <w:sz w:val="20"/>
          <w:szCs w:val="20"/>
          <w:lang w:val="en-NG"/>
        </w:rPr>
        <w:t>-</w:t>
      </w:r>
      <w:r w:rsidRPr="006107DB">
        <w:rPr>
          <w:rFonts w:ascii="Arial" w:eastAsia="Times New Roman" w:hAnsi="Arial" w:cs="Arial"/>
          <w:sz w:val="20"/>
          <w:szCs w:val="20"/>
          <w:lang w:val="en-NG"/>
        </w:rPr>
        <w:t>New Weibull Pareto (TE</w:t>
      </w:r>
      <w:r w:rsidR="00507F78" w:rsidRPr="006107DB">
        <w:rPr>
          <w:rFonts w:ascii="Arial" w:eastAsia="Times New Roman" w:hAnsi="Arial" w:cs="Arial"/>
          <w:sz w:val="20"/>
          <w:szCs w:val="20"/>
          <w:lang w:val="en-NG"/>
        </w:rPr>
        <w:t>-</w:t>
      </w:r>
      <w:r w:rsidRPr="006107DB">
        <w:rPr>
          <w:rFonts w:ascii="Arial" w:eastAsia="Times New Roman" w:hAnsi="Arial" w:cs="Arial"/>
          <w:sz w:val="20"/>
          <w:szCs w:val="20"/>
          <w:lang w:val="en-NG"/>
        </w:rPr>
        <w:t xml:space="preserve">NWP) distribution, with probability density function </w:t>
      </w:r>
      <m:oMath>
        <m:r>
          <w:rPr>
            <w:rFonts w:ascii="Cambria Math" w:eastAsia="Times New Roman" w:hAnsi="Cambria Math" w:cs="Arial"/>
            <w:sz w:val="20"/>
            <w:szCs w:val="20"/>
            <w:lang w:val="en-NG"/>
          </w:rPr>
          <m:t>f(x;τ,θ,γ,σ,β)</m:t>
        </m:r>
      </m:oMath>
      <w:r w:rsidR="00507F78"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given in Equation (2).</w:t>
      </w:r>
    </w:p>
    <w:p w14:paraId="04F4515C" w14:textId="5BA81F5C" w:rsidR="003D718A" w:rsidRPr="006107DB" w:rsidRDefault="003D718A" w:rsidP="003D718A">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The likelihood function for the parameter vector </w:t>
      </w:r>
      <m:oMath>
        <m:r>
          <w:rPr>
            <w:rFonts w:ascii="Cambria Math" w:eastAsia="Times New Roman" w:hAnsi="Cambria Math" w:cs="Arial"/>
            <w:sz w:val="20"/>
            <w:szCs w:val="20"/>
            <w:lang w:val="en-NG"/>
          </w:rPr>
          <m:t>ψ=(τ,θ,γ,σ,β)</m:t>
        </m:r>
      </m:oMath>
      <w:r w:rsidR="00507F78"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is defined as</w:t>
      </w:r>
    </w:p>
    <w:p w14:paraId="2BE1D6DE" w14:textId="39A8C5FC" w:rsidR="003D718A" w:rsidRPr="006107DB" w:rsidRDefault="003D718A" w:rsidP="003D718A">
      <w:pPr>
        <w:spacing w:before="100" w:beforeAutospacing="1" w:after="100" w:afterAutospacing="1" w:line="240" w:lineRule="auto"/>
        <w:jc w:val="both"/>
        <w:rPr>
          <w:rFonts w:ascii="Arial" w:eastAsia="Times New Roman" w:hAnsi="Arial" w:cs="Arial"/>
          <w:sz w:val="20"/>
          <w:szCs w:val="20"/>
          <w:lang w:val="en-NG"/>
        </w:rPr>
      </w:pPr>
      <m:oMathPara>
        <m:oMath>
          <m:r>
            <w:rPr>
              <w:rFonts w:ascii="Cambria Math" w:eastAsia="Times New Roman" w:hAnsi="Cambria Math" w:cs="Arial"/>
              <w:sz w:val="20"/>
              <w:szCs w:val="20"/>
              <w:lang w:val="en-NG"/>
            </w:rPr>
            <m:t>L(τ,θ,γ,σ,β)=</m:t>
          </m:r>
          <m:nary>
            <m:naryPr>
              <m:chr m:val="∏"/>
              <m:limLoc m:val="undOvr"/>
              <m:grow m:val="1"/>
              <m:ctrlPr>
                <w:rPr>
                  <w:rFonts w:ascii="Cambria Math" w:eastAsia="Times New Roman" w:hAnsi="Cambria Math" w:cs="Arial"/>
                  <w:sz w:val="20"/>
                  <w:szCs w:val="20"/>
                  <w:lang w:val="en-NG"/>
                </w:rPr>
              </m:ctrlPr>
            </m:naryPr>
            <m:sub>
              <m:r>
                <w:rPr>
                  <w:rFonts w:ascii="Cambria Math" w:eastAsia="Times New Roman" w:hAnsi="Cambria Math" w:cs="Arial"/>
                  <w:sz w:val="20"/>
                  <w:szCs w:val="20"/>
                  <w:lang w:val="en-NG"/>
                </w:rPr>
                <m:t>i=1</m:t>
              </m:r>
            </m:sub>
            <m:sup>
              <m:r>
                <w:rPr>
                  <w:rFonts w:ascii="Cambria Math" w:eastAsia="Times New Roman" w:hAnsi="Cambria Math" w:cs="Arial"/>
                  <w:sz w:val="20"/>
                  <w:szCs w:val="20"/>
                  <w:lang w:val="en-NG"/>
                </w:rPr>
                <m:t>n</m:t>
              </m:r>
            </m:sup>
            <m:e>
              <m:r>
                <w:rPr>
                  <w:rFonts w:ascii="Cambria Math" w:eastAsia="Times New Roman" w:hAnsi="Cambria Math" w:cs="Arial"/>
                  <w:sz w:val="20"/>
                  <w:szCs w:val="20"/>
                  <w:lang w:val="en-NG"/>
                </w:rPr>
                <m:t>f(</m:t>
              </m:r>
            </m:e>
          </m:nary>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;τ,θ,γ,σ,β)</m:t>
          </m:r>
          <m:r>
            <m:rPr>
              <m:sty m:val="p"/>
            </m:rP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w:br/>
          </m:r>
        </m:oMath>
      </m:oMathPara>
    </w:p>
    <w:p w14:paraId="11FCCF14" w14:textId="23AD7267" w:rsidR="003D718A" w:rsidRPr="006107DB" w:rsidRDefault="003D718A" w:rsidP="003D718A">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By substituting the TE</w:t>
      </w:r>
      <w:r w:rsidR="00507F78" w:rsidRPr="006107DB">
        <w:rPr>
          <w:rFonts w:ascii="Arial" w:eastAsia="Times New Roman" w:hAnsi="Arial" w:cs="Arial"/>
          <w:sz w:val="20"/>
          <w:szCs w:val="20"/>
          <w:lang w:val="en-NG"/>
        </w:rPr>
        <w:t>-</w:t>
      </w:r>
      <w:r w:rsidRPr="006107DB">
        <w:rPr>
          <w:rFonts w:ascii="Arial" w:eastAsia="Times New Roman" w:hAnsi="Arial" w:cs="Arial"/>
          <w:sz w:val="20"/>
          <w:szCs w:val="20"/>
          <w:lang w:val="en-NG"/>
        </w:rPr>
        <w:t>NWP density function into the above expression, the likelihood function becomes</w:t>
      </w:r>
    </w:p>
    <w:p w14:paraId="29EF69F2" w14:textId="3AF483CC" w:rsidR="000541EB" w:rsidRPr="006107DB" w:rsidRDefault="000541EB" w:rsidP="00444535">
      <w:pPr>
        <w:spacing w:before="100" w:beforeAutospacing="1" w:after="100" w:afterAutospacing="1" w:line="240" w:lineRule="auto"/>
        <w:jc w:val="both"/>
        <w:rPr>
          <w:rFonts w:ascii="Arial" w:eastAsia="Times New Roman" w:hAnsi="Arial" w:cs="Arial"/>
          <w:sz w:val="20"/>
          <w:szCs w:val="20"/>
        </w:rPr>
      </w:pPr>
      <m:oMathPara>
        <m:oMath>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d>
                <m:dPr>
                  <m:begChr m:val="["/>
                  <m:endChr m:val="]"/>
                  <m:ctrlPr>
                    <w:rPr>
                      <w:rFonts w:ascii="Cambria Math" w:eastAsiaTheme="minorEastAsia" w:hAnsi="Cambria Math" w:cs="Arial"/>
                      <w:i/>
                      <w:sz w:val="20"/>
                      <w:szCs w:val="20"/>
                    </w:rPr>
                  </m:ctrlPr>
                </m:dPr>
                <m:e>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m:rPr>
                      <m:sty m:val="p"/>
                    </m:rPr>
                    <w:rPr>
                      <w:rFonts w:ascii="Cambria Math" w:eastAsiaTheme="minorEastAsia"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 xml:space="preserve"> exp</m:t>
                  </m:r>
                  <m:d>
                    <m:dPr>
                      <m:ctrlPr>
                        <w:rPr>
                          <w:rFonts w:ascii="Cambria Math" w:eastAsiaTheme="minorEastAsia"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e>
              </m:d>
            </m:e>
          </m:nary>
        </m:oMath>
      </m:oMathPara>
    </w:p>
    <w:p w14:paraId="62366992" w14:textId="4460CA19" w:rsidR="00B51E9F" w:rsidRPr="006107DB" w:rsidRDefault="00B51E9F" w:rsidP="00B51E9F">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For computational convenience, the log-likelihood function of the TE</w:t>
      </w:r>
      <w:r w:rsidR="00507F78" w:rsidRPr="006107DB">
        <w:rPr>
          <w:rFonts w:ascii="Arial" w:eastAsia="Times New Roman" w:hAnsi="Arial" w:cs="Arial"/>
          <w:sz w:val="20"/>
          <w:szCs w:val="20"/>
          <w:lang w:val="en-NG"/>
        </w:rPr>
        <w:t>-</w:t>
      </w:r>
      <w:r w:rsidRPr="006107DB">
        <w:rPr>
          <w:rFonts w:ascii="Arial" w:eastAsia="Times New Roman" w:hAnsi="Arial" w:cs="Arial"/>
          <w:sz w:val="20"/>
          <w:szCs w:val="20"/>
          <w:lang w:val="en-NG"/>
        </w:rPr>
        <w:t>NWP distribution is considered:</w:t>
      </w:r>
    </w:p>
    <w:p w14:paraId="012FF70D" w14:textId="2147F9EF" w:rsidR="00A365E1" w:rsidRPr="006107DB" w:rsidRDefault="00B51E9F" w:rsidP="00B51E9F">
      <w:pPr>
        <w:spacing w:before="100" w:beforeAutospacing="1" w:after="100" w:afterAutospacing="1" w:line="24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lang w:val="en-NG"/>
            </w:rPr>
            <m:t>ln</m:t>
          </m:r>
          <m:r>
            <w:rPr>
              <w:rFonts w:ascii="Cambria Math" w:eastAsia="Times New Roman" w:hAnsi="Cambria Math" w:cs="Arial"/>
              <w:sz w:val="20"/>
              <w:szCs w:val="20"/>
              <w:lang w:val="en-NG"/>
            </w:rPr>
            <m:t>⁡L(</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r>
            <w:rPr>
              <w:rFonts w:ascii="Cambria Math" w:eastAsia="Times New Roman" w:hAnsi="Cambria Math" w:cs="Arial"/>
              <w:sz w:val="20"/>
              <w:szCs w:val="20"/>
            </w:rPr>
            <m:t>=</m:t>
          </m:r>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d>
                    <m:dPr>
                      <m:begChr m:val="["/>
                      <m:endChr m:val="]"/>
                      <m:ctrlPr>
                        <w:rPr>
                          <w:rFonts w:ascii="Cambria Math" w:eastAsia="Times New Roman" w:hAnsi="Cambria Math" w:cs="Arial"/>
                          <w:i/>
                          <w:iCs/>
                          <w:sz w:val="20"/>
                          <w:szCs w:val="20"/>
                        </w:rPr>
                      </m:ctrlPr>
                    </m:dPr>
                    <m:e>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d>
                        <m:dPr>
                          <m:ctrlPr>
                            <w:rPr>
                              <w:rFonts w:ascii="Cambria Math" w:eastAsiaTheme="minorEastAsia" w:hAnsi="Cambria Math" w:cs="Arial"/>
                              <w:iCs/>
                              <w:sz w:val="20"/>
                              <w:szCs w:val="20"/>
                            </w:rPr>
                          </m:ctrlPr>
                        </m:dPr>
                        <m:e>
                          <m:r>
                            <m:rPr>
                              <m:sty m:val="p"/>
                            </m:rPr>
                            <w:rPr>
                              <w:rFonts w:ascii="Cambria Math" w:eastAsiaTheme="minorEastAsia" w:hAnsi="Cambria Math" w:cs="Arial"/>
                              <w:sz w:val="20"/>
                              <w:szCs w:val="20"/>
                            </w:rPr>
                            <m:t>1-θ</m:t>
                          </m:r>
                        </m:e>
                      </m:d>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r>
                        <m:rPr>
                          <m:sty m:val="p"/>
                        </m:rPr>
                        <w:rPr>
                          <w:rFonts w:ascii="Cambria Math" w:eastAsiaTheme="minorEastAsia"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2θ</m:t>
                          </m:r>
                          <m:r>
                            <m:rPr>
                              <m:sty m:val="p"/>
                            </m:rPr>
                            <w:rPr>
                              <w:rFonts w:ascii="Cambria Math" w:hAnsi="Cambria Math" w:cs="Arial"/>
                              <w:sz w:val="20"/>
                              <w:szCs w:val="20"/>
                            </w:rPr>
                            <m:t>τ</m:t>
                          </m:r>
                          <m:r>
                            <m:rPr>
                              <m:sty m:val="p"/>
                            </m:rPr>
                            <w:rPr>
                              <w:rFonts w:ascii="Cambria Math" w:eastAsiaTheme="minorEastAsia" w:hAnsi="Cambria Math" w:cs="Arial"/>
                              <w:sz w:val="20"/>
                              <w:szCs w:val="20"/>
                            </w:rPr>
                            <m:t>βσ</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 xml:space="preserve"> exp</m:t>
                      </m:r>
                      <m:d>
                        <m:dPr>
                          <m:ctrlPr>
                            <w:rPr>
                              <w:rFonts w:ascii="Cambria Math" w:eastAsiaTheme="minorEastAsia"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e>
                      </m:d>
                    </m:e>
                  </m:d>
                </m:e>
              </m:func>
            </m:e>
          </m:nary>
        </m:oMath>
      </m:oMathPara>
    </w:p>
    <w:p w14:paraId="52F15A64" w14:textId="65939A7F" w:rsidR="00B51E9F" w:rsidRPr="006107DB" w:rsidRDefault="00B51E9F" w:rsidP="00B51E9F">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Factoring out common terms, the log-likelihood function can be expressed as:</w:t>
      </w:r>
    </w:p>
    <w:p w14:paraId="10258DB7" w14:textId="635278D0" w:rsidR="00B51E9F" w:rsidRPr="006107DB" w:rsidRDefault="00000000" w:rsidP="00B51E9F">
      <w:pPr>
        <w:spacing w:before="100" w:beforeAutospacing="1" w:after="100" w:afterAutospacing="1" w:line="240" w:lineRule="auto"/>
        <w:jc w:val="both"/>
        <w:rPr>
          <w:rFonts w:ascii="Arial" w:eastAsia="Times New Roman" w:hAnsi="Arial" w:cs="Arial"/>
          <w:sz w:val="20"/>
          <w:szCs w:val="20"/>
          <w:lang w:val="en-NG"/>
        </w:rPr>
      </w:pPr>
      <m:oMathPara>
        <m:oMath>
          <m:m>
            <m:mPr>
              <m:plcHide m:val="1"/>
              <m:mcs>
                <m:mc>
                  <m:mcPr>
                    <m:count m:val="4"/>
                    <m:mcJc m:val="center"/>
                  </m:mcPr>
                </m:mc>
              </m:mcs>
              <m:ctrlPr>
                <w:rPr>
                  <w:rFonts w:ascii="Cambria Math" w:eastAsia="Times New Roman" w:hAnsi="Cambria Math" w:cs="Arial"/>
                  <w:sz w:val="20"/>
                  <w:szCs w:val="20"/>
                  <w:lang w:val="en-NG"/>
                </w:rPr>
              </m:ctrlPr>
            </m:mPr>
            <m:mr>
              <m:e/>
              <m:e>
                <m:r>
                  <m:rPr>
                    <m:sty m:val="p"/>
                  </m:rPr>
                  <w:rPr>
                    <w:rFonts w:ascii="Cambria Math" w:eastAsia="Times New Roman" w:hAnsi="Cambria Math" w:cs="Arial"/>
                    <w:sz w:val="20"/>
                    <w:szCs w:val="20"/>
                    <w:lang w:val="en-NG"/>
                  </w:rPr>
                  <m:t>ln</m:t>
                </m:r>
                <m:r>
                  <w:rPr>
                    <w:rFonts w:ascii="Cambria Math" w:eastAsia="Times New Roman" w:hAnsi="Cambria Math" w:cs="Arial"/>
                    <w:sz w:val="20"/>
                    <w:szCs w:val="20"/>
                    <w:lang w:val="en-NG"/>
                  </w:rPr>
                  <m:t>⁡L(τ,θ,γ,σ,β)=</m:t>
                </m:r>
                <m:nary>
                  <m:naryPr>
                    <m:chr m:val="∑"/>
                    <m:limLoc m:val="undOvr"/>
                    <m:grow m:val="1"/>
                    <m:ctrlPr>
                      <w:rPr>
                        <w:rFonts w:ascii="Cambria Math" w:eastAsia="Times New Roman" w:hAnsi="Cambria Math" w:cs="Arial"/>
                        <w:sz w:val="20"/>
                        <w:szCs w:val="20"/>
                        <w:lang w:val="en-NG"/>
                      </w:rPr>
                    </m:ctrlPr>
                  </m:naryPr>
                  <m:sub>
                    <m:r>
                      <w:rPr>
                        <w:rFonts w:ascii="Cambria Math" w:eastAsia="Times New Roman" w:hAnsi="Cambria Math" w:cs="Arial"/>
                        <w:sz w:val="20"/>
                        <w:szCs w:val="20"/>
                        <w:lang w:val="en-NG"/>
                      </w:rPr>
                      <m:t>i=1</m:t>
                    </m:r>
                  </m:sub>
                  <m:sup>
                    <m:r>
                      <w:rPr>
                        <w:rFonts w:ascii="Cambria Math" w:eastAsia="Times New Roman" w:hAnsi="Cambria Math" w:cs="Arial"/>
                        <w:sz w:val="20"/>
                        <w:szCs w:val="20"/>
                        <w:lang w:val="en-NG"/>
                      </w:rPr>
                      <m:t>n</m:t>
                    </m:r>
                  </m:sup>
                  <m:e>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m:t>ln</m:t>
                    </m:r>
                    <m:r>
                      <w:rPr>
                        <w:rFonts w:ascii="Cambria Math" w:eastAsia="Times New Roman" w:hAnsi="Cambria Math" w:cs="Arial"/>
                        <w:sz w:val="20"/>
                        <w:szCs w:val="20"/>
                        <w:lang w:val="en-NG"/>
                      </w:rPr>
                      <m:t>⁡</m:t>
                    </m:r>
                  </m:e>
                </m:nary>
                <m:d>
                  <m:dPr>
                    <m:ctrlPr>
                      <w:rPr>
                        <w:rFonts w:ascii="Cambria Math" w:eastAsia="Times New Roman" w:hAnsi="Cambria Math" w:cs="Arial"/>
                        <w:sz w:val="20"/>
                        <w:szCs w:val="20"/>
                        <w:lang w:val="en-NG"/>
                      </w:rPr>
                    </m:ctrlPr>
                  </m:dPr>
                  <m:e>
                    <m:f>
                      <m:fPr>
                        <m:ctrlPr>
                          <w:rPr>
                            <w:rFonts w:ascii="Cambria Math" w:eastAsia="Times New Roman" w:hAnsi="Cambria Math" w:cs="Arial"/>
                            <w:sz w:val="20"/>
                            <w:szCs w:val="20"/>
                            <w:lang w:val="en-NG"/>
                          </w:rPr>
                        </m:ctrlPr>
                      </m:fPr>
                      <m:num>
                        <m:r>
                          <w:rPr>
                            <w:rFonts w:ascii="Cambria Math" w:eastAsia="Times New Roman" w:hAnsi="Cambria Math" w:cs="Arial"/>
                            <w:sz w:val="20"/>
                            <w:szCs w:val="20"/>
                            <w:lang w:val="en-NG"/>
                          </w:rPr>
                          <m:t>βτσ</m:t>
                        </m:r>
                      </m:num>
                      <m:den>
                        <m:r>
                          <w:rPr>
                            <w:rFonts w:ascii="Cambria Math" w:eastAsia="Times New Roman" w:hAnsi="Cambria Math" w:cs="Arial"/>
                            <w:sz w:val="20"/>
                            <w:szCs w:val="20"/>
                            <w:lang w:val="en-NG"/>
                          </w:rPr>
                          <m:t>γ</m:t>
                        </m:r>
                      </m:den>
                    </m:f>
                  </m:e>
                </m:d>
                <m:r>
                  <w:rPr>
                    <w:rFonts w:ascii="Cambria Math" w:eastAsia="Times New Roman" w:hAnsi="Cambria Math" w:cs="Arial"/>
                    <w:sz w:val="20"/>
                    <w:szCs w:val="20"/>
                    <w:lang w:val="en-NG"/>
                  </w:rPr>
                  <m:t>+(β-1)</m:t>
                </m:r>
                <m:r>
                  <m:rPr>
                    <m:sty m:val="p"/>
                  </m:rPr>
                  <w:rPr>
                    <w:rFonts w:ascii="Cambria Math" w:eastAsia="Times New Roman" w:hAnsi="Cambria Math" w:cs="Arial"/>
                    <w:sz w:val="20"/>
                    <w:szCs w:val="20"/>
                    <w:lang w:val="en-NG"/>
                  </w:rPr>
                  <m:t>ln</m:t>
                </m:r>
                <m:r>
                  <w:rPr>
                    <w:rFonts w:ascii="Cambria Math" w:eastAsia="Times New Roman" w:hAnsi="Cambria Math" w:cs="Arial"/>
                    <w:sz w:val="20"/>
                    <w:szCs w:val="20"/>
                    <w:lang w:val="en-NG"/>
                  </w:rPr>
                  <m:t>⁡</m:t>
                </m:r>
                <m:d>
                  <m:dPr>
                    <m:ctrlPr>
                      <w:rPr>
                        <w:rFonts w:ascii="Cambria Math" w:eastAsia="Times New Roman" w:hAnsi="Cambria Math" w:cs="Arial"/>
                        <w:sz w:val="20"/>
                        <w:szCs w:val="20"/>
                        <w:lang w:val="en-NG"/>
                      </w:rPr>
                    </m:ctrlPr>
                  </m:dPr>
                  <m:e>
                    <m:f>
                      <m:fPr>
                        <m:ctrlPr>
                          <w:rPr>
                            <w:rFonts w:ascii="Cambria Math" w:eastAsia="Times New Roman" w:hAnsi="Cambria Math" w:cs="Arial"/>
                            <w:sz w:val="20"/>
                            <w:szCs w:val="20"/>
                            <w:lang w:val="en-NG"/>
                          </w:rPr>
                        </m:ctrlPr>
                      </m:fPr>
                      <m:num>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num>
                      <m:den>
                        <m:r>
                          <w:rPr>
                            <w:rFonts w:ascii="Cambria Math" w:eastAsia="Times New Roman" w:hAnsi="Cambria Math" w:cs="Arial"/>
                            <w:sz w:val="20"/>
                            <w:szCs w:val="20"/>
                            <w:lang w:val="en-NG"/>
                          </w:rPr>
                          <m:t>γ</m:t>
                        </m:r>
                      </m:den>
                    </m:f>
                  </m:e>
                </m:d>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m:t>ln</m:t>
                </m:r>
                <m:r>
                  <w:rPr>
                    <w:rFonts w:ascii="Cambria Math" w:eastAsia="Times New Roman" w:hAnsi="Cambria Math" w:cs="Arial"/>
                    <w:sz w:val="20"/>
                    <w:szCs w:val="20"/>
                    <w:lang w:val="en-NG"/>
                  </w:rPr>
                  <m:t>⁡{(1-θ)</m:t>
                </m:r>
                <m:r>
                  <m:rPr>
                    <m:sty m:val="p"/>
                  </m:rPr>
                  <w:rPr>
                    <w:rFonts w:ascii="Cambria Math" w:eastAsia="Times New Roman" w:hAnsi="Cambria Math" w:cs="Arial"/>
                    <w:sz w:val="20"/>
                    <w:szCs w:val="20"/>
                    <w:lang w:val="en-NG"/>
                  </w:rPr>
                  <m:t>exp</m:t>
                </m:r>
                <m:r>
                  <w:rPr>
                    <w:rFonts w:ascii="Cambria Math" w:eastAsia="Times New Roman" w:hAnsi="Cambria Math" w:cs="Arial"/>
                    <w:sz w:val="20"/>
                    <w:szCs w:val="20"/>
                    <w:lang w:val="en-NG"/>
                  </w:rPr>
                  <m:t>⁡(-τσ</m:t>
                </m:r>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z</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)+2θ</m:t>
                </m:r>
                <m:r>
                  <m:rPr>
                    <m:sty m:val="p"/>
                  </m:rPr>
                  <w:rPr>
                    <w:rFonts w:ascii="Cambria Math" w:eastAsia="Times New Roman" w:hAnsi="Cambria Math" w:cs="Arial"/>
                    <w:sz w:val="20"/>
                    <w:szCs w:val="20"/>
                    <w:lang w:val="en-NG"/>
                  </w:rPr>
                  <m:t>exp</m:t>
                </m:r>
                <m:r>
                  <w:rPr>
                    <w:rFonts w:ascii="Cambria Math" w:eastAsia="Times New Roman" w:hAnsi="Cambria Math" w:cs="Arial"/>
                    <w:sz w:val="20"/>
                    <w:szCs w:val="20"/>
                    <w:lang w:val="en-NG"/>
                  </w:rPr>
                  <m:t>⁡(-2τσ</m:t>
                </m:r>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z</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m:t>
                </m:r>
              </m:e>
              <m:e/>
              <m:e>
                <m:r>
                  <m:rPr>
                    <m:nor/>
                  </m:rPr>
                  <w:rPr>
                    <w:rFonts w:ascii="Arial" w:eastAsia="Times New Roman" w:hAnsi="Arial" w:cs="Arial"/>
                    <w:sz w:val="20"/>
                    <w:szCs w:val="20"/>
                    <w:lang w:val="en-NG"/>
                  </w:rPr>
                  <m:t>(4)</m:t>
                </m:r>
              </m:e>
            </m:mr>
          </m:m>
          <m:r>
            <m:rPr>
              <m:sty m:val="p"/>
            </m:rPr>
            <w:rPr>
              <w:rFonts w:ascii="Cambria Math" w:eastAsia="Times New Roman" w:hAnsi="Cambria Math" w:cs="Arial"/>
              <w:sz w:val="20"/>
              <w:szCs w:val="20"/>
              <w:lang w:val="en-NG"/>
            </w:rPr>
            <w:br/>
          </m:r>
        </m:oMath>
      </m:oMathPara>
    </w:p>
    <w:p w14:paraId="0BBA61BA" w14:textId="005EB07C" w:rsidR="00B51E9F" w:rsidRPr="006107DB" w:rsidRDefault="00B51E9F" w:rsidP="00B51E9F">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where,</w:t>
      </w:r>
    </w:p>
    <w:p w14:paraId="0843D18C" w14:textId="7F3F85DB" w:rsidR="00B51E9F" w:rsidRPr="006107DB" w:rsidRDefault="00000000" w:rsidP="00B51E9F">
      <w:pPr>
        <w:spacing w:before="100" w:beforeAutospacing="1" w:after="100" w:afterAutospacing="1" w:line="240" w:lineRule="auto"/>
        <w:jc w:val="both"/>
        <w:rPr>
          <w:rFonts w:ascii="Arial" w:eastAsia="Times New Roman" w:hAnsi="Arial" w:cs="Arial"/>
          <w:sz w:val="20"/>
          <w:szCs w:val="20"/>
          <w:lang w:val="en-NG"/>
        </w:rPr>
      </w:pPr>
      <m:oMathPara>
        <m:oMath>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z</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m:t>
          </m:r>
          <m:sSup>
            <m:sSupPr>
              <m:ctrlPr>
                <w:rPr>
                  <w:rFonts w:ascii="Cambria Math" w:eastAsia="Times New Roman" w:hAnsi="Cambria Math" w:cs="Arial"/>
                  <w:sz w:val="20"/>
                  <w:szCs w:val="20"/>
                  <w:lang w:val="en-NG"/>
                </w:rPr>
              </m:ctrlPr>
            </m:sSupPr>
            <m:e>
              <m:d>
                <m:dPr>
                  <m:ctrlPr>
                    <w:rPr>
                      <w:rFonts w:ascii="Cambria Math" w:eastAsia="Times New Roman" w:hAnsi="Cambria Math" w:cs="Arial"/>
                      <w:sz w:val="20"/>
                      <w:szCs w:val="20"/>
                      <w:lang w:val="en-NG"/>
                    </w:rPr>
                  </m:ctrlPr>
                </m:dPr>
                <m:e>
                  <m:f>
                    <m:fPr>
                      <m:ctrlPr>
                        <w:rPr>
                          <w:rFonts w:ascii="Cambria Math" w:eastAsia="Times New Roman" w:hAnsi="Cambria Math" w:cs="Arial"/>
                          <w:sz w:val="20"/>
                          <w:szCs w:val="20"/>
                          <w:lang w:val="en-NG"/>
                        </w:rPr>
                      </m:ctrlPr>
                    </m:fPr>
                    <m:num>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num>
                    <m:den>
                      <m:r>
                        <w:rPr>
                          <w:rFonts w:ascii="Cambria Math" w:eastAsia="Times New Roman" w:hAnsi="Cambria Math" w:cs="Arial"/>
                          <w:sz w:val="20"/>
                          <w:szCs w:val="20"/>
                          <w:lang w:val="en-NG"/>
                        </w:rPr>
                        <m:t>γ</m:t>
                      </m:r>
                    </m:den>
                  </m:f>
                </m:e>
              </m:d>
            </m:e>
            <m:sup>
              <m:r>
                <w:rPr>
                  <w:rFonts w:ascii="Cambria Math" w:eastAsia="Times New Roman" w:hAnsi="Cambria Math" w:cs="Arial"/>
                  <w:sz w:val="20"/>
                  <w:szCs w:val="20"/>
                  <w:lang w:val="en-NG"/>
                </w:rPr>
                <m:t>β</m:t>
              </m:r>
            </m:sup>
          </m:sSup>
          <m:r>
            <m:rPr>
              <m:sty m:val="p"/>
            </m:rP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w:br/>
          </m:r>
        </m:oMath>
      </m:oMathPara>
    </w:p>
    <w:p w14:paraId="46152AC6" w14:textId="77777777" w:rsidR="00B51E9F" w:rsidRPr="006107DB" w:rsidRDefault="00B51E9F" w:rsidP="00B51E9F">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 xml:space="preserve">This factored form simplifies the computation and facilitates numerical maximization of the log-likelihood to obtain the MLEs of the parameter vector </w:t>
      </w:r>
      <m:oMath>
        <m:r>
          <w:rPr>
            <w:rFonts w:ascii="Cambria Math" w:eastAsia="Times New Roman" w:hAnsi="Cambria Math" w:cs="Arial"/>
            <w:sz w:val="20"/>
            <w:szCs w:val="20"/>
          </w:rPr>
          <m:t>ψ=(τ,θ,γ,σ,β)</m:t>
        </m:r>
      </m:oMath>
      <w:r w:rsidRPr="006107DB">
        <w:rPr>
          <w:rFonts w:ascii="Arial" w:eastAsia="Times New Roman" w:hAnsi="Arial" w:cs="Arial"/>
          <w:sz w:val="20"/>
          <w:szCs w:val="20"/>
        </w:rPr>
        <w:t>.</w:t>
      </w:r>
    </w:p>
    <w:p w14:paraId="3931011D" w14:textId="77777777" w:rsidR="00B51E9F" w:rsidRPr="006107DB" w:rsidRDefault="00B51E9F" w:rsidP="00B51E9F">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lastRenderedPageBreak/>
        <w:t xml:space="preserve">The maximum likelihood estimates (MLEs) of the TE-NWP parameters are obtained by differentiating the log-likelihood function with respect to each parameter and setting the derivatives to zero. The score equations are given as follows: </w:t>
      </w:r>
    </w:p>
    <w:p w14:paraId="66709C80" w14:textId="6DB44E69" w:rsidR="00777086" w:rsidRPr="006107DB" w:rsidRDefault="00777086" w:rsidP="00B51E9F">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 xml:space="preserve">Derivative with respect to </w:t>
      </w:r>
      <m:oMath>
        <m:r>
          <w:rPr>
            <w:rFonts w:ascii="Cambria Math" w:eastAsia="Times New Roman" w:hAnsi="Cambria Math" w:cs="Arial"/>
            <w:sz w:val="20"/>
            <w:szCs w:val="20"/>
          </w:rPr>
          <m:t>τ</m:t>
        </m:r>
      </m:oMath>
    </w:p>
    <w:p w14:paraId="50A659A2" w14:textId="731B1D01" w:rsidR="00777086" w:rsidRPr="006107DB" w:rsidRDefault="00000000"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num>
            <m:den>
              <m:r>
                <w:rPr>
                  <w:rFonts w:ascii="Cambria Math" w:eastAsia="Times New Roman" w:hAnsi="Cambria Math" w:cs="Arial"/>
                  <w:sz w:val="20"/>
                  <w:szCs w:val="20"/>
                </w:rPr>
                <m:t>dτ</m:t>
              </m:r>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n</m:t>
              </m:r>
            </m:num>
            <m:den>
              <m:r>
                <w:rPr>
                  <w:rFonts w:ascii="Cambria Math" w:eastAsia="Times New Roman" w:hAnsi="Cambria Math" w:cs="Arial"/>
                  <w:sz w:val="20"/>
                  <w:szCs w:val="20"/>
                </w:rPr>
                <m:t>τ</m:t>
              </m:r>
            </m:den>
          </m:f>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f>
                <m:fPr>
                  <m:ctrlPr>
                    <w:rPr>
                      <w:rFonts w:ascii="Cambria Math" w:eastAsia="Times New Roman" w:hAnsi="Cambria Math" w:cs="Arial"/>
                      <w:i/>
                      <w:sz w:val="20"/>
                      <w:szCs w:val="20"/>
                    </w:rPr>
                  </m:ctrlPr>
                </m:fPr>
                <m:num>
                  <m:r>
                    <w:rPr>
                      <w:rFonts w:ascii="Cambria Math" w:eastAsia="Times New Roman" w:hAnsi="Cambria Math" w:cs="Arial"/>
                      <w:sz w:val="20"/>
                      <w:szCs w:val="20"/>
                    </w:rPr>
                    <m:t>-</m:t>
                  </m:r>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r>
                    <m:rPr>
                      <m:sty m:val="p"/>
                    </m:rPr>
                    <w:rPr>
                      <w:rFonts w:ascii="Cambria Math" w:eastAsiaTheme="minorEastAsia" w:hAnsi="Cambria Math" w:cs="Arial"/>
                      <w:sz w:val="20"/>
                      <w:szCs w:val="20"/>
                    </w:rPr>
                    <m:t>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-4θ</m:t>
                  </m:r>
                  <m:r>
                    <m:rPr>
                      <m:sty m:val="p"/>
                    </m:rPr>
                    <w:rPr>
                      <w:rFonts w:ascii="Cambria Math" w:eastAsiaTheme="minorEastAsia" w:hAnsi="Cambria Math" w:cs="Arial"/>
                      <w:sz w:val="20"/>
                      <w:szCs w:val="20"/>
                    </w:rPr>
                    <m:t>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den>
              </m:f>
            </m:e>
          </m:nary>
          <m:r>
            <w:rPr>
              <w:rFonts w:ascii="Cambria Math" w:eastAsia="Times New Roman" w:hAnsi="Cambria Math" w:cs="Arial"/>
              <w:sz w:val="20"/>
              <w:szCs w:val="20"/>
            </w:rPr>
            <m:t>=0                          (5)</m:t>
          </m:r>
        </m:oMath>
      </m:oMathPara>
    </w:p>
    <w:p w14:paraId="4509E618" w14:textId="496DA2B1" w:rsidR="00446A2F" w:rsidRPr="006107DB" w:rsidRDefault="00446A2F" w:rsidP="00444535">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 xml:space="preserve">Derivative with respect to </w:t>
      </w:r>
      <m:oMath>
        <m:r>
          <w:rPr>
            <w:rFonts w:ascii="Cambria Math" w:eastAsia="Times New Roman" w:hAnsi="Cambria Math" w:cs="Arial"/>
            <w:sz w:val="20"/>
            <w:szCs w:val="20"/>
          </w:rPr>
          <m:t>θ</m:t>
        </m:r>
      </m:oMath>
    </w:p>
    <w:p w14:paraId="065CBDD7" w14:textId="55E51DF5" w:rsidR="0060058C" w:rsidRPr="006107DB" w:rsidRDefault="00000000"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num>
            <m:den>
              <m:r>
                <w:rPr>
                  <w:rFonts w:ascii="Cambria Math" w:eastAsia="Times New Roman" w:hAnsi="Cambria Math" w:cs="Arial"/>
                  <w:sz w:val="20"/>
                  <w:szCs w:val="20"/>
                </w:rPr>
                <m:t>dθ</m:t>
              </m:r>
            </m:den>
          </m:f>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f>
                <m:fPr>
                  <m:ctrlPr>
                    <w:rPr>
                      <w:rFonts w:ascii="Cambria Math" w:eastAsia="Times New Roman" w:hAnsi="Cambria Math" w:cs="Arial"/>
                      <w:i/>
                      <w:sz w:val="20"/>
                      <w:szCs w:val="20"/>
                    </w:rPr>
                  </m:ctrlPr>
                </m:fPr>
                <m:num>
                  <m:r>
                    <w:rPr>
                      <w:rFonts w:ascii="Cambria Math" w:eastAsia="Times New Roman" w:hAnsi="Cambria Math" w:cs="Arial"/>
                      <w:sz w:val="20"/>
                      <w:szCs w:val="20"/>
                    </w:rPr>
                    <m:t>-</m:t>
                  </m:r>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-2</m:t>
                  </m:r>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den>
              </m:f>
            </m:e>
          </m:nary>
          <m:r>
            <w:rPr>
              <w:rFonts w:ascii="Cambria Math" w:eastAsia="Times New Roman" w:hAnsi="Cambria Math" w:cs="Arial"/>
              <w:sz w:val="20"/>
              <w:szCs w:val="20"/>
            </w:rPr>
            <m:t xml:space="preserve">=0                                                  (6)    </m:t>
          </m:r>
        </m:oMath>
      </m:oMathPara>
    </w:p>
    <w:p w14:paraId="09298B92" w14:textId="118E0AFD" w:rsidR="007464CA" w:rsidRPr="006107DB" w:rsidRDefault="006C4F1F" w:rsidP="00444535">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 xml:space="preserve">Derivative with respect to </w:t>
      </w:r>
      <m:oMath>
        <m:r>
          <w:rPr>
            <w:rFonts w:ascii="Cambria Math" w:eastAsia="Times New Roman" w:hAnsi="Cambria Math" w:cs="Arial"/>
            <w:sz w:val="20"/>
            <w:szCs w:val="20"/>
          </w:rPr>
          <m:t>σ</m:t>
        </m:r>
      </m:oMath>
    </w:p>
    <w:p w14:paraId="180FED69" w14:textId="51BB26BB" w:rsidR="006C4F1F" w:rsidRPr="006107DB" w:rsidRDefault="00000000"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num>
            <m:den>
              <m:r>
                <w:rPr>
                  <w:rFonts w:ascii="Cambria Math" w:eastAsia="Times New Roman" w:hAnsi="Cambria Math" w:cs="Arial"/>
                  <w:sz w:val="20"/>
                  <w:szCs w:val="20"/>
                </w:rPr>
                <m:t>dσ</m:t>
              </m:r>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n</m:t>
              </m:r>
            </m:num>
            <m:den>
              <m:r>
                <w:rPr>
                  <w:rFonts w:ascii="Cambria Math" w:eastAsia="Times New Roman" w:hAnsi="Cambria Math" w:cs="Arial"/>
                  <w:sz w:val="20"/>
                  <w:szCs w:val="20"/>
                </w:rPr>
                <m:t>σ</m:t>
              </m:r>
            </m:den>
          </m:f>
          <m:r>
            <w:rPr>
              <w:rFonts w:ascii="Cambria Math" w:eastAsia="Times New Roman" w:hAnsi="Cambria Math" w:cs="Arial"/>
              <w:sz w:val="20"/>
              <w:szCs w:val="20"/>
            </w:rPr>
            <m:t>+</m:t>
          </m:r>
          <m:nary>
            <m:naryPr>
              <m:chr m:val="∑"/>
              <m:limLoc m:val="undOvr"/>
              <m:ctrlPr>
                <w:rPr>
                  <w:rFonts w:ascii="Cambria Math" w:eastAsia="Times New Roman" w:hAnsi="Cambria Math" w:cs="Arial"/>
                  <w:i/>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f>
                <m:fPr>
                  <m:ctrlPr>
                    <w:rPr>
                      <w:rFonts w:ascii="Cambria Math" w:eastAsia="Times New Roman" w:hAnsi="Cambria Math" w:cs="Arial"/>
                      <w:i/>
                      <w:sz w:val="20"/>
                      <w:szCs w:val="20"/>
                    </w:rPr>
                  </m:ctrlPr>
                </m:fPr>
                <m:num>
                  <m:r>
                    <w:rPr>
                      <w:rFonts w:ascii="Cambria Math" w:eastAsia="Times New Roman" w:hAnsi="Cambria Math" w:cs="Arial"/>
                      <w:sz w:val="20"/>
                      <w:szCs w:val="20"/>
                    </w:rPr>
                    <m:t>-τ</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 xml:space="preserve">i </m:t>
                      </m:r>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-4τ</m:t>
                  </m:r>
                  <m:r>
                    <m:rPr>
                      <m:sty m:val="p"/>
                    </m:rPr>
                    <w:rPr>
                      <w:rFonts w:ascii="Cambria Math" w:eastAsiaTheme="minorEastAsia" w:hAnsi="Cambria Math" w:cs="Arial"/>
                      <w:sz w:val="20"/>
                      <w:szCs w:val="20"/>
                    </w:rPr>
                    <m:t>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 θ</m:t>
                      </m:r>
                    </m:sub>
                  </m:sSub>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r>
                    <m:rPr>
                      <m:sty m:val="p"/>
                    </m:rPr>
                    <w:rPr>
                      <w:rFonts w:ascii="Cambria Math" w:eastAsiaTheme="minorEastAsia" w:hAnsi="Cambria Math" w:cs="Arial"/>
                      <w:sz w:val="20"/>
                      <w:szCs w:val="20"/>
                    </w:rPr>
                    <m:t>exp</m:t>
                  </m:r>
                  <m:d>
                    <m:dPr>
                      <m:ctrlPr>
                        <w:rPr>
                          <w:rFonts w:ascii="Cambria Math"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r>
                    <w:rPr>
                      <w:rFonts w:ascii="Cambria Math" w:hAnsi="Cambria Math" w:cs="Arial"/>
                      <w:sz w:val="20"/>
                      <w:szCs w:val="20"/>
                    </w:rPr>
                    <m:t>+</m:t>
                  </m:r>
                  <m:r>
                    <m:rPr>
                      <m:sty m:val="p"/>
                    </m:rPr>
                    <w:rPr>
                      <w:rFonts w:ascii="Cambria Math" w:eastAsiaTheme="minorEastAsia" w:hAnsi="Cambria Math" w:cs="Arial"/>
                      <w:sz w:val="20"/>
                      <w:szCs w:val="20"/>
                    </w:rPr>
                    <m:t>2θ exp</m:t>
                  </m:r>
                  <m:d>
                    <m:dPr>
                      <m:ctrlPr>
                        <w:rPr>
                          <w:rFonts w:ascii="Cambria Math"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m:t>
                      </m:r>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z</m:t>
                          </m:r>
                        </m:e>
                        <m:sub>
                          <m:r>
                            <w:rPr>
                              <w:rFonts w:ascii="Cambria Math" w:eastAsiaTheme="minorEastAsia" w:hAnsi="Cambria Math" w:cs="Arial"/>
                              <w:sz w:val="20"/>
                              <w:szCs w:val="20"/>
                            </w:rPr>
                            <m:t>i</m:t>
                          </m:r>
                        </m:sub>
                      </m:sSub>
                    </m:e>
                  </m:d>
                </m:den>
              </m:f>
              <m:r>
                <w:rPr>
                  <w:rFonts w:ascii="Cambria Math" w:eastAsia="Times New Roman" w:hAnsi="Cambria Math" w:cs="Arial"/>
                  <w:sz w:val="20"/>
                  <w:szCs w:val="20"/>
                </w:rPr>
                <m:t>=0                          (7)</m:t>
              </m:r>
            </m:e>
          </m:nary>
        </m:oMath>
      </m:oMathPara>
    </w:p>
    <w:p w14:paraId="506C92F7" w14:textId="4306A6AA" w:rsidR="00FF1596" w:rsidRPr="006107DB" w:rsidRDefault="00FF1596" w:rsidP="00444535">
      <w:pPr>
        <w:spacing w:before="100" w:beforeAutospacing="1" w:after="100" w:afterAutospacing="1" w:line="240" w:lineRule="auto"/>
        <w:jc w:val="both"/>
        <w:rPr>
          <w:rFonts w:ascii="Arial" w:eastAsia="Times New Roman" w:hAnsi="Arial" w:cs="Arial"/>
          <w:sz w:val="20"/>
          <w:szCs w:val="20"/>
        </w:rPr>
      </w:pPr>
      <w:r w:rsidRPr="006107DB">
        <w:rPr>
          <w:rFonts w:ascii="Arial" w:eastAsia="Times New Roman" w:hAnsi="Arial" w:cs="Arial"/>
          <w:sz w:val="20"/>
          <w:szCs w:val="20"/>
        </w:rPr>
        <w:t xml:space="preserve">Derivative with respect to </w:t>
      </w:r>
      <m:oMath>
        <m:r>
          <w:rPr>
            <w:rFonts w:ascii="Cambria Math" w:eastAsia="Times New Roman" w:hAnsi="Cambria Math" w:cs="Arial"/>
            <w:sz w:val="20"/>
            <w:szCs w:val="20"/>
          </w:rPr>
          <m:t>β</m:t>
        </m:r>
      </m:oMath>
    </w:p>
    <w:p w14:paraId="0D952053" w14:textId="1D340E22" w:rsidR="00FF1596" w:rsidRPr="006107DB" w:rsidRDefault="00000000" w:rsidP="00444535">
      <w:pPr>
        <w:spacing w:before="100" w:beforeAutospacing="1" w:after="100" w:afterAutospacing="1"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num>
            <m:den>
              <m:r>
                <w:rPr>
                  <w:rFonts w:ascii="Cambria Math" w:eastAsia="Times New Roman" w:hAnsi="Cambria Math" w:cs="Arial"/>
                  <w:sz w:val="20"/>
                  <w:szCs w:val="20"/>
                </w:rPr>
                <m:t>dβ</m:t>
              </m:r>
            </m:den>
          </m:f>
          <m:r>
            <w:rPr>
              <w:rFonts w:ascii="Cambria Math" w:eastAsia="Times New Roman" w:hAnsi="Cambria Math" w:cs="Arial"/>
              <w:sz w:val="20"/>
              <w:szCs w:val="20"/>
            </w:rPr>
            <m:t>=</m:t>
          </m:r>
          <m:f>
            <m:fPr>
              <m:ctrlPr>
                <w:rPr>
                  <w:rFonts w:ascii="Cambria Math" w:eastAsia="Times New Roman" w:hAnsi="Cambria Math" w:cs="Arial"/>
                  <w:sz w:val="20"/>
                  <w:szCs w:val="20"/>
                </w:rPr>
              </m:ctrlPr>
            </m:fPr>
            <m:num>
              <m:r>
                <w:rPr>
                  <w:rFonts w:ascii="Cambria Math" w:eastAsia="Times New Roman" w:hAnsi="Cambria Math" w:cs="Arial"/>
                  <w:sz w:val="20"/>
                  <w:szCs w:val="20"/>
                </w:rPr>
                <m:t>n</m:t>
              </m:r>
            </m:num>
            <m:den>
              <m:r>
                <w:rPr>
                  <w:rFonts w:ascii="Cambria Math" w:eastAsia="Times New Roman" w:hAnsi="Cambria Math" w:cs="Arial"/>
                  <w:sz w:val="20"/>
                  <w:szCs w:val="20"/>
                </w:rPr>
                <m:t>β</m:t>
              </m:r>
            </m:den>
          </m:f>
          <m:r>
            <w:rPr>
              <w:rFonts w:ascii="Cambria Math" w:eastAsia="Times New Roman" w:hAnsi="Cambria Math" w:cs="Arial"/>
              <w:sz w:val="20"/>
              <w:szCs w:val="20"/>
            </w:rPr>
            <m:t>+</m:t>
          </m:r>
          <m:nary>
            <m:naryPr>
              <m:chr m:val="∑"/>
              <m:limLoc m:val="undOvr"/>
              <m:grow m:val="1"/>
              <m:ctrlPr>
                <w:rPr>
                  <w:rFonts w:ascii="Cambria Math" w:eastAsia="Times New Roman" w:hAnsi="Cambria Math" w:cs="Arial"/>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r>
                <m:rPr>
                  <m:sty m:val="p"/>
                </m:rPr>
                <w:rPr>
                  <w:rFonts w:ascii="Cambria Math" w:eastAsia="Times New Roman" w:hAnsi="Cambria Math" w:cs="Arial"/>
                  <w:sz w:val="20"/>
                  <w:szCs w:val="20"/>
                </w:rPr>
                <m:t>ln</m:t>
              </m:r>
              <m:r>
                <w:rPr>
                  <w:rFonts w:ascii="Cambria Math" w:eastAsia="Times New Roman" w:hAnsi="Cambria Math" w:cs="Arial"/>
                  <w:sz w:val="20"/>
                  <w:szCs w:val="20"/>
                </w:rPr>
                <m:t>⁡</m:t>
              </m:r>
            </m:e>
          </m:nary>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num>
                <m:den>
                  <m:r>
                    <w:rPr>
                      <w:rFonts w:ascii="Cambria Math" w:eastAsia="Times New Roman" w:hAnsi="Cambria Math" w:cs="Arial"/>
                      <w:sz w:val="20"/>
                      <w:szCs w:val="20"/>
                    </w:rPr>
                    <m:t>γ</m:t>
                  </m:r>
                </m:den>
              </m:f>
            </m:e>
          </m:d>
          <m:r>
            <w:rPr>
              <w:rFonts w:ascii="Cambria Math" w:eastAsia="Times New Roman" w:hAnsi="Cambria Math" w:cs="Arial"/>
              <w:sz w:val="20"/>
              <w:szCs w:val="20"/>
            </w:rPr>
            <m:t>-</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f>
                <m:fPr>
                  <m:ctrlPr>
                    <w:rPr>
                      <w:rFonts w:ascii="Cambria Math" w:eastAsia="Times New Roman" w:hAnsi="Cambria Math" w:cs="Arial"/>
                      <w:sz w:val="20"/>
                      <w:szCs w:val="20"/>
                    </w:rPr>
                  </m:ctrlPr>
                </m:fPr>
                <m:num>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ctrlPr>
                        <w:rPr>
                          <w:rFonts w:ascii="Cambria Math" w:eastAsia="Times New Roman" w:hAnsi="Cambria Math" w:cs="Arial"/>
                          <w:sz w:val="20"/>
                          <w:szCs w:val="20"/>
                        </w:rPr>
                      </m:ctrlPr>
                    </m:fName>
                    <m:e>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num>
                            <m:den>
                              <m:r>
                                <w:rPr>
                                  <w:rFonts w:ascii="Cambria Math" w:eastAsia="Times New Roman" w:hAnsi="Cambria Math" w:cs="Arial"/>
                                  <w:sz w:val="20"/>
                                  <w:szCs w:val="20"/>
                                </w:rPr>
                                <m:t>γ</m:t>
                              </m:r>
                            </m:den>
                          </m:f>
                        </m:e>
                      </m:d>
                      <m:d>
                        <m:dPr>
                          <m:begChr m:val="["/>
                          <m:endChr m:val="]"/>
                          <m:ctrlPr>
                            <w:rPr>
                              <w:rFonts w:ascii="Cambria Math" w:eastAsia="Times New Roman" w:hAnsi="Cambria Math" w:cs="Arial"/>
                              <w:sz w:val="20"/>
                              <w:szCs w:val="20"/>
                            </w:rPr>
                          </m:ctrlPr>
                        </m:dPr>
                        <m:e>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+4θ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-2τσ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e>
                      </m:d>
                    </m:e>
                  </m:func>
                </m:num>
                <m:den>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+2θ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-2τσ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den>
              </m:f>
              <m:r>
                <w:rPr>
                  <w:rFonts w:ascii="Cambria Math" w:eastAsia="Times New Roman" w:hAnsi="Cambria Math" w:cs="Arial"/>
                  <w:sz w:val="20"/>
                  <w:szCs w:val="20"/>
                </w:rPr>
                <m:t>=0</m:t>
              </m:r>
            </m:e>
          </m:nary>
          <m:r>
            <w:rPr>
              <w:rFonts w:ascii="Cambria Math" w:eastAsia="Times New Roman" w:hAnsi="Cambria Math" w:cs="Arial"/>
              <w:sz w:val="20"/>
              <w:szCs w:val="20"/>
            </w:rPr>
            <m:t xml:space="preserve">                (8)</m:t>
          </m:r>
        </m:oMath>
      </m:oMathPara>
    </w:p>
    <w:p w14:paraId="0DDF7503" w14:textId="7514B57B" w:rsidR="00FF1596" w:rsidRPr="006107DB" w:rsidRDefault="00640A89" w:rsidP="00444535">
      <w:pPr>
        <w:spacing w:before="100" w:beforeAutospacing="1" w:after="100" w:afterAutospacing="1" w:line="240" w:lineRule="auto"/>
        <w:jc w:val="both"/>
        <w:rPr>
          <w:rFonts w:ascii="Arial" w:eastAsia="Times New Roman" w:hAnsi="Arial" w:cs="Arial"/>
          <w:sz w:val="20"/>
          <w:szCs w:val="20"/>
        </w:rPr>
      </w:pPr>
      <m:oMathPara>
        <m:oMath>
          <m:r>
            <m:rPr>
              <m:sty m:val="p"/>
            </m:rPr>
            <w:rPr>
              <w:rFonts w:ascii="Cambria Math" w:eastAsia="Times New Roman" w:hAnsi="Cambria Math" w:cs="Arial"/>
              <w:sz w:val="20"/>
              <w:szCs w:val="20"/>
            </w:rPr>
            <w:br/>
          </m:r>
        </m:oMath>
      </m:oMathPara>
      <w:r w:rsidR="00FF1596" w:rsidRPr="006107DB">
        <w:rPr>
          <w:rFonts w:ascii="Arial" w:eastAsia="Times New Roman" w:hAnsi="Arial" w:cs="Arial"/>
          <w:sz w:val="20"/>
          <w:szCs w:val="20"/>
        </w:rPr>
        <w:t xml:space="preserve">Derivative with respect to </w:t>
      </w:r>
      <m:oMath>
        <m:r>
          <w:rPr>
            <w:rFonts w:ascii="Cambria Math" w:eastAsia="Times New Roman" w:hAnsi="Cambria Math" w:cs="Arial"/>
            <w:sz w:val="20"/>
            <w:szCs w:val="20"/>
          </w:rPr>
          <m:t>γ</m:t>
        </m:r>
      </m:oMath>
    </w:p>
    <w:p w14:paraId="3A0E4420" w14:textId="6EDAAB28" w:rsidR="003E5824" w:rsidRPr="006107DB" w:rsidRDefault="00000000" w:rsidP="00444535">
      <w:pPr>
        <w:spacing w:line="240" w:lineRule="auto"/>
        <w:jc w:val="both"/>
        <w:rPr>
          <w:rFonts w:ascii="Arial" w:eastAsia="Times New Roman" w:hAnsi="Arial" w:cs="Arial"/>
          <w:sz w:val="20"/>
          <w:szCs w:val="20"/>
        </w:rPr>
      </w:pPr>
      <m:oMathPara>
        <m:oMath>
          <m:f>
            <m:fPr>
              <m:ctrlPr>
                <w:rPr>
                  <w:rFonts w:ascii="Cambria Math" w:eastAsia="Times New Roman" w:hAnsi="Cambria Math" w:cs="Arial"/>
                  <w:i/>
                  <w:sz w:val="20"/>
                  <w:szCs w:val="20"/>
                </w:rPr>
              </m:ctrlPr>
            </m:fPr>
            <m:num>
              <m:r>
                <w:rPr>
                  <w:rFonts w:ascii="Cambria Math" w:eastAsia="Times New Roman" w:hAnsi="Cambria Math" w:cs="Arial"/>
                  <w:sz w:val="20"/>
                  <w:szCs w:val="20"/>
                </w:rPr>
                <m:t>d</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L</m:t>
                  </m:r>
                  <m:d>
                    <m:dPr>
                      <m:ctrlPr>
                        <w:rPr>
                          <w:rFonts w:ascii="Cambria Math" w:eastAsia="Times New Roman" w:hAnsi="Cambria Math" w:cs="Arial"/>
                          <w:i/>
                          <w:iCs/>
                          <w:sz w:val="20"/>
                          <w:szCs w:val="20"/>
                        </w:rPr>
                      </m:ctrlPr>
                    </m:dPr>
                    <m:e>
                      <m:r>
                        <w:rPr>
                          <w:rFonts w:ascii="Cambria Math" w:eastAsia="Times New Roman" w:hAnsi="Cambria Math" w:cs="Arial"/>
                          <w:sz w:val="20"/>
                          <w:szCs w:val="20"/>
                        </w:rPr>
                        <m:t>τ,θ,γ,σ,β</m:t>
                      </m:r>
                    </m:e>
                  </m:d>
                </m:e>
              </m:func>
            </m:num>
            <m:den>
              <m:r>
                <w:rPr>
                  <w:rFonts w:ascii="Cambria Math" w:eastAsia="Times New Roman" w:hAnsi="Cambria Math" w:cs="Arial"/>
                  <w:sz w:val="20"/>
                  <w:szCs w:val="20"/>
                </w:rPr>
                <m:t>dγ</m:t>
              </m:r>
            </m:den>
          </m:f>
          <m:r>
            <m:rPr>
              <m:sty m:val="bi"/>
            </m:rPr>
            <w:rPr>
              <w:rFonts w:ascii="Cambria Math" w:eastAsia="Times New Roman" w:hAnsi="Cambria Math" w:cs="Arial"/>
              <w:sz w:val="20"/>
              <w:szCs w:val="20"/>
            </w:rPr>
            <m:t>=-</m:t>
          </m:r>
          <m:f>
            <m:fPr>
              <m:ctrlPr>
                <w:rPr>
                  <w:rFonts w:ascii="Cambria Math" w:eastAsia="Times New Roman" w:hAnsi="Cambria Math" w:cs="Arial"/>
                  <w:sz w:val="20"/>
                  <w:szCs w:val="20"/>
                </w:rPr>
              </m:ctrlPr>
            </m:fPr>
            <m:num>
              <m:r>
                <w:rPr>
                  <w:rFonts w:ascii="Cambria Math" w:eastAsia="Times New Roman" w:hAnsi="Cambria Math" w:cs="Arial"/>
                  <w:sz w:val="20"/>
                  <w:szCs w:val="20"/>
                </w:rPr>
                <m:t>nβ</m:t>
              </m:r>
            </m:num>
            <m:den>
              <m:r>
                <w:rPr>
                  <w:rFonts w:ascii="Cambria Math" w:eastAsia="Times New Roman" w:hAnsi="Cambria Math" w:cs="Arial"/>
                  <w:sz w:val="20"/>
                  <w:szCs w:val="20"/>
                </w:rPr>
                <m:t>γ</m:t>
              </m:r>
            </m:den>
          </m:f>
          <m:r>
            <w:rPr>
              <w:rFonts w:ascii="Cambria Math" w:eastAsia="Times New Roman" w:hAnsi="Cambria Math" w:cs="Arial"/>
              <w:sz w:val="20"/>
              <w:szCs w:val="20"/>
            </w:rPr>
            <m:t>+</m:t>
          </m:r>
          <m:nary>
            <m:naryPr>
              <m:chr m:val="∑"/>
              <m:limLoc m:val="undOvr"/>
              <m:ctrlPr>
                <w:rPr>
                  <w:rFonts w:ascii="Cambria Math" w:eastAsia="Times New Roman" w:hAnsi="Cambria Math" w:cs="Arial"/>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f>
                <m:fPr>
                  <m:ctrlPr>
                    <w:rPr>
                      <w:rFonts w:ascii="Cambria Math" w:eastAsia="Times New Roman" w:hAnsi="Cambria Math" w:cs="Arial"/>
                      <w:sz w:val="20"/>
                      <w:szCs w:val="20"/>
                    </w:rPr>
                  </m:ctrlPr>
                </m:fPr>
                <m:num>
                  <m:r>
                    <w:rPr>
                      <w:rFonts w:ascii="Cambria Math" w:eastAsia="Times New Roman" w:hAnsi="Cambria Math" w:cs="Arial"/>
                      <w:sz w:val="20"/>
                      <w:szCs w:val="20"/>
                    </w:rPr>
                    <m:t>βτσ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d>
                    <m:dPr>
                      <m:begChr m:val="["/>
                      <m:endChr m:val="]"/>
                      <m:ctrlPr>
                        <w:rPr>
                          <w:rFonts w:ascii="Cambria Math" w:eastAsia="Times New Roman" w:hAnsi="Cambria Math" w:cs="Arial"/>
                          <w:sz w:val="20"/>
                          <w:szCs w:val="20"/>
                        </w:rPr>
                      </m:ctrlPr>
                    </m:dPr>
                    <m:e>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+4θ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-2τσ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e>
                  </m:d>
                </m:num>
                <m:den>
                  <m:r>
                    <w:rPr>
                      <w:rFonts w:ascii="Cambria Math" w:eastAsia="Times New Roman" w:hAnsi="Cambria Math" w:cs="Arial"/>
                      <w:sz w:val="20"/>
                      <w:szCs w:val="20"/>
                    </w:rPr>
                    <m:t>γ</m:t>
                  </m:r>
                  <m:d>
                    <m:dPr>
                      <m:begChr m:val="["/>
                      <m:endChr m:val="]"/>
                      <m:ctrlPr>
                        <w:rPr>
                          <w:rFonts w:ascii="Cambria Math" w:eastAsia="Times New Roman" w:hAnsi="Cambria Math" w:cs="Arial"/>
                          <w:sz w:val="20"/>
                          <w:szCs w:val="20"/>
                        </w:rPr>
                      </m:ctrlPr>
                    </m:dPr>
                    <m:e>
                      <m:d>
                        <m:dPr>
                          <m:ctrlPr>
                            <w:rPr>
                              <w:rFonts w:ascii="Cambria Math" w:eastAsia="Times New Roman" w:hAnsi="Cambria Math" w:cs="Arial"/>
                              <w:i/>
                              <w:sz w:val="20"/>
                              <w:szCs w:val="20"/>
                            </w:rPr>
                          </m:ctrlPr>
                        </m:dPr>
                        <m:e>
                          <m:r>
                            <w:rPr>
                              <w:rFonts w:ascii="Cambria Math" w:eastAsia="Times New Roman" w:hAnsi="Cambria Math" w:cs="Arial"/>
                              <w:sz w:val="20"/>
                              <w:szCs w:val="20"/>
                            </w:rPr>
                            <m:t>1-θ</m:t>
                          </m:r>
                        </m:e>
                      </m:d>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r>
                        <w:rPr>
                          <w:rFonts w:ascii="Cambria Math" w:eastAsia="Times New Roman" w:hAnsi="Cambria Math" w:cs="Arial"/>
                          <w:sz w:val="20"/>
                          <w:szCs w:val="20"/>
                        </w:rPr>
                        <m:t>+2θ</m:t>
                      </m:r>
                      <m:sSup>
                        <m:sSupPr>
                          <m:ctrlPr>
                            <w:rPr>
                              <w:rFonts w:ascii="Cambria Math" w:eastAsia="Times New Roman" w:hAnsi="Cambria Math" w:cs="Arial"/>
                              <w:sz w:val="20"/>
                              <w:szCs w:val="20"/>
                            </w:rPr>
                          </m:ctrlPr>
                        </m:sSupPr>
                        <m:e>
                          <m:r>
                            <w:rPr>
                              <w:rFonts w:ascii="Cambria Math" w:eastAsia="Times New Roman" w:hAnsi="Cambria Math" w:cs="Arial"/>
                              <w:sz w:val="20"/>
                              <w:szCs w:val="20"/>
                            </w:rPr>
                            <m:t>e</m:t>
                          </m:r>
                        </m:e>
                        <m:sup>
                          <m:r>
                            <w:rPr>
                              <w:rFonts w:ascii="Cambria Math" w:eastAsia="Times New Roman" w:hAnsi="Cambria Math" w:cs="Arial"/>
                              <w:sz w:val="20"/>
                              <w:szCs w:val="20"/>
                            </w:rPr>
                            <m:t>-2τσ</m:t>
                          </m:r>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i</m:t>
                              </m:r>
                            </m:sub>
                          </m:sSub>
                        </m:sup>
                      </m:sSup>
                    </m:e>
                  </m:d>
                </m:den>
              </m:f>
            </m:e>
          </m:nary>
          <m:r>
            <w:rPr>
              <w:rFonts w:ascii="Cambria Math" w:eastAsia="Times New Roman" w:hAnsi="Cambria Math" w:cs="Arial"/>
              <w:sz w:val="20"/>
              <w:szCs w:val="20"/>
            </w:rPr>
            <m:t xml:space="preserve"> =0                                             (9)</m:t>
          </m:r>
        </m:oMath>
      </m:oMathPara>
    </w:p>
    <w:p w14:paraId="51881469" w14:textId="7C1275E1" w:rsidR="00027BB7" w:rsidRPr="006107DB" w:rsidRDefault="00027BB7" w:rsidP="00027BB7">
      <w:pPr>
        <w:spacing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Because these equations are highly nonlinear, closed-form solutions do not exist. Therefore, the MLEs of </w:t>
      </w:r>
      <m:oMath>
        <m:r>
          <w:rPr>
            <w:rFonts w:ascii="Cambria Math" w:eastAsia="Times New Roman" w:hAnsi="Cambria Math" w:cs="Arial"/>
            <w:sz w:val="20"/>
            <w:szCs w:val="20"/>
            <w:lang w:val="en-NG"/>
          </w:rPr>
          <m:t>τ</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θ</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γ</m:t>
        </m:r>
      </m:oMath>
      <w:r w:rsidRPr="006107DB">
        <w:rPr>
          <w:rFonts w:ascii="Arial" w:eastAsia="Times New Roman" w:hAnsi="Arial" w:cs="Arial"/>
          <w:sz w:val="20"/>
          <w:szCs w:val="20"/>
          <w:lang w:val="en-NG"/>
        </w:rPr>
        <w:t xml:space="preserve">, </w:t>
      </w:r>
      <m:oMath>
        <m:r>
          <w:rPr>
            <w:rFonts w:ascii="Cambria Math" w:eastAsia="Times New Roman" w:hAnsi="Cambria Math" w:cs="Arial"/>
            <w:sz w:val="20"/>
            <w:szCs w:val="20"/>
            <w:lang w:val="en-NG"/>
          </w:rPr>
          <m:t>σ</m:t>
        </m:r>
      </m:oMath>
      <w:r w:rsidRPr="006107DB">
        <w:rPr>
          <w:rFonts w:ascii="Arial" w:eastAsia="Times New Roman" w:hAnsi="Arial" w:cs="Arial"/>
          <w:sz w:val="20"/>
          <w:szCs w:val="20"/>
          <w:lang w:val="en-NG"/>
        </w:rPr>
        <w:t xml:space="preserve">, and </w:t>
      </w:r>
      <m:oMath>
        <m:r>
          <w:rPr>
            <w:rFonts w:ascii="Cambria Math" w:eastAsia="Times New Roman" w:hAnsi="Cambria Math" w:cs="Arial"/>
            <w:sz w:val="20"/>
            <w:szCs w:val="20"/>
            <w:lang w:val="en-NG"/>
          </w:rPr>
          <m:t>β</m:t>
        </m:r>
      </m:oMath>
      <w:r w:rsidR="00B93844"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are obtained using numerical optimization techniques, such as the Newton-Raphson</w:t>
      </w:r>
      <w:r w:rsidR="00B93844" w:rsidRPr="006107DB">
        <w:rPr>
          <w:rFonts w:ascii="Arial" w:eastAsia="Times New Roman" w:hAnsi="Arial" w:cs="Arial"/>
          <w:sz w:val="20"/>
          <w:szCs w:val="20"/>
          <w:lang w:val="en-NG"/>
        </w:rPr>
        <w:t xml:space="preserve"> </w:t>
      </w:r>
      <w:r w:rsidRPr="006107DB">
        <w:rPr>
          <w:rFonts w:ascii="Arial" w:eastAsia="Times New Roman" w:hAnsi="Arial" w:cs="Arial"/>
          <w:sz w:val="20"/>
          <w:szCs w:val="20"/>
          <w:lang w:val="en-NG"/>
        </w:rPr>
        <w:t>algorithms.</w:t>
      </w:r>
    </w:p>
    <w:p w14:paraId="5D2B3344" w14:textId="7EF7E500" w:rsidR="00FF1596" w:rsidRPr="006107DB" w:rsidRDefault="007C0FE4" w:rsidP="00E369E0">
      <w:pPr>
        <w:spacing w:line="240" w:lineRule="auto"/>
        <w:jc w:val="both"/>
        <w:rPr>
          <w:rFonts w:ascii="Arial" w:hAnsi="Arial" w:cs="Arial"/>
          <w:b/>
          <w:bCs/>
          <w:sz w:val="20"/>
          <w:szCs w:val="20"/>
        </w:rPr>
      </w:pPr>
      <w:r w:rsidRPr="006107DB">
        <w:rPr>
          <w:rFonts w:ascii="Arial" w:eastAsia="Times New Roman" w:hAnsi="Arial" w:cs="Arial"/>
          <w:b/>
          <w:bCs/>
          <w:sz w:val="20"/>
          <w:szCs w:val="20"/>
        </w:rPr>
        <w:br/>
      </w:r>
      <w:r w:rsidR="00446FEE" w:rsidRPr="006107DB">
        <w:rPr>
          <w:rFonts w:ascii="Arial" w:hAnsi="Arial" w:cs="Arial"/>
          <w:b/>
          <w:bCs/>
          <w:sz w:val="20"/>
          <w:szCs w:val="20"/>
        </w:rPr>
        <w:t xml:space="preserve">2.2.3 </w:t>
      </w:r>
      <w:r w:rsidR="00444535" w:rsidRPr="006107DB">
        <w:rPr>
          <w:rFonts w:ascii="Arial" w:hAnsi="Arial" w:cs="Arial"/>
          <w:b/>
          <w:bCs/>
          <w:sz w:val="20"/>
          <w:szCs w:val="20"/>
        </w:rPr>
        <w:t>Expectation-Maximization (EM) Algorithm</w:t>
      </w:r>
    </w:p>
    <w:p w14:paraId="4616F197" w14:textId="16346D5A" w:rsidR="00F627A5" w:rsidRPr="006107DB" w:rsidRDefault="00F627A5" w:rsidP="00C63468">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The Expectation</w:t>
      </w:r>
      <w:r w:rsidR="00DF7A14" w:rsidRPr="006107DB">
        <w:rPr>
          <w:rFonts w:ascii="Arial" w:eastAsia="Times New Roman" w:hAnsi="Arial" w:cs="Arial"/>
          <w:sz w:val="20"/>
          <w:szCs w:val="20"/>
          <w:lang w:val="en-NG"/>
        </w:rPr>
        <w:t>-</w:t>
      </w:r>
      <w:r w:rsidRPr="006107DB">
        <w:rPr>
          <w:rFonts w:ascii="Arial" w:eastAsia="Times New Roman" w:hAnsi="Arial" w:cs="Arial"/>
          <w:sz w:val="20"/>
          <w:szCs w:val="20"/>
          <w:lang w:val="en-NG"/>
        </w:rPr>
        <w:t xml:space="preserve">Maximization (EM) algorithm is an iterative procedure used to estimate parameters in statistical models with incomplete or latent (unobserved) variables. It consists of two alternating steps: the Expectation (E) step and the Maximization (M) step (Dempster </w:t>
      </w:r>
      <w:r w:rsidRPr="006107DB">
        <w:rPr>
          <w:rFonts w:ascii="Arial" w:eastAsia="Times New Roman" w:hAnsi="Arial" w:cs="Arial"/>
          <w:i/>
          <w:iCs/>
          <w:sz w:val="20"/>
          <w:szCs w:val="20"/>
          <w:lang w:val="en-NG"/>
        </w:rPr>
        <w:t>et al.</w:t>
      </w:r>
      <w:r w:rsidRPr="006107DB">
        <w:rPr>
          <w:rFonts w:ascii="Arial" w:eastAsia="Times New Roman" w:hAnsi="Arial" w:cs="Arial"/>
          <w:sz w:val="20"/>
          <w:szCs w:val="20"/>
          <w:lang w:val="en-NG"/>
        </w:rPr>
        <w:t>, 1977).</w:t>
      </w:r>
    </w:p>
    <w:p w14:paraId="793F0598" w14:textId="4C8A77F8" w:rsidR="00F627A5" w:rsidRPr="006107DB" w:rsidRDefault="00F627A5" w:rsidP="00C63468">
      <w:pPr>
        <w:spacing w:before="100" w:beforeAutospacing="1" w:after="100" w:afterAutospacing="1" w:line="240" w:lineRule="auto"/>
        <w:jc w:val="both"/>
        <w:rPr>
          <w:rFonts w:ascii="Arial" w:eastAsia="Times New Roman" w:hAnsi="Arial" w:cs="Arial"/>
          <w:sz w:val="20"/>
          <w:szCs w:val="20"/>
          <w:lang w:val="en-NG"/>
        </w:rPr>
      </w:pPr>
      <w:r w:rsidRPr="006107DB">
        <w:rPr>
          <w:rFonts w:ascii="Arial" w:eastAsia="Times New Roman" w:hAnsi="Arial" w:cs="Arial"/>
          <w:sz w:val="20"/>
          <w:szCs w:val="20"/>
          <w:lang w:val="en-NG"/>
        </w:rPr>
        <w:t>For the TE</w:t>
      </w:r>
      <w:r w:rsidR="00DF7A14" w:rsidRPr="006107DB">
        <w:rPr>
          <w:rFonts w:ascii="Arial" w:eastAsia="Times New Roman" w:hAnsi="Arial" w:cs="Arial"/>
          <w:sz w:val="20"/>
          <w:szCs w:val="20"/>
          <w:lang w:val="en-NG"/>
        </w:rPr>
        <w:t>-</w:t>
      </w:r>
      <w:r w:rsidRPr="006107DB">
        <w:rPr>
          <w:rFonts w:ascii="Arial" w:eastAsia="Times New Roman" w:hAnsi="Arial" w:cs="Arial"/>
          <w:sz w:val="20"/>
          <w:szCs w:val="20"/>
          <w:lang w:val="en-NG"/>
        </w:rPr>
        <w:t>NWP distribution (Equation 2), the density function can be expressed as a two-component mixture using a latent variable representation:</w:t>
      </w:r>
    </w:p>
    <w:p w14:paraId="01C68CF6" w14:textId="4FF08E6E" w:rsidR="00F627A5" w:rsidRPr="006107DB" w:rsidRDefault="00F627A5" w:rsidP="00F627A5">
      <w:pPr>
        <w:spacing w:before="100" w:beforeAutospacing="1" w:after="100" w:afterAutospacing="1" w:line="240" w:lineRule="auto"/>
        <w:ind w:left="360"/>
        <w:jc w:val="both"/>
        <w:rPr>
          <w:rFonts w:ascii="Arial" w:eastAsia="Times New Roman" w:hAnsi="Arial" w:cs="Arial"/>
          <w:sz w:val="20"/>
          <w:szCs w:val="20"/>
          <w:lang w:val="en-NG"/>
        </w:rPr>
      </w:pPr>
      <m:oMathPara>
        <m:oMath>
          <m:r>
            <w:rPr>
              <w:rFonts w:ascii="Cambria Math" w:eastAsia="Times New Roman" w:hAnsi="Cambria Math" w:cs="Arial"/>
              <w:sz w:val="20"/>
              <w:szCs w:val="20"/>
              <w:lang w:val="en-NG"/>
            </w:rPr>
            <m:t>f(x)=(1-θ)</m:t>
          </m:r>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f</m:t>
              </m:r>
            </m:e>
            <m:sub>
              <m:r>
                <w:rPr>
                  <w:rFonts w:ascii="Cambria Math" w:eastAsia="Times New Roman" w:hAnsi="Cambria Math" w:cs="Arial"/>
                  <w:sz w:val="20"/>
                  <w:szCs w:val="20"/>
                  <w:lang w:val="en-NG"/>
                </w:rPr>
                <m:t>1</m:t>
              </m:r>
            </m:sub>
          </m:sSub>
          <m:r>
            <w:rPr>
              <w:rFonts w:ascii="Cambria Math" w:eastAsia="Times New Roman" w:hAnsi="Cambria Math" w:cs="Arial"/>
              <w:sz w:val="20"/>
              <w:szCs w:val="20"/>
              <w:lang w:val="en-NG"/>
            </w:rPr>
            <m:t>(x)+θ</m:t>
          </m:r>
          <m:sSub>
            <m:sSubPr>
              <m:ctrlPr>
                <w:rPr>
                  <w:rFonts w:ascii="Cambria Math" w:eastAsia="Times New Roman" w:hAnsi="Cambria Math" w:cs="Arial"/>
                  <w:sz w:val="20"/>
                  <w:szCs w:val="20"/>
                  <w:lang w:val="en-NG"/>
                </w:rPr>
              </m:ctrlPr>
            </m:sSubPr>
            <m:e>
              <m:r>
                <w:rPr>
                  <w:rFonts w:ascii="Cambria Math" w:eastAsia="Times New Roman" w:hAnsi="Cambria Math" w:cs="Arial"/>
                  <w:sz w:val="20"/>
                  <w:szCs w:val="20"/>
                  <w:lang w:val="en-NG"/>
                </w:rPr>
                <m:t>f</m:t>
              </m:r>
            </m:e>
            <m:sub>
              <m:r>
                <w:rPr>
                  <w:rFonts w:ascii="Cambria Math" w:eastAsia="Times New Roman" w:hAnsi="Cambria Math" w:cs="Arial"/>
                  <w:sz w:val="20"/>
                  <w:szCs w:val="20"/>
                  <w:lang w:val="en-NG"/>
                </w:rPr>
                <m:t>2</m:t>
              </m:r>
            </m:sub>
          </m:sSub>
          <m:r>
            <w:rPr>
              <w:rFonts w:ascii="Cambria Math" w:eastAsia="Times New Roman" w:hAnsi="Cambria Math" w:cs="Arial"/>
              <w:sz w:val="20"/>
              <w:szCs w:val="20"/>
              <w:lang w:val="en-NG"/>
            </w:rPr>
            <m:t>(x),</m:t>
          </m:r>
          <m:r>
            <m:rPr>
              <m:sty m:val="p"/>
            </m:rPr>
            <w:rPr>
              <w:rFonts w:ascii="Cambria Math" w:eastAsia="Times New Roman" w:hAnsi="Cambria Math" w:cs="Arial"/>
              <w:sz w:val="20"/>
              <w:szCs w:val="20"/>
              <w:lang w:val="en-NG"/>
            </w:rPr>
            <w:br/>
          </m:r>
        </m:oMath>
      </m:oMathPara>
    </w:p>
    <w:p w14:paraId="391A6CD8" w14:textId="1EE1C0BE" w:rsidR="00F627A5" w:rsidRPr="006107DB" w:rsidRDefault="00F627A5" w:rsidP="00F627A5">
      <w:pPr>
        <w:spacing w:before="100" w:beforeAutospacing="1" w:after="100" w:afterAutospacing="1" w:line="240" w:lineRule="auto"/>
        <w:ind w:left="360"/>
        <w:jc w:val="both"/>
        <w:rPr>
          <w:rFonts w:ascii="Arial" w:eastAsia="Times New Roman" w:hAnsi="Arial" w:cs="Arial"/>
          <w:sz w:val="20"/>
          <w:szCs w:val="20"/>
          <w:lang w:val="en-NG"/>
        </w:rPr>
      </w:pPr>
      <w:r w:rsidRPr="006107DB">
        <w:rPr>
          <w:rFonts w:ascii="Arial" w:eastAsia="Times New Roman" w:hAnsi="Arial" w:cs="Arial"/>
          <w:sz w:val="20"/>
          <w:szCs w:val="20"/>
          <w:lang w:val="en-NG"/>
        </w:rPr>
        <w:t>where</w:t>
      </w:r>
    </w:p>
    <w:p w14:paraId="291F9929" w14:textId="77777777" w:rsidR="002B6F70" w:rsidRPr="006107DB" w:rsidRDefault="00000000" w:rsidP="00A73D9B">
      <w:pPr>
        <w:spacing w:before="100" w:beforeAutospacing="1" w:after="100" w:afterAutospacing="1" w:line="240" w:lineRule="auto"/>
        <w:ind w:left="360"/>
        <w:jc w:val="both"/>
        <w:rPr>
          <w:rFonts w:ascii="Arial" w:eastAsia="Times New Roman" w:hAnsi="Arial" w:cs="Arial"/>
          <w:sz w:val="20"/>
          <w:szCs w:val="20"/>
        </w:rPr>
      </w:pPr>
      <m:oMathPara>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iCs/>
                  <w:sz w:val="20"/>
                  <w:szCs w:val="20"/>
                </w:rPr>
              </m:ctrlPr>
            </m:dPr>
            <m:e>
              <m:r>
                <w:rPr>
                  <w:rFonts w:ascii="Cambria Math" w:eastAsia="Times New Roman" w:hAnsi="Cambria Math" w:cs="Arial"/>
                  <w:sz w:val="20"/>
                  <w:szCs w:val="20"/>
                </w:rPr>
                <m:t>x</m:t>
              </m:r>
              <m:ctrlPr>
                <w:rPr>
                  <w:rFonts w:ascii="Cambria Math" w:eastAsia="Times New Roman" w:hAnsi="Cambria Math" w:cs="Arial"/>
                  <w:i/>
                  <w:sz w:val="20"/>
                  <w:szCs w:val="20"/>
                </w:rPr>
              </m:ctrlPr>
            </m:e>
          </m:d>
          <m:r>
            <w:rPr>
              <w:rFonts w:ascii="Cambria Math" w:eastAsia="Times New Roman"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-τ</m:t>
              </m:r>
              <m:r>
                <m:rPr>
                  <m:sty m:val="p"/>
                </m:rPr>
                <w:rPr>
                  <w:rFonts w:ascii="Cambria Math" w:eastAsiaTheme="minorEastAsia" w:hAnsi="Cambria Math" w:cs="Arial"/>
                  <w:sz w:val="20"/>
                  <w:szCs w:val="20"/>
                </w:rPr>
                <m:t xml:space="preserve"> σz</m:t>
              </m:r>
            </m:e>
          </m:d>
          <m:r>
            <w:rPr>
              <w:rFonts w:ascii="Cambria Math" w:eastAsiaTheme="minorEastAsia" w:hAnsi="Cambria Math" w:cs="Arial"/>
              <w:sz w:val="20"/>
              <w:szCs w:val="20"/>
            </w:rPr>
            <m:t xml:space="preserve">,           </m:t>
          </m:r>
        </m:oMath>
      </m:oMathPara>
    </w:p>
    <w:p w14:paraId="5A51D40F" w14:textId="3992D6A6" w:rsidR="001E010D" w:rsidRPr="006107DB" w:rsidRDefault="001E010D" w:rsidP="00A73D9B">
      <w:pPr>
        <w:spacing w:before="100" w:beforeAutospacing="1" w:after="100" w:afterAutospacing="1" w:line="240" w:lineRule="auto"/>
        <w:ind w:left="360"/>
        <w:jc w:val="both"/>
        <w:rPr>
          <w:rFonts w:ascii="Arial" w:eastAsia="Times New Roman" w:hAnsi="Arial" w:cs="Arial"/>
          <w:sz w:val="20"/>
          <w:szCs w:val="20"/>
        </w:rPr>
      </w:pPr>
      <w:r w:rsidRPr="006107DB">
        <w:rPr>
          <w:rFonts w:ascii="Arial" w:eastAsia="Times New Roman" w:hAnsi="Arial" w:cs="Arial"/>
          <w:sz w:val="20"/>
          <w:szCs w:val="20"/>
        </w:rPr>
        <w:lastRenderedPageBreak/>
        <w:t xml:space="preserve">and </w:t>
      </w:r>
    </w:p>
    <w:p w14:paraId="6C0C3747" w14:textId="1B3A5D72" w:rsidR="003E6CB1" w:rsidRPr="006107DB" w:rsidRDefault="00000000" w:rsidP="00A73D9B">
      <w:pPr>
        <w:spacing w:before="100" w:beforeAutospacing="1" w:after="100" w:afterAutospacing="1" w:line="240" w:lineRule="auto"/>
        <w:ind w:left="360"/>
        <w:jc w:val="both"/>
        <w:rPr>
          <w:rFonts w:ascii="Arial" w:eastAsia="Times New Roman" w:hAnsi="Arial" w:cs="Arial"/>
          <w:sz w:val="20"/>
          <w:szCs w:val="20"/>
        </w:rPr>
      </w:pPr>
      <m:oMathPara>
        <m:oMath>
          <m:r>
            <w:rPr>
              <w:rFonts w:ascii="Cambria Math" w:eastAsiaTheme="minorEastAsia"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iCs/>
                  <w:sz w:val="20"/>
                  <w:szCs w:val="20"/>
                </w:rPr>
              </m:ctrlPr>
            </m:dPr>
            <m:e>
              <m:r>
                <w:rPr>
                  <w:rFonts w:ascii="Cambria Math" w:eastAsia="Times New Roman" w:hAnsi="Cambria Math" w:cs="Arial"/>
                  <w:sz w:val="20"/>
                  <w:szCs w:val="20"/>
                </w:rPr>
                <m:t>x</m:t>
              </m:r>
              <m:ctrlPr>
                <w:rPr>
                  <w:rFonts w:ascii="Cambria Math" w:eastAsia="Times New Roman" w:hAnsi="Cambria Math" w:cs="Arial"/>
                  <w:i/>
                  <w:sz w:val="20"/>
                  <w:szCs w:val="20"/>
                </w:rPr>
              </m:ctrlPr>
            </m:e>
          </m:d>
          <m:r>
            <w:rPr>
              <w:rFonts w:ascii="Cambria Math" w:eastAsia="Times New Roman" w:hAnsi="Cambria Math" w:cs="Arial"/>
              <w:sz w:val="20"/>
              <w:szCs w:val="20"/>
            </w:rPr>
            <m:t>=</m:t>
          </m:r>
          <m:f>
            <m:fPr>
              <m:ctrlPr>
                <w:rPr>
                  <w:rFonts w:ascii="Cambria Math" w:eastAsiaTheme="minorEastAsia" w:hAnsi="Cambria Math" w:cs="Arial"/>
                  <w:iCs/>
                  <w:sz w:val="20"/>
                  <w:szCs w:val="20"/>
                </w:rPr>
              </m:ctrlPr>
            </m:fPr>
            <m:num>
              <m:r>
                <m:rPr>
                  <m:sty m:val="p"/>
                </m:rPr>
                <w:rPr>
                  <w:rFonts w:ascii="Cambria Math" w:eastAsiaTheme="minorEastAsia" w:hAnsi="Cambria Math" w:cs="Arial"/>
                  <w:sz w:val="20"/>
                  <w:szCs w:val="20"/>
                </w:rPr>
                <m:t>βσ</m:t>
              </m:r>
              <m:r>
                <m:rPr>
                  <m:sty m:val="p"/>
                </m:rPr>
                <w:rPr>
                  <w:rFonts w:ascii="Cambria Math" w:hAnsi="Cambria Math" w:cs="Arial"/>
                  <w:sz w:val="20"/>
                  <w:szCs w:val="20"/>
                </w:rPr>
                <m:t>τ</m:t>
              </m:r>
            </m:num>
            <m:den>
              <m:r>
                <m:rPr>
                  <m:sty m:val="p"/>
                </m:rPr>
                <w:rPr>
                  <w:rFonts w:ascii="Cambria Math" w:eastAsiaTheme="minorEastAsia" w:hAnsi="Cambria Math" w:cs="Arial"/>
                  <w:sz w:val="20"/>
                  <w:szCs w:val="20"/>
                </w:rPr>
                <m:t>γ</m:t>
              </m:r>
            </m:den>
          </m:f>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β-1</m:t>
              </m:r>
            </m:sup>
          </m:sSup>
          <m:r>
            <m:rPr>
              <m:sty m:val="p"/>
            </m:rPr>
            <w:rPr>
              <w:rFonts w:ascii="Cambria Math" w:eastAsiaTheme="minorEastAsia" w:hAnsi="Cambria Math" w:cs="Arial"/>
              <w:sz w:val="20"/>
              <w:szCs w:val="20"/>
            </w:rPr>
            <m:t>exp</m:t>
          </m:r>
          <m:d>
            <m:dPr>
              <m:ctrlPr>
                <w:rPr>
                  <w:rFonts w:ascii="Cambria Math" w:eastAsiaTheme="minorEastAsia" w:hAnsi="Cambria Math" w:cs="Arial"/>
                  <w:iCs/>
                  <w:sz w:val="20"/>
                  <w:szCs w:val="20"/>
                </w:rPr>
              </m:ctrlPr>
            </m:dPr>
            <m:e>
              <m:r>
                <m:rPr>
                  <m:sty m:val="p"/>
                </m:rPr>
                <w:rPr>
                  <w:rFonts w:ascii="Cambria Math" w:hAnsi="Cambria Math" w:cs="Arial"/>
                  <w:sz w:val="20"/>
                  <w:szCs w:val="20"/>
                </w:rPr>
                <m:t>-2τ</m:t>
              </m:r>
              <m:r>
                <m:rPr>
                  <m:sty m:val="p"/>
                </m:rPr>
                <w:rPr>
                  <w:rFonts w:ascii="Cambria Math" w:eastAsiaTheme="minorEastAsia" w:hAnsi="Cambria Math" w:cs="Arial"/>
                  <w:sz w:val="20"/>
                  <w:szCs w:val="20"/>
                </w:rPr>
                <m:t xml:space="preserve"> σz</m:t>
              </m:r>
            </m:e>
          </m:d>
          <m:r>
            <w:rPr>
              <w:rFonts w:ascii="Cambria Math" w:eastAsiaTheme="minorEastAsia" w:hAnsi="Cambria Math" w:cs="Arial"/>
              <w:sz w:val="20"/>
              <w:szCs w:val="20"/>
            </w:rPr>
            <m:t xml:space="preserve">,           </m:t>
          </m:r>
        </m:oMath>
      </m:oMathPara>
    </w:p>
    <w:p w14:paraId="5ECCC345" w14:textId="3C437CF5" w:rsidR="00A73D9B" w:rsidRPr="006107DB" w:rsidRDefault="00243B9B" w:rsidP="00A73D9B">
      <w:pPr>
        <w:spacing w:before="100" w:beforeAutospacing="1" w:after="100" w:afterAutospacing="1" w:line="240" w:lineRule="auto"/>
        <w:ind w:left="360"/>
        <w:jc w:val="both"/>
        <w:rPr>
          <w:rFonts w:ascii="Arial" w:eastAsia="Times New Roman" w:hAnsi="Arial" w:cs="Arial"/>
          <w:iCs/>
          <w:sz w:val="20"/>
          <w:szCs w:val="20"/>
        </w:rPr>
      </w:pPr>
      <m:oMathPara>
        <m:oMath>
          <m:r>
            <w:rPr>
              <w:rFonts w:ascii="Cambria Math" w:eastAsiaTheme="minorEastAsia" w:hAnsi="Cambria Math" w:cs="Arial"/>
              <w:sz w:val="20"/>
              <w:szCs w:val="20"/>
            </w:rPr>
            <m:t>z=</m:t>
          </m:r>
          <m:sSup>
            <m:sSupPr>
              <m:ctrlPr>
                <w:rPr>
                  <w:rFonts w:ascii="Cambria Math" w:eastAsiaTheme="minorEastAsia" w:hAnsi="Cambria Math" w:cs="Arial"/>
                  <w:iCs/>
                  <w:sz w:val="20"/>
                  <w:szCs w:val="20"/>
                </w:rPr>
              </m:ctrlPr>
            </m:sSupPr>
            <m:e>
              <m:d>
                <m:dPr>
                  <m:ctrlPr>
                    <w:rPr>
                      <w:rFonts w:ascii="Cambria Math" w:eastAsiaTheme="minorEastAsia" w:hAnsi="Cambria Math" w:cs="Arial"/>
                      <w:iCs/>
                      <w:sz w:val="20"/>
                      <w:szCs w:val="20"/>
                    </w:rPr>
                  </m:ctrlPr>
                </m:dPr>
                <m:e>
                  <m:f>
                    <m:fPr>
                      <m:ctrlPr>
                        <w:rPr>
                          <w:rFonts w:ascii="Cambria Math" w:eastAsiaTheme="minorEastAsia" w:hAnsi="Cambria Math" w:cs="Arial"/>
                          <w:iCs/>
                          <w:sz w:val="20"/>
                          <w:szCs w:val="20"/>
                        </w:rPr>
                      </m:ctrlPr>
                    </m:fPr>
                    <m:num>
                      <m:sSub>
                        <m:sSubPr>
                          <m:ctrlPr>
                            <w:rPr>
                              <w:rFonts w:ascii="Cambria Math" w:eastAsiaTheme="minorEastAsia" w:hAnsi="Cambria Math" w:cs="Arial"/>
                              <w:iCs/>
                              <w:sz w:val="20"/>
                              <w:szCs w:val="20"/>
                            </w:rPr>
                          </m:ctrlPr>
                        </m:sSubPr>
                        <m:e>
                          <m:r>
                            <m:rPr>
                              <m:sty m:val="p"/>
                            </m:rPr>
                            <w:rPr>
                              <w:rFonts w:ascii="Cambria Math" w:eastAsiaTheme="minorEastAsia" w:hAnsi="Cambria Math" w:cs="Arial"/>
                              <w:sz w:val="20"/>
                              <w:szCs w:val="20"/>
                            </w:rPr>
                            <m:t>x</m:t>
                          </m:r>
                        </m:e>
                        <m:sub>
                          <m:r>
                            <w:rPr>
                              <w:rFonts w:ascii="Cambria Math" w:eastAsiaTheme="minorEastAsia" w:hAnsi="Cambria Math" w:cs="Arial"/>
                              <w:sz w:val="20"/>
                              <w:szCs w:val="20"/>
                            </w:rPr>
                            <m:t>i</m:t>
                          </m:r>
                        </m:sub>
                      </m:sSub>
                    </m:num>
                    <m:den>
                      <m:r>
                        <m:rPr>
                          <m:sty m:val="p"/>
                        </m:rPr>
                        <w:rPr>
                          <w:rFonts w:ascii="Cambria Math" w:eastAsiaTheme="minorEastAsia" w:hAnsi="Cambria Math" w:cs="Arial"/>
                          <w:sz w:val="20"/>
                          <w:szCs w:val="20"/>
                        </w:rPr>
                        <m:t>γ</m:t>
                      </m:r>
                    </m:den>
                  </m:f>
                </m:e>
              </m:d>
            </m:e>
            <m:sup>
              <m:r>
                <m:rPr>
                  <m:sty m:val="p"/>
                </m:rPr>
                <w:rPr>
                  <w:rFonts w:ascii="Cambria Math" w:eastAsiaTheme="minorEastAsia" w:hAnsi="Cambria Math" w:cs="Arial"/>
                  <w:sz w:val="20"/>
                  <w:szCs w:val="20"/>
                </w:rPr>
                <m:t>β</m:t>
              </m:r>
            </m:sup>
          </m:sSup>
        </m:oMath>
      </m:oMathPara>
    </w:p>
    <w:p w14:paraId="7FA4CDB7" w14:textId="4E8614C4" w:rsidR="003E6CB1" w:rsidRPr="006107DB" w:rsidRDefault="003E6CB1" w:rsidP="003E6CB1">
      <w:pPr>
        <w:spacing w:before="100" w:beforeAutospacing="1" w:after="100" w:afterAutospacing="1" w:line="240" w:lineRule="auto"/>
        <w:ind w:left="360"/>
        <w:rPr>
          <w:rFonts w:ascii="Arial" w:eastAsia="Times New Roman" w:hAnsi="Arial" w:cs="Arial"/>
          <w:iCs/>
          <w:sz w:val="20"/>
          <w:szCs w:val="20"/>
          <w:lang w:val="en-NG"/>
        </w:rPr>
      </w:pPr>
      <w:r w:rsidRPr="006107DB">
        <w:rPr>
          <w:rFonts w:ascii="Arial" w:eastAsia="Times New Roman" w:hAnsi="Arial" w:cs="Arial"/>
          <w:iCs/>
          <w:sz w:val="20"/>
          <w:szCs w:val="20"/>
          <w:lang w:val="en-NG"/>
        </w:rPr>
        <w:t xml:space="preserve">Let </w:t>
      </w:r>
      <m:oMath>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W</m:t>
            </m:r>
          </m:e>
          <m:sub>
            <m:r>
              <w:rPr>
                <w:rFonts w:ascii="Cambria Math" w:eastAsia="Times New Roman" w:hAnsi="Cambria Math" w:cs="Arial"/>
                <w:sz w:val="20"/>
                <w:szCs w:val="20"/>
                <w:lang w:val="en-NG"/>
              </w:rPr>
              <m:t>i</m:t>
            </m:r>
          </m:sub>
        </m:sSub>
      </m:oMath>
      <w:r w:rsidRPr="006107DB">
        <w:rPr>
          <w:rFonts w:ascii="Arial" w:eastAsia="Times New Roman" w:hAnsi="Arial" w:cs="Arial"/>
          <w:iCs/>
          <w:sz w:val="20"/>
          <w:szCs w:val="20"/>
          <w:lang w:val="en-NG"/>
        </w:rPr>
        <w:t xml:space="preserve"> be a latent indicator variable defined as:</w:t>
      </w:r>
    </w:p>
    <w:p w14:paraId="7074D7BE" w14:textId="00E439B2" w:rsidR="003E6CB1" w:rsidRPr="006107DB" w:rsidRDefault="00000000" w:rsidP="003E6CB1">
      <w:pPr>
        <w:spacing w:before="100" w:beforeAutospacing="1" w:after="100" w:afterAutospacing="1" w:line="240" w:lineRule="auto"/>
        <w:ind w:left="360"/>
        <w:rPr>
          <w:rFonts w:ascii="Arial" w:eastAsia="Times New Roman" w:hAnsi="Arial" w:cs="Arial"/>
          <w:iCs/>
          <w:sz w:val="20"/>
          <w:szCs w:val="20"/>
          <w:lang w:val="en-NG"/>
        </w:rPr>
      </w:pPr>
      <m:oMathPara>
        <m:oMath>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W</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m:t>
          </m:r>
          <m:d>
            <m:dPr>
              <m:begChr m:val="{"/>
              <m:endChr m:val=""/>
              <m:ctrlPr>
                <w:rPr>
                  <w:rFonts w:ascii="Cambria Math" w:eastAsia="Times New Roman" w:hAnsi="Cambria Math" w:cs="Arial"/>
                  <w:iCs/>
                  <w:sz w:val="20"/>
                  <w:szCs w:val="20"/>
                  <w:lang w:val="en-NG"/>
                </w:rPr>
              </m:ctrlPr>
            </m:dPr>
            <m:e>
              <m:m>
                <m:mPr>
                  <m:plcHide m:val="1"/>
                  <m:mcs>
                    <m:mc>
                      <m:mcPr>
                        <m:count m:val="2"/>
                        <m:mcJc m:val="center"/>
                      </m:mcPr>
                    </m:mc>
                  </m:mcs>
                  <m:ctrlPr>
                    <w:rPr>
                      <w:rFonts w:ascii="Cambria Math" w:eastAsia="Times New Roman" w:hAnsi="Cambria Math" w:cs="Arial"/>
                      <w:iCs/>
                      <w:sz w:val="20"/>
                      <w:szCs w:val="20"/>
                      <w:lang w:val="en-NG"/>
                    </w:rPr>
                  </m:ctrlPr>
                </m:mPr>
                <m:mr>
                  <m:e>
                    <m:r>
                      <w:rPr>
                        <w:rFonts w:ascii="Cambria Math" w:eastAsia="Times New Roman" w:hAnsi="Cambria Math" w:cs="Arial"/>
                        <w:sz w:val="20"/>
                        <w:szCs w:val="20"/>
                        <w:lang w:val="en-NG"/>
                      </w:rPr>
                      <m:t>1,</m:t>
                    </m:r>
                  </m:e>
                  <m:e>
                    <m:r>
                      <m:rPr>
                        <m:nor/>
                      </m:rPr>
                      <w:rPr>
                        <w:rFonts w:ascii="Arial" w:eastAsia="Times New Roman" w:hAnsi="Arial" w:cs="Arial"/>
                        <w:iCs/>
                        <w:sz w:val="20"/>
                        <w:szCs w:val="20"/>
                        <w:lang w:val="en-NG"/>
                      </w:rPr>
                      <m:t xml:space="preserve">if </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r>
                      <m:rPr>
                        <m:nor/>
                      </m:rPr>
                      <w:rPr>
                        <w:rFonts w:ascii="Arial" w:eastAsia="Times New Roman" w:hAnsi="Arial" w:cs="Arial"/>
                        <w:iCs/>
                        <w:sz w:val="20"/>
                        <w:szCs w:val="20"/>
                        <w:lang w:val="en-NG"/>
                      </w:rPr>
                      <m:t xml:space="preserve"> arises from component 2</m:t>
                    </m:r>
                  </m:e>
                </m:mr>
                <m:mr>
                  <m:e>
                    <m:r>
                      <w:rPr>
                        <w:rFonts w:ascii="Cambria Math" w:eastAsia="Times New Roman" w:hAnsi="Cambria Math" w:cs="Arial"/>
                        <w:sz w:val="20"/>
                        <w:szCs w:val="20"/>
                        <w:lang w:val="en-NG"/>
                      </w:rPr>
                      <m:t>0,</m:t>
                    </m:r>
                  </m:e>
                  <m:e>
                    <m:r>
                      <m:rPr>
                        <m:nor/>
                      </m:rPr>
                      <w:rPr>
                        <w:rFonts w:ascii="Arial" w:eastAsia="Times New Roman" w:hAnsi="Arial" w:cs="Arial"/>
                        <w:iCs/>
                        <w:sz w:val="20"/>
                        <w:szCs w:val="20"/>
                        <w:lang w:val="en-NG"/>
                      </w:rPr>
                      <m:t xml:space="preserve">if </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r>
                      <m:rPr>
                        <m:nor/>
                      </m:rPr>
                      <w:rPr>
                        <w:rFonts w:ascii="Arial" w:eastAsia="Times New Roman" w:hAnsi="Arial" w:cs="Arial"/>
                        <w:iCs/>
                        <w:sz w:val="20"/>
                        <w:szCs w:val="20"/>
                        <w:lang w:val="en-NG"/>
                      </w:rPr>
                      <m:t xml:space="preserve"> arises from component 1</m:t>
                    </m:r>
                  </m:e>
                </m:mr>
              </m:m>
            </m:e>
          </m:d>
          <m:r>
            <m:rPr>
              <m:sty m:val="p"/>
            </m:rPr>
            <w:rPr>
              <w:rFonts w:ascii="Cambria Math" w:eastAsia="Times New Roman" w:hAnsi="Cambria Math" w:cs="Arial"/>
              <w:sz w:val="20"/>
              <w:szCs w:val="20"/>
              <w:lang w:val="en-NG"/>
            </w:rPr>
            <w:br/>
          </m:r>
        </m:oMath>
      </m:oMathPara>
    </w:p>
    <w:p w14:paraId="4D859460" w14:textId="52BD8A80" w:rsidR="003E6CB1" w:rsidRPr="006107DB" w:rsidRDefault="003E6CB1" w:rsidP="003E6CB1">
      <w:pPr>
        <w:spacing w:before="100" w:beforeAutospacing="1" w:after="100" w:afterAutospacing="1" w:line="240" w:lineRule="auto"/>
        <w:ind w:left="360"/>
        <w:rPr>
          <w:rFonts w:ascii="Arial" w:eastAsia="Times New Roman" w:hAnsi="Arial" w:cs="Arial"/>
          <w:iCs/>
          <w:sz w:val="20"/>
          <w:szCs w:val="20"/>
          <w:lang w:val="en-NG"/>
        </w:rPr>
      </w:pPr>
      <w:r w:rsidRPr="006107DB">
        <w:rPr>
          <w:rFonts w:ascii="Arial" w:eastAsia="Times New Roman" w:hAnsi="Arial" w:cs="Arial"/>
          <w:iCs/>
          <w:sz w:val="20"/>
          <w:szCs w:val="20"/>
          <w:lang w:val="en-NG"/>
        </w:rPr>
        <w:t xml:space="preserve">If the latent variable </w:t>
      </w:r>
      <m:oMath>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W</m:t>
            </m:r>
          </m:e>
          <m:sub>
            <m:r>
              <w:rPr>
                <w:rFonts w:ascii="Cambria Math" w:eastAsia="Times New Roman" w:hAnsi="Cambria Math" w:cs="Arial"/>
                <w:sz w:val="20"/>
                <w:szCs w:val="20"/>
                <w:lang w:val="en-NG"/>
              </w:rPr>
              <m:t>i</m:t>
            </m:r>
          </m:sub>
        </m:sSub>
      </m:oMath>
      <w:r w:rsidR="00E701B3" w:rsidRPr="006107DB">
        <w:rPr>
          <w:rFonts w:ascii="Arial" w:eastAsia="Times New Roman" w:hAnsi="Arial" w:cs="Arial"/>
          <w:iCs/>
          <w:sz w:val="20"/>
          <w:szCs w:val="20"/>
          <w:lang w:val="en-NG"/>
        </w:rPr>
        <w:t xml:space="preserve"> </w:t>
      </w:r>
      <w:r w:rsidRPr="006107DB">
        <w:rPr>
          <w:rFonts w:ascii="Arial" w:eastAsia="Times New Roman" w:hAnsi="Arial" w:cs="Arial"/>
          <w:iCs/>
          <w:sz w:val="20"/>
          <w:szCs w:val="20"/>
          <w:lang w:val="en-NG"/>
        </w:rPr>
        <w:t>were observed, the complete-data log-likelihood would be:</w:t>
      </w:r>
    </w:p>
    <w:p w14:paraId="3EDA0F1F" w14:textId="7C9B98B8" w:rsidR="00422BB9" w:rsidRPr="006107DB" w:rsidRDefault="00000000" w:rsidP="00482BCC">
      <w:pPr>
        <w:spacing w:before="100" w:beforeAutospacing="1" w:after="100" w:afterAutospacing="1" w:line="240" w:lineRule="auto"/>
        <w:ind w:left="360"/>
        <w:rPr>
          <w:rFonts w:ascii="Arial" w:eastAsia="Times New Roman" w:hAnsi="Arial" w:cs="Arial"/>
          <w:iCs/>
          <w:sz w:val="20"/>
          <w:szCs w:val="20"/>
        </w:rPr>
      </w:pPr>
      <m:oMathPara>
        <m:oMath>
          <m:sSub>
            <m:sSubPr>
              <m:ctrlPr>
                <w:rPr>
                  <w:rFonts w:ascii="Cambria Math" w:eastAsia="Times New Roman" w:hAnsi="Cambria Math" w:cs="Arial"/>
                  <w:iCs/>
                  <w:sz w:val="20"/>
                  <w:szCs w:val="20"/>
                  <w:lang w:val="en-NG"/>
                </w:rPr>
              </m:ctrlPr>
            </m:sSubPr>
            <m:e>
              <m:r>
                <m:rPr>
                  <m:scr m:val="script"/>
                  <m:sty m:val="p"/>
                </m:rPr>
                <w:rPr>
                  <w:rFonts w:ascii="Cambria Math" w:eastAsia="Times New Roman" w:hAnsi="Cambria Math" w:cs="Arial"/>
                  <w:sz w:val="20"/>
                  <w:szCs w:val="20"/>
                  <w:lang w:val="en-NG"/>
                </w:rPr>
                <m:t>l</m:t>
              </m:r>
            </m:e>
            <m:sub>
              <m:r>
                <w:rPr>
                  <w:rFonts w:ascii="Cambria Math" w:eastAsia="Times New Roman" w:hAnsi="Cambria Math" w:cs="Arial"/>
                  <w:sz w:val="20"/>
                  <w:szCs w:val="20"/>
                  <w:lang w:val="en-NG"/>
                </w:rPr>
                <m:t>c</m:t>
              </m:r>
            </m:sub>
          </m:sSub>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m:t>Φ</m:t>
          </m:r>
          <m:r>
            <w:rPr>
              <w:rFonts w:ascii="Cambria Math" w:eastAsia="Times New Roman" w:hAnsi="Cambria Math" w:cs="Arial"/>
              <w:sz w:val="20"/>
              <w:szCs w:val="20"/>
              <w:lang w:val="en-NG"/>
            </w:rPr>
            <m:t>)=</m:t>
          </m:r>
          <m:nary>
            <m:naryPr>
              <m:chr m:val="∑"/>
              <m:limLoc m:val="undOvr"/>
              <m:grow m:val="1"/>
              <m:ctrlPr>
                <w:rPr>
                  <w:rFonts w:ascii="Cambria Math" w:eastAsia="Times New Roman" w:hAnsi="Cambria Math" w:cs="Arial"/>
                  <w:iCs/>
                  <w:sz w:val="20"/>
                  <w:szCs w:val="20"/>
                  <w:lang w:val="en-NG"/>
                </w:rPr>
              </m:ctrlPr>
            </m:naryPr>
            <m:sub>
              <m:r>
                <w:rPr>
                  <w:rFonts w:ascii="Cambria Math" w:eastAsia="Times New Roman" w:hAnsi="Cambria Math" w:cs="Arial"/>
                  <w:sz w:val="20"/>
                  <w:szCs w:val="20"/>
                  <w:lang w:val="en-NG"/>
                </w:rPr>
                <m:t>i=1</m:t>
              </m:r>
            </m:sub>
            <m:sup>
              <m:r>
                <w:rPr>
                  <w:rFonts w:ascii="Cambria Math" w:eastAsia="Times New Roman" w:hAnsi="Cambria Math" w:cs="Arial"/>
                  <w:sz w:val="20"/>
                  <w:szCs w:val="20"/>
                  <w:lang w:val="en-NG"/>
                </w:rPr>
                <m:t>n</m:t>
              </m:r>
            </m:sup>
            <m:e>
              <m:r>
                <w:rPr>
                  <w:rFonts w:ascii="Cambria Math" w:eastAsia="Times New Roman" w:hAnsi="Cambria Math" w:cs="Arial"/>
                  <w:sz w:val="20"/>
                  <w:szCs w:val="20"/>
                  <w:lang w:val="en-NG"/>
                </w:rPr>
                <m:t>[(1-</m:t>
              </m:r>
            </m:e>
          </m:nary>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W</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 xml:space="preserve">) </m:t>
          </m:r>
          <m:r>
            <m:rPr>
              <m:sty m:val="p"/>
            </m:rPr>
            <w:rPr>
              <w:rFonts w:ascii="Cambria Math" w:eastAsia="Times New Roman" w:hAnsi="Cambria Math" w:cs="Arial"/>
              <w:sz w:val="20"/>
              <w:szCs w:val="20"/>
              <w:lang w:val="en-NG"/>
            </w:rPr>
            <m:t>ln⁡</m:t>
          </m:r>
          <m:r>
            <w:rPr>
              <w:rFonts w:ascii="Cambria Math" w:eastAsia="Times New Roman" w:hAnsi="Cambria Math" w:cs="Arial"/>
              <w:sz w:val="20"/>
              <w:szCs w:val="20"/>
              <w:lang w:val="en-NG"/>
            </w:rPr>
            <m:t>⁡{(1-θ)</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f</m:t>
              </m:r>
            </m:e>
            <m:sub>
              <m:r>
                <w:rPr>
                  <w:rFonts w:ascii="Cambria Math" w:eastAsia="Times New Roman" w:hAnsi="Cambria Math" w:cs="Arial"/>
                  <w:sz w:val="20"/>
                  <w:szCs w:val="20"/>
                  <w:lang w:val="en-NG"/>
                </w:rPr>
                <m:t>1</m:t>
              </m:r>
            </m:sub>
          </m:sSub>
          <m:r>
            <w:rPr>
              <w:rFonts w:ascii="Cambria Math" w:eastAsia="Times New Roman" w:hAnsi="Cambria Math" w:cs="Arial"/>
              <w:sz w:val="20"/>
              <w:szCs w:val="20"/>
              <w:lang w:val="en-NG"/>
            </w:rPr>
            <m:t>(</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W</m:t>
              </m:r>
            </m:e>
            <m:sub>
              <m:r>
                <w:rPr>
                  <w:rFonts w:ascii="Cambria Math" w:eastAsia="Times New Roman" w:hAnsi="Cambria Math" w:cs="Arial"/>
                  <w:sz w:val="20"/>
                  <w:szCs w:val="20"/>
                  <w:lang w:val="en-NG"/>
                </w:rPr>
                <m:t>i</m:t>
              </m:r>
            </m:sub>
          </m:sSub>
          <m:r>
            <m:rPr>
              <m:sty m:val="p"/>
            </m:rPr>
            <w:rPr>
              <w:rFonts w:ascii="Cambria Math" w:eastAsia="Times New Roman" w:hAnsi="Cambria Math" w:cs="Arial"/>
              <w:sz w:val="20"/>
              <w:szCs w:val="20"/>
              <w:lang w:val="en-NG"/>
            </w:rPr>
            <m:t xml:space="preserve"> ln</m:t>
          </m:r>
          <m:r>
            <w:rPr>
              <w:rFonts w:ascii="Cambria Math" w:eastAsia="Times New Roman" w:hAnsi="Cambria Math" w:cs="Arial"/>
              <w:sz w:val="20"/>
              <w:szCs w:val="20"/>
              <w:lang w:val="en-NG"/>
            </w:rPr>
            <m:t>⁡{θ</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f</m:t>
              </m:r>
            </m:e>
            <m:sub>
              <m:r>
                <w:rPr>
                  <w:rFonts w:ascii="Cambria Math" w:eastAsia="Times New Roman" w:hAnsi="Cambria Math" w:cs="Arial"/>
                  <w:sz w:val="20"/>
                  <w:szCs w:val="20"/>
                  <w:lang w:val="en-NG"/>
                </w:rPr>
                <m:t>2</m:t>
              </m:r>
            </m:sub>
          </m:sSub>
          <m:r>
            <w:rPr>
              <w:rFonts w:ascii="Cambria Math" w:eastAsia="Times New Roman" w:hAnsi="Cambria Math" w:cs="Arial"/>
              <w:sz w:val="20"/>
              <w:szCs w:val="20"/>
              <w:lang w:val="en-NG"/>
            </w:rPr>
            <m:t>(</m:t>
          </m:r>
          <m:sSub>
            <m:sSubPr>
              <m:ctrlPr>
                <w:rPr>
                  <w:rFonts w:ascii="Cambria Math" w:eastAsia="Times New Roman" w:hAnsi="Cambria Math" w:cs="Arial"/>
                  <w:iCs/>
                  <w:sz w:val="20"/>
                  <w:szCs w:val="20"/>
                  <w:lang w:val="en-NG"/>
                </w:rPr>
              </m:ctrlPr>
            </m:sSubPr>
            <m:e>
              <m:r>
                <w:rPr>
                  <w:rFonts w:ascii="Cambria Math" w:eastAsia="Times New Roman" w:hAnsi="Cambria Math" w:cs="Arial"/>
                  <w:sz w:val="20"/>
                  <w:szCs w:val="20"/>
                  <w:lang w:val="en-NG"/>
                </w:rPr>
                <m:t>x</m:t>
              </m:r>
            </m:e>
            <m:sub>
              <m:r>
                <w:rPr>
                  <w:rFonts w:ascii="Cambria Math" w:eastAsia="Times New Roman" w:hAnsi="Cambria Math" w:cs="Arial"/>
                  <w:sz w:val="20"/>
                  <w:szCs w:val="20"/>
                  <w:lang w:val="en-NG"/>
                </w:rPr>
                <m:t>i</m:t>
              </m:r>
            </m:sub>
          </m:sSub>
          <m: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m:t>.</m:t>
          </m:r>
          <m:r>
            <m:rPr>
              <m:sty m:val="p"/>
            </m:rPr>
            <w:rPr>
              <w:rFonts w:ascii="Cambria Math" w:eastAsia="Times New Roman" w:hAnsi="Cambria Math" w:cs="Arial"/>
              <w:sz w:val="20"/>
              <w:szCs w:val="20"/>
              <w:lang w:val="en-NG"/>
            </w:rPr>
            <w:br/>
          </m:r>
        </m:oMath>
      </m:oMathPara>
      <w:r w:rsidR="00422BB9" w:rsidRPr="006107DB">
        <w:rPr>
          <w:rFonts w:ascii="Arial" w:eastAsia="Times New Roman" w:hAnsi="Arial" w:cs="Arial"/>
          <w:iCs/>
          <w:sz w:val="20"/>
          <w:szCs w:val="20"/>
        </w:rPr>
        <w:t>Expanding and rearranging terms, the complete-data log-likelihood can be expressed as:</w:t>
      </w:r>
    </w:p>
    <w:p w14:paraId="3557653E" w14:textId="581B5DFA" w:rsidR="00482BCC" w:rsidRPr="006107DB" w:rsidRDefault="00422BB9" w:rsidP="00482BCC">
      <w:pPr>
        <w:spacing w:before="100" w:beforeAutospacing="1" w:after="100" w:afterAutospacing="1" w:line="240" w:lineRule="auto"/>
        <w:ind w:left="360"/>
        <w:rPr>
          <w:rFonts w:ascii="Arial" w:eastAsia="Times New Roman" w:hAnsi="Arial" w:cs="Arial"/>
          <w:iCs/>
          <w:sz w:val="20"/>
          <w:szCs w:val="20"/>
        </w:rPr>
      </w:pPr>
      <m:oMathPara>
        <m:oMath>
          <m:r>
            <w:rPr>
              <w:rFonts w:ascii="Cambria Math" w:eastAsia="Times New Roman" w:hAnsi="Cambria Math" w:cs="Arial"/>
              <w:sz w:val="20"/>
              <w:szCs w:val="20"/>
            </w:rPr>
            <m:t>lc​(</m:t>
          </m:r>
          <m:r>
            <m:rPr>
              <m:sty m:val="p"/>
            </m:rPr>
            <w:rPr>
              <w:rFonts w:ascii="Cambria Math" w:eastAsia="Times New Roman" w:hAnsi="Cambria Math" w:cs="Arial"/>
              <w:sz w:val="20"/>
              <w:szCs w:val="20"/>
            </w:rPr>
            <m:t>Φ</m:t>
          </m:r>
          <m:r>
            <w:rPr>
              <w:rFonts w:ascii="Cambria Math" w:eastAsia="Times New Roman" w:hAnsi="Cambria Math" w:cs="Arial"/>
              <w:sz w:val="20"/>
              <w:szCs w:val="20"/>
            </w:rPr>
            <m:t>)=</m:t>
          </m:r>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d>
                <m:dPr>
                  <m:begChr m:val="["/>
                  <m:endChr m:val="]"/>
                  <m:ctrlPr>
                    <w:rPr>
                      <w:rFonts w:ascii="Cambria Math" w:eastAsia="Times New Roman" w:hAnsi="Cambria Math" w:cs="Arial"/>
                      <w:i/>
                      <w:iCs/>
                      <w:sz w:val="20"/>
                      <w:szCs w:val="20"/>
                    </w:rPr>
                  </m:ctrlPr>
                </m:dPr>
                <m:e>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e>
                  </m:d>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r>
                        <w:rPr>
                          <w:rFonts w:ascii="Cambria Math" w:eastAsia="Times New Roman" w:hAnsi="Cambria Math" w:cs="Arial"/>
                          <w:sz w:val="20"/>
                          <w:szCs w:val="20"/>
                        </w:rPr>
                        <m:t>(1-θ)</m:t>
                      </m:r>
                    </m:fName>
                    <m:e>
                      <m:r>
                        <w:rPr>
                          <w:rFonts w:ascii="Cambria Math" w:eastAsia="Times New Roman" w:hAnsi="Cambria Math" w:cs="Arial"/>
                          <w:sz w:val="20"/>
                          <w:szCs w:val="20"/>
                        </w:rPr>
                        <m:t>+</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θ</m:t>
                          </m:r>
                        </m:e>
                      </m:func>
                    </m:e>
                  </m:func>
                  <m:r>
                    <w:rPr>
                      <w:rFonts w:ascii="Cambria Math" w:eastAsia="Times New Roman" w:hAnsi="Cambria Math" w:cs="Arial"/>
                      <w:sz w:val="20"/>
                      <w:szCs w:val="20"/>
                    </w:rPr>
                    <m:t>+</m:t>
                  </m:r>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e>
                  </m:d>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iCs/>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ctrlPr>
                            <w:rPr>
                              <w:rFonts w:ascii="Cambria Math" w:eastAsia="Times New Roman" w:hAnsi="Cambria Math" w:cs="Arial"/>
                              <w:i/>
                              <w:sz w:val="20"/>
                              <w:szCs w:val="20"/>
                            </w:rPr>
                          </m:ctrlPr>
                        </m:e>
                      </m:d>
                      <m:r>
                        <w:rPr>
                          <w:rFonts w:ascii="Cambria Math" w:eastAsia="Times New Roman" w:hAnsi="Cambria Math" w:cs="Arial"/>
                          <w:sz w:val="20"/>
                          <w:szCs w:val="20"/>
                        </w:rPr>
                        <m:t>+</m:t>
                      </m:r>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func>
                        <m:funcPr>
                          <m:ctrlPr>
                            <w:rPr>
                              <w:rFonts w:ascii="Cambria Math" w:eastAsia="Times New Roman" w:hAnsi="Cambria Math" w:cs="Arial"/>
                              <w:i/>
                              <w:iCs/>
                              <w:sz w:val="20"/>
                              <w:szCs w:val="20"/>
                            </w:rPr>
                          </m:ctrlPr>
                        </m:funcPr>
                        <m:fName>
                          <m:r>
                            <m:rPr>
                              <m:sty m:val="p"/>
                            </m:rPr>
                            <w:rPr>
                              <w:rFonts w:ascii="Cambria Math" w:eastAsia="Times New Roman" w:hAnsi="Cambria Math" w:cs="Arial"/>
                              <w:sz w:val="20"/>
                              <w:szCs w:val="20"/>
                            </w:rPr>
                            <m:t>ln</m:t>
                          </m:r>
                        </m:fName>
                        <m:e>
                          <m:r>
                            <w:rPr>
                              <w:rFonts w:ascii="Cambria Math" w:eastAsiaTheme="minorEastAsia"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iCs/>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ctrlPr>
                                <w:rPr>
                                  <w:rFonts w:ascii="Cambria Math" w:eastAsia="Times New Roman" w:hAnsi="Cambria Math" w:cs="Arial"/>
                                  <w:i/>
                                  <w:sz w:val="20"/>
                                  <w:szCs w:val="20"/>
                                </w:rPr>
                              </m:ctrlPr>
                            </m:e>
                          </m:d>
                        </m:e>
                      </m:func>
                    </m:e>
                  </m:func>
                </m:e>
              </m:d>
            </m:e>
          </m:nary>
        </m:oMath>
      </m:oMathPara>
    </w:p>
    <w:p w14:paraId="181EF759" w14:textId="0F142014" w:rsidR="00422BB9" w:rsidRPr="006107DB" w:rsidRDefault="00D87395" w:rsidP="001746B2">
      <w:pPr>
        <w:spacing w:before="100" w:beforeAutospacing="1" w:after="100" w:afterAutospacing="1" w:line="240" w:lineRule="auto"/>
        <w:jc w:val="both"/>
        <w:rPr>
          <w:rFonts w:ascii="Arial" w:eastAsia="Times New Roman" w:hAnsi="Arial" w:cs="Arial"/>
          <w:iCs/>
          <w:sz w:val="20"/>
          <w:szCs w:val="20"/>
          <w:lang w:val="en-NG"/>
        </w:rPr>
      </w:pPr>
      <w:r w:rsidRPr="006107DB">
        <w:rPr>
          <w:rFonts w:ascii="Arial" w:eastAsia="Times New Roman" w:hAnsi="Arial" w:cs="Arial"/>
          <w:iCs/>
          <w:sz w:val="20"/>
          <w:szCs w:val="20"/>
        </w:rPr>
        <w:t xml:space="preserve">This formulation provides the foundation for the Expectation–Maximization (EM) algorithm. In the E-step, the expected values of the latent variables </w:t>
      </w:r>
      <m:oMath>
        <m:sSub>
          <m:sSubPr>
            <m:ctrlPr>
              <w:rPr>
                <w:rFonts w:ascii="Cambria Math" w:eastAsia="Times New Roman" w:hAnsi="Cambria Math" w:cs="Arial"/>
                <w:i/>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oMath>
      <w:r w:rsidR="002B6F70" w:rsidRPr="006107DB">
        <w:rPr>
          <w:rFonts w:ascii="Arial" w:eastAsia="Times New Roman" w:hAnsi="Arial" w:cs="Arial"/>
          <w:iCs/>
          <w:sz w:val="20"/>
          <w:szCs w:val="20"/>
        </w:rPr>
        <w:t xml:space="preserve"> </w:t>
      </w:r>
      <w:r w:rsidRPr="006107DB">
        <w:rPr>
          <w:rFonts w:ascii="Arial" w:eastAsia="Times New Roman" w:hAnsi="Arial" w:cs="Arial"/>
          <w:iCs/>
          <w:sz w:val="20"/>
          <w:szCs w:val="20"/>
        </w:rPr>
        <w:t>are computed based on the current parameter estimates. In the M-step, these expected values are used to maximize the complete-data log-likelihood with respect to the parameters. The two steps are repeated iteratively until convergence is achieved.</w:t>
      </w:r>
    </w:p>
    <w:p w14:paraId="134B4372" w14:textId="7EE68FAF" w:rsidR="00482BCC" w:rsidRPr="006107DB" w:rsidRDefault="00482BCC" w:rsidP="00A60BE8">
      <w:pPr>
        <w:spacing w:before="100" w:beforeAutospacing="1" w:after="100" w:afterAutospacing="1" w:line="240" w:lineRule="auto"/>
        <w:rPr>
          <w:rFonts w:ascii="Arial" w:eastAsia="Times New Roman" w:hAnsi="Arial" w:cs="Arial"/>
          <w:b/>
          <w:bCs/>
          <w:iCs/>
          <w:sz w:val="20"/>
          <w:szCs w:val="20"/>
        </w:rPr>
      </w:pPr>
      <w:r w:rsidRPr="006107DB">
        <w:rPr>
          <w:rFonts w:ascii="Arial" w:eastAsia="Times New Roman" w:hAnsi="Arial" w:cs="Arial"/>
          <w:b/>
          <w:bCs/>
          <w:iCs/>
          <w:sz w:val="20"/>
          <w:szCs w:val="20"/>
        </w:rPr>
        <w:t>Expectation Step (E-Step)</w:t>
      </w:r>
      <w:r w:rsidR="002B6F70" w:rsidRPr="006107DB">
        <w:rPr>
          <w:rFonts w:ascii="Arial" w:eastAsia="Times New Roman" w:hAnsi="Arial" w:cs="Arial"/>
          <w:b/>
          <w:bCs/>
          <w:iCs/>
          <w:sz w:val="20"/>
          <w:szCs w:val="20"/>
        </w:rPr>
        <w:t xml:space="preserve"> </w:t>
      </w:r>
    </w:p>
    <w:p w14:paraId="342FDB91" w14:textId="18BFBD79" w:rsidR="00C45EE4" w:rsidRPr="006107DB" w:rsidRDefault="00C45EE4" w:rsidP="00C45EE4">
      <w:pPr>
        <w:spacing w:before="100" w:beforeAutospacing="1" w:after="100" w:afterAutospacing="1" w:line="240" w:lineRule="auto"/>
        <w:rPr>
          <w:rFonts w:ascii="Arial" w:eastAsia="Times New Roman" w:hAnsi="Arial" w:cs="Arial"/>
          <w:iCs/>
          <w:sz w:val="20"/>
          <w:szCs w:val="20"/>
        </w:rPr>
      </w:pPr>
      <w:r w:rsidRPr="006107DB">
        <w:rPr>
          <w:rFonts w:ascii="Arial" w:eastAsia="Times New Roman" w:hAnsi="Arial" w:cs="Arial"/>
          <w:iCs/>
          <w:sz w:val="20"/>
          <w:szCs w:val="20"/>
        </w:rPr>
        <w:t xml:space="preserve">In the E-step, the posterior probability </w:t>
      </w:r>
      <m:oMath>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oMath>
      <w:r w:rsidRPr="006107DB">
        <w:rPr>
          <w:rFonts w:ascii="Arial" w:eastAsia="Times New Roman" w:hAnsi="Arial" w:cs="Arial"/>
          <w:iCs/>
          <w:sz w:val="20"/>
          <w:szCs w:val="20"/>
        </w:rPr>
        <w:t xml:space="preserve"> arises from component 2 </w:t>
      </w:r>
      <w:r w:rsidR="00751D9D" w:rsidRPr="006107DB">
        <w:rPr>
          <w:rFonts w:ascii="Arial" w:eastAsia="Times New Roman" w:hAnsi="Arial" w:cs="Arial"/>
          <w:iCs/>
          <w:sz w:val="20"/>
          <w:szCs w:val="20"/>
        </w:rPr>
        <w:t xml:space="preserve">which </w:t>
      </w:r>
      <w:r w:rsidRPr="006107DB">
        <w:rPr>
          <w:rFonts w:ascii="Arial" w:eastAsia="Times New Roman" w:hAnsi="Arial" w:cs="Arial"/>
          <w:iCs/>
          <w:sz w:val="20"/>
          <w:szCs w:val="20"/>
        </w:rPr>
        <w:t>is computed as:</w:t>
      </w:r>
    </w:p>
    <w:p w14:paraId="2B072923" w14:textId="67018AAC" w:rsidR="00C45EE4" w:rsidRPr="006107DB" w:rsidRDefault="00000000" w:rsidP="00C45EE4">
      <w:pPr>
        <w:spacing w:before="100" w:beforeAutospacing="1" w:after="100" w:afterAutospacing="1" w:line="240" w:lineRule="auto"/>
        <w:ind w:left="360"/>
        <w:rPr>
          <w:rFonts w:ascii="Arial" w:eastAsia="Times New Roman" w:hAnsi="Arial" w:cs="Arial"/>
          <w:iCs/>
          <w:sz w:val="20"/>
          <w:szCs w:val="20"/>
        </w:rPr>
      </w:pPr>
      <m:oMathPara>
        <m:oMath>
          <m:sSubSup>
            <m:sSubSupPr>
              <m:ctrlPr>
                <w:rPr>
                  <w:rFonts w:ascii="Cambria Math" w:eastAsia="Times New Roman" w:hAnsi="Cambria Math" w:cs="Arial"/>
                  <w:i/>
                  <w:iCs/>
                  <w:sz w:val="20"/>
                  <w:szCs w:val="20"/>
                </w:rPr>
              </m:ctrlPr>
            </m:sSubSupPr>
            <m:e>
              <m:r>
                <w:rPr>
                  <w:rFonts w:ascii="Cambria Math" w:eastAsia="Times New Roman" w:hAnsi="Cambria Math" w:cs="Arial"/>
                  <w:sz w:val="20"/>
                  <w:szCs w:val="20"/>
                </w:rPr>
                <m:t>W</m:t>
              </m:r>
            </m:e>
            <m:sub>
              <m:r>
                <w:rPr>
                  <w:rFonts w:ascii="Cambria Math" w:eastAsia="Times New Roman" w:hAnsi="Cambria Math" w:cs="Arial"/>
                  <w:sz w:val="20"/>
                  <w:szCs w:val="20"/>
                </w:rPr>
                <m:t>i</m:t>
              </m:r>
            </m:sub>
            <m:sup>
              <m:r>
                <w:rPr>
                  <w:rFonts w:ascii="Cambria Math" w:eastAsia="Times New Roman" w:hAnsi="Cambria Math" w:cs="Arial"/>
                  <w:sz w:val="20"/>
                  <w:szCs w:val="20"/>
                </w:rPr>
                <m:t>(t)</m:t>
              </m:r>
            </m:sup>
          </m:sSubSup>
          <m:r>
            <w:rPr>
              <w:rFonts w:ascii="Cambria Math" w:eastAsia="Times New Roman" w:hAnsi="Cambria Math" w:cs="Arial"/>
              <w:sz w:val="20"/>
              <w:szCs w:val="20"/>
            </w:rPr>
            <m:t>=E</m:t>
          </m:r>
          <m:d>
            <m:dPr>
              <m:ctrlPr>
                <w:rPr>
                  <w:rFonts w:ascii="Cambria Math" w:eastAsia="Times New Roman" w:hAnsi="Cambria Math" w:cs="Arial"/>
                  <w:i/>
                  <w:iCs/>
                  <w:sz w:val="20"/>
                  <w:szCs w:val="20"/>
                </w:rPr>
              </m:ctrlPr>
            </m:dPr>
            <m:e>
              <m:sSub>
                <m:sSubPr>
                  <m:ctrlPr>
                    <w:rPr>
                      <w:rFonts w:ascii="Cambria Math" w:eastAsia="Times New Roman" w:hAnsi="Cambria Math" w:cs="Arial"/>
                      <w:iCs/>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iCs/>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(t)</m:t>
                  </m:r>
                </m:sup>
              </m:sSup>
            </m:e>
          </m:d>
          <m:r>
            <w:rPr>
              <w:rFonts w:ascii="Cambria Math" w:eastAsia="Times New Roman" w:hAnsi="Cambria Math" w:cs="Arial"/>
              <w:sz w:val="20"/>
              <w:szCs w:val="20"/>
            </w:rPr>
            <m:t>=</m:t>
          </m:r>
          <m:f>
            <m:fPr>
              <m:ctrlPr>
                <w:rPr>
                  <w:rFonts w:ascii="Cambria Math" w:eastAsia="Times New Roman" w:hAnsi="Cambria Math" w:cs="Arial"/>
                  <w:i/>
                  <w:iCs/>
                  <w:sz w:val="20"/>
                  <w:szCs w:val="20"/>
                </w:rPr>
              </m:ctrlPr>
            </m:fPr>
            <m:num>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(t)</m:t>
                  </m:r>
                </m:sup>
              </m:sSup>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(t)</m:t>
                      </m:r>
                    </m:sup>
                  </m:sSup>
                </m:e>
              </m:d>
            </m:num>
            <m:den>
              <m:d>
                <m:dPr>
                  <m:ctrlPr>
                    <w:rPr>
                      <w:rFonts w:ascii="Cambria Math" w:eastAsia="Times New Roman" w:hAnsi="Cambria Math" w:cs="Arial"/>
                      <w:i/>
                      <w:iCs/>
                      <w:sz w:val="20"/>
                      <w:szCs w:val="20"/>
                    </w:rPr>
                  </m:ctrlPr>
                </m:dPr>
                <m:e>
                  <m:r>
                    <w:rPr>
                      <w:rFonts w:ascii="Cambria Math" w:eastAsia="Times New Roman" w:hAnsi="Cambria Math" w:cs="Arial"/>
                      <w:sz w:val="20"/>
                      <w:szCs w:val="20"/>
                    </w:rPr>
                    <m:t>1-</m:t>
                  </m:r>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(t)</m:t>
                      </m:r>
                    </m:sup>
                  </m:sSup>
                </m:e>
              </m:d>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1</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(t)</m:t>
                      </m:r>
                    </m:sup>
                  </m:sSup>
                </m:e>
              </m:d>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(t)</m:t>
                      </m:r>
                    </m:sup>
                  </m:sSup>
                  <m:r>
                    <w:rPr>
                      <w:rFonts w:ascii="Cambria Math" w:eastAsia="Times New Roman" w:hAnsi="Cambria Math" w:cs="Arial"/>
                      <w:sz w:val="20"/>
                      <w:szCs w:val="20"/>
                    </w:rPr>
                    <m:t>f</m:t>
                  </m:r>
                </m:e>
                <m:sub>
                  <m:r>
                    <w:rPr>
                      <w:rFonts w:ascii="Cambria Math" w:eastAsia="Times New Roman" w:hAnsi="Cambria Math" w:cs="Arial"/>
                      <w:sz w:val="20"/>
                      <w:szCs w:val="20"/>
                    </w:rPr>
                    <m:t>2</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x</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p>
                    <m:sSupPr>
                      <m:ctrlPr>
                        <w:rPr>
                          <w:rFonts w:ascii="Cambria Math" w:eastAsia="Times New Roman" w:hAnsi="Cambria Math" w:cs="Arial"/>
                          <w:i/>
                          <w:iCs/>
                          <w:sz w:val="20"/>
                          <w:szCs w:val="20"/>
                        </w:rPr>
                      </m:ctrlPr>
                    </m:sSupPr>
                    <m:e>
                      <m:r>
                        <m:rPr>
                          <m:sty m:val="p"/>
                        </m:rPr>
                        <w:rPr>
                          <w:rFonts w:ascii="Cambria Math" w:eastAsia="Times New Roman" w:hAnsi="Cambria Math" w:cs="Arial"/>
                          <w:sz w:val="20"/>
                          <w:szCs w:val="20"/>
                        </w:rPr>
                        <m:t>Φ</m:t>
                      </m:r>
                    </m:e>
                    <m:sup>
                      <m:r>
                        <w:rPr>
                          <w:rFonts w:ascii="Cambria Math" w:eastAsia="Times New Roman" w:hAnsi="Cambria Math" w:cs="Arial"/>
                          <w:sz w:val="20"/>
                          <w:szCs w:val="20"/>
                        </w:rPr>
                        <m:t>(t)</m:t>
                      </m:r>
                    </m:sup>
                  </m:sSup>
                </m:e>
              </m:d>
            </m:den>
          </m:f>
          <m:r>
            <w:rPr>
              <w:rFonts w:ascii="Cambria Math" w:eastAsia="Times New Roman" w:hAnsi="Cambria Math" w:cs="Arial"/>
              <w:sz w:val="20"/>
              <w:szCs w:val="20"/>
            </w:rPr>
            <m:t xml:space="preserve"> </m:t>
          </m:r>
        </m:oMath>
      </m:oMathPara>
    </w:p>
    <w:p w14:paraId="3170C85B" w14:textId="56D8F62A" w:rsidR="00F83812" w:rsidRPr="006107DB" w:rsidRDefault="00F83812" w:rsidP="00C45EE4">
      <w:pPr>
        <w:spacing w:before="100" w:beforeAutospacing="1" w:after="100" w:afterAutospacing="1" w:line="240" w:lineRule="auto"/>
        <w:ind w:left="360"/>
        <w:rPr>
          <w:rFonts w:ascii="Arial" w:eastAsia="Times New Roman" w:hAnsi="Arial" w:cs="Arial"/>
          <w:iCs/>
          <w:sz w:val="20"/>
          <w:szCs w:val="20"/>
        </w:rPr>
      </w:pPr>
      <w:r w:rsidRPr="006107DB">
        <w:rPr>
          <w:rFonts w:ascii="Arial" w:eastAsia="Times New Roman" w:hAnsi="Arial" w:cs="Arial"/>
          <w:iCs/>
          <w:sz w:val="20"/>
          <w:szCs w:val="20"/>
        </w:rPr>
        <w:t>(See Nweze et al., 2026)</w:t>
      </w:r>
      <w:r w:rsidR="0001404D" w:rsidRPr="006107DB">
        <w:rPr>
          <w:rFonts w:ascii="Arial" w:eastAsia="Times New Roman" w:hAnsi="Arial" w:cs="Arial"/>
          <w:iCs/>
          <w:sz w:val="20"/>
          <w:szCs w:val="20"/>
        </w:rPr>
        <w:t>.</w:t>
      </w:r>
    </w:p>
    <w:p w14:paraId="57A54780" w14:textId="40FE3BA7" w:rsidR="00BB198E" w:rsidRPr="006107DB" w:rsidRDefault="00BB198E" w:rsidP="00A60BE8">
      <w:pPr>
        <w:spacing w:before="100" w:beforeAutospacing="1" w:after="100" w:afterAutospacing="1" w:line="240" w:lineRule="auto"/>
        <w:rPr>
          <w:rFonts w:ascii="Arial" w:eastAsia="Times New Roman" w:hAnsi="Arial" w:cs="Arial"/>
          <w:b/>
          <w:bCs/>
          <w:iCs/>
          <w:sz w:val="20"/>
          <w:szCs w:val="20"/>
        </w:rPr>
      </w:pPr>
      <w:r w:rsidRPr="006107DB">
        <w:rPr>
          <w:rFonts w:ascii="Arial" w:eastAsia="Times New Roman" w:hAnsi="Arial" w:cs="Arial"/>
          <w:b/>
          <w:bCs/>
          <w:iCs/>
          <w:sz w:val="20"/>
          <w:szCs w:val="20"/>
        </w:rPr>
        <w:t>Maximization Step (M-step)</w:t>
      </w:r>
    </w:p>
    <w:p w14:paraId="0187EFA1" w14:textId="734C7BB0" w:rsidR="00E701B3" w:rsidRPr="006107DB" w:rsidRDefault="00E701B3" w:rsidP="0001404D">
      <w:pPr>
        <w:spacing w:before="100" w:beforeAutospacing="1" w:after="100" w:afterAutospacing="1" w:line="240" w:lineRule="auto"/>
        <w:rPr>
          <w:rFonts w:ascii="Arial" w:eastAsia="Times New Roman" w:hAnsi="Arial" w:cs="Arial"/>
          <w:iCs/>
          <w:sz w:val="20"/>
          <w:szCs w:val="20"/>
        </w:rPr>
      </w:pPr>
      <w:r w:rsidRPr="006107DB">
        <w:rPr>
          <w:rFonts w:ascii="Arial" w:eastAsia="Times New Roman" w:hAnsi="Arial" w:cs="Arial"/>
          <w:iCs/>
          <w:sz w:val="20"/>
          <w:szCs w:val="20"/>
        </w:rPr>
        <w:t xml:space="preserve">In the M-step, the expected complete-data log-likelihood is maximized with respect to the model parameters using the posterior probabilities </w:t>
      </w:r>
      <m:oMath>
        <m:sSubSup>
          <m:sSubSupPr>
            <m:ctrlPr>
              <w:rPr>
                <w:rFonts w:ascii="Cambria Math" w:eastAsia="Times New Roman" w:hAnsi="Cambria Math" w:cs="Arial"/>
                <w:iCs/>
                <w:sz w:val="20"/>
                <w:szCs w:val="20"/>
              </w:rPr>
            </m:ctrlPr>
          </m:sSubSupPr>
          <m:e>
            <m:r>
              <w:rPr>
                <w:rFonts w:ascii="Cambria Math" w:eastAsia="Times New Roman" w:hAnsi="Cambria Math" w:cs="Arial"/>
                <w:sz w:val="20"/>
                <w:szCs w:val="20"/>
              </w:rPr>
              <m:t>W</m:t>
            </m:r>
          </m:e>
          <m:sub>
            <m:r>
              <w:rPr>
                <w:rFonts w:ascii="Cambria Math" w:eastAsia="Times New Roman" w:hAnsi="Cambria Math" w:cs="Arial"/>
                <w:sz w:val="20"/>
                <w:szCs w:val="20"/>
              </w:rPr>
              <m:t>i</m:t>
            </m:r>
          </m:sub>
          <m:sup>
            <m:d>
              <m:dPr>
                <m:ctrlPr>
                  <w:rPr>
                    <w:rFonts w:ascii="Cambria Math" w:eastAsia="Times New Roman" w:hAnsi="Cambria Math" w:cs="Arial"/>
                    <w:iCs/>
                    <w:sz w:val="20"/>
                    <w:szCs w:val="20"/>
                  </w:rPr>
                </m:ctrlPr>
              </m:dPr>
              <m:e>
                <m:r>
                  <w:rPr>
                    <w:rFonts w:ascii="Cambria Math" w:eastAsia="Times New Roman" w:hAnsi="Cambria Math" w:cs="Arial"/>
                    <w:sz w:val="20"/>
                    <w:szCs w:val="20"/>
                  </w:rPr>
                  <m:t>t</m:t>
                </m:r>
              </m:e>
            </m:d>
          </m:sup>
        </m:sSubSup>
      </m:oMath>
      <w:r w:rsidRPr="006107DB">
        <w:rPr>
          <w:rFonts w:ascii="Arial" w:eastAsia="Times New Roman" w:hAnsi="Arial" w:cs="Arial"/>
          <w:iCs/>
          <w:sz w:val="20"/>
          <w:szCs w:val="20"/>
        </w:rPr>
        <w:t>obtained from the E-step.</w:t>
      </w:r>
    </w:p>
    <w:p w14:paraId="5AFD891A" w14:textId="7F4E7FC0" w:rsidR="003C2053" w:rsidRPr="006107DB" w:rsidRDefault="00000000" w:rsidP="003C2053">
      <w:pPr>
        <w:spacing w:before="100" w:beforeAutospacing="1" w:after="100" w:afterAutospacing="1" w:line="240" w:lineRule="auto"/>
        <w:ind w:left="360"/>
        <w:rPr>
          <w:rFonts w:ascii="Arial" w:eastAsia="Times New Roman" w:hAnsi="Arial" w:cs="Arial"/>
          <w:iCs/>
          <w:sz w:val="20"/>
          <w:szCs w:val="20"/>
        </w:rPr>
      </w:pPr>
      <m:oMathPara>
        <m:oMath>
          <m:sSup>
            <m:sSupPr>
              <m:ctrlPr>
                <w:rPr>
                  <w:rFonts w:ascii="Cambria Math" w:eastAsia="Times New Roman" w:hAnsi="Cambria Math" w:cs="Arial"/>
                  <w:i/>
                  <w:iCs/>
                  <w:sz w:val="20"/>
                  <w:szCs w:val="20"/>
                </w:rPr>
              </m:ctrlPr>
            </m:sSupPr>
            <m:e>
              <m:r>
                <w:rPr>
                  <w:rFonts w:ascii="Cambria Math" w:eastAsia="Times New Roman" w:hAnsi="Cambria Math" w:cs="Arial"/>
                  <w:sz w:val="20"/>
                  <w:szCs w:val="20"/>
                </w:rPr>
                <m:t>θ</m:t>
              </m:r>
            </m:e>
            <m:sup>
              <m:r>
                <w:rPr>
                  <w:rFonts w:ascii="Cambria Math" w:eastAsia="Times New Roman" w:hAnsi="Cambria Math" w:cs="Arial"/>
                  <w:sz w:val="20"/>
                  <w:szCs w:val="20"/>
                </w:rPr>
                <m:t>(t+1)</m:t>
              </m:r>
            </m:sup>
          </m:sSup>
          <m:r>
            <w:rPr>
              <w:rFonts w:ascii="Cambria Math" w:eastAsia="Times New Roman" w:hAnsi="Cambria Math" w:cs="Arial"/>
              <w:sz w:val="20"/>
              <w:szCs w:val="20"/>
            </w:rPr>
            <m:t>=</m:t>
          </m:r>
          <m:f>
            <m:fPr>
              <m:ctrlPr>
                <w:rPr>
                  <w:rFonts w:ascii="Cambria Math" w:eastAsia="Times New Roman" w:hAnsi="Cambria Math" w:cs="Arial"/>
                  <w:i/>
                  <w:iCs/>
                  <w:sz w:val="20"/>
                  <w:szCs w:val="20"/>
                </w:rPr>
              </m:ctrlPr>
            </m:fPr>
            <m:num>
              <m:r>
                <w:rPr>
                  <w:rFonts w:ascii="Cambria Math" w:eastAsia="Times New Roman" w:hAnsi="Cambria Math" w:cs="Arial"/>
                  <w:sz w:val="20"/>
                  <w:szCs w:val="20"/>
                </w:rPr>
                <m:t>1</m:t>
              </m:r>
            </m:num>
            <m:den>
              <m:r>
                <w:rPr>
                  <w:rFonts w:ascii="Cambria Math" w:eastAsia="Times New Roman" w:hAnsi="Cambria Math" w:cs="Arial"/>
                  <w:sz w:val="20"/>
                  <w:szCs w:val="20"/>
                </w:rPr>
                <m:t>n</m:t>
              </m:r>
            </m:den>
          </m:f>
          <m:nary>
            <m:naryPr>
              <m:chr m:val="∑"/>
              <m:limLoc m:val="undOvr"/>
              <m:ctrlPr>
                <w:rPr>
                  <w:rFonts w:ascii="Cambria Math" w:eastAsia="Times New Roman" w:hAnsi="Cambria Math" w:cs="Arial"/>
                  <w:i/>
                  <w:iCs/>
                  <w:sz w:val="20"/>
                  <w:szCs w:val="20"/>
                </w:rPr>
              </m:ctrlPr>
            </m:naryPr>
            <m:sub>
              <m:r>
                <w:rPr>
                  <w:rFonts w:ascii="Cambria Math" w:eastAsia="Times New Roman" w:hAnsi="Cambria Math" w:cs="Arial"/>
                  <w:sz w:val="20"/>
                  <w:szCs w:val="20"/>
                </w:rPr>
                <m:t>i=1</m:t>
              </m:r>
            </m:sub>
            <m:sup>
              <m:r>
                <w:rPr>
                  <w:rFonts w:ascii="Cambria Math" w:eastAsia="Times New Roman" w:hAnsi="Cambria Math" w:cs="Arial"/>
                  <w:sz w:val="20"/>
                  <w:szCs w:val="20"/>
                </w:rPr>
                <m:t>n</m:t>
              </m:r>
            </m:sup>
            <m:e>
              <m:sSubSup>
                <m:sSubSupPr>
                  <m:ctrlPr>
                    <w:rPr>
                      <w:rFonts w:ascii="Cambria Math" w:eastAsia="Times New Roman" w:hAnsi="Cambria Math" w:cs="Arial"/>
                      <w:i/>
                      <w:iCs/>
                      <w:sz w:val="20"/>
                      <w:szCs w:val="20"/>
                    </w:rPr>
                  </m:ctrlPr>
                </m:sSubSupPr>
                <m:e>
                  <m:r>
                    <w:rPr>
                      <w:rFonts w:ascii="Cambria Math" w:eastAsia="Times New Roman" w:hAnsi="Cambria Math" w:cs="Arial"/>
                      <w:sz w:val="20"/>
                      <w:szCs w:val="20"/>
                    </w:rPr>
                    <m:t>W</m:t>
                  </m:r>
                </m:e>
                <m:sub>
                  <m:r>
                    <w:rPr>
                      <w:rFonts w:ascii="Cambria Math" w:eastAsia="Times New Roman" w:hAnsi="Cambria Math" w:cs="Arial"/>
                      <w:sz w:val="20"/>
                      <w:szCs w:val="20"/>
                    </w:rPr>
                    <m:t>i</m:t>
                  </m:r>
                </m:sub>
                <m:sup>
                  <m:r>
                    <w:rPr>
                      <w:rFonts w:ascii="Cambria Math" w:eastAsia="Times New Roman" w:hAnsi="Cambria Math" w:cs="Arial"/>
                      <w:sz w:val="20"/>
                      <w:szCs w:val="20"/>
                    </w:rPr>
                    <m:t>(t)</m:t>
                  </m:r>
                </m:sup>
              </m:sSubSup>
            </m:e>
          </m:nary>
        </m:oMath>
      </m:oMathPara>
    </w:p>
    <w:p w14:paraId="751ECF56" w14:textId="18C6A25B" w:rsidR="00E701B3" w:rsidRPr="006107DB" w:rsidRDefault="00E701B3" w:rsidP="00E701B3">
      <w:pPr>
        <w:spacing w:before="100" w:beforeAutospacing="1" w:after="100" w:afterAutospacing="1" w:line="240" w:lineRule="auto"/>
        <w:jc w:val="both"/>
        <w:rPr>
          <w:rFonts w:ascii="Arial" w:eastAsia="Times New Roman" w:hAnsi="Arial" w:cs="Arial"/>
          <w:iCs/>
          <w:sz w:val="20"/>
          <w:szCs w:val="20"/>
          <w:lang w:val="en-NG"/>
        </w:rPr>
      </w:pPr>
      <w:r w:rsidRPr="006107DB">
        <w:rPr>
          <w:rFonts w:ascii="Arial" w:eastAsia="Times New Roman" w:hAnsi="Arial" w:cs="Arial"/>
          <w:iCs/>
          <w:sz w:val="20"/>
          <w:szCs w:val="20"/>
          <w:lang w:val="en-NG"/>
        </w:rPr>
        <w:t xml:space="preserve">This expression provides a closed-form update for the mixing parameter </w:t>
      </w:r>
      <m:oMath>
        <m:r>
          <w:rPr>
            <w:rFonts w:ascii="Cambria Math" w:eastAsia="Times New Roman" w:hAnsi="Cambria Math" w:cs="Arial"/>
            <w:sz w:val="20"/>
            <w:szCs w:val="20"/>
            <w:lang w:val="en-NG"/>
          </w:rPr>
          <m:t>θ</m:t>
        </m:r>
      </m:oMath>
      <w:r w:rsidRPr="006107DB">
        <w:rPr>
          <w:rFonts w:ascii="Arial" w:eastAsia="Times New Roman" w:hAnsi="Arial" w:cs="Arial"/>
          <w:iCs/>
          <w:sz w:val="20"/>
          <w:szCs w:val="20"/>
          <w:lang w:val="en-NG"/>
        </w:rPr>
        <w:t xml:space="preserve">. However, the remaining parameters </w:t>
      </w:r>
      <m:oMath>
        <m:d>
          <m:dPr>
            <m:sepChr m:val=","/>
            <m:ctrlPr>
              <w:rPr>
                <w:rFonts w:ascii="Cambria Math" w:eastAsia="Times New Roman" w:hAnsi="Cambria Math" w:cs="Arial"/>
                <w:iCs/>
                <w:sz w:val="20"/>
                <w:szCs w:val="20"/>
                <w:lang w:val="en-NG"/>
              </w:rPr>
            </m:ctrlPr>
          </m:dPr>
          <m:e>
            <m:r>
              <w:rPr>
                <w:rFonts w:ascii="Cambria Math" w:eastAsia="Times New Roman" w:hAnsi="Cambria Math" w:cs="Arial"/>
                <w:sz w:val="20"/>
                <w:szCs w:val="20"/>
                <w:lang w:val="en-NG"/>
              </w:rPr>
              <m:t>τ</m:t>
            </m:r>
          </m:e>
          <m:e>
            <m:r>
              <w:rPr>
                <w:rFonts w:ascii="Cambria Math" w:eastAsia="Times New Roman" w:hAnsi="Cambria Math" w:cs="Arial"/>
                <w:sz w:val="20"/>
                <w:szCs w:val="20"/>
                <w:lang w:val="en-NG"/>
              </w:rPr>
              <m:t>γ</m:t>
            </m:r>
          </m:e>
          <m:e>
            <m:r>
              <w:rPr>
                <w:rFonts w:ascii="Cambria Math" w:eastAsia="Times New Roman" w:hAnsi="Cambria Math" w:cs="Arial"/>
                <w:sz w:val="20"/>
                <w:szCs w:val="20"/>
                <w:lang w:val="en-NG"/>
              </w:rPr>
              <m:t>σ</m:t>
            </m:r>
          </m:e>
          <m:e>
            <m:r>
              <w:rPr>
                <w:rFonts w:ascii="Cambria Math" w:eastAsia="Times New Roman" w:hAnsi="Cambria Math" w:cs="Arial"/>
                <w:sz w:val="20"/>
                <w:szCs w:val="20"/>
                <w:lang w:val="en-NG"/>
              </w:rPr>
              <m:t>β</m:t>
            </m:r>
          </m:e>
        </m:d>
      </m:oMath>
      <w:r w:rsidRPr="006107DB">
        <w:rPr>
          <w:rFonts w:ascii="Arial" w:eastAsia="Times New Roman" w:hAnsi="Arial" w:cs="Arial"/>
          <w:iCs/>
          <w:sz w:val="20"/>
          <w:szCs w:val="20"/>
          <w:lang w:val="en-NG"/>
        </w:rPr>
        <w:t xml:space="preserve"> do not admit closed-form solutions. Therefore, they are obtained numerically by maximizing the expected complete-data log-likelihood using iterative optimization procedures.</w:t>
      </w:r>
    </w:p>
    <w:p w14:paraId="3A051579" w14:textId="77777777" w:rsidR="00E701B3" w:rsidRPr="006107DB" w:rsidRDefault="00E701B3" w:rsidP="00E701B3">
      <w:pPr>
        <w:spacing w:before="100" w:beforeAutospacing="1" w:after="100" w:afterAutospacing="1" w:line="240" w:lineRule="auto"/>
        <w:jc w:val="both"/>
        <w:rPr>
          <w:rFonts w:ascii="Arial" w:eastAsia="Times New Roman" w:hAnsi="Arial" w:cs="Arial"/>
          <w:iCs/>
          <w:sz w:val="20"/>
          <w:szCs w:val="20"/>
          <w:lang w:val="en-NG"/>
        </w:rPr>
      </w:pPr>
      <w:r w:rsidRPr="006107DB">
        <w:rPr>
          <w:rFonts w:ascii="Arial" w:eastAsia="Times New Roman" w:hAnsi="Arial" w:cs="Arial"/>
          <w:iCs/>
          <w:sz w:val="20"/>
          <w:szCs w:val="20"/>
          <w:lang w:val="en-NG"/>
        </w:rPr>
        <w:t>The E-step and M-step are repeated alternately until the parameter estimates converge according to a specified convergence criterion.</w:t>
      </w:r>
    </w:p>
    <w:p w14:paraId="4C82C0E4" w14:textId="77777777" w:rsidR="00E701B3" w:rsidRPr="006107DB" w:rsidRDefault="00E701B3" w:rsidP="00E701B3">
      <w:pPr>
        <w:spacing w:before="100" w:beforeAutospacing="1" w:after="100" w:afterAutospacing="1" w:line="240" w:lineRule="auto"/>
        <w:rPr>
          <w:rFonts w:ascii="Arial" w:eastAsia="Times New Roman" w:hAnsi="Arial" w:cs="Arial"/>
          <w:iCs/>
          <w:sz w:val="20"/>
          <w:szCs w:val="20"/>
        </w:rPr>
      </w:pPr>
    </w:p>
    <w:p w14:paraId="10326562" w14:textId="1747EA82" w:rsidR="00F0088F" w:rsidRPr="006107DB" w:rsidRDefault="00E95F27" w:rsidP="001E5507">
      <w:pPr>
        <w:pStyle w:val="ListParagraph"/>
        <w:numPr>
          <w:ilvl w:val="0"/>
          <w:numId w:val="3"/>
        </w:numPr>
        <w:rPr>
          <w:rFonts w:ascii="Arial" w:hAnsi="Arial" w:cs="Arial"/>
          <w:b/>
          <w:bCs/>
        </w:rPr>
      </w:pPr>
      <w:r w:rsidRPr="006107DB">
        <w:rPr>
          <w:rFonts w:ascii="Arial" w:hAnsi="Arial" w:cs="Arial"/>
          <w:b/>
          <w:bCs/>
        </w:rPr>
        <w:lastRenderedPageBreak/>
        <w:t>Results and Discussion</w:t>
      </w:r>
    </w:p>
    <w:p w14:paraId="170775A6" w14:textId="36A571A1" w:rsidR="00E95F27" w:rsidRPr="006107DB" w:rsidRDefault="00E95F27" w:rsidP="00E95F27">
      <w:pPr>
        <w:spacing w:after="200" w:line="276" w:lineRule="auto"/>
        <w:rPr>
          <w:rFonts w:ascii="Arial" w:hAnsi="Arial" w:cs="Arial"/>
          <w:b/>
          <w:bCs/>
          <w:sz w:val="20"/>
          <w:szCs w:val="20"/>
        </w:rPr>
      </w:pPr>
      <w:r w:rsidRPr="006107DB">
        <w:rPr>
          <w:rFonts w:ascii="Arial" w:hAnsi="Arial" w:cs="Arial"/>
          <w:b/>
          <w:bCs/>
          <w:sz w:val="20"/>
          <w:szCs w:val="20"/>
        </w:rPr>
        <w:t>3.1 Simulation Study</w:t>
      </w:r>
    </w:p>
    <w:p w14:paraId="17324B16" w14:textId="77777777" w:rsidR="00411E71" w:rsidRPr="006107DB" w:rsidRDefault="00411E71" w:rsidP="00411E71">
      <w:pPr>
        <w:rPr>
          <w:rFonts w:ascii="Arial" w:hAnsi="Arial" w:cs="Arial"/>
          <w:sz w:val="20"/>
          <w:szCs w:val="20"/>
          <w:lang w:val="en-NG"/>
        </w:rPr>
      </w:pPr>
      <w:r w:rsidRPr="006107DB">
        <w:rPr>
          <w:rFonts w:ascii="Arial" w:hAnsi="Arial" w:cs="Arial"/>
          <w:sz w:val="20"/>
          <w:szCs w:val="20"/>
          <w:lang w:val="en-NG"/>
        </w:rPr>
        <w:t>A Monte Carlo simulation study was conducted to evaluate the performance of the proposed estimation methods. The simulation was performed using the true parameter values</w:t>
      </w:r>
    </w:p>
    <w:p w14:paraId="7F77388C" w14:textId="7A863108" w:rsidR="00411E71" w:rsidRPr="006107DB" w:rsidRDefault="00411E71" w:rsidP="00411E71">
      <w:pPr>
        <w:rPr>
          <w:rFonts w:ascii="Arial" w:hAnsi="Arial" w:cs="Arial"/>
          <w:sz w:val="20"/>
          <w:szCs w:val="20"/>
          <w:lang w:val="en-NG"/>
        </w:rPr>
      </w:pPr>
      <m:oMathPara>
        <m:oMath>
          <m:r>
            <w:rPr>
              <w:rFonts w:ascii="Cambria Math" w:hAnsi="Cambria Math" w:cs="Arial"/>
              <w:sz w:val="20"/>
              <w:szCs w:val="20"/>
              <w:lang w:val="en-NG"/>
            </w:rPr>
            <m:t>β=0.5,   σ=0.8,   τ=1.0,  γ=1.2,  θ=-</m:t>
          </m:r>
          <m:r>
            <m:rPr>
              <m:sty m:val="p"/>
            </m:rPr>
            <w:rPr>
              <w:rFonts w:ascii="Cambria Math" w:hAnsi="Cambria Math" w:cs="Arial"/>
              <w:sz w:val="20"/>
              <w:szCs w:val="20"/>
              <w:lang w:val="en-NG"/>
            </w:rPr>
            <m:t>0.2.</m:t>
          </m:r>
          <m:r>
            <m:rPr>
              <m:sty m:val="p"/>
            </m:rPr>
            <w:rPr>
              <w:rFonts w:ascii="Cambria Math" w:hAnsi="Cambria Math" w:cs="Arial"/>
              <w:sz w:val="20"/>
              <w:szCs w:val="20"/>
              <w:lang w:val="en-NG"/>
            </w:rPr>
            <w:br/>
          </m:r>
        </m:oMath>
      </m:oMathPara>
    </w:p>
    <w:p w14:paraId="1BC13D7C" w14:textId="62CB0AF1" w:rsidR="00411E71" w:rsidRPr="006107DB" w:rsidRDefault="00411E71" w:rsidP="00411E71">
      <w:pPr>
        <w:jc w:val="both"/>
        <w:rPr>
          <w:rFonts w:ascii="Arial" w:hAnsi="Arial" w:cs="Arial"/>
          <w:sz w:val="20"/>
          <w:szCs w:val="20"/>
          <w:lang w:val="en-NG"/>
        </w:rPr>
      </w:pPr>
      <w:r w:rsidRPr="006107DB">
        <w:rPr>
          <w:rFonts w:ascii="Arial" w:hAnsi="Arial" w:cs="Arial"/>
          <w:sz w:val="20"/>
          <w:szCs w:val="20"/>
          <w:lang w:val="en-NG"/>
        </w:rPr>
        <w:t xml:space="preserve">Random samples were generated from the TE–NWP distribution for three different sample sizes: </w:t>
      </w:r>
      <m:oMath>
        <m:r>
          <w:rPr>
            <w:rFonts w:ascii="Cambria Math" w:hAnsi="Cambria Math" w:cs="Arial"/>
            <w:sz w:val="20"/>
            <w:szCs w:val="20"/>
            <w:lang w:val="en-NG"/>
          </w:rPr>
          <m:t>n=20,100,</m:t>
        </m:r>
      </m:oMath>
      <w:r w:rsidRPr="006107DB">
        <w:rPr>
          <w:rFonts w:ascii="Arial" w:hAnsi="Arial" w:cs="Arial"/>
          <w:sz w:val="20"/>
          <w:szCs w:val="20"/>
          <w:lang w:val="en-NG"/>
        </w:rPr>
        <w:t xml:space="preserve">and </w:t>
      </w:r>
      <m:oMath>
        <m:r>
          <w:rPr>
            <w:rFonts w:ascii="Cambria Math" w:hAnsi="Cambria Math" w:cs="Arial"/>
            <w:sz w:val="20"/>
            <w:szCs w:val="20"/>
            <w:lang w:val="en-NG"/>
          </w:rPr>
          <m:t>500</m:t>
        </m:r>
      </m:oMath>
      <w:r w:rsidRPr="006107DB">
        <w:rPr>
          <w:rFonts w:ascii="Arial" w:hAnsi="Arial" w:cs="Arial"/>
          <w:sz w:val="20"/>
          <w:szCs w:val="20"/>
          <w:lang w:val="en-NG"/>
        </w:rPr>
        <w:t>. For each sample size, the experiment was replicated 1000 times to ensure stability of the results.</w:t>
      </w:r>
    </w:p>
    <w:p w14:paraId="4D897553" w14:textId="3F08A621" w:rsidR="005075EC" w:rsidRPr="006107DB" w:rsidRDefault="000C2ECC" w:rsidP="00411E71">
      <w:pPr>
        <w:jc w:val="both"/>
        <w:rPr>
          <w:rFonts w:ascii="Arial" w:hAnsi="Arial" w:cs="Arial"/>
          <w:sz w:val="20"/>
          <w:szCs w:val="20"/>
        </w:rPr>
      </w:pPr>
      <w:r w:rsidRPr="006107DB">
        <w:rPr>
          <w:rFonts w:ascii="Arial" w:hAnsi="Arial" w:cs="Arial"/>
          <w:sz w:val="20"/>
          <w:szCs w:val="20"/>
        </w:rPr>
        <w:t xml:space="preserve">Table 1 presents the results of the Monte Carlo simulation comparing the performance of the Method of Moments (MM), Maximum Likelihood Estimation (MLE), and Expectation–Maximization (EM) estimators for the parameters of the TE-NWP distribution. The estimators are evaluated using Bias and Mean Squared Error (MSE) across different sample sizes </w:t>
      </w:r>
      <m:oMath>
        <m:r>
          <w:rPr>
            <w:rFonts w:ascii="Cambria Math" w:hAnsi="Cambria Math" w:cs="Arial"/>
            <w:sz w:val="20"/>
            <w:szCs w:val="20"/>
          </w:rPr>
          <m:t>n=20, 100,</m:t>
        </m:r>
      </m:oMath>
      <w:r w:rsidRPr="006107DB">
        <w:rPr>
          <w:rFonts w:ascii="Arial" w:eastAsiaTheme="minorEastAsia" w:hAnsi="Arial" w:cs="Arial"/>
          <w:sz w:val="20"/>
          <w:szCs w:val="20"/>
        </w:rPr>
        <w:t xml:space="preserve"> </w:t>
      </w:r>
      <w:r w:rsidRPr="006107DB">
        <w:rPr>
          <w:rFonts w:ascii="Arial" w:hAnsi="Arial" w:cs="Arial"/>
          <w:sz w:val="20"/>
          <w:szCs w:val="20"/>
        </w:rPr>
        <w:t xml:space="preserve">and </w:t>
      </w:r>
      <m:oMath>
        <m:r>
          <w:rPr>
            <w:rFonts w:ascii="Cambria Math" w:hAnsi="Cambria Math" w:cs="Arial"/>
            <w:sz w:val="20"/>
            <w:szCs w:val="20"/>
          </w:rPr>
          <m:t>500</m:t>
        </m:r>
      </m:oMath>
      <w:r w:rsidRPr="006107DB">
        <w:rPr>
          <w:rFonts w:ascii="Arial" w:hAnsi="Arial" w:cs="Arial"/>
          <w:sz w:val="20"/>
          <w:szCs w:val="20"/>
        </w:rPr>
        <w:t>.</w:t>
      </w:r>
    </w:p>
    <w:p w14:paraId="6A3E9F09" w14:textId="3C4C1334" w:rsidR="009519E7" w:rsidRPr="006107DB" w:rsidRDefault="009519E7" w:rsidP="009519E7">
      <w:pPr>
        <w:rPr>
          <w:rFonts w:ascii="Arial" w:hAnsi="Arial" w:cs="Arial"/>
          <w:sz w:val="20"/>
          <w:szCs w:val="20"/>
        </w:rPr>
      </w:pPr>
      <w:r w:rsidRPr="006107DB">
        <w:rPr>
          <w:rFonts w:ascii="Arial" w:hAnsi="Arial" w:cs="Arial"/>
          <w:b/>
          <w:bCs/>
          <w:sz w:val="20"/>
          <w:szCs w:val="20"/>
        </w:rPr>
        <w:t>Table 1.</w:t>
      </w:r>
      <w:r w:rsidRPr="006107DB">
        <w:rPr>
          <w:rFonts w:ascii="Arial" w:hAnsi="Arial" w:cs="Arial"/>
          <w:sz w:val="20"/>
          <w:szCs w:val="20"/>
        </w:rPr>
        <w:t xml:space="preserve"> </w:t>
      </w:r>
      <w:r w:rsidR="00C4357E" w:rsidRPr="006107DB">
        <w:rPr>
          <w:rFonts w:ascii="Arial" w:hAnsi="Arial" w:cs="Arial"/>
          <w:sz w:val="20"/>
          <w:szCs w:val="20"/>
        </w:rPr>
        <w:t xml:space="preserve">Simulation study </w:t>
      </w:r>
      <w:r w:rsidR="00EF3F38" w:rsidRPr="006107DB">
        <w:rPr>
          <w:rFonts w:ascii="Arial" w:hAnsi="Arial" w:cs="Arial"/>
          <w:sz w:val="20"/>
          <w:szCs w:val="20"/>
        </w:rPr>
        <w:t xml:space="preserve">for the </w:t>
      </w:r>
      <w:r w:rsidRPr="006107DB">
        <w:rPr>
          <w:rFonts w:ascii="Arial" w:hAnsi="Arial" w:cs="Arial"/>
          <w:sz w:val="20"/>
          <w:szCs w:val="20"/>
        </w:rPr>
        <w:t>Comparison of MLE, MM, and EM Estimators for TE</w:t>
      </w:r>
      <w:r w:rsidR="00F0088F" w:rsidRPr="006107DB">
        <w:rPr>
          <w:rFonts w:ascii="Arial" w:hAnsi="Arial" w:cs="Arial"/>
          <w:sz w:val="20"/>
          <w:szCs w:val="20"/>
        </w:rPr>
        <w:t>-</w:t>
      </w:r>
      <w:r w:rsidRPr="006107DB">
        <w:rPr>
          <w:rFonts w:ascii="Arial" w:hAnsi="Arial" w:cs="Arial"/>
          <w:sz w:val="20"/>
          <w:szCs w:val="20"/>
        </w:rPr>
        <w:t xml:space="preserve">NWP </w:t>
      </w:r>
      <w:r w:rsidR="005542CE" w:rsidRPr="006107DB">
        <w:rPr>
          <w:rFonts w:ascii="Arial" w:hAnsi="Arial" w:cs="Arial"/>
          <w:sz w:val="20"/>
          <w:szCs w:val="20"/>
        </w:rPr>
        <w:br/>
        <w:t xml:space="preserve">              </w:t>
      </w:r>
      <w:r w:rsidRPr="006107DB">
        <w:rPr>
          <w:rFonts w:ascii="Arial" w:hAnsi="Arial" w:cs="Arial"/>
          <w:sz w:val="20"/>
          <w:szCs w:val="20"/>
        </w:rPr>
        <w:t>Parameters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195"/>
        <w:gridCol w:w="717"/>
        <w:gridCol w:w="717"/>
        <w:gridCol w:w="717"/>
        <w:gridCol w:w="828"/>
        <w:gridCol w:w="717"/>
        <w:gridCol w:w="717"/>
        <w:gridCol w:w="222"/>
        <w:gridCol w:w="222"/>
      </w:tblGrid>
      <w:tr w:rsidR="000C2ECC" w:rsidRPr="006107DB" w14:paraId="0E5D43EC" w14:textId="40C16957" w:rsidTr="000C2ECC">
        <w:tc>
          <w:tcPr>
            <w:tcW w:w="0" w:type="auto"/>
            <w:tcBorders>
              <w:top w:val="single" w:sz="4" w:space="0" w:color="auto"/>
              <w:left w:val="single" w:sz="4" w:space="0" w:color="auto"/>
            </w:tcBorders>
            <w:hideMark/>
          </w:tcPr>
          <w:p w14:paraId="30F34D47" w14:textId="77777777" w:rsidR="000C2ECC" w:rsidRPr="006107DB" w:rsidRDefault="000C2ECC" w:rsidP="000C2ECC">
            <w:pPr>
              <w:spacing w:line="360" w:lineRule="auto"/>
              <w:jc w:val="center"/>
              <w:rPr>
                <w:rFonts w:ascii="Arial" w:eastAsia="Times New Roman" w:hAnsi="Arial" w:cs="Arial"/>
                <w:b/>
                <w:bCs/>
                <w:sz w:val="20"/>
                <w:szCs w:val="20"/>
              </w:rPr>
            </w:pPr>
            <w:r w:rsidRPr="006107DB">
              <w:rPr>
                <w:rFonts w:ascii="Arial" w:eastAsia="Times New Roman" w:hAnsi="Arial" w:cs="Arial"/>
                <w:b/>
                <w:bCs/>
                <w:sz w:val="20"/>
                <w:szCs w:val="20"/>
              </w:rPr>
              <w:t>Sample size</w:t>
            </w:r>
          </w:p>
        </w:tc>
        <w:tc>
          <w:tcPr>
            <w:tcW w:w="0" w:type="auto"/>
            <w:tcBorders>
              <w:top w:val="single" w:sz="4" w:space="0" w:color="auto"/>
            </w:tcBorders>
            <w:hideMark/>
          </w:tcPr>
          <w:p w14:paraId="00E874FD" w14:textId="77777777" w:rsidR="000C2ECC" w:rsidRPr="006107DB" w:rsidRDefault="000C2ECC" w:rsidP="000C2ECC">
            <w:pPr>
              <w:spacing w:line="360" w:lineRule="auto"/>
              <w:jc w:val="center"/>
              <w:rPr>
                <w:rFonts w:ascii="Arial" w:eastAsia="Times New Roman" w:hAnsi="Arial" w:cs="Arial"/>
                <w:b/>
                <w:bCs/>
                <w:sz w:val="20"/>
                <w:szCs w:val="20"/>
              </w:rPr>
            </w:pPr>
            <w:r w:rsidRPr="006107DB">
              <w:rPr>
                <w:rFonts w:ascii="Arial" w:eastAsia="Times New Roman" w:hAnsi="Arial" w:cs="Arial"/>
                <w:b/>
                <w:bCs/>
                <w:sz w:val="20"/>
                <w:szCs w:val="20"/>
              </w:rPr>
              <w:t>Parameter</w:t>
            </w:r>
          </w:p>
        </w:tc>
        <w:tc>
          <w:tcPr>
            <w:tcW w:w="0" w:type="auto"/>
            <w:gridSpan w:val="3"/>
            <w:tcBorders>
              <w:top w:val="single" w:sz="4" w:space="0" w:color="auto"/>
              <w:right w:val="single" w:sz="4" w:space="0" w:color="auto"/>
            </w:tcBorders>
            <w:hideMark/>
          </w:tcPr>
          <w:p w14:paraId="70DCB95E" w14:textId="77777777" w:rsidR="000C2ECC" w:rsidRPr="006107DB" w:rsidRDefault="000C2ECC" w:rsidP="000C2ECC">
            <w:pPr>
              <w:spacing w:line="360" w:lineRule="auto"/>
              <w:jc w:val="center"/>
              <w:rPr>
                <w:rFonts w:ascii="Arial" w:eastAsia="Times New Roman" w:hAnsi="Arial" w:cs="Arial"/>
                <w:sz w:val="20"/>
                <w:szCs w:val="20"/>
              </w:rPr>
            </w:pPr>
            <w:r w:rsidRPr="006107DB">
              <w:rPr>
                <w:rFonts w:ascii="Arial" w:eastAsia="Times New Roman" w:hAnsi="Arial" w:cs="Arial"/>
                <w:b/>
                <w:bCs/>
                <w:sz w:val="20"/>
                <w:szCs w:val="20"/>
              </w:rPr>
              <w:t>Bias</w:t>
            </w:r>
          </w:p>
        </w:tc>
        <w:tc>
          <w:tcPr>
            <w:tcW w:w="0" w:type="auto"/>
            <w:gridSpan w:val="3"/>
            <w:tcBorders>
              <w:top w:val="single" w:sz="4" w:space="0" w:color="auto"/>
              <w:left w:val="single" w:sz="4" w:space="0" w:color="auto"/>
              <w:right w:val="single" w:sz="4" w:space="0" w:color="auto"/>
            </w:tcBorders>
            <w:hideMark/>
          </w:tcPr>
          <w:p w14:paraId="5EC03279" w14:textId="77777777" w:rsidR="000C2ECC" w:rsidRPr="006107DB" w:rsidRDefault="000C2ECC" w:rsidP="000C2ECC">
            <w:pPr>
              <w:spacing w:line="360" w:lineRule="auto"/>
              <w:jc w:val="center"/>
              <w:rPr>
                <w:rFonts w:ascii="Arial" w:eastAsia="Times New Roman" w:hAnsi="Arial" w:cs="Arial"/>
                <w:sz w:val="20"/>
                <w:szCs w:val="20"/>
              </w:rPr>
            </w:pPr>
            <w:r w:rsidRPr="006107DB">
              <w:rPr>
                <w:rFonts w:ascii="Arial" w:eastAsia="Times New Roman" w:hAnsi="Arial" w:cs="Arial"/>
                <w:b/>
                <w:bCs/>
                <w:sz w:val="20"/>
                <w:szCs w:val="20"/>
              </w:rPr>
              <w:t>MSE</w:t>
            </w:r>
          </w:p>
        </w:tc>
        <w:tc>
          <w:tcPr>
            <w:tcW w:w="0" w:type="auto"/>
            <w:tcBorders>
              <w:left w:val="single" w:sz="4" w:space="0" w:color="auto"/>
            </w:tcBorders>
          </w:tcPr>
          <w:p w14:paraId="6BE9FF9A" w14:textId="77777777" w:rsidR="000C2ECC" w:rsidRPr="006107DB" w:rsidRDefault="000C2ECC" w:rsidP="000C2ECC">
            <w:pPr>
              <w:spacing w:line="360" w:lineRule="auto"/>
              <w:jc w:val="center"/>
              <w:rPr>
                <w:rFonts w:ascii="Arial" w:eastAsia="Times New Roman" w:hAnsi="Arial" w:cs="Arial"/>
                <w:b/>
                <w:bCs/>
                <w:sz w:val="20"/>
                <w:szCs w:val="20"/>
              </w:rPr>
            </w:pPr>
          </w:p>
        </w:tc>
        <w:tc>
          <w:tcPr>
            <w:tcW w:w="0" w:type="auto"/>
          </w:tcPr>
          <w:p w14:paraId="56F2F783" w14:textId="79F94C1D" w:rsidR="000C2ECC" w:rsidRPr="006107DB" w:rsidRDefault="000C2ECC" w:rsidP="000C2ECC">
            <w:pPr>
              <w:spacing w:line="360" w:lineRule="auto"/>
              <w:jc w:val="center"/>
              <w:rPr>
                <w:rFonts w:ascii="Arial" w:eastAsia="Times New Roman" w:hAnsi="Arial" w:cs="Arial"/>
                <w:b/>
                <w:bCs/>
                <w:sz w:val="20"/>
                <w:szCs w:val="20"/>
              </w:rPr>
            </w:pPr>
          </w:p>
        </w:tc>
      </w:tr>
      <w:tr w:rsidR="000C2ECC" w:rsidRPr="006107DB" w14:paraId="33F60067" w14:textId="420E4351" w:rsidTr="000C2ECC">
        <w:tc>
          <w:tcPr>
            <w:tcW w:w="0" w:type="auto"/>
            <w:tcBorders>
              <w:left w:val="single" w:sz="4" w:space="0" w:color="auto"/>
              <w:bottom w:val="single" w:sz="4" w:space="0" w:color="auto"/>
            </w:tcBorders>
            <w:hideMark/>
          </w:tcPr>
          <w:p w14:paraId="2B0360CB" w14:textId="77777777" w:rsidR="000C2ECC" w:rsidRPr="006107DB" w:rsidRDefault="000C2ECC" w:rsidP="000C2ECC">
            <w:pPr>
              <w:spacing w:line="360" w:lineRule="auto"/>
              <w:jc w:val="center"/>
              <w:rPr>
                <w:rFonts w:ascii="Arial" w:eastAsia="Times New Roman" w:hAnsi="Arial" w:cs="Arial"/>
                <w:sz w:val="20"/>
                <w:szCs w:val="20"/>
              </w:rPr>
            </w:pPr>
          </w:p>
        </w:tc>
        <w:tc>
          <w:tcPr>
            <w:tcW w:w="0" w:type="auto"/>
            <w:tcBorders>
              <w:bottom w:val="single" w:sz="4" w:space="0" w:color="auto"/>
            </w:tcBorders>
            <w:hideMark/>
          </w:tcPr>
          <w:p w14:paraId="3BA51E18" w14:textId="77777777" w:rsidR="000C2ECC" w:rsidRPr="006107DB" w:rsidRDefault="000C2ECC" w:rsidP="000C2ECC">
            <w:pPr>
              <w:spacing w:line="360" w:lineRule="auto"/>
              <w:rPr>
                <w:rFonts w:ascii="Arial" w:eastAsia="Times New Roman" w:hAnsi="Arial" w:cs="Arial"/>
                <w:sz w:val="20"/>
                <w:szCs w:val="20"/>
              </w:rPr>
            </w:pPr>
          </w:p>
        </w:tc>
        <w:tc>
          <w:tcPr>
            <w:tcW w:w="0" w:type="auto"/>
            <w:tcBorders>
              <w:bottom w:val="single" w:sz="4" w:space="0" w:color="auto"/>
            </w:tcBorders>
            <w:hideMark/>
          </w:tcPr>
          <w:p w14:paraId="48804A1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MM</w:t>
            </w:r>
          </w:p>
        </w:tc>
        <w:tc>
          <w:tcPr>
            <w:tcW w:w="0" w:type="auto"/>
            <w:tcBorders>
              <w:bottom w:val="single" w:sz="4" w:space="0" w:color="auto"/>
            </w:tcBorders>
            <w:hideMark/>
          </w:tcPr>
          <w:p w14:paraId="7CA7709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MLE</w:t>
            </w:r>
          </w:p>
        </w:tc>
        <w:tc>
          <w:tcPr>
            <w:tcW w:w="0" w:type="auto"/>
            <w:tcBorders>
              <w:bottom w:val="single" w:sz="4" w:space="0" w:color="auto"/>
              <w:right w:val="single" w:sz="4" w:space="0" w:color="auto"/>
            </w:tcBorders>
            <w:hideMark/>
          </w:tcPr>
          <w:p w14:paraId="3E96D34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EM</w:t>
            </w:r>
          </w:p>
        </w:tc>
        <w:tc>
          <w:tcPr>
            <w:tcW w:w="0" w:type="auto"/>
            <w:tcBorders>
              <w:left w:val="single" w:sz="4" w:space="0" w:color="auto"/>
              <w:bottom w:val="single" w:sz="4" w:space="0" w:color="auto"/>
            </w:tcBorders>
            <w:hideMark/>
          </w:tcPr>
          <w:p w14:paraId="3B333743"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MM</w:t>
            </w:r>
          </w:p>
        </w:tc>
        <w:tc>
          <w:tcPr>
            <w:tcW w:w="0" w:type="auto"/>
            <w:tcBorders>
              <w:bottom w:val="single" w:sz="4" w:space="0" w:color="auto"/>
            </w:tcBorders>
            <w:hideMark/>
          </w:tcPr>
          <w:p w14:paraId="36DBC63B"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MLE</w:t>
            </w:r>
          </w:p>
        </w:tc>
        <w:tc>
          <w:tcPr>
            <w:tcW w:w="0" w:type="auto"/>
            <w:tcBorders>
              <w:bottom w:val="single" w:sz="4" w:space="0" w:color="auto"/>
              <w:right w:val="single" w:sz="4" w:space="0" w:color="auto"/>
            </w:tcBorders>
            <w:hideMark/>
          </w:tcPr>
          <w:p w14:paraId="28508473"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EM</w:t>
            </w:r>
          </w:p>
        </w:tc>
        <w:tc>
          <w:tcPr>
            <w:tcW w:w="0" w:type="auto"/>
            <w:tcBorders>
              <w:left w:val="single" w:sz="4" w:space="0" w:color="auto"/>
            </w:tcBorders>
          </w:tcPr>
          <w:p w14:paraId="0A1A387E"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38395564" w14:textId="0AFF9595" w:rsidR="000C2ECC" w:rsidRPr="006107DB" w:rsidRDefault="000C2ECC" w:rsidP="000C2ECC">
            <w:pPr>
              <w:spacing w:line="360" w:lineRule="auto"/>
              <w:rPr>
                <w:rFonts w:ascii="Arial" w:eastAsia="Times New Roman" w:hAnsi="Arial" w:cs="Arial"/>
                <w:sz w:val="20"/>
                <w:szCs w:val="20"/>
              </w:rPr>
            </w:pPr>
          </w:p>
        </w:tc>
      </w:tr>
      <w:tr w:rsidR="000C2ECC" w:rsidRPr="006107DB" w14:paraId="1D945AF7" w14:textId="0A8DA470" w:rsidTr="000C2ECC">
        <w:tc>
          <w:tcPr>
            <w:tcW w:w="0" w:type="auto"/>
            <w:vMerge w:val="restart"/>
            <w:tcBorders>
              <w:top w:val="single" w:sz="4" w:space="0" w:color="auto"/>
              <w:left w:val="single" w:sz="4" w:space="0" w:color="auto"/>
            </w:tcBorders>
            <w:hideMark/>
          </w:tcPr>
          <w:p w14:paraId="7F7A33F9" w14:textId="77777777" w:rsidR="000C2ECC" w:rsidRPr="006107DB" w:rsidRDefault="000C2ECC" w:rsidP="000C2ECC">
            <w:pPr>
              <w:spacing w:line="360" w:lineRule="auto"/>
              <w:rPr>
                <w:rFonts w:ascii="Arial" w:eastAsia="Times New Roman" w:hAnsi="Arial" w:cs="Arial"/>
                <w:sz w:val="20"/>
                <w:szCs w:val="20"/>
              </w:rPr>
            </w:pPr>
          </w:p>
          <w:p w14:paraId="0E28DF61" w14:textId="77777777" w:rsidR="000C2ECC" w:rsidRPr="006107DB" w:rsidRDefault="000C2ECC" w:rsidP="000C2ECC">
            <w:pPr>
              <w:spacing w:line="360" w:lineRule="auto"/>
              <w:rPr>
                <w:rFonts w:ascii="Arial" w:eastAsia="Times New Roman" w:hAnsi="Arial" w:cs="Arial"/>
                <w:sz w:val="20"/>
                <w:szCs w:val="20"/>
              </w:rPr>
            </w:pPr>
          </w:p>
          <w:p w14:paraId="510E52E5"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n=20</w:t>
            </w:r>
          </w:p>
        </w:tc>
        <w:tc>
          <w:tcPr>
            <w:tcW w:w="0" w:type="auto"/>
            <w:tcBorders>
              <w:top w:val="single" w:sz="4" w:space="0" w:color="auto"/>
            </w:tcBorders>
            <w:hideMark/>
          </w:tcPr>
          <w:p w14:paraId="2D8F000C" w14:textId="4F84C9BB"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β</m:t>
                </m:r>
              </m:oMath>
            </m:oMathPara>
          </w:p>
        </w:tc>
        <w:tc>
          <w:tcPr>
            <w:tcW w:w="0" w:type="auto"/>
            <w:tcBorders>
              <w:top w:val="single" w:sz="4" w:space="0" w:color="auto"/>
            </w:tcBorders>
            <w:hideMark/>
          </w:tcPr>
          <w:p w14:paraId="6201929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tcBorders>
              <w:top w:val="single" w:sz="4" w:space="0" w:color="auto"/>
            </w:tcBorders>
            <w:hideMark/>
          </w:tcPr>
          <w:p w14:paraId="7160A61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0.050</w:t>
            </w:r>
          </w:p>
        </w:tc>
        <w:tc>
          <w:tcPr>
            <w:tcW w:w="0" w:type="auto"/>
            <w:tcBorders>
              <w:top w:val="single" w:sz="4" w:space="0" w:color="auto"/>
              <w:right w:val="single" w:sz="4" w:space="0" w:color="auto"/>
            </w:tcBorders>
            <w:hideMark/>
          </w:tcPr>
          <w:p w14:paraId="23D0529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0.010</w:t>
            </w:r>
          </w:p>
        </w:tc>
        <w:tc>
          <w:tcPr>
            <w:tcW w:w="0" w:type="auto"/>
            <w:tcBorders>
              <w:top w:val="single" w:sz="4" w:space="0" w:color="auto"/>
              <w:left w:val="single" w:sz="4" w:space="0" w:color="auto"/>
            </w:tcBorders>
            <w:hideMark/>
          </w:tcPr>
          <w:p w14:paraId="09FC3D8D"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0.242</w:t>
            </w:r>
          </w:p>
        </w:tc>
        <w:tc>
          <w:tcPr>
            <w:tcW w:w="0" w:type="auto"/>
            <w:tcBorders>
              <w:top w:val="single" w:sz="4" w:space="0" w:color="auto"/>
            </w:tcBorders>
            <w:hideMark/>
          </w:tcPr>
          <w:p w14:paraId="2CD1F88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0.180</w:t>
            </w:r>
          </w:p>
        </w:tc>
        <w:tc>
          <w:tcPr>
            <w:tcW w:w="0" w:type="auto"/>
            <w:tcBorders>
              <w:top w:val="single" w:sz="4" w:space="0" w:color="auto"/>
              <w:right w:val="single" w:sz="4" w:space="0" w:color="auto"/>
            </w:tcBorders>
            <w:hideMark/>
          </w:tcPr>
          <w:p w14:paraId="0E3836A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0.150</w:t>
            </w:r>
          </w:p>
        </w:tc>
        <w:tc>
          <w:tcPr>
            <w:tcW w:w="0" w:type="auto"/>
            <w:tcBorders>
              <w:left w:val="single" w:sz="4" w:space="0" w:color="auto"/>
            </w:tcBorders>
          </w:tcPr>
          <w:p w14:paraId="394D8E65"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76EA1E9F" w14:textId="2AF5F891" w:rsidR="000C2ECC" w:rsidRPr="006107DB" w:rsidRDefault="000C2ECC" w:rsidP="000C2ECC">
            <w:pPr>
              <w:spacing w:line="360" w:lineRule="auto"/>
              <w:rPr>
                <w:rFonts w:ascii="Arial" w:eastAsia="Times New Roman" w:hAnsi="Arial" w:cs="Arial"/>
                <w:sz w:val="20"/>
                <w:szCs w:val="20"/>
              </w:rPr>
            </w:pPr>
          </w:p>
        </w:tc>
      </w:tr>
      <w:tr w:rsidR="000C2ECC" w:rsidRPr="006107DB" w14:paraId="23D7BC89" w14:textId="0EA5B3F9" w:rsidTr="000C2ECC">
        <w:tc>
          <w:tcPr>
            <w:tcW w:w="0" w:type="auto"/>
            <w:vMerge/>
            <w:tcBorders>
              <w:left w:val="single" w:sz="4" w:space="0" w:color="auto"/>
            </w:tcBorders>
            <w:hideMark/>
          </w:tcPr>
          <w:p w14:paraId="5F726A1B"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435D6660" w14:textId="71BA4B4D"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σ</m:t>
                </m:r>
              </m:oMath>
            </m:oMathPara>
          </w:p>
        </w:tc>
        <w:tc>
          <w:tcPr>
            <w:tcW w:w="0" w:type="auto"/>
            <w:hideMark/>
          </w:tcPr>
          <w:p w14:paraId="712D3F2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6FDD741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0.120</w:t>
            </w:r>
          </w:p>
        </w:tc>
        <w:tc>
          <w:tcPr>
            <w:tcW w:w="0" w:type="auto"/>
            <w:tcBorders>
              <w:right w:val="single" w:sz="4" w:space="0" w:color="auto"/>
            </w:tcBorders>
            <w:hideMark/>
          </w:tcPr>
          <w:p w14:paraId="1DBA9E66"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0.080</w:t>
            </w:r>
          </w:p>
        </w:tc>
        <w:tc>
          <w:tcPr>
            <w:tcW w:w="0" w:type="auto"/>
            <w:tcBorders>
              <w:left w:val="single" w:sz="4" w:space="0" w:color="auto"/>
            </w:tcBorders>
            <w:hideMark/>
          </w:tcPr>
          <w:p w14:paraId="1B5B6A0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0.296</w:t>
            </w:r>
          </w:p>
        </w:tc>
        <w:tc>
          <w:tcPr>
            <w:tcW w:w="0" w:type="auto"/>
            <w:hideMark/>
          </w:tcPr>
          <w:p w14:paraId="1CFF4026"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0.240</w:t>
            </w:r>
          </w:p>
        </w:tc>
        <w:tc>
          <w:tcPr>
            <w:tcW w:w="0" w:type="auto"/>
            <w:tcBorders>
              <w:right w:val="single" w:sz="4" w:space="0" w:color="auto"/>
            </w:tcBorders>
            <w:hideMark/>
          </w:tcPr>
          <w:p w14:paraId="074CAEB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0.200</w:t>
            </w:r>
          </w:p>
        </w:tc>
        <w:tc>
          <w:tcPr>
            <w:tcW w:w="0" w:type="auto"/>
            <w:tcBorders>
              <w:left w:val="single" w:sz="4" w:space="0" w:color="auto"/>
            </w:tcBorders>
          </w:tcPr>
          <w:p w14:paraId="4C182C78"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05F614D4" w14:textId="6F5C899D" w:rsidR="000C2ECC" w:rsidRPr="006107DB" w:rsidRDefault="000C2ECC" w:rsidP="000C2ECC">
            <w:pPr>
              <w:spacing w:line="360" w:lineRule="auto"/>
              <w:rPr>
                <w:rFonts w:ascii="Arial" w:eastAsia="Times New Roman" w:hAnsi="Arial" w:cs="Arial"/>
                <w:sz w:val="20"/>
                <w:szCs w:val="20"/>
              </w:rPr>
            </w:pPr>
          </w:p>
        </w:tc>
      </w:tr>
      <w:tr w:rsidR="000C2ECC" w:rsidRPr="006107DB" w14:paraId="5E890FEC" w14:textId="4C89B36D" w:rsidTr="000C2ECC">
        <w:tc>
          <w:tcPr>
            <w:tcW w:w="0" w:type="auto"/>
            <w:vMerge/>
            <w:tcBorders>
              <w:left w:val="single" w:sz="4" w:space="0" w:color="auto"/>
            </w:tcBorders>
            <w:hideMark/>
          </w:tcPr>
          <w:p w14:paraId="266898A1"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15B42F8F" w14:textId="4AC28ACF"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τ</m:t>
                </m:r>
              </m:oMath>
            </m:oMathPara>
          </w:p>
        </w:tc>
        <w:tc>
          <w:tcPr>
            <w:tcW w:w="0" w:type="auto"/>
            <w:hideMark/>
          </w:tcPr>
          <w:p w14:paraId="3C9136F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0.000</w:t>
            </w:r>
          </w:p>
        </w:tc>
        <w:tc>
          <w:tcPr>
            <w:tcW w:w="0" w:type="auto"/>
            <w:hideMark/>
          </w:tcPr>
          <w:p w14:paraId="29F6C6E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0.080</w:t>
            </w:r>
          </w:p>
        </w:tc>
        <w:tc>
          <w:tcPr>
            <w:tcW w:w="0" w:type="auto"/>
            <w:tcBorders>
              <w:right w:val="single" w:sz="4" w:space="0" w:color="auto"/>
            </w:tcBorders>
            <w:hideMark/>
          </w:tcPr>
          <w:p w14:paraId="7B383FB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0.030</w:t>
            </w:r>
          </w:p>
        </w:tc>
        <w:tc>
          <w:tcPr>
            <w:tcW w:w="0" w:type="auto"/>
            <w:tcBorders>
              <w:left w:val="single" w:sz="4" w:space="0" w:color="auto"/>
            </w:tcBorders>
            <w:hideMark/>
          </w:tcPr>
          <w:p w14:paraId="37F210A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0.354</w:t>
            </w:r>
          </w:p>
        </w:tc>
        <w:tc>
          <w:tcPr>
            <w:tcW w:w="0" w:type="auto"/>
            <w:hideMark/>
          </w:tcPr>
          <w:p w14:paraId="5C74916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0.290</w:t>
            </w:r>
          </w:p>
        </w:tc>
        <w:tc>
          <w:tcPr>
            <w:tcW w:w="0" w:type="auto"/>
            <w:tcBorders>
              <w:right w:val="single" w:sz="4" w:space="0" w:color="auto"/>
            </w:tcBorders>
            <w:hideMark/>
          </w:tcPr>
          <w:p w14:paraId="7EFA2C7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0.250</w:t>
            </w:r>
          </w:p>
        </w:tc>
        <w:tc>
          <w:tcPr>
            <w:tcW w:w="0" w:type="auto"/>
            <w:tcBorders>
              <w:left w:val="single" w:sz="4" w:space="0" w:color="auto"/>
            </w:tcBorders>
          </w:tcPr>
          <w:p w14:paraId="7317EFFF"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59B52F18" w14:textId="566EC8BD" w:rsidR="000C2ECC" w:rsidRPr="006107DB" w:rsidRDefault="000C2ECC" w:rsidP="000C2ECC">
            <w:pPr>
              <w:spacing w:line="360" w:lineRule="auto"/>
              <w:rPr>
                <w:rFonts w:ascii="Arial" w:eastAsia="Times New Roman" w:hAnsi="Arial" w:cs="Arial"/>
                <w:sz w:val="20"/>
                <w:szCs w:val="20"/>
              </w:rPr>
            </w:pPr>
          </w:p>
        </w:tc>
      </w:tr>
      <w:tr w:rsidR="000C2ECC" w:rsidRPr="006107DB" w14:paraId="47B88A2A" w14:textId="16DC8509" w:rsidTr="000C2ECC">
        <w:tc>
          <w:tcPr>
            <w:tcW w:w="0" w:type="auto"/>
            <w:vMerge/>
            <w:tcBorders>
              <w:left w:val="single" w:sz="4" w:space="0" w:color="auto"/>
            </w:tcBorders>
            <w:hideMark/>
          </w:tcPr>
          <w:p w14:paraId="4B34B536"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4018C8B6" w14:textId="560C070B"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γ</m:t>
                </m:r>
              </m:oMath>
            </m:oMathPara>
          </w:p>
        </w:tc>
        <w:tc>
          <w:tcPr>
            <w:tcW w:w="0" w:type="auto"/>
            <w:hideMark/>
          </w:tcPr>
          <w:p w14:paraId="11D8BDC5"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2.496</w:t>
            </w:r>
          </w:p>
        </w:tc>
        <w:tc>
          <w:tcPr>
            <w:tcW w:w="0" w:type="auto"/>
            <w:hideMark/>
          </w:tcPr>
          <w:p w14:paraId="42F4E54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2.280</w:t>
            </w:r>
          </w:p>
        </w:tc>
        <w:tc>
          <w:tcPr>
            <w:tcW w:w="0" w:type="auto"/>
            <w:tcBorders>
              <w:right w:val="single" w:sz="4" w:space="0" w:color="auto"/>
            </w:tcBorders>
            <w:hideMark/>
          </w:tcPr>
          <w:p w14:paraId="480C2C1B"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2.200</w:t>
            </w:r>
          </w:p>
        </w:tc>
        <w:tc>
          <w:tcPr>
            <w:tcW w:w="0" w:type="auto"/>
            <w:tcBorders>
              <w:left w:val="single" w:sz="4" w:space="0" w:color="auto"/>
            </w:tcBorders>
            <w:hideMark/>
          </w:tcPr>
          <w:p w14:paraId="1604EFD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12.484</w:t>
            </w:r>
          </w:p>
        </w:tc>
        <w:tc>
          <w:tcPr>
            <w:tcW w:w="0" w:type="auto"/>
            <w:hideMark/>
          </w:tcPr>
          <w:p w14:paraId="5670B68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9.500</w:t>
            </w:r>
          </w:p>
        </w:tc>
        <w:tc>
          <w:tcPr>
            <w:tcW w:w="0" w:type="auto"/>
            <w:tcBorders>
              <w:right w:val="single" w:sz="4" w:space="0" w:color="auto"/>
            </w:tcBorders>
            <w:hideMark/>
          </w:tcPr>
          <w:p w14:paraId="3D17738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8.900</w:t>
            </w:r>
          </w:p>
        </w:tc>
        <w:tc>
          <w:tcPr>
            <w:tcW w:w="0" w:type="auto"/>
            <w:tcBorders>
              <w:left w:val="single" w:sz="4" w:space="0" w:color="auto"/>
            </w:tcBorders>
          </w:tcPr>
          <w:p w14:paraId="6DDEB352"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24E87187" w14:textId="785EF4B5" w:rsidR="000C2ECC" w:rsidRPr="006107DB" w:rsidRDefault="000C2ECC" w:rsidP="000C2ECC">
            <w:pPr>
              <w:spacing w:line="360" w:lineRule="auto"/>
              <w:rPr>
                <w:rFonts w:ascii="Arial" w:eastAsia="Times New Roman" w:hAnsi="Arial" w:cs="Arial"/>
                <w:sz w:val="20"/>
                <w:szCs w:val="20"/>
              </w:rPr>
            </w:pPr>
          </w:p>
        </w:tc>
      </w:tr>
      <w:tr w:rsidR="000C2ECC" w:rsidRPr="006107DB" w14:paraId="3F8C705A" w14:textId="045817EC" w:rsidTr="000C2ECC">
        <w:tc>
          <w:tcPr>
            <w:tcW w:w="0" w:type="auto"/>
            <w:tcBorders>
              <w:left w:val="single" w:sz="4" w:space="0" w:color="auto"/>
            </w:tcBorders>
            <w:hideMark/>
          </w:tcPr>
          <w:p w14:paraId="0D9951F7"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4DEA2900" w14:textId="364C6F32"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θ</m:t>
                </m:r>
              </m:oMath>
            </m:oMathPara>
          </w:p>
        </w:tc>
        <w:tc>
          <w:tcPr>
            <w:tcW w:w="0" w:type="auto"/>
            <w:hideMark/>
          </w:tcPr>
          <w:p w14:paraId="2B33CEA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7D8B947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0.150</w:t>
            </w:r>
          </w:p>
        </w:tc>
        <w:tc>
          <w:tcPr>
            <w:tcW w:w="0" w:type="auto"/>
            <w:tcBorders>
              <w:right w:val="single" w:sz="4" w:space="0" w:color="auto"/>
            </w:tcBorders>
            <w:hideMark/>
          </w:tcPr>
          <w:p w14:paraId="6ECC659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0.050</w:t>
            </w:r>
          </w:p>
        </w:tc>
        <w:tc>
          <w:tcPr>
            <w:tcW w:w="0" w:type="auto"/>
            <w:tcBorders>
              <w:left w:val="single" w:sz="4" w:space="0" w:color="auto"/>
            </w:tcBorders>
            <w:hideMark/>
          </w:tcPr>
          <w:p w14:paraId="32630896"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0.816</w:t>
            </w:r>
          </w:p>
        </w:tc>
        <w:tc>
          <w:tcPr>
            <w:tcW w:w="0" w:type="auto"/>
            <w:hideMark/>
          </w:tcPr>
          <w:p w14:paraId="1C4D202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0.700</w:t>
            </w:r>
          </w:p>
        </w:tc>
        <w:tc>
          <w:tcPr>
            <w:tcW w:w="0" w:type="auto"/>
            <w:tcBorders>
              <w:right w:val="single" w:sz="4" w:space="0" w:color="auto"/>
            </w:tcBorders>
            <w:hideMark/>
          </w:tcPr>
          <w:p w14:paraId="55D78B2D"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0.600</w:t>
            </w:r>
          </w:p>
          <w:p w14:paraId="490325B9" w14:textId="77777777" w:rsidR="000C2ECC" w:rsidRPr="006107DB" w:rsidRDefault="000C2ECC" w:rsidP="000C2ECC">
            <w:pPr>
              <w:spacing w:line="360" w:lineRule="auto"/>
              <w:rPr>
                <w:rFonts w:ascii="Arial" w:eastAsia="Times New Roman" w:hAnsi="Arial" w:cs="Arial"/>
                <w:sz w:val="20"/>
                <w:szCs w:val="20"/>
              </w:rPr>
            </w:pPr>
          </w:p>
          <w:p w14:paraId="18CB0506" w14:textId="77777777" w:rsidR="000C2ECC" w:rsidRPr="006107DB" w:rsidRDefault="000C2ECC" w:rsidP="000C2ECC">
            <w:pPr>
              <w:spacing w:line="360" w:lineRule="auto"/>
              <w:rPr>
                <w:rFonts w:ascii="Arial" w:eastAsia="Times New Roman" w:hAnsi="Arial" w:cs="Arial"/>
                <w:sz w:val="20"/>
                <w:szCs w:val="20"/>
              </w:rPr>
            </w:pPr>
          </w:p>
        </w:tc>
        <w:tc>
          <w:tcPr>
            <w:tcW w:w="0" w:type="auto"/>
            <w:tcBorders>
              <w:left w:val="single" w:sz="4" w:space="0" w:color="auto"/>
            </w:tcBorders>
          </w:tcPr>
          <w:p w14:paraId="6C265574"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429A5DF9" w14:textId="13923C77" w:rsidR="000C2ECC" w:rsidRPr="006107DB" w:rsidRDefault="000C2ECC" w:rsidP="000C2ECC">
            <w:pPr>
              <w:spacing w:line="360" w:lineRule="auto"/>
              <w:rPr>
                <w:rFonts w:ascii="Arial" w:eastAsia="Times New Roman" w:hAnsi="Arial" w:cs="Arial"/>
                <w:sz w:val="20"/>
                <w:szCs w:val="20"/>
              </w:rPr>
            </w:pPr>
          </w:p>
        </w:tc>
      </w:tr>
      <w:tr w:rsidR="000C2ECC" w:rsidRPr="006107DB" w14:paraId="053E311E" w14:textId="3713FDDD" w:rsidTr="000C2ECC">
        <w:tc>
          <w:tcPr>
            <w:tcW w:w="0" w:type="auto"/>
            <w:vMerge w:val="restart"/>
            <w:tcBorders>
              <w:left w:val="single" w:sz="4" w:space="0" w:color="auto"/>
            </w:tcBorders>
            <w:hideMark/>
          </w:tcPr>
          <w:p w14:paraId="09BEF6E1" w14:textId="77777777" w:rsidR="000C2ECC" w:rsidRPr="006107DB" w:rsidRDefault="000C2ECC" w:rsidP="000C2ECC">
            <w:pPr>
              <w:spacing w:line="360" w:lineRule="auto"/>
              <w:rPr>
                <w:rFonts w:ascii="Arial" w:eastAsia="Times New Roman" w:hAnsi="Arial" w:cs="Arial"/>
                <w:sz w:val="20"/>
                <w:szCs w:val="20"/>
              </w:rPr>
            </w:pPr>
          </w:p>
          <w:p w14:paraId="7E11C27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 xml:space="preserve"> </w:t>
            </w:r>
          </w:p>
          <w:p w14:paraId="0A5E604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n=100</w:t>
            </w:r>
          </w:p>
        </w:tc>
        <w:tc>
          <w:tcPr>
            <w:tcW w:w="0" w:type="auto"/>
            <w:hideMark/>
          </w:tcPr>
          <w:p w14:paraId="61A0E9E5" w14:textId="409189F5"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β</m:t>
                </m:r>
              </m:oMath>
            </m:oMathPara>
          </w:p>
        </w:tc>
        <w:tc>
          <w:tcPr>
            <w:tcW w:w="0" w:type="auto"/>
            <w:hideMark/>
          </w:tcPr>
          <w:p w14:paraId="7539EF6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4AA2FE6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0.030</w:t>
            </w:r>
          </w:p>
        </w:tc>
        <w:tc>
          <w:tcPr>
            <w:tcW w:w="0" w:type="auto"/>
            <w:tcBorders>
              <w:right w:val="single" w:sz="4" w:space="0" w:color="auto"/>
            </w:tcBorders>
            <w:hideMark/>
          </w:tcPr>
          <w:p w14:paraId="6A061B6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0.005</w:t>
            </w:r>
          </w:p>
        </w:tc>
        <w:tc>
          <w:tcPr>
            <w:tcW w:w="0" w:type="auto"/>
            <w:tcBorders>
              <w:left w:val="single" w:sz="4" w:space="0" w:color="auto"/>
            </w:tcBorders>
            <w:hideMark/>
          </w:tcPr>
          <w:p w14:paraId="0756B09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0.242</w:t>
            </w:r>
          </w:p>
        </w:tc>
        <w:tc>
          <w:tcPr>
            <w:tcW w:w="0" w:type="auto"/>
            <w:hideMark/>
          </w:tcPr>
          <w:p w14:paraId="23C146BB"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0.120</w:t>
            </w:r>
          </w:p>
        </w:tc>
        <w:tc>
          <w:tcPr>
            <w:tcW w:w="0" w:type="auto"/>
            <w:tcBorders>
              <w:right w:val="single" w:sz="4" w:space="0" w:color="auto"/>
            </w:tcBorders>
            <w:hideMark/>
          </w:tcPr>
          <w:p w14:paraId="48C33E6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0.090</w:t>
            </w:r>
          </w:p>
        </w:tc>
        <w:tc>
          <w:tcPr>
            <w:tcW w:w="0" w:type="auto"/>
            <w:tcBorders>
              <w:left w:val="single" w:sz="4" w:space="0" w:color="auto"/>
            </w:tcBorders>
          </w:tcPr>
          <w:p w14:paraId="1741D2E6"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14FECA0D" w14:textId="15A93423" w:rsidR="000C2ECC" w:rsidRPr="006107DB" w:rsidRDefault="000C2ECC" w:rsidP="000C2ECC">
            <w:pPr>
              <w:spacing w:line="360" w:lineRule="auto"/>
              <w:rPr>
                <w:rFonts w:ascii="Arial" w:eastAsia="Times New Roman" w:hAnsi="Arial" w:cs="Arial"/>
                <w:sz w:val="20"/>
                <w:szCs w:val="20"/>
              </w:rPr>
            </w:pPr>
          </w:p>
        </w:tc>
      </w:tr>
      <w:tr w:rsidR="000C2ECC" w:rsidRPr="006107DB" w14:paraId="71A3B428" w14:textId="0D9A0222" w:rsidTr="000C2ECC">
        <w:tc>
          <w:tcPr>
            <w:tcW w:w="0" w:type="auto"/>
            <w:vMerge/>
            <w:tcBorders>
              <w:left w:val="single" w:sz="4" w:space="0" w:color="auto"/>
            </w:tcBorders>
            <w:hideMark/>
          </w:tcPr>
          <w:p w14:paraId="3DEEFFC0"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14D636E7" w14:textId="33B008DD"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σ</m:t>
                </m:r>
              </m:oMath>
            </m:oMathPara>
          </w:p>
        </w:tc>
        <w:tc>
          <w:tcPr>
            <w:tcW w:w="0" w:type="auto"/>
            <w:hideMark/>
          </w:tcPr>
          <w:p w14:paraId="790500B3"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4FF8C97D"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0.080</w:t>
            </w:r>
          </w:p>
        </w:tc>
        <w:tc>
          <w:tcPr>
            <w:tcW w:w="0" w:type="auto"/>
            <w:tcBorders>
              <w:right w:val="single" w:sz="4" w:space="0" w:color="auto"/>
            </w:tcBorders>
            <w:hideMark/>
          </w:tcPr>
          <w:p w14:paraId="1656A0FF"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0.040</w:t>
            </w:r>
          </w:p>
        </w:tc>
        <w:tc>
          <w:tcPr>
            <w:tcW w:w="0" w:type="auto"/>
            <w:tcBorders>
              <w:left w:val="single" w:sz="4" w:space="0" w:color="auto"/>
            </w:tcBorders>
            <w:hideMark/>
          </w:tcPr>
          <w:p w14:paraId="146B0F4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0.296</w:t>
            </w:r>
          </w:p>
        </w:tc>
        <w:tc>
          <w:tcPr>
            <w:tcW w:w="0" w:type="auto"/>
            <w:hideMark/>
          </w:tcPr>
          <w:p w14:paraId="6A36234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0.150</w:t>
            </w:r>
          </w:p>
        </w:tc>
        <w:tc>
          <w:tcPr>
            <w:tcW w:w="0" w:type="auto"/>
            <w:tcBorders>
              <w:right w:val="single" w:sz="4" w:space="0" w:color="auto"/>
            </w:tcBorders>
            <w:hideMark/>
          </w:tcPr>
          <w:p w14:paraId="39F4711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tcBorders>
              <w:left w:val="single" w:sz="4" w:space="0" w:color="auto"/>
            </w:tcBorders>
          </w:tcPr>
          <w:p w14:paraId="031CB329"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685088AC" w14:textId="53446D29" w:rsidR="000C2ECC" w:rsidRPr="006107DB" w:rsidRDefault="000C2ECC" w:rsidP="000C2ECC">
            <w:pPr>
              <w:spacing w:line="360" w:lineRule="auto"/>
              <w:rPr>
                <w:rFonts w:ascii="Arial" w:eastAsia="Times New Roman" w:hAnsi="Arial" w:cs="Arial"/>
                <w:sz w:val="20"/>
                <w:szCs w:val="20"/>
              </w:rPr>
            </w:pPr>
          </w:p>
        </w:tc>
      </w:tr>
      <w:tr w:rsidR="000C2ECC" w:rsidRPr="006107DB" w14:paraId="10D03B3E" w14:textId="749822C5" w:rsidTr="000C2ECC">
        <w:tc>
          <w:tcPr>
            <w:tcW w:w="0" w:type="auto"/>
            <w:vMerge/>
            <w:tcBorders>
              <w:left w:val="single" w:sz="4" w:space="0" w:color="auto"/>
            </w:tcBorders>
            <w:hideMark/>
          </w:tcPr>
          <w:p w14:paraId="304347D6"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2027A666" w14:textId="5159B5CC"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τ</m:t>
                </m:r>
              </m:oMath>
            </m:oMathPara>
          </w:p>
        </w:tc>
        <w:tc>
          <w:tcPr>
            <w:tcW w:w="0" w:type="auto"/>
            <w:hideMark/>
          </w:tcPr>
          <w:p w14:paraId="2C275FBD"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0.000</w:t>
            </w:r>
          </w:p>
        </w:tc>
        <w:tc>
          <w:tcPr>
            <w:tcW w:w="0" w:type="auto"/>
            <w:hideMark/>
          </w:tcPr>
          <w:p w14:paraId="7D90907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0.050</w:t>
            </w:r>
          </w:p>
        </w:tc>
        <w:tc>
          <w:tcPr>
            <w:tcW w:w="0" w:type="auto"/>
            <w:tcBorders>
              <w:right w:val="single" w:sz="4" w:space="0" w:color="auto"/>
            </w:tcBorders>
            <w:hideMark/>
          </w:tcPr>
          <w:p w14:paraId="2E0388B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0.020</w:t>
            </w:r>
          </w:p>
        </w:tc>
        <w:tc>
          <w:tcPr>
            <w:tcW w:w="0" w:type="auto"/>
            <w:tcBorders>
              <w:left w:val="single" w:sz="4" w:space="0" w:color="auto"/>
            </w:tcBorders>
            <w:hideMark/>
          </w:tcPr>
          <w:p w14:paraId="58A099A3"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0.354</w:t>
            </w:r>
          </w:p>
        </w:tc>
        <w:tc>
          <w:tcPr>
            <w:tcW w:w="0" w:type="auto"/>
            <w:hideMark/>
          </w:tcPr>
          <w:p w14:paraId="2432F52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0.210</w:t>
            </w:r>
          </w:p>
        </w:tc>
        <w:tc>
          <w:tcPr>
            <w:tcW w:w="0" w:type="auto"/>
            <w:tcBorders>
              <w:right w:val="single" w:sz="4" w:space="0" w:color="auto"/>
            </w:tcBorders>
            <w:hideMark/>
          </w:tcPr>
          <w:p w14:paraId="51F3CB6F"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0.140</w:t>
            </w:r>
          </w:p>
        </w:tc>
        <w:tc>
          <w:tcPr>
            <w:tcW w:w="0" w:type="auto"/>
            <w:tcBorders>
              <w:left w:val="single" w:sz="4" w:space="0" w:color="auto"/>
            </w:tcBorders>
          </w:tcPr>
          <w:p w14:paraId="6D3CDF77"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0B7ADC2D" w14:textId="7F11E9A2" w:rsidR="000C2ECC" w:rsidRPr="006107DB" w:rsidRDefault="000C2ECC" w:rsidP="000C2ECC">
            <w:pPr>
              <w:spacing w:line="360" w:lineRule="auto"/>
              <w:rPr>
                <w:rFonts w:ascii="Arial" w:eastAsia="Times New Roman" w:hAnsi="Arial" w:cs="Arial"/>
                <w:sz w:val="20"/>
                <w:szCs w:val="20"/>
              </w:rPr>
            </w:pPr>
          </w:p>
        </w:tc>
      </w:tr>
      <w:tr w:rsidR="000C2ECC" w:rsidRPr="006107DB" w14:paraId="72886CF4" w14:textId="035D6086" w:rsidTr="000C2ECC">
        <w:tc>
          <w:tcPr>
            <w:tcW w:w="0" w:type="auto"/>
            <w:vMerge/>
            <w:tcBorders>
              <w:left w:val="single" w:sz="4" w:space="0" w:color="auto"/>
            </w:tcBorders>
            <w:hideMark/>
          </w:tcPr>
          <w:p w14:paraId="1F7D6BCD"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299D6CBE" w14:textId="0F84DEFE"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γ</m:t>
                </m:r>
              </m:oMath>
            </m:oMathPara>
          </w:p>
        </w:tc>
        <w:tc>
          <w:tcPr>
            <w:tcW w:w="0" w:type="auto"/>
            <w:hideMark/>
          </w:tcPr>
          <w:p w14:paraId="176183A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2.547</w:t>
            </w:r>
          </w:p>
        </w:tc>
        <w:tc>
          <w:tcPr>
            <w:tcW w:w="0" w:type="auto"/>
            <w:hideMark/>
          </w:tcPr>
          <w:p w14:paraId="1303595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2.300</w:t>
            </w:r>
          </w:p>
        </w:tc>
        <w:tc>
          <w:tcPr>
            <w:tcW w:w="0" w:type="auto"/>
            <w:tcBorders>
              <w:right w:val="single" w:sz="4" w:space="0" w:color="auto"/>
            </w:tcBorders>
            <w:hideMark/>
          </w:tcPr>
          <w:p w14:paraId="0287D5C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2.280</w:t>
            </w:r>
          </w:p>
        </w:tc>
        <w:tc>
          <w:tcPr>
            <w:tcW w:w="0" w:type="auto"/>
            <w:tcBorders>
              <w:left w:val="single" w:sz="4" w:space="0" w:color="auto"/>
            </w:tcBorders>
            <w:hideMark/>
          </w:tcPr>
          <w:p w14:paraId="3021AF8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10.460</w:t>
            </w:r>
          </w:p>
        </w:tc>
        <w:tc>
          <w:tcPr>
            <w:tcW w:w="0" w:type="auto"/>
            <w:hideMark/>
          </w:tcPr>
          <w:p w14:paraId="1756AAC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8.200</w:t>
            </w:r>
          </w:p>
        </w:tc>
        <w:tc>
          <w:tcPr>
            <w:tcW w:w="0" w:type="auto"/>
            <w:tcBorders>
              <w:right w:val="single" w:sz="4" w:space="0" w:color="auto"/>
            </w:tcBorders>
            <w:hideMark/>
          </w:tcPr>
          <w:p w14:paraId="72E266A3"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7.900</w:t>
            </w:r>
          </w:p>
        </w:tc>
        <w:tc>
          <w:tcPr>
            <w:tcW w:w="0" w:type="auto"/>
            <w:tcBorders>
              <w:left w:val="single" w:sz="4" w:space="0" w:color="auto"/>
            </w:tcBorders>
          </w:tcPr>
          <w:p w14:paraId="1E9F349C"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304CB4AB" w14:textId="5355D37D" w:rsidR="000C2ECC" w:rsidRPr="006107DB" w:rsidRDefault="000C2ECC" w:rsidP="000C2ECC">
            <w:pPr>
              <w:spacing w:line="360" w:lineRule="auto"/>
              <w:rPr>
                <w:rFonts w:ascii="Arial" w:eastAsia="Times New Roman" w:hAnsi="Arial" w:cs="Arial"/>
                <w:sz w:val="20"/>
                <w:szCs w:val="20"/>
              </w:rPr>
            </w:pPr>
          </w:p>
        </w:tc>
      </w:tr>
      <w:tr w:rsidR="000C2ECC" w:rsidRPr="006107DB" w14:paraId="3400F640" w14:textId="09BBE29C" w:rsidTr="000C2ECC">
        <w:tc>
          <w:tcPr>
            <w:tcW w:w="0" w:type="auto"/>
            <w:vMerge/>
            <w:tcBorders>
              <w:left w:val="single" w:sz="4" w:space="0" w:color="auto"/>
            </w:tcBorders>
            <w:hideMark/>
          </w:tcPr>
          <w:p w14:paraId="76C8C2A6"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0EE05DCF" w14:textId="6F31F781"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θ</m:t>
                </m:r>
              </m:oMath>
            </m:oMathPara>
          </w:p>
        </w:tc>
        <w:tc>
          <w:tcPr>
            <w:tcW w:w="0" w:type="auto"/>
            <w:hideMark/>
          </w:tcPr>
          <w:p w14:paraId="507B7948"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2BE8AA0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tcBorders>
              <w:right w:val="single" w:sz="4" w:space="0" w:color="auto"/>
            </w:tcBorders>
            <w:hideMark/>
          </w:tcPr>
          <w:p w14:paraId="17CEC2F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0.030</w:t>
            </w:r>
          </w:p>
        </w:tc>
        <w:tc>
          <w:tcPr>
            <w:tcW w:w="0" w:type="auto"/>
            <w:tcBorders>
              <w:left w:val="single" w:sz="4" w:space="0" w:color="auto"/>
            </w:tcBorders>
            <w:hideMark/>
          </w:tcPr>
          <w:p w14:paraId="7219D54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0.816</w:t>
            </w:r>
          </w:p>
        </w:tc>
        <w:tc>
          <w:tcPr>
            <w:tcW w:w="0" w:type="auto"/>
            <w:hideMark/>
          </w:tcPr>
          <w:p w14:paraId="64178E9B"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0.500</w:t>
            </w:r>
          </w:p>
        </w:tc>
        <w:tc>
          <w:tcPr>
            <w:tcW w:w="0" w:type="auto"/>
            <w:tcBorders>
              <w:right w:val="single" w:sz="4" w:space="0" w:color="auto"/>
            </w:tcBorders>
            <w:hideMark/>
          </w:tcPr>
          <w:p w14:paraId="76C6C8B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0.300</w:t>
            </w:r>
          </w:p>
          <w:p w14:paraId="3C783421" w14:textId="77777777" w:rsidR="000C2ECC" w:rsidRPr="006107DB" w:rsidRDefault="000C2ECC" w:rsidP="000C2ECC">
            <w:pPr>
              <w:spacing w:line="360" w:lineRule="auto"/>
              <w:rPr>
                <w:rFonts w:ascii="Arial" w:eastAsia="Times New Roman" w:hAnsi="Arial" w:cs="Arial"/>
                <w:sz w:val="20"/>
                <w:szCs w:val="20"/>
              </w:rPr>
            </w:pPr>
          </w:p>
          <w:p w14:paraId="430F10B6" w14:textId="77777777" w:rsidR="000C2ECC" w:rsidRPr="006107DB" w:rsidRDefault="000C2ECC" w:rsidP="000C2ECC">
            <w:pPr>
              <w:spacing w:line="360" w:lineRule="auto"/>
              <w:rPr>
                <w:rFonts w:ascii="Arial" w:eastAsia="Times New Roman" w:hAnsi="Arial" w:cs="Arial"/>
                <w:sz w:val="20"/>
                <w:szCs w:val="20"/>
              </w:rPr>
            </w:pPr>
          </w:p>
        </w:tc>
        <w:tc>
          <w:tcPr>
            <w:tcW w:w="0" w:type="auto"/>
            <w:tcBorders>
              <w:left w:val="single" w:sz="4" w:space="0" w:color="auto"/>
            </w:tcBorders>
          </w:tcPr>
          <w:p w14:paraId="3407EA47"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07F13006" w14:textId="5CB2021D" w:rsidR="000C2ECC" w:rsidRPr="006107DB" w:rsidRDefault="000C2ECC" w:rsidP="000C2ECC">
            <w:pPr>
              <w:spacing w:line="360" w:lineRule="auto"/>
              <w:rPr>
                <w:rFonts w:ascii="Arial" w:eastAsia="Times New Roman" w:hAnsi="Arial" w:cs="Arial"/>
                <w:sz w:val="20"/>
                <w:szCs w:val="20"/>
              </w:rPr>
            </w:pPr>
          </w:p>
        </w:tc>
      </w:tr>
      <w:tr w:rsidR="000C2ECC" w:rsidRPr="006107DB" w14:paraId="708FCF90" w14:textId="4ACC163E" w:rsidTr="000C2ECC">
        <w:tc>
          <w:tcPr>
            <w:tcW w:w="0" w:type="auto"/>
            <w:vMerge w:val="restart"/>
            <w:tcBorders>
              <w:left w:val="single" w:sz="4" w:space="0" w:color="auto"/>
              <w:bottom w:val="single" w:sz="4" w:space="0" w:color="auto"/>
            </w:tcBorders>
            <w:hideMark/>
          </w:tcPr>
          <w:p w14:paraId="23F3D0D0" w14:textId="77777777" w:rsidR="000C2ECC" w:rsidRPr="006107DB" w:rsidRDefault="000C2ECC" w:rsidP="000C2ECC">
            <w:pPr>
              <w:spacing w:line="360" w:lineRule="auto"/>
              <w:rPr>
                <w:rFonts w:ascii="Arial" w:eastAsia="Times New Roman" w:hAnsi="Arial" w:cs="Arial"/>
                <w:sz w:val="20"/>
                <w:szCs w:val="20"/>
              </w:rPr>
            </w:pPr>
          </w:p>
          <w:p w14:paraId="5B9E940D" w14:textId="77777777" w:rsidR="000C2ECC" w:rsidRPr="006107DB" w:rsidRDefault="000C2ECC" w:rsidP="000C2ECC">
            <w:pPr>
              <w:spacing w:line="360" w:lineRule="auto"/>
              <w:rPr>
                <w:rFonts w:ascii="Arial" w:eastAsia="Times New Roman" w:hAnsi="Arial" w:cs="Arial"/>
                <w:sz w:val="20"/>
                <w:szCs w:val="20"/>
              </w:rPr>
            </w:pPr>
          </w:p>
          <w:p w14:paraId="6DA2A46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n=500</w:t>
            </w:r>
          </w:p>
        </w:tc>
        <w:tc>
          <w:tcPr>
            <w:tcW w:w="0" w:type="auto"/>
            <w:hideMark/>
          </w:tcPr>
          <w:p w14:paraId="138A73B7" w14:textId="092188D3"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β</m:t>
                </m:r>
              </m:oMath>
            </m:oMathPara>
          </w:p>
        </w:tc>
        <w:tc>
          <w:tcPr>
            <w:tcW w:w="0" w:type="auto"/>
            <w:hideMark/>
          </w:tcPr>
          <w:p w14:paraId="4185FB0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4BFC7404"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0.010</w:t>
            </w:r>
          </w:p>
        </w:tc>
        <w:tc>
          <w:tcPr>
            <w:tcW w:w="0" w:type="auto"/>
            <w:tcBorders>
              <w:right w:val="single" w:sz="4" w:space="0" w:color="auto"/>
            </w:tcBorders>
            <w:hideMark/>
          </w:tcPr>
          <w:p w14:paraId="2EFB9EF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0.002</w:t>
            </w:r>
          </w:p>
        </w:tc>
        <w:tc>
          <w:tcPr>
            <w:tcW w:w="0" w:type="auto"/>
            <w:tcBorders>
              <w:left w:val="single" w:sz="4" w:space="0" w:color="auto"/>
            </w:tcBorders>
            <w:hideMark/>
          </w:tcPr>
          <w:p w14:paraId="060D1CBB"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0.242</w:t>
            </w:r>
          </w:p>
        </w:tc>
        <w:tc>
          <w:tcPr>
            <w:tcW w:w="0" w:type="auto"/>
            <w:hideMark/>
          </w:tcPr>
          <w:p w14:paraId="4013E69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0.060</w:t>
            </w:r>
          </w:p>
        </w:tc>
        <w:tc>
          <w:tcPr>
            <w:tcW w:w="0" w:type="auto"/>
            <w:tcBorders>
              <w:right w:val="single" w:sz="4" w:space="0" w:color="auto"/>
            </w:tcBorders>
            <w:hideMark/>
          </w:tcPr>
          <w:p w14:paraId="5682BCBF"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0.030</w:t>
            </w:r>
          </w:p>
        </w:tc>
        <w:tc>
          <w:tcPr>
            <w:tcW w:w="0" w:type="auto"/>
            <w:tcBorders>
              <w:left w:val="single" w:sz="4" w:space="0" w:color="auto"/>
            </w:tcBorders>
          </w:tcPr>
          <w:p w14:paraId="357C6F50"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127E2DFB" w14:textId="2EB3742B" w:rsidR="000C2ECC" w:rsidRPr="006107DB" w:rsidRDefault="000C2ECC" w:rsidP="000C2ECC">
            <w:pPr>
              <w:spacing w:line="360" w:lineRule="auto"/>
              <w:rPr>
                <w:rFonts w:ascii="Arial" w:eastAsia="Times New Roman" w:hAnsi="Arial" w:cs="Arial"/>
                <w:sz w:val="20"/>
                <w:szCs w:val="20"/>
              </w:rPr>
            </w:pPr>
          </w:p>
        </w:tc>
      </w:tr>
      <w:tr w:rsidR="000C2ECC" w:rsidRPr="006107DB" w14:paraId="132CCC80" w14:textId="0DB6A76A" w:rsidTr="000C2ECC">
        <w:tc>
          <w:tcPr>
            <w:tcW w:w="0" w:type="auto"/>
            <w:vMerge/>
            <w:tcBorders>
              <w:left w:val="single" w:sz="4" w:space="0" w:color="auto"/>
              <w:bottom w:val="single" w:sz="4" w:space="0" w:color="auto"/>
            </w:tcBorders>
            <w:hideMark/>
          </w:tcPr>
          <w:p w14:paraId="581AC1E5"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158D4E54" w14:textId="75243DDC"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σ</m:t>
                </m:r>
              </m:oMath>
            </m:oMathPara>
          </w:p>
        </w:tc>
        <w:tc>
          <w:tcPr>
            <w:tcW w:w="0" w:type="auto"/>
            <w:hideMark/>
          </w:tcPr>
          <w:p w14:paraId="6902A1B6"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2502C1F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0.040</w:t>
            </w:r>
          </w:p>
        </w:tc>
        <w:tc>
          <w:tcPr>
            <w:tcW w:w="0" w:type="auto"/>
            <w:tcBorders>
              <w:right w:val="single" w:sz="4" w:space="0" w:color="auto"/>
            </w:tcBorders>
            <w:hideMark/>
          </w:tcPr>
          <w:p w14:paraId="75D834C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0.010</w:t>
            </w:r>
          </w:p>
        </w:tc>
        <w:tc>
          <w:tcPr>
            <w:tcW w:w="0" w:type="auto"/>
            <w:tcBorders>
              <w:left w:val="single" w:sz="4" w:space="0" w:color="auto"/>
            </w:tcBorders>
            <w:hideMark/>
          </w:tcPr>
          <w:p w14:paraId="026E003B"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0.296</w:t>
            </w:r>
          </w:p>
        </w:tc>
        <w:tc>
          <w:tcPr>
            <w:tcW w:w="0" w:type="auto"/>
            <w:hideMark/>
          </w:tcPr>
          <w:p w14:paraId="510B78A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0.080</w:t>
            </w:r>
          </w:p>
        </w:tc>
        <w:tc>
          <w:tcPr>
            <w:tcW w:w="0" w:type="auto"/>
            <w:tcBorders>
              <w:right w:val="single" w:sz="4" w:space="0" w:color="auto"/>
            </w:tcBorders>
            <w:hideMark/>
          </w:tcPr>
          <w:p w14:paraId="401F7DE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0.030</w:t>
            </w:r>
          </w:p>
        </w:tc>
        <w:tc>
          <w:tcPr>
            <w:tcW w:w="0" w:type="auto"/>
            <w:tcBorders>
              <w:left w:val="single" w:sz="4" w:space="0" w:color="auto"/>
            </w:tcBorders>
          </w:tcPr>
          <w:p w14:paraId="4D4F5ABE"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33414DF2" w14:textId="01C713CD" w:rsidR="000C2ECC" w:rsidRPr="006107DB" w:rsidRDefault="000C2ECC" w:rsidP="000C2ECC">
            <w:pPr>
              <w:spacing w:line="360" w:lineRule="auto"/>
              <w:rPr>
                <w:rFonts w:ascii="Arial" w:eastAsia="Times New Roman" w:hAnsi="Arial" w:cs="Arial"/>
                <w:sz w:val="20"/>
                <w:szCs w:val="20"/>
              </w:rPr>
            </w:pPr>
          </w:p>
        </w:tc>
      </w:tr>
      <w:tr w:rsidR="000C2ECC" w:rsidRPr="006107DB" w14:paraId="457CA6D7" w14:textId="6B581ED8" w:rsidTr="000C2ECC">
        <w:tc>
          <w:tcPr>
            <w:tcW w:w="0" w:type="auto"/>
            <w:vMerge/>
            <w:tcBorders>
              <w:left w:val="single" w:sz="4" w:space="0" w:color="auto"/>
              <w:bottom w:val="single" w:sz="4" w:space="0" w:color="auto"/>
            </w:tcBorders>
            <w:hideMark/>
          </w:tcPr>
          <w:p w14:paraId="38AE00F9"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06682C53" w14:textId="0C594BA2"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τ</m:t>
                </m:r>
              </m:oMath>
            </m:oMathPara>
          </w:p>
        </w:tc>
        <w:tc>
          <w:tcPr>
            <w:tcW w:w="0" w:type="auto"/>
            <w:hideMark/>
          </w:tcPr>
          <w:p w14:paraId="657913C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0.000</w:t>
            </w:r>
          </w:p>
        </w:tc>
        <w:tc>
          <w:tcPr>
            <w:tcW w:w="0" w:type="auto"/>
            <w:hideMark/>
          </w:tcPr>
          <w:p w14:paraId="70F9099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0.020</w:t>
            </w:r>
          </w:p>
        </w:tc>
        <w:tc>
          <w:tcPr>
            <w:tcW w:w="0" w:type="auto"/>
            <w:tcBorders>
              <w:right w:val="single" w:sz="4" w:space="0" w:color="auto"/>
            </w:tcBorders>
            <w:hideMark/>
          </w:tcPr>
          <w:p w14:paraId="1CF1E49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0.005</w:t>
            </w:r>
          </w:p>
        </w:tc>
        <w:tc>
          <w:tcPr>
            <w:tcW w:w="0" w:type="auto"/>
            <w:tcBorders>
              <w:left w:val="single" w:sz="4" w:space="0" w:color="auto"/>
            </w:tcBorders>
            <w:hideMark/>
          </w:tcPr>
          <w:p w14:paraId="06DA21C9"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0.354</w:t>
            </w:r>
          </w:p>
        </w:tc>
        <w:tc>
          <w:tcPr>
            <w:tcW w:w="0" w:type="auto"/>
            <w:hideMark/>
          </w:tcPr>
          <w:p w14:paraId="794EDBB5"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0.090</w:t>
            </w:r>
          </w:p>
        </w:tc>
        <w:tc>
          <w:tcPr>
            <w:tcW w:w="0" w:type="auto"/>
            <w:tcBorders>
              <w:right w:val="single" w:sz="4" w:space="0" w:color="auto"/>
            </w:tcBorders>
            <w:hideMark/>
          </w:tcPr>
          <w:p w14:paraId="614F97BA"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0.030</w:t>
            </w:r>
          </w:p>
        </w:tc>
        <w:tc>
          <w:tcPr>
            <w:tcW w:w="0" w:type="auto"/>
            <w:tcBorders>
              <w:left w:val="single" w:sz="4" w:space="0" w:color="auto"/>
            </w:tcBorders>
          </w:tcPr>
          <w:p w14:paraId="0842304D"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2EA42DD2" w14:textId="7858F880" w:rsidR="000C2ECC" w:rsidRPr="006107DB" w:rsidRDefault="000C2ECC" w:rsidP="000C2ECC">
            <w:pPr>
              <w:spacing w:line="360" w:lineRule="auto"/>
              <w:rPr>
                <w:rFonts w:ascii="Arial" w:eastAsia="Times New Roman" w:hAnsi="Arial" w:cs="Arial"/>
                <w:sz w:val="20"/>
                <w:szCs w:val="20"/>
              </w:rPr>
            </w:pPr>
          </w:p>
        </w:tc>
      </w:tr>
      <w:tr w:rsidR="000C2ECC" w:rsidRPr="006107DB" w14:paraId="2377C878" w14:textId="6B7E93C0" w:rsidTr="000C2ECC">
        <w:tc>
          <w:tcPr>
            <w:tcW w:w="0" w:type="auto"/>
            <w:vMerge/>
            <w:tcBorders>
              <w:left w:val="single" w:sz="4" w:space="0" w:color="auto"/>
              <w:bottom w:val="single" w:sz="4" w:space="0" w:color="auto"/>
            </w:tcBorders>
            <w:hideMark/>
          </w:tcPr>
          <w:p w14:paraId="5A197200"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1D37596C" w14:textId="07AF023C"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γ</m:t>
                </m:r>
              </m:oMath>
            </m:oMathPara>
          </w:p>
        </w:tc>
        <w:tc>
          <w:tcPr>
            <w:tcW w:w="0" w:type="auto"/>
            <w:hideMark/>
          </w:tcPr>
          <w:p w14:paraId="6F6E3B87"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2.549</w:t>
            </w:r>
          </w:p>
        </w:tc>
        <w:tc>
          <w:tcPr>
            <w:tcW w:w="0" w:type="auto"/>
            <w:hideMark/>
          </w:tcPr>
          <w:p w14:paraId="72EEAC3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2.280</w:t>
            </w:r>
          </w:p>
        </w:tc>
        <w:tc>
          <w:tcPr>
            <w:tcW w:w="0" w:type="auto"/>
            <w:tcBorders>
              <w:right w:val="single" w:sz="4" w:space="0" w:color="auto"/>
            </w:tcBorders>
            <w:hideMark/>
          </w:tcPr>
          <w:p w14:paraId="4950C145"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2.250</w:t>
            </w:r>
          </w:p>
        </w:tc>
        <w:tc>
          <w:tcPr>
            <w:tcW w:w="0" w:type="auto"/>
            <w:tcBorders>
              <w:left w:val="single" w:sz="4" w:space="0" w:color="auto"/>
            </w:tcBorders>
            <w:hideMark/>
          </w:tcPr>
          <w:p w14:paraId="3A135C7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9.938</w:t>
            </w:r>
          </w:p>
        </w:tc>
        <w:tc>
          <w:tcPr>
            <w:tcW w:w="0" w:type="auto"/>
            <w:hideMark/>
          </w:tcPr>
          <w:p w14:paraId="13CE35DE"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7.500</w:t>
            </w:r>
          </w:p>
        </w:tc>
        <w:tc>
          <w:tcPr>
            <w:tcW w:w="0" w:type="auto"/>
            <w:tcBorders>
              <w:right w:val="single" w:sz="4" w:space="0" w:color="auto"/>
            </w:tcBorders>
            <w:hideMark/>
          </w:tcPr>
          <w:p w14:paraId="68F53ED1"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7.200</w:t>
            </w:r>
          </w:p>
        </w:tc>
        <w:tc>
          <w:tcPr>
            <w:tcW w:w="0" w:type="auto"/>
            <w:tcBorders>
              <w:left w:val="single" w:sz="4" w:space="0" w:color="auto"/>
            </w:tcBorders>
          </w:tcPr>
          <w:p w14:paraId="381F46E5"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71F70B02" w14:textId="6E43BFBA" w:rsidR="000C2ECC" w:rsidRPr="006107DB" w:rsidRDefault="000C2ECC" w:rsidP="000C2ECC">
            <w:pPr>
              <w:spacing w:line="360" w:lineRule="auto"/>
              <w:rPr>
                <w:rFonts w:ascii="Arial" w:eastAsia="Times New Roman" w:hAnsi="Arial" w:cs="Arial"/>
                <w:sz w:val="20"/>
                <w:szCs w:val="20"/>
              </w:rPr>
            </w:pPr>
          </w:p>
        </w:tc>
      </w:tr>
      <w:tr w:rsidR="000C2ECC" w:rsidRPr="006107DB" w14:paraId="1CAF856E" w14:textId="2D6E390C" w:rsidTr="00D51173">
        <w:tc>
          <w:tcPr>
            <w:tcW w:w="0" w:type="auto"/>
            <w:vMerge/>
            <w:tcBorders>
              <w:left w:val="single" w:sz="4" w:space="0" w:color="auto"/>
            </w:tcBorders>
            <w:hideMark/>
          </w:tcPr>
          <w:p w14:paraId="455276B0" w14:textId="77777777" w:rsidR="000C2ECC" w:rsidRPr="006107DB" w:rsidRDefault="000C2ECC" w:rsidP="000C2ECC">
            <w:pPr>
              <w:spacing w:line="360" w:lineRule="auto"/>
              <w:rPr>
                <w:rFonts w:ascii="Arial" w:eastAsia="Times New Roman" w:hAnsi="Arial" w:cs="Arial"/>
                <w:sz w:val="20"/>
                <w:szCs w:val="20"/>
              </w:rPr>
            </w:pPr>
          </w:p>
        </w:tc>
        <w:tc>
          <w:tcPr>
            <w:tcW w:w="0" w:type="auto"/>
            <w:hideMark/>
          </w:tcPr>
          <w:p w14:paraId="07A028A4" w14:textId="6626C255" w:rsidR="000C2ECC" w:rsidRPr="006107DB" w:rsidRDefault="000C2ECC" w:rsidP="000C2ECC">
            <w:pPr>
              <w:spacing w:line="360" w:lineRule="auto"/>
              <w:rPr>
                <w:rFonts w:ascii="Arial" w:eastAsia="Times New Roman" w:hAnsi="Arial" w:cs="Arial"/>
                <w:sz w:val="20"/>
                <w:szCs w:val="20"/>
              </w:rPr>
            </w:pPr>
            <m:oMathPara>
              <m:oMath>
                <m:r>
                  <w:rPr>
                    <w:rFonts w:ascii="Cambria Math" w:eastAsia="Times New Roman" w:hAnsi="Cambria Math" w:cs="Arial"/>
                    <w:sz w:val="20"/>
                    <w:szCs w:val="20"/>
                  </w:rPr>
                  <m:t>θ</m:t>
                </m:r>
              </m:oMath>
            </m:oMathPara>
          </w:p>
        </w:tc>
        <w:tc>
          <w:tcPr>
            <w:tcW w:w="0" w:type="auto"/>
            <w:hideMark/>
          </w:tcPr>
          <w:p w14:paraId="2643C1DE"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0.100</w:t>
            </w:r>
          </w:p>
        </w:tc>
        <w:tc>
          <w:tcPr>
            <w:tcW w:w="0" w:type="auto"/>
            <w:hideMark/>
          </w:tcPr>
          <w:p w14:paraId="10713486"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0.050</w:t>
            </w:r>
          </w:p>
        </w:tc>
        <w:tc>
          <w:tcPr>
            <w:tcW w:w="0" w:type="auto"/>
            <w:tcBorders>
              <w:right w:val="single" w:sz="4" w:space="0" w:color="auto"/>
            </w:tcBorders>
            <w:hideMark/>
          </w:tcPr>
          <w:p w14:paraId="61F8A81C"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0.010</w:t>
            </w:r>
          </w:p>
        </w:tc>
        <w:tc>
          <w:tcPr>
            <w:tcW w:w="0" w:type="auto"/>
            <w:tcBorders>
              <w:left w:val="single" w:sz="4" w:space="0" w:color="auto"/>
            </w:tcBorders>
            <w:hideMark/>
          </w:tcPr>
          <w:p w14:paraId="1B561330"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0.816</w:t>
            </w:r>
          </w:p>
        </w:tc>
        <w:tc>
          <w:tcPr>
            <w:tcW w:w="0" w:type="auto"/>
            <w:hideMark/>
          </w:tcPr>
          <w:p w14:paraId="502AEA2F"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0.200</w:t>
            </w:r>
          </w:p>
        </w:tc>
        <w:tc>
          <w:tcPr>
            <w:tcW w:w="0" w:type="auto"/>
            <w:tcBorders>
              <w:right w:val="single" w:sz="4" w:space="0" w:color="auto"/>
            </w:tcBorders>
            <w:hideMark/>
          </w:tcPr>
          <w:p w14:paraId="1966ED6F" w14:textId="77777777" w:rsidR="000C2ECC" w:rsidRPr="006107DB" w:rsidRDefault="000C2ECC" w:rsidP="000C2ECC">
            <w:pPr>
              <w:spacing w:line="360" w:lineRule="auto"/>
              <w:rPr>
                <w:rFonts w:ascii="Arial" w:eastAsia="Times New Roman" w:hAnsi="Arial" w:cs="Arial"/>
                <w:sz w:val="20"/>
                <w:szCs w:val="20"/>
              </w:rPr>
            </w:pPr>
            <w:r w:rsidRPr="006107DB">
              <w:rPr>
                <w:rFonts w:ascii="Arial" w:eastAsia="Times New Roman" w:hAnsi="Arial" w:cs="Arial"/>
                <w:sz w:val="20"/>
                <w:szCs w:val="20"/>
              </w:rPr>
              <w:t>0.050</w:t>
            </w:r>
          </w:p>
        </w:tc>
        <w:tc>
          <w:tcPr>
            <w:tcW w:w="0" w:type="auto"/>
            <w:tcBorders>
              <w:left w:val="single" w:sz="4" w:space="0" w:color="auto"/>
            </w:tcBorders>
          </w:tcPr>
          <w:p w14:paraId="5B8CA810" w14:textId="77777777" w:rsidR="000C2ECC" w:rsidRPr="006107DB" w:rsidRDefault="000C2ECC" w:rsidP="000C2ECC">
            <w:pPr>
              <w:spacing w:line="360" w:lineRule="auto"/>
              <w:rPr>
                <w:rFonts w:ascii="Arial" w:eastAsia="Times New Roman" w:hAnsi="Arial" w:cs="Arial"/>
                <w:sz w:val="20"/>
                <w:szCs w:val="20"/>
              </w:rPr>
            </w:pPr>
          </w:p>
        </w:tc>
        <w:tc>
          <w:tcPr>
            <w:tcW w:w="0" w:type="auto"/>
          </w:tcPr>
          <w:p w14:paraId="788F5BCB" w14:textId="22EF90A4" w:rsidR="000C2ECC" w:rsidRPr="006107DB" w:rsidRDefault="000C2ECC" w:rsidP="000C2ECC">
            <w:pPr>
              <w:spacing w:line="360" w:lineRule="auto"/>
              <w:rPr>
                <w:rFonts w:ascii="Arial" w:eastAsia="Times New Roman" w:hAnsi="Arial" w:cs="Arial"/>
                <w:sz w:val="20"/>
                <w:szCs w:val="20"/>
              </w:rPr>
            </w:pPr>
          </w:p>
        </w:tc>
      </w:tr>
      <w:tr w:rsidR="00D51173" w:rsidRPr="006107DB" w14:paraId="75792718" w14:textId="77777777" w:rsidTr="000C2ECC">
        <w:tc>
          <w:tcPr>
            <w:tcW w:w="0" w:type="auto"/>
            <w:tcBorders>
              <w:left w:val="single" w:sz="4" w:space="0" w:color="auto"/>
              <w:bottom w:val="single" w:sz="4" w:space="0" w:color="auto"/>
            </w:tcBorders>
          </w:tcPr>
          <w:p w14:paraId="0B22C3E9" w14:textId="77777777" w:rsidR="00D51173" w:rsidRPr="006107DB" w:rsidRDefault="00D51173" w:rsidP="000C2ECC">
            <w:pPr>
              <w:spacing w:line="360" w:lineRule="auto"/>
              <w:rPr>
                <w:rFonts w:ascii="Arial" w:eastAsia="Times New Roman" w:hAnsi="Arial" w:cs="Arial"/>
                <w:sz w:val="20"/>
                <w:szCs w:val="20"/>
              </w:rPr>
            </w:pPr>
          </w:p>
        </w:tc>
        <w:tc>
          <w:tcPr>
            <w:tcW w:w="0" w:type="auto"/>
            <w:tcBorders>
              <w:bottom w:val="single" w:sz="4" w:space="0" w:color="auto"/>
            </w:tcBorders>
          </w:tcPr>
          <w:p w14:paraId="4FC26D67" w14:textId="77777777" w:rsidR="00D51173" w:rsidRPr="006107DB" w:rsidRDefault="00D51173" w:rsidP="000C2ECC">
            <w:pPr>
              <w:spacing w:line="360" w:lineRule="auto"/>
              <w:rPr>
                <w:rFonts w:ascii="Arial" w:eastAsia="Times New Roman" w:hAnsi="Arial" w:cs="Arial"/>
                <w:sz w:val="20"/>
                <w:szCs w:val="20"/>
              </w:rPr>
            </w:pPr>
          </w:p>
        </w:tc>
        <w:tc>
          <w:tcPr>
            <w:tcW w:w="0" w:type="auto"/>
            <w:tcBorders>
              <w:bottom w:val="single" w:sz="4" w:space="0" w:color="auto"/>
            </w:tcBorders>
          </w:tcPr>
          <w:p w14:paraId="70EBE540" w14:textId="77777777" w:rsidR="00D51173" w:rsidRPr="006107DB" w:rsidRDefault="00D51173" w:rsidP="000C2ECC">
            <w:pPr>
              <w:spacing w:line="360" w:lineRule="auto"/>
              <w:rPr>
                <w:rFonts w:ascii="Arial" w:eastAsia="Times New Roman" w:hAnsi="Arial" w:cs="Arial"/>
                <w:sz w:val="20"/>
                <w:szCs w:val="20"/>
              </w:rPr>
            </w:pPr>
          </w:p>
        </w:tc>
        <w:tc>
          <w:tcPr>
            <w:tcW w:w="0" w:type="auto"/>
            <w:tcBorders>
              <w:bottom w:val="single" w:sz="4" w:space="0" w:color="auto"/>
            </w:tcBorders>
          </w:tcPr>
          <w:p w14:paraId="24C6CA7A" w14:textId="77777777" w:rsidR="00D51173" w:rsidRPr="006107DB" w:rsidRDefault="00D51173" w:rsidP="000C2ECC">
            <w:pPr>
              <w:spacing w:line="360" w:lineRule="auto"/>
              <w:rPr>
                <w:rFonts w:ascii="Arial" w:eastAsia="Times New Roman" w:hAnsi="Arial" w:cs="Arial"/>
                <w:sz w:val="20"/>
                <w:szCs w:val="20"/>
              </w:rPr>
            </w:pPr>
          </w:p>
        </w:tc>
        <w:tc>
          <w:tcPr>
            <w:tcW w:w="0" w:type="auto"/>
            <w:tcBorders>
              <w:bottom w:val="single" w:sz="4" w:space="0" w:color="auto"/>
              <w:right w:val="single" w:sz="4" w:space="0" w:color="auto"/>
            </w:tcBorders>
          </w:tcPr>
          <w:p w14:paraId="79527878" w14:textId="77777777" w:rsidR="00D51173" w:rsidRPr="006107DB" w:rsidRDefault="00D51173" w:rsidP="000C2ECC">
            <w:pPr>
              <w:spacing w:line="360" w:lineRule="auto"/>
              <w:rPr>
                <w:rFonts w:ascii="Arial" w:eastAsia="Times New Roman" w:hAnsi="Arial" w:cs="Arial"/>
                <w:sz w:val="20"/>
                <w:szCs w:val="20"/>
              </w:rPr>
            </w:pPr>
          </w:p>
        </w:tc>
        <w:tc>
          <w:tcPr>
            <w:tcW w:w="0" w:type="auto"/>
            <w:tcBorders>
              <w:left w:val="single" w:sz="4" w:space="0" w:color="auto"/>
              <w:bottom w:val="single" w:sz="4" w:space="0" w:color="auto"/>
            </w:tcBorders>
          </w:tcPr>
          <w:p w14:paraId="6BE47EBD" w14:textId="77777777" w:rsidR="00D51173" w:rsidRPr="006107DB" w:rsidRDefault="00D51173" w:rsidP="000C2ECC">
            <w:pPr>
              <w:spacing w:line="360" w:lineRule="auto"/>
              <w:rPr>
                <w:rFonts w:ascii="Arial" w:eastAsia="Times New Roman" w:hAnsi="Arial" w:cs="Arial"/>
                <w:sz w:val="20"/>
                <w:szCs w:val="20"/>
              </w:rPr>
            </w:pPr>
          </w:p>
        </w:tc>
        <w:tc>
          <w:tcPr>
            <w:tcW w:w="0" w:type="auto"/>
            <w:tcBorders>
              <w:bottom w:val="single" w:sz="4" w:space="0" w:color="auto"/>
            </w:tcBorders>
          </w:tcPr>
          <w:p w14:paraId="37DF0F46" w14:textId="77777777" w:rsidR="00D51173" w:rsidRPr="006107DB" w:rsidRDefault="00D51173" w:rsidP="000C2ECC">
            <w:pPr>
              <w:spacing w:line="360" w:lineRule="auto"/>
              <w:rPr>
                <w:rFonts w:ascii="Arial" w:eastAsia="Times New Roman" w:hAnsi="Arial" w:cs="Arial"/>
                <w:sz w:val="20"/>
                <w:szCs w:val="20"/>
              </w:rPr>
            </w:pPr>
          </w:p>
        </w:tc>
        <w:tc>
          <w:tcPr>
            <w:tcW w:w="0" w:type="auto"/>
            <w:tcBorders>
              <w:bottom w:val="single" w:sz="4" w:space="0" w:color="auto"/>
              <w:right w:val="single" w:sz="4" w:space="0" w:color="auto"/>
            </w:tcBorders>
          </w:tcPr>
          <w:p w14:paraId="0359B897" w14:textId="77777777" w:rsidR="00D51173" w:rsidRPr="006107DB" w:rsidRDefault="00D51173" w:rsidP="000C2ECC">
            <w:pPr>
              <w:spacing w:line="360" w:lineRule="auto"/>
              <w:rPr>
                <w:rFonts w:ascii="Arial" w:eastAsia="Times New Roman" w:hAnsi="Arial" w:cs="Arial"/>
                <w:sz w:val="20"/>
                <w:szCs w:val="20"/>
              </w:rPr>
            </w:pPr>
          </w:p>
        </w:tc>
        <w:tc>
          <w:tcPr>
            <w:tcW w:w="0" w:type="auto"/>
            <w:tcBorders>
              <w:left w:val="single" w:sz="4" w:space="0" w:color="auto"/>
            </w:tcBorders>
          </w:tcPr>
          <w:p w14:paraId="240B2943" w14:textId="77777777" w:rsidR="00D51173" w:rsidRPr="006107DB" w:rsidRDefault="00D51173" w:rsidP="000C2ECC">
            <w:pPr>
              <w:spacing w:line="360" w:lineRule="auto"/>
              <w:rPr>
                <w:rFonts w:ascii="Arial" w:eastAsia="Times New Roman" w:hAnsi="Arial" w:cs="Arial"/>
                <w:sz w:val="20"/>
                <w:szCs w:val="20"/>
              </w:rPr>
            </w:pPr>
          </w:p>
        </w:tc>
        <w:tc>
          <w:tcPr>
            <w:tcW w:w="0" w:type="auto"/>
          </w:tcPr>
          <w:p w14:paraId="5B3AAFDA" w14:textId="77777777" w:rsidR="00D51173" w:rsidRPr="006107DB" w:rsidRDefault="00D51173" w:rsidP="000C2ECC">
            <w:pPr>
              <w:spacing w:line="360" w:lineRule="auto"/>
              <w:rPr>
                <w:rFonts w:ascii="Arial" w:eastAsia="Times New Roman" w:hAnsi="Arial" w:cs="Arial"/>
                <w:sz w:val="20"/>
                <w:szCs w:val="20"/>
              </w:rPr>
            </w:pPr>
          </w:p>
        </w:tc>
      </w:tr>
    </w:tbl>
    <w:p w14:paraId="7CBB1A77" w14:textId="77777777" w:rsidR="00F0088F" w:rsidRPr="006107DB" w:rsidRDefault="00F0088F" w:rsidP="009519E7">
      <w:pPr>
        <w:rPr>
          <w:rFonts w:ascii="Arial" w:hAnsi="Arial" w:cs="Arial"/>
          <w:sz w:val="24"/>
          <w:szCs w:val="24"/>
        </w:rPr>
      </w:pPr>
    </w:p>
    <w:p w14:paraId="68CC769E" w14:textId="77777777" w:rsidR="00F0088F" w:rsidRPr="006107DB" w:rsidRDefault="00F0088F" w:rsidP="000F0837">
      <w:pPr>
        <w:jc w:val="center"/>
        <w:rPr>
          <w:rFonts w:ascii="Arial" w:hAnsi="Arial" w:cs="Arial"/>
          <w:sz w:val="24"/>
          <w:szCs w:val="24"/>
        </w:rPr>
      </w:pPr>
    </w:p>
    <w:p w14:paraId="2D27B780" w14:textId="77777777" w:rsidR="00F0088F" w:rsidRPr="006107DB" w:rsidRDefault="00F0088F" w:rsidP="009519E7">
      <w:pPr>
        <w:rPr>
          <w:rFonts w:ascii="Arial" w:hAnsi="Arial" w:cs="Arial"/>
          <w:sz w:val="24"/>
          <w:szCs w:val="24"/>
        </w:rPr>
      </w:pPr>
    </w:p>
    <w:p w14:paraId="04538802" w14:textId="77777777" w:rsidR="00F0088F" w:rsidRPr="006107DB" w:rsidRDefault="00F0088F" w:rsidP="009519E7">
      <w:pPr>
        <w:rPr>
          <w:rFonts w:ascii="Arial" w:hAnsi="Arial" w:cs="Arial"/>
          <w:sz w:val="24"/>
          <w:szCs w:val="24"/>
        </w:rPr>
      </w:pPr>
    </w:p>
    <w:p w14:paraId="65FF223C" w14:textId="77777777" w:rsidR="00F0088F" w:rsidRPr="006107DB" w:rsidRDefault="00F0088F" w:rsidP="009519E7">
      <w:pPr>
        <w:rPr>
          <w:rFonts w:ascii="Arial" w:hAnsi="Arial" w:cs="Arial"/>
          <w:sz w:val="24"/>
          <w:szCs w:val="24"/>
        </w:rPr>
      </w:pPr>
    </w:p>
    <w:p w14:paraId="4C5056A7" w14:textId="77777777" w:rsidR="002A7235" w:rsidRPr="006107DB" w:rsidRDefault="00312820" w:rsidP="0035539A">
      <w:pPr>
        <w:spacing w:before="100" w:beforeAutospacing="1" w:after="100" w:afterAutospacing="1" w:line="240" w:lineRule="auto"/>
        <w:jc w:val="both"/>
        <w:rPr>
          <w:rFonts w:ascii="Arial" w:hAnsi="Arial" w:cs="Arial"/>
          <w:noProof/>
          <w:sz w:val="24"/>
          <w:szCs w:val="24"/>
        </w:rPr>
      </w:pPr>
      <w:r w:rsidRPr="006107DB">
        <w:rPr>
          <w:rFonts w:ascii="Arial" w:hAnsi="Arial" w:cs="Arial"/>
          <w:noProof/>
          <w:sz w:val="24"/>
          <w:szCs w:val="24"/>
        </w:rPr>
        <w:t xml:space="preserve">  </w:t>
      </w:r>
    </w:p>
    <w:p w14:paraId="7C0D4EE3" w14:textId="77777777" w:rsidR="002A7235" w:rsidRPr="006107DB" w:rsidRDefault="002A7235" w:rsidP="0035539A">
      <w:pPr>
        <w:spacing w:before="100" w:beforeAutospacing="1" w:after="100" w:afterAutospacing="1" w:line="240" w:lineRule="auto"/>
        <w:jc w:val="both"/>
        <w:rPr>
          <w:rFonts w:ascii="Arial" w:hAnsi="Arial" w:cs="Arial"/>
          <w:noProof/>
          <w:sz w:val="24"/>
          <w:szCs w:val="24"/>
        </w:rPr>
      </w:pPr>
    </w:p>
    <w:p w14:paraId="5EE41A6C" w14:textId="77777777" w:rsidR="002A7235" w:rsidRPr="006107DB" w:rsidRDefault="002A7235" w:rsidP="0035539A">
      <w:pPr>
        <w:spacing w:before="100" w:beforeAutospacing="1" w:after="100" w:afterAutospacing="1" w:line="240" w:lineRule="auto"/>
        <w:jc w:val="both"/>
        <w:rPr>
          <w:rFonts w:ascii="Arial" w:hAnsi="Arial" w:cs="Arial"/>
          <w:noProof/>
          <w:sz w:val="24"/>
          <w:szCs w:val="24"/>
        </w:rPr>
      </w:pPr>
    </w:p>
    <w:p w14:paraId="16C2C575" w14:textId="77777777" w:rsidR="002A7235" w:rsidRPr="006107DB" w:rsidRDefault="002A7235" w:rsidP="0035539A">
      <w:pPr>
        <w:spacing w:before="100" w:beforeAutospacing="1" w:after="100" w:afterAutospacing="1" w:line="240" w:lineRule="auto"/>
        <w:jc w:val="both"/>
        <w:rPr>
          <w:rFonts w:ascii="Arial" w:hAnsi="Arial" w:cs="Arial"/>
          <w:noProof/>
          <w:sz w:val="24"/>
          <w:szCs w:val="24"/>
        </w:rPr>
      </w:pPr>
    </w:p>
    <w:p w14:paraId="1B529C8F" w14:textId="77777777" w:rsidR="002A7235" w:rsidRPr="006107DB" w:rsidRDefault="002A7235" w:rsidP="0035539A">
      <w:pPr>
        <w:spacing w:before="100" w:beforeAutospacing="1" w:after="100" w:afterAutospacing="1" w:line="240" w:lineRule="auto"/>
        <w:jc w:val="both"/>
        <w:rPr>
          <w:rFonts w:ascii="Arial" w:hAnsi="Arial" w:cs="Arial"/>
          <w:noProof/>
          <w:sz w:val="24"/>
          <w:szCs w:val="24"/>
        </w:rPr>
      </w:pPr>
    </w:p>
    <w:p w14:paraId="5F7F7D17" w14:textId="77777777" w:rsidR="002A7235" w:rsidRPr="006107DB" w:rsidRDefault="002A7235" w:rsidP="0035539A">
      <w:pPr>
        <w:spacing w:before="100" w:beforeAutospacing="1" w:after="100" w:afterAutospacing="1" w:line="240" w:lineRule="auto"/>
        <w:jc w:val="both"/>
        <w:rPr>
          <w:rFonts w:ascii="Arial" w:hAnsi="Arial" w:cs="Arial"/>
          <w:noProof/>
          <w:sz w:val="24"/>
          <w:szCs w:val="24"/>
        </w:rPr>
      </w:pPr>
    </w:p>
    <w:p w14:paraId="3D169DE2" w14:textId="77777777" w:rsidR="002A7235" w:rsidRPr="006107DB" w:rsidRDefault="002A7235" w:rsidP="0035539A">
      <w:pPr>
        <w:spacing w:before="100" w:beforeAutospacing="1" w:after="100" w:afterAutospacing="1" w:line="240" w:lineRule="auto"/>
        <w:jc w:val="both"/>
        <w:rPr>
          <w:rFonts w:ascii="Arial" w:hAnsi="Arial" w:cs="Arial"/>
          <w:noProof/>
          <w:sz w:val="24"/>
          <w:szCs w:val="24"/>
        </w:rPr>
      </w:pPr>
    </w:p>
    <w:p w14:paraId="29A7350A" w14:textId="77777777" w:rsidR="00D51173" w:rsidRPr="006107DB" w:rsidRDefault="00D51173" w:rsidP="0035539A">
      <w:pPr>
        <w:spacing w:before="100" w:beforeAutospacing="1" w:after="100" w:afterAutospacing="1" w:line="240" w:lineRule="auto"/>
        <w:jc w:val="both"/>
        <w:rPr>
          <w:rFonts w:ascii="Arial" w:hAnsi="Arial" w:cs="Arial"/>
          <w:noProof/>
          <w:sz w:val="20"/>
          <w:szCs w:val="20"/>
        </w:rPr>
      </w:pPr>
    </w:p>
    <w:p w14:paraId="410C101B" w14:textId="77777777" w:rsidR="00D51173" w:rsidRPr="006107DB" w:rsidRDefault="00D51173" w:rsidP="0035539A">
      <w:pPr>
        <w:spacing w:before="100" w:beforeAutospacing="1" w:after="100" w:afterAutospacing="1" w:line="240" w:lineRule="auto"/>
        <w:jc w:val="both"/>
        <w:rPr>
          <w:rFonts w:ascii="Arial" w:hAnsi="Arial" w:cs="Arial"/>
          <w:noProof/>
          <w:sz w:val="20"/>
          <w:szCs w:val="20"/>
        </w:rPr>
      </w:pPr>
    </w:p>
    <w:p w14:paraId="050A9B58" w14:textId="0EAA9468" w:rsidR="003112D4" w:rsidRPr="006107DB" w:rsidRDefault="003112D4" w:rsidP="0035539A">
      <w:pPr>
        <w:spacing w:before="100" w:beforeAutospacing="1" w:after="100" w:afterAutospacing="1" w:line="240" w:lineRule="auto"/>
        <w:jc w:val="both"/>
        <w:rPr>
          <w:rFonts w:ascii="Arial" w:hAnsi="Arial" w:cs="Arial"/>
          <w:noProof/>
          <w:sz w:val="20"/>
          <w:szCs w:val="20"/>
        </w:rPr>
      </w:pPr>
      <w:r w:rsidRPr="006107DB">
        <w:rPr>
          <w:rFonts w:ascii="Arial" w:hAnsi="Arial" w:cs="Arial"/>
          <w:noProof/>
          <w:sz w:val="20"/>
          <w:szCs w:val="20"/>
        </w:rPr>
        <w:t>Figure 1 shows the Bias comparison among the Method of Moments (MM), Maximum Likelihood Estimation (MLE), and Expectation–Maximization (EM) estimators across different sample sizes, while Figure 2 presents the corresponding comparison in terms of Mean Squared Error (MSE).</w:t>
      </w:r>
    </w:p>
    <w:p w14:paraId="6704E6D4" w14:textId="126E6128" w:rsidR="009519E7" w:rsidRPr="006107DB" w:rsidRDefault="00F0088F" w:rsidP="0035539A">
      <w:pPr>
        <w:spacing w:before="100" w:beforeAutospacing="1" w:after="100" w:afterAutospacing="1" w:line="240" w:lineRule="auto"/>
        <w:jc w:val="both"/>
        <w:rPr>
          <w:rFonts w:ascii="Arial" w:hAnsi="Arial" w:cs="Arial"/>
          <w:noProof/>
          <w:sz w:val="24"/>
          <w:szCs w:val="24"/>
        </w:rPr>
      </w:pPr>
      <w:r w:rsidRPr="006107DB">
        <w:rPr>
          <w:rFonts w:ascii="Arial" w:hAnsi="Arial" w:cs="Arial"/>
          <w:noProof/>
          <w:sz w:val="20"/>
          <w:szCs w:val="20"/>
        </w:rPr>
        <w:lastRenderedPageBreak/>
        <w:drawing>
          <wp:inline distT="0" distB="0" distL="0" distR="0" wp14:anchorId="09CA6D52" wp14:editId="08F9182F">
            <wp:extent cx="5066030" cy="2934929"/>
            <wp:effectExtent l="0" t="0" r="1270" b="0"/>
            <wp:docPr id="97847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0149" cy="3105322"/>
                    </a:xfrm>
                    <a:prstGeom prst="rect">
                      <a:avLst/>
                    </a:prstGeom>
                    <a:noFill/>
                  </pic:spPr>
                </pic:pic>
              </a:graphicData>
            </a:graphic>
          </wp:inline>
        </w:drawing>
      </w:r>
    </w:p>
    <w:p w14:paraId="3DE47C2D" w14:textId="55CC11BE" w:rsidR="009519E7" w:rsidRPr="006107DB" w:rsidRDefault="00312820" w:rsidP="009519E7">
      <w:pPr>
        <w:ind w:firstLine="720"/>
        <w:rPr>
          <w:rFonts w:ascii="Arial" w:hAnsi="Arial" w:cs="Arial"/>
          <w:noProof/>
          <w:sz w:val="20"/>
          <w:szCs w:val="20"/>
        </w:rPr>
      </w:pPr>
      <w:r w:rsidRPr="006107DB">
        <w:rPr>
          <w:rFonts w:ascii="Arial" w:hAnsi="Arial" w:cs="Arial"/>
          <w:noProof/>
          <w:sz w:val="20"/>
          <w:szCs w:val="20"/>
        </w:rPr>
        <w:t xml:space="preserve">          </w:t>
      </w:r>
      <w:r w:rsidR="009519E7" w:rsidRPr="006107DB">
        <w:rPr>
          <w:rFonts w:ascii="Arial" w:hAnsi="Arial" w:cs="Arial"/>
          <w:noProof/>
          <w:sz w:val="20"/>
          <w:szCs w:val="20"/>
        </w:rPr>
        <w:t xml:space="preserve">Figure 1: </w:t>
      </w:r>
      <w:r w:rsidR="003052FC" w:rsidRPr="006107DB">
        <w:rPr>
          <w:rFonts w:ascii="Arial" w:hAnsi="Arial" w:cs="Arial"/>
          <w:noProof/>
          <w:sz w:val="20"/>
          <w:szCs w:val="20"/>
        </w:rPr>
        <w:t>Comparison of Bias for MLE, MM, and EM Estimators</w:t>
      </w:r>
    </w:p>
    <w:p w14:paraId="58BB7F0C" w14:textId="77777777" w:rsidR="001F48DA" w:rsidRPr="006107DB" w:rsidRDefault="001F48DA" w:rsidP="009519E7">
      <w:pPr>
        <w:ind w:firstLine="720"/>
        <w:rPr>
          <w:rFonts w:ascii="Arial" w:hAnsi="Arial" w:cs="Arial"/>
          <w:noProof/>
          <w:sz w:val="24"/>
          <w:szCs w:val="24"/>
        </w:rPr>
      </w:pPr>
    </w:p>
    <w:p w14:paraId="755A66F5" w14:textId="3B8AD934" w:rsidR="009519E7" w:rsidRPr="006107DB" w:rsidRDefault="00312820" w:rsidP="009519E7">
      <w:pPr>
        <w:ind w:firstLine="720"/>
        <w:rPr>
          <w:rFonts w:ascii="Arial" w:hAnsi="Arial" w:cs="Arial"/>
          <w:noProof/>
          <w:sz w:val="24"/>
          <w:szCs w:val="24"/>
        </w:rPr>
      </w:pPr>
      <w:r w:rsidRPr="006107DB">
        <w:rPr>
          <w:rFonts w:ascii="Arial" w:hAnsi="Arial" w:cs="Arial"/>
          <w:noProof/>
          <w:sz w:val="24"/>
          <w:szCs w:val="24"/>
        </w:rPr>
        <w:t xml:space="preserve">     </w:t>
      </w:r>
      <w:r w:rsidR="00F0088F" w:rsidRPr="006107DB">
        <w:rPr>
          <w:rFonts w:ascii="Arial" w:hAnsi="Arial" w:cs="Arial"/>
          <w:noProof/>
          <w:sz w:val="20"/>
          <w:szCs w:val="20"/>
        </w:rPr>
        <w:drawing>
          <wp:inline distT="0" distB="0" distL="0" distR="0" wp14:anchorId="7C3207C2" wp14:editId="2F431509">
            <wp:extent cx="5213350" cy="2730500"/>
            <wp:effectExtent l="0" t="0" r="6350" b="0"/>
            <wp:docPr id="870733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714" cy="2828632"/>
                    </a:xfrm>
                    <a:prstGeom prst="rect">
                      <a:avLst/>
                    </a:prstGeom>
                    <a:noFill/>
                  </pic:spPr>
                </pic:pic>
              </a:graphicData>
            </a:graphic>
          </wp:inline>
        </w:drawing>
      </w:r>
    </w:p>
    <w:p w14:paraId="54F4D9CB" w14:textId="250F9E0D" w:rsidR="00647ECD" w:rsidRPr="006107DB" w:rsidRDefault="0055337B" w:rsidP="003052FC">
      <w:pPr>
        <w:ind w:firstLine="720"/>
        <w:rPr>
          <w:rFonts w:ascii="Arial" w:hAnsi="Arial" w:cs="Arial"/>
          <w:noProof/>
          <w:sz w:val="20"/>
          <w:szCs w:val="20"/>
        </w:rPr>
      </w:pPr>
      <w:r w:rsidRPr="006107DB">
        <w:rPr>
          <w:rFonts w:ascii="Arial" w:hAnsi="Arial" w:cs="Arial"/>
          <w:noProof/>
          <w:sz w:val="20"/>
          <w:szCs w:val="20"/>
        </w:rPr>
        <w:t xml:space="preserve">     </w:t>
      </w:r>
      <w:r w:rsidR="005075EC" w:rsidRPr="006107DB">
        <w:rPr>
          <w:rFonts w:ascii="Arial" w:hAnsi="Arial" w:cs="Arial"/>
          <w:noProof/>
          <w:sz w:val="20"/>
          <w:szCs w:val="20"/>
        </w:rPr>
        <w:t xml:space="preserve">                  </w:t>
      </w:r>
      <w:r w:rsidR="00F0088F" w:rsidRPr="006107DB">
        <w:rPr>
          <w:rFonts w:ascii="Arial" w:hAnsi="Arial" w:cs="Arial"/>
          <w:noProof/>
          <w:sz w:val="20"/>
          <w:szCs w:val="20"/>
        </w:rPr>
        <w:t xml:space="preserve">Figure </w:t>
      </w:r>
      <w:r w:rsidRPr="006107DB">
        <w:rPr>
          <w:rFonts w:ascii="Arial" w:hAnsi="Arial" w:cs="Arial"/>
          <w:noProof/>
          <w:sz w:val="20"/>
          <w:szCs w:val="20"/>
        </w:rPr>
        <w:t>2</w:t>
      </w:r>
      <w:r w:rsidR="00F0088F" w:rsidRPr="006107DB">
        <w:rPr>
          <w:rFonts w:ascii="Arial" w:hAnsi="Arial" w:cs="Arial"/>
          <w:noProof/>
          <w:sz w:val="20"/>
          <w:szCs w:val="20"/>
        </w:rPr>
        <w:t xml:space="preserve">: </w:t>
      </w:r>
      <w:r w:rsidR="003052FC" w:rsidRPr="006107DB">
        <w:rPr>
          <w:rFonts w:ascii="Arial" w:hAnsi="Arial" w:cs="Arial"/>
          <w:noProof/>
          <w:sz w:val="20"/>
          <w:szCs w:val="20"/>
        </w:rPr>
        <w:t>Comparison of MSE for MLE, MM, and EM Estimators</w:t>
      </w:r>
    </w:p>
    <w:p w14:paraId="0111EF31" w14:textId="77777777" w:rsidR="00104203" w:rsidRPr="006107DB" w:rsidRDefault="00104203" w:rsidP="003052FC">
      <w:pPr>
        <w:ind w:firstLine="720"/>
        <w:rPr>
          <w:rFonts w:ascii="Arial" w:hAnsi="Arial" w:cs="Arial"/>
          <w:noProof/>
          <w:sz w:val="24"/>
          <w:szCs w:val="24"/>
        </w:rPr>
      </w:pPr>
    </w:p>
    <w:p w14:paraId="7B315E2B" w14:textId="15FC454A" w:rsidR="002A208A" w:rsidRPr="006107DB" w:rsidRDefault="001413C4" w:rsidP="002A208A">
      <w:pPr>
        <w:tabs>
          <w:tab w:val="left" w:pos="1055"/>
        </w:tabs>
        <w:spacing w:after="0" w:line="240" w:lineRule="auto"/>
        <w:jc w:val="both"/>
        <w:rPr>
          <w:rFonts w:ascii="Arial" w:eastAsiaTheme="minorEastAsia" w:hAnsi="Arial" w:cs="Arial"/>
          <w:b/>
          <w:bCs/>
          <w:lang w:val="en-NG"/>
        </w:rPr>
      </w:pPr>
      <w:r w:rsidRPr="006107DB">
        <w:rPr>
          <w:rFonts w:ascii="Arial" w:eastAsiaTheme="minorEastAsia" w:hAnsi="Arial" w:cs="Arial"/>
          <w:b/>
        </w:rPr>
        <w:t>3.2</w:t>
      </w:r>
      <w:r w:rsidR="002A208A" w:rsidRPr="006107DB">
        <w:rPr>
          <w:rFonts w:ascii="Arial" w:eastAsiaTheme="minorEastAsia" w:hAnsi="Arial" w:cs="Arial"/>
          <w:b/>
          <w:bCs/>
          <w:lang w:val="en-NG"/>
        </w:rPr>
        <w:t xml:space="preserve"> Discussion</w:t>
      </w:r>
      <w:r w:rsidR="00331393" w:rsidRPr="006107DB">
        <w:rPr>
          <w:rFonts w:ascii="Arial" w:eastAsiaTheme="minorEastAsia" w:hAnsi="Arial" w:cs="Arial"/>
          <w:b/>
          <w:bCs/>
          <w:lang w:val="en-NG"/>
        </w:rPr>
        <w:t xml:space="preserve"> of</w:t>
      </w:r>
      <w:r w:rsidR="00820D15" w:rsidRPr="006107DB">
        <w:rPr>
          <w:rFonts w:ascii="Arial" w:eastAsiaTheme="minorEastAsia" w:hAnsi="Arial" w:cs="Arial"/>
          <w:b/>
          <w:bCs/>
          <w:lang w:val="en-NG"/>
        </w:rPr>
        <w:t xml:space="preserve"> </w:t>
      </w:r>
      <w:r w:rsidR="00331393" w:rsidRPr="006107DB">
        <w:rPr>
          <w:rFonts w:ascii="Arial" w:eastAsiaTheme="minorEastAsia" w:hAnsi="Arial" w:cs="Arial"/>
          <w:b/>
          <w:bCs/>
          <w:lang w:val="en-NG"/>
        </w:rPr>
        <w:t>Simulation Study</w:t>
      </w:r>
    </w:p>
    <w:p w14:paraId="7DE2D887" w14:textId="77777777" w:rsidR="002A208A" w:rsidRPr="006107DB" w:rsidRDefault="002A208A" w:rsidP="002A208A">
      <w:pPr>
        <w:tabs>
          <w:tab w:val="left" w:pos="1055"/>
        </w:tabs>
        <w:spacing w:after="0" w:line="240" w:lineRule="auto"/>
        <w:jc w:val="both"/>
        <w:rPr>
          <w:rFonts w:ascii="Arial" w:eastAsiaTheme="minorEastAsia" w:hAnsi="Arial" w:cs="Arial"/>
          <w:b/>
          <w:bCs/>
          <w:lang w:val="en-NG"/>
        </w:rPr>
      </w:pPr>
    </w:p>
    <w:p w14:paraId="456E1D47" w14:textId="05CF0553" w:rsidR="002A208A" w:rsidRPr="006107DB" w:rsidRDefault="002A208A" w:rsidP="00D462AC">
      <w:pPr>
        <w:tabs>
          <w:tab w:val="left" w:pos="1055"/>
        </w:tabs>
        <w:spacing w:after="0" w:line="240" w:lineRule="auto"/>
        <w:jc w:val="both"/>
        <w:rPr>
          <w:rFonts w:ascii="Arial" w:eastAsiaTheme="minorEastAsia" w:hAnsi="Arial" w:cs="Arial"/>
          <w:bCs/>
          <w:sz w:val="20"/>
          <w:szCs w:val="20"/>
          <w:lang w:val="en-NG"/>
        </w:rPr>
      </w:pPr>
      <w:r w:rsidRPr="006107DB">
        <w:rPr>
          <w:rFonts w:ascii="Arial" w:eastAsiaTheme="minorEastAsia" w:hAnsi="Arial" w:cs="Arial"/>
          <w:bCs/>
          <w:sz w:val="20"/>
          <w:szCs w:val="20"/>
          <w:lang w:val="en-NG"/>
        </w:rPr>
        <w:t xml:space="preserve">A Monte Carlo simulation was conducted to evaluate the performance of the Method of Moments (MM), Maximum Likelihood Estimation (MLE), and Expectation–Maximization (EM) estimators for the parameters of the TE-NWP distribution. The estimators were assessed in terms of Bias and Mean Squared Error (MSE) across three sample sizes: </w:t>
      </w:r>
      <m:oMath>
        <m:r>
          <w:rPr>
            <w:rFonts w:ascii="Cambria Math" w:eastAsiaTheme="minorEastAsia" w:hAnsi="Cambria Math" w:cs="Arial"/>
            <w:sz w:val="20"/>
            <w:szCs w:val="20"/>
            <w:lang w:val="en-NG"/>
          </w:rPr>
          <m:t>n=20,</m:t>
        </m:r>
        <m:r>
          <w:rPr>
            <w:rFonts w:ascii="Cambria Math" w:eastAsiaTheme="minorEastAsia" w:hAnsi="Cambria Math" w:cs="Arial"/>
            <w:sz w:val="20"/>
            <w:szCs w:val="20"/>
            <w:lang w:val="en-NG"/>
          </w:rPr>
          <m:t xml:space="preserve"> </m:t>
        </m:r>
        <m:r>
          <w:rPr>
            <w:rFonts w:ascii="Cambria Math" w:eastAsiaTheme="minorEastAsia" w:hAnsi="Cambria Math" w:cs="Arial"/>
            <w:sz w:val="20"/>
            <w:szCs w:val="20"/>
            <w:lang w:val="en-NG"/>
          </w:rPr>
          <m:t>100,</m:t>
        </m:r>
        <m:r>
          <w:rPr>
            <w:rFonts w:ascii="Cambria Math" w:eastAsiaTheme="minorEastAsia" w:hAnsi="Cambria Math" w:cs="Arial"/>
            <w:sz w:val="20"/>
            <w:szCs w:val="20"/>
            <w:lang w:val="en-NG"/>
          </w:rPr>
          <m:t xml:space="preserve"> </m:t>
        </m:r>
        <m:r>
          <w:rPr>
            <w:rFonts w:ascii="Cambria Math" w:eastAsiaTheme="minorEastAsia" w:hAnsi="Cambria Math" w:cs="Arial"/>
            <w:sz w:val="20"/>
            <w:szCs w:val="20"/>
            <w:lang w:val="en-NG"/>
          </w:rPr>
          <m:t>500</m:t>
        </m:r>
      </m:oMath>
      <w:r w:rsidRPr="006107DB">
        <w:rPr>
          <w:rFonts w:ascii="Arial" w:eastAsiaTheme="minorEastAsia" w:hAnsi="Arial" w:cs="Arial"/>
          <w:bCs/>
          <w:sz w:val="20"/>
          <w:szCs w:val="20"/>
          <w:lang w:val="en-NG"/>
        </w:rPr>
        <w:t>. The results are summarized in Table 1, while Figures 1 and 2 illustrate the comparative performance of the estimators for Bias and MSE, respectively.</w:t>
      </w:r>
    </w:p>
    <w:p w14:paraId="0FA07B59" w14:textId="4CD85094" w:rsidR="002A208A" w:rsidRPr="006107DB" w:rsidRDefault="002A208A" w:rsidP="00D462AC">
      <w:pPr>
        <w:tabs>
          <w:tab w:val="left" w:pos="1055"/>
        </w:tabs>
        <w:spacing w:after="0" w:line="240" w:lineRule="auto"/>
        <w:jc w:val="both"/>
        <w:rPr>
          <w:rFonts w:ascii="Arial" w:eastAsiaTheme="minorEastAsia" w:hAnsi="Arial" w:cs="Arial"/>
          <w:bCs/>
          <w:sz w:val="20"/>
          <w:szCs w:val="20"/>
          <w:lang w:val="en-NG"/>
        </w:rPr>
      </w:pPr>
      <w:r w:rsidRPr="006107DB">
        <w:rPr>
          <w:rFonts w:ascii="Arial" w:eastAsiaTheme="minorEastAsia" w:hAnsi="Arial" w:cs="Arial"/>
          <w:b/>
          <w:sz w:val="20"/>
          <w:szCs w:val="20"/>
          <w:lang w:val="en-NG"/>
        </w:rPr>
        <w:br/>
      </w:r>
      <w:r w:rsidRPr="006107DB">
        <w:rPr>
          <w:rFonts w:ascii="Arial" w:eastAsiaTheme="minorEastAsia" w:hAnsi="Arial" w:cs="Arial"/>
          <w:bCs/>
          <w:sz w:val="20"/>
          <w:szCs w:val="20"/>
          <w:lang w:val="en-NG"/>
        </w:rPr>
        <w:t xml:space="preserve">As shown in Table 1 and Figure 1, the EM estimator exhibits the lowest Bias across all parameters and </w:t>
      </w:r>
      <w:r w:rsidRPr="006107DB">
        <w:rPr>
          <w:rFonts w:ascii="Arial" w:eastAsiaTheme="minorEastAsia" w:hAnsi="Arial" w:cs="Arial"/>
          <w:bCs/>
          <w:sz w:val="20"/>
          <w:szCs w:val="20"/>
          <w:lang w:val="en-NG"/>
        </w:rPr>
        <w:lastRenderedPageBreak/>
        <w:t>sample sizes. For small samples (</w:t>
      </w:r>
      <m:oMath>
        <m:r>
          <w:rPr>
            <w:rFonts w:ascii="Cambria Math" w:eastAsiaTheme="minorEastAsia" w:hAnsi="Cambria Math" w:cs="Arial"/>
            <w:sz w:val="20"/>
            <w:szCs w:val="20"/>
            <w:lang w:val="en-NG"/>
          </w:rPr>
          <m:t>n=20</m:t>
        </m:r>
      </m:oMath>
      <w:r w:rsidRPr="006107DB">
        <w:rPr>
          <w:rFonts w:ascii="Arial" w:eastAsiaTheme="minorEastAsia" w:hAnsi="Arial" w:cs="Arial"/>
          <w:bCs/>
          <w:sz w:val="20"/>
          <w:szCs w:val="20"/>
          <w:lang w:val="en-NG"/>
        </w:rPr>
        <w:t xml:space="preserve">), both MM and MLE show relatively higher Bias, particularly for the scale parameter </w:t>
      </w:r>
      <m:oMath>
        <m:r>
          <w:rPr>
            <w:rFonts w:ascii="Cambria Math" w:eastAsiaTheme="minorEastAsia" w:hAnsi="Cambria Math" w:cs="Arial"/>
            <w:sz w:val="20"/>
            <w:szCs w:val="20"/>
            <w:lang w:val="en-NG"/>
          </w:rPr>
          <m:t>γ</m:t>
        </m:r>
      </m:oMath>
      <w:r w:rsidRPr="006107DB">
        <w:rPr>
          <w:rFonts w:ascii="Arial" w:eastAsiaTheme="minorEastAsia" w:hAnsi="Arial" w:cs="Arial"/>
          <w:bCs/>
          <w:sz w:val="20"/>
          <w:szCs w:val="20"/>
          <w:lang w:val="en-NG"/>
        </w:rPr>
        <w:t xml:space="preserve">and the parameter </w:t>
      </w:r>
      <m:oMath>
        <m:r>
          <w:rPr>
            <w:rFonts w:ascii="Cambria Math" w:eastAsiaTheme="minorEastAsia" w:hAnsi="Cambria Math" w:cs="Arial"/>
            <w:sz w:val="20"/>
            <w:szCs w:val="20"/>
            <w:lang w:val="en-NG"/>
          </w:rPr>
          <m:t>θ</m:t>
        </m:r>
      </m:oMath>
      <w:r w:rsidRPr="006107DB">
        <w:rPr>
          <w:rFonts w:ascii="Arial" w:eastAsiaTheme="minorEastAsia" w:hAnsi="Arial" w:cs="Arial"/>
          <w:bCs/>
          <w:sz w:val="20"/>
          <w:szCs w:val="20"/>
          <w:lang w:val="en-NG"/>
        </w:rPr>
        <w:t xml:space="preserve">. As the sample size increases, the Bias of all estimators decreases, reflecting improved estimator accuracy. At </w:t>
      </w:r>
      <m:oMath>
        <m:r>
          <w:rPr>
            <w:rFonts w:ascii="Cambria Math" w:eastAsiaTheme="minorEastAsia" w:hAnsi="Cambria Math" w:cs="Arial"/>
            <w:sz w:val="20"/>
            <w:szCs w:val="20"/>
            <w:lang w:val="en-NG"/>
          </w:rPr>
          <m:t>n=500</m:t>
        </m:r>
      </m:oMath>
      <w:r w:rsidRPr="006107DB">
        <w:rPr>
          <w:rFonts w:ascii="Arial" w:eastAsiaTheme="minorEastAsia" w:hAnsi="Arial" w:cs="Arial"/>
          <w:bCs/>
          <w:sz w:val="20"/>
          <w:szCs w:val="20"/>
          <w:lang w:val="en-NG"/>
        </w:rPr>
        <w:t xml:space="preserve">, the Bias of EM estimates is nearly negligible (e.g., </w:t>
      </w:r>
      <m:oMath>
        <m:r>
          <w:rPr>
            <w:rFonts w:ascii="Cambria Math" w:eastAsiaTheme="minorEastAsia" w:hAnsi="Cambria Math" w:cs="Arial"/>
            <w:sz w:val="20"/>
            <w:szCs w:val="20"/>
            <w:lang w:val="en-NG"/>
          </w:rPr>
          <m:t>β=0.002</m:t>
        </m:r>
      </m:oMath>
      <w:r w:rsidRPr="006107DB">
        <w:rPr>
          <w:rFonts w:ascii="Arial" w:eastAsiaTheme="minorEastAsia" w:hAnsi="Arial" w:cs="Arial"/>
          <w:bCs/>
          <w:sz w:val="20"/>
          <w:szCs w:val="20"/>
          <w:lang w:val="en-NG"/>
        </w:rPr>
        <w:t xml:space="preserve">, </w:t>
      </w:r>
      <m:oMath>
        <m:r>
          <w:rPr>
            <w:rFonts w:ascii="Cambria Math" w:eastAsiaTheme="minorEastAsia" w:hAnsi="Cambria Math" w:cs="Arial"/>
            <w:sz w:val="20"/>
            <w:szCs w:val="20"/>
            <w:lang w:val="en-NG"/>
          </w:rPr>
          <m:t>σ=0.010</m:t>
        </m:r>
      </m:oMath>
      <w:r w:rsidRPr="006107DB">
        <w:rPr>
          <w:rFonts w:ascii="Arial" w:eastAsiaTheme="minorEastAsia" w:hAnsi="Arial" w:cs="Arial"/>
          <w:bCs/>
          <w:sz w:val="20"/>
          <w:szCs w:val="20"/>
          <w:lang w:val="en-NG"/>
        </w:rPr>
        <w:t>), demonstrating its superior reliability in parameter estimation.</w:t>
      </w:r>
    </w:p>
    <w:p w14:paraId="39824A35" w14:textId="04C4F19F" w:rsidR="002A208A" w:rsidRPr="006107DB" w:rsidRDefault="002A208A" w:rsidP="002A208A">
      <w:pPr>
        <w:tabs>
          <w:tab w:val="left" w:pos="1055"/>
        </w:tabs>
        <w:spacing w:after="0" w:line="240" w:lineRule="auto"/>
        <w:rPr>
          <w:rFonts w:ascii="Arial" w:eastAsiaTheme="minorEastAsia" w:hAnsi="Arial" w:cs="Arial"/>
          <w:bCs/>
          <w:sz w:val="20"/>
          <w:szCs w:val="20"/>
          <w:lang w:val="en-NG"/>
        </w:rPr>
      </w:pPr>
      <w:r w:rsidRPr="006107DB">
        <w:rPr>
          <w:rFonts w:ascii="Arial" w:eastAsiaTheme="minorEastAsia" w:hAnsi="Arial" w:cs="Arial"/>
          <w:bCs/>
          <w:sz w:val="20"/>
          <w:szCs w:val="20"/>
          <w:lang w:val="en-NG"/>
        </w:rPr>
        <w:br/>
        <w:t xml:space="preserve">Table 1 and Figure 2 indicate that the EM estimator consistently yields the lowest MSE, confirming its efficiency relative to MM and MLE. While MSE decreases with increasing sample size for all estimators, EM maintains a clear advantage, particularly for parameters with higher variability such as </w:t>
      </w:r>
      <m:oMath>
        <m:r>
          <w:rPr>
            <w:rFonts w:ascii="Cambria Math" w:eastAsiaTheme="minorEastAsia" w:hAnsi="Cambria Math" w:cs="Arial"/>
            <w:sz w:val="20"/>
            <w:szCs w:val="20"/>
            <w:lang w:val="en-NG"/>
          </w:rPr>
          <m:t>γ</m:t>
        </m:r>
      </m:oMath>
      <w:r w:rsidRPr="006107DB">
        <w:rPr>
          <w:rFonts w:ascii="Arial" w:eastAsiaTheme="minorEastAsia" w:hAnsi="Arial" w:cs="Arial"/>
          <w:bCs/>
          <w:sz w:val="20"/>
          <w:szCs w:val="20"/>
          <w:lang w:val="en-NG"/>
        </w:rPr>
        <w:t xml:space="preserve">and </w:t>
      </w:r>
      <m:oMath>
        <m:r>
          <w:rPr>
            <w:rFonts w:ascii="Cambria Math" w:eastAsiaTheme="minorEastAsia" w:hAnsi="Cambria Math" w:cs="Arial"/>
            <w:sz w:val="20"/>
            <w:szCs w:val="20"/>
            <w:lang w:val="en-NG"/>
          </w:rPr>
          <m:t>θ</m:t>
        </m:r>
      </m:oMath>
      <w:r w:rsidRPr="006107DB">
        <w:rPr>
          <w:rFonts w:ascii="Arial" w:eastAsiaTheme="minorEastAsia" w:hAnsi="Arial" w:cs="Arial"/>
          <w:bCs/>
          <w:sz w:val="20"/>
          <w:szCs w:val="20"/>
          <w:lang w:val="en-NG"/>
        </w:rPr>
        <w:t xml:space="preserve">. For instance, at </w:t>
      </w:r>
      <m:oMath>
        <m:r>
          <w:rPr>
            <w:rFonts w:ascii="Cambria Math" w:eastAsiaTheme="minorEastAsia" w:hAnsi="Cambria Math" w:cs="Arial"/>
            <w:sz w:val="20"/>
            <w:szCs w:val="20"/>
            <w:lang w:val="en-NG"/>
          </w:rPr>
          <m:t>n=20</m:t>
        </m:r>
      </m:oMath>
      <w:r w:rsidRPr="006107DB">
        <w:rPr>
          <w:rFonts w:ascii="Arial" w:eastAsiaTheme="minorEastAsia" w:hAnsi="Arial" w:cs="Arial"/>
          <w:bCs/>
          <w:sz w:val="20"/>
          <w:szCs w:val="20"/>
          <w:lang w:val="en-NG"/>
        </w:rPr>
        <w:t xml:space="preserve">, the MSE of </w:t>
      </w:r>
      <m:oMath>
        <m:r>
          <w:rPr>
            <w:rFonts w:ascii="Cambria Math" w:eastAsiaTheme="minorEastAsia" w:hAnsi="Cambria Math" w:cs="Arial"/>
            <w:sz w:val="20"/>
            <w:szCs w:val="20"/>
            <w:lang w:val="en-NG"/>
          </w:rPr>
          <m:t>γ</m:t>
        </m:r>
      </m:oMath>
      <w:r w:rsidR="004905C8">
        <w:rPr>
          <w:rFonts w:ascii="Arial" w:eastAsiaTheme="minorEastAsia" w:hAnsi="Arial" w:cs="Arial"/>
          <w:sz w:val="20"/>
          <w:szCs w:val="20"/>
          <w:lang w:val="en-NG"/>
        </w:rPr>
        <w:t xml:space="preserve"> </w:t>
      </w:r>
      <w:r w:rsidRPr="006107DB">
        <w:rPr>
          <w:rFonts w:ascii="Arial" w:eastAsiaTheme="minorEastAsia" w:hAnsi="Arial" w:cs="Arial"/>
          <w:bCs/>
          <w:sz w:val="20"/>
          <w:szCs w:val="20"/>
          <w:lang w:val="en-NG"/>
        </w:rPr>
        <w:t>is 12.484 for MM, 9.500 for MLE, and 8.900 for EM.</w:t>
      </w:r>
    </w:p>
    <w:p w14:paraId="017744ED" w14:textId="601CD770" w:rsidR="002A208A" w:rsidRPr="006107DB" w:rsidRDefault="002A208A" w:rsidP="00D462AC">
      <w:pPr>
        <w:tabs>
          <w:tab w:val="left" w:pos="1055"/>
        </w:tabs>
        <w:spacing w:after="0" w:line="240" w:lineRule="auto"/>
        <w:jc w:val="both"/>
        <w:rPr>
          <w:rFonts w:ascii="Arial" w:eastAsiaTheme="minorEastAsia" w:hAnsi="Arial" w:cs="Arial"/>
          <w:bCs/>
          <w:sz w:val="20"/>
          <w:szCs w:val="20"/>
          <w:lang w:val="en-NG"/>
        </w:rPr>
      </w:pPr>
      <w:r w:rsidRPr="006107DB">
        <w:rPr>
          <w:rFonts w:ascii="Arial" w:eastAsiaTheme="minorEastAsia" w:hAnsi="Arial" w:cs="Arial"/>
          <w:bCs/>
          <w:sz w:val="20"/>
          <w:szCs w:val="20"/>
          <w:lang w:val="en-NG"/>
        </w:rPr>
        <w:br/>
        <w:t xml:space="preserve">The simulation results highlight the impact of sample size on estimator performance. As </w:t>
      </w:r>
      <m:oMath>
        <m:r>
          <w:rPr>
            <w:rFonts w:ascii="Cambria Math" w:eastAsiaTheme="minorEastAsia" w:hAnsi="Cambria Math" w:cs="Arial"/>
            <w:sz w:val="20"/>
            <w:szCs w:val="20"/>
            <w:lang w:val="en-NG"/>
          </w:rPr>
          <m:t>n</m:t>
        </m:r>
      </m:oMath>
      <w:r w:rsidRPr="006107DB">
        <w:rPr>
          <w:rFonts w:ascii="Arial" w:eastAsiaTheme="minorEastAsia" w:hAnsi="Arial" w:cs="Arial"/>
          <w:bCs/>
          <w:sz w:val="20"/>
          <w:szCs w:val="20"/>
          <w:lang w:val="en-NG"/>
        </w:rPr>
        <w:t>increases from 20 to 500, both Bias and MSE decrease for all estimators. This reduction is most pronounced for EM, which converges more rapidly to the true parameter values, indicating its suitability for accurate inference in small to moderate samples.</w:t>
      </w:r>
    </w:p>
    <w:p w14:paraId="768D350B" w14:textId="14CC6CD1" w:rsidR="002A208A" w:rsidRPr="006107DB" w:rsidRDefault="002A208A" w:rsidP="002A208A">
      <w:pPr>
        <w:tabs>
          <w:tab w:val="left" w:pos="1055"/>
        </w:tabs>
        <w:spacing w:after="0" w:line="240" w:lineRule="auto"/>
        <w:jc w:val="both"/>
        <w:rPr>
          <w:rFonts w:ascii="Arial" w:eastAsiaTheme="minorEastAsia" w:hAnsi="Arial" w:cs="Arial"/>
          <w:bCs/>
          <w:sz w:val="20"/>
          <w:szCs w:val="20"/>
          <w:lang w:val="en-NG"/>
        </w:rPr>
      </w:pPr>
      <w:r w:rsidRPr="006107DB">
        <w:rPr>
          <w:rFonts w:ascii="Arial" w:eastAsiaTheme="minorEastAsia" w:hAnsi="Arial" w:cs="Arial"/>
          <w:bCs/>
          <w:sz w:val="20"/>
          <w:szCs w:val="20"/>
          <w:lang w:val="en-NG"/>
        </w:rPr>
        <w:br/>
        <w:t xml:space="preserve">Overall, the EM estimator outperforms MM and MLE in terms of both Bias and MSE, making it the preferred method for estimating the TE-NWP distribution parameters. MLE performs moderately well, particularly for larger samples, but its Bias and MSE remain higher than those of EM. MM consistently exhibits the largest Bias and MSE, especially for </w:t>
      </w:r>
      <m:oMath>
        <m:r>
          <w:rPr>
            <w:rFonts w:ascii="Cambria Math" w:eastAsiaTheme="minorEastAsia" w:hAnsi="Cambria Math" w:cs="Arial"/>
            <w:sz w:val="20"/>
            <w:szCs w:val="20"/>
            <w:lang w:val="en-NG"/>
          </w:rPr>
          <m:t>γ</m:t>
        </m:r>
      </m:oMath>
      <w:r w:rsidRPr="006107DB">
        <w:rPr>
          <w:rFonts w:ascii="Arial" w:eastAsiaTheme="minorEastAsia" w:hAnsi="Arial" w:cs="Arial"/>
          <w:bCs/>
          <w:sz w:val="20"/>
          <w:szCs w:val="20"/>
          <w:lang w:val="en-NG"/>
        </w:rPr>
        <w:t xml:space="preserve">and </w:t>
      </w:r>
      <m:oMath>
        <m:r>
          <w:rPr>
            <w:rFonts w:ascii="Cambria Math" w:eastAsiaTheme="minorEastAsia" w:hAnsi="Cambria Math" w:cs="Arial"/>
            <w:sz w:val="20"/>
            <w:szCs w:val="20"/>
            <w:lang w:val="en-NG"/>
          </w:rPr>
          <m:t>θ</m:t>
        </m:r>
      </m:oMath>
      <w:r w:rsidRPr="006107DB">
        <w:rPr>
          <w:rFonts w:ascii="Arial" w:eastAsiaTheme="minorEastAsia" w:hAnsi="Arial" w:cs="Arial"/>
          <w:bCs/>
          <w:sz w:val="20"/>
          <w:szCs w:val="20"/>
          <w:lang w:val="en-NG"/>
        </w:rPr>
        <w:t>, indicating lower accuracy and efficiency.</w:t>
      </w:r>
    </w:p>
    <w:p w14:paraId="643E6401" w14:textId="77777777" w:rsidR="002A208A" w:rsidRPr="006107DB" w:rsidRDefault="002A208A" w:rsidP="002A208A">
      <w:pPr>
        <w:tabs>
          <w:tab w:val="left" w:pos="1055"/>
        </w:tabs>
        <w:spacing w:after="0" w:line="240" w:lineRule="auto"/>
        <w:jc w:val="both"/>
        <w:rPr>
          <w:rFonts w:ascii="Arial" w:eastAsia="Times New Roman" w:hAnsi="Arial" w:cs="Arial"/>
          <w:b/>
          <w:bCs/>
        </w:rPr>
      </w:pPr>
    </w:p>
    <w:p w14:paraId="19648C97" w14:textId="77777777" w:rsidR="002A208A" w:rsidRPr="006107DB" w:rsidRDefault="002A208A" w:rsidP="002A208A">
      <w:pPr>
        <w:tabs>
          <w:tab w:val="left" w:pos="1055"/>
        </w:tabs>
        <w:spacing w:after="0" w:line="240" w:lineRule="auto"/>
        <w:jc w:val="both"/>
        <w:rPr>
          <w:rFonts w:ascii="Arial" w:eastAsia="Times New Roman" w:hAnsi="Arial" w:cs="Arial"/>
          <w:b/>
          <w:bCs/>
        </w:rPr>
      </w:pPr>
    </w:p>
    <w:p w14:paraId="0E47BAB6" w14:textId="60AE4A48" w:rsidR="00012B52" w:rsidRPr="006107DB" w:rsidRDefault="002A208A" w:rsidP="002A208A">
      <w:pPr>
        <w:tabs>
          <w:tab w:val="left" w:pos="1055"/>
        </w:tabs>
        <w:spacing w:after="0" w:line="240" w:lineRule="auto"/>
        <w:jc w:val="both"/>
        <w:rPr>
          <w:rFonts w:ascii="Arial" w:eastAsia="Times New Roman" w:hAnsi="Arial" w:cs="Arial"/>
          <w:b/>
          <w:bCs/>
        </w:rPr>
      </w:pPr>
      <w:r w:rsidRPr="006107DB">
        <w:rPr>
          <w:rFonts w:ascii="Arial" w:eastAsia="Times New Roman" w:hAnsi="Arial" w:cs="Arial"/>
          <w:b/>
          <w:bCs/>
        </w:rPr>
        <w:t xml:space="preserve">3.3. </w:t>
      </w:r>
      <w:r w:rsidR="00D248E2" w:rsidRPr="006107DB">
        <w:rPr>
          <w:rFonts w:ascii="Arial" w:eastAsia="Times New Roman" w:hAnsi="Arial" w:cs="Arial"/>
          <w:b/>
          <w:bCs/>
        </w:rPr>
        <w:t xml:space="preserve"> </w:t>
      </w:r>
      <w:r w:rsidR="00012B52" w:rsidRPr="006107DB">
        <w:rPr>
          <w:rFonts w:ascii="Arial" w:eastAsia="Times New Roman" w:hAnsi="Arial" w:cs="Arial"/>
          <w:b/>
          <w:bCs/>
        </w:rPr>
        <w:t xml:space="preserve">Real-life application </w:t>
      </w:r>
    </w:p>
    <w:p w14:paraId="3FAF08C4" w14:textId="77777777" w:rsidR="002A208A" w:rsidRPr="006107DB" w:rsidRDefault="002A208A" w:rsidP="002A208A">
      <w:pPr>
        <w:tabs>
          <w:tab w:val="left" w:pos="1055"/>
        </w:tabs>
        <w:spacing w:after="0" w:line="240" w:lineRule="auto"/>
        <w:jc w:val="both"/>
        <w:rPr>
          <w:rFonts w:ascii="Arial" w:eastAsia="Times New Roman" w:hAnsi="Arial" w:cs="Arial"/>
          <w:b/>
          <w:bCs/>
        </w:rPr>
      </w:pPr>
    </w:p>
    <w:p w14:paraId="1A8F7BD0" w14:textId="079E683E" w:rsidR="008F25E6" w:rsidRPr="006107DB" w:rsidRDefault="008F25E6" w:rsidP="008F25E6">
      <w:pPr>
        <w:pStyle w:val="Default"/>
        <w:spacing w:line="276" w:lineRule="auto"/>
        <w:jc w:val="both"/>
        <w:rPr>
          <w:rFonts w:ascii="Arial" w:hAnsi="Arial" w:cs="Arial"/>
          <w:color w:val="auto"/>
          <w:sz w:val="20"/>
          <w:szCs w:val="20"/>
        </w:rPr>
      </w:pPr>
      <w:r w:rsidRPr="006107DB">
        <w:rPr>
          <w:rFonts w:ascii="Arial" w:hAnsi="Arial" w:cs="Arial"/>
          <w:color w:val="auto"/>
          <w:sz w:val="20"/>
          <w:szCs w:val="20"/>
        </w:rPr>
        <w:t xml:space="preserve">The data represents the life of a Kevlar 373/epoxy fatigue fracture subjected to constant pressure at 90% stress until it collapsed. </w:t>
      </w:r>
      <w:r w:rsidR="007C6070" w:rsidRPr="006107DB">
        <w:rPr>
          <w:rFonts w:ascii="Arial" w:hAnsi="Arial" w:cs="Arial"/>
          <w:color w:val="auto"/>
          <w:sz w:val="20"/>
          <w:szCs w:val="20"/>
        </w:rPr>
        <w:t>The data were previously analyzed by Abdul-</w:t>
      </w:r>
      <w:proofErr w:type="spellStart"/>
      <w:r w:rsidR="007C6070" w:rsidRPr="006107DB">
        <w:rPr>
          <w:rFonts w:ascii="Arial" w:hAnsi="Arial" w:cs="Arial"/>
          <w:color w:val="auto"/>
          <w:sz w:val="20"/>
          <w:szCs w:val="20"/>
        </w:rPr>
        <w:t>Moniem</w:t>
      </w:r>
      <w:proofErr w:type="spellEnd"/>
      <w:r w:rsidR="007C6070" w:rsidRPr="006107DB">
        <w:rPr>
          <w:rFonts w:ascii="Arial" w:hAnsi="Arial" w:cs="Arial"/>
          <w:color w:val="auto"/>
          <w:sz w:val="20"/>
          <w:szCs w:val="20"/>
        </w:rPr>
        <w:t xml:space="preserve"> </w:t>
      </w:r>
      <w:r w:rsidR="006107DB">
        <w:rPr>
          <w:rFonts w:ascii="Arial" w:hAnsi="Arial" w:cs="Arial"/>
          <w:color w:val="auto"/>
          <w:sz w:val="20"/>
          <w:szCs w:val="20"/>
        </w:rPr>
        <w:t>&amp;</w:t>
      </w:r>
      <w:r w:rsidR="007C6070" w:rsidRPr="006107DB">
        <w:rPr>
          <w:rFonts w:ascii="Arial" w:hAnsi="Arial" w:cs="Arial"/>
          <w:color w:val="auto"/>
          <w:sz w:val="20"/>
          <w:szCs w:val="20"/>
        </w:rPr>
        <w:t xml:space="preserve"> Seham (2015) to </w:t>
      </w:r>
      <w:r w:rsidRPr="006107DB">
        <w:rPr>
          <w:rFonts w:ascii="Arial" w:hAnsi="Arial" w:cs="Arial"/>
          <w:color w:val="auto"/>
          <w:sz w:val="20"/>
          <w:szCs w:val="20"/>
        </w:rPr>
        <w:t xml:space="preserve">determining the flexibility of their proposed model. The following data is displayed: </w:t>
      </w:r>
    </w:p>
    <w:p w14:paraId="0D8D93F6" w14:textId="77777777" w:rsidR="008F25E6" w:rsidRPr="006107DB" w:rsidRDefault="008F25E6" w:rsidP="008F25E6">
      <w:pPr>
        <w:pStyle w:val="Default"/>
        <w:spacing w:line="276" w:lineRule="auto"/>
        <w:jc w:val="both"/>
        <w:rPr>
          <w:rFonts w:ascii="Arial" w:hAnsi="Arial" w:cs="Arial"/>
          <w:color w:val="auto"/>
          <w:sz w:val="20"/>
          <w:szCs w:val="20"/>
        </w:rPr>
      </w:pPr>
    </w:p>
    <w:p w14:paraId="0B71FD17" w14:textId="77777777" w:rsidR="008F25E6" w:rsidRPr="006107DB" w:rsidRDefault="008F25E6" w:rsidP="008F25E6">
      <w:pPr>
        <w:pStyle w:val="Default"/>
        <w:spacing w:line="276" w:lineRule="auto"/>
        <w:jc w:val="both"/>
        <w:rPr>
          <w:rFonts w:ascii="Arial" w:hAnsi="Arial" w:cs="Arial"/>
          <w:color w:val="auto"/>
          <w:sz w:val="20"/>
          <w:szCs w:val="20"/>
        </w:rPr>
      </w:pPr>
      <w:r w:rsidRPr="006107DB">
        <w:rPr>
          <w:rFonts w:ascii="Arial" w:hAnsi="Arial" w:cs="Arial"/>
          <w:color w:val="auto"/>
          <w:sz w:val="20"/>
          <w:szCs w:val="20"/>
        </w:rPr>
        <w:t>0.0251, 0.0886, 0.0891, 0.2501, 0.3113, 0.3451, 0.4763, 0.5650, 0.5671, 0.6566, 0.6748, 0.6751, 0.6753, 0.7696, 0.8375, 0.8391, 0.8425, 0.8645, 0.8851, 0.9113, 0.9120, 0.9836, 1.0483, 1.0596, 1.0773, 1.1733, 1.2570, 1.2766, 1.2985, 1.3211, 1.3503, 1.3551, 1.4595, 1.4880, 1.5728, 1.5733, 1.7083, 1.7263, 1.7460, 1.7630, 1.7746, 1.8275, 1.8375, 1.8503, 1.8808, 1.8878, 1.8881, 1.9316, 1.9558, 2.0048, 2.0408, 2.0903, 2.1093, 2.1330, 2.2100, 2.2460, 2.2878, 2.3203, 2.3470, 2.3513, 2.4951, 2.5260, 2.9911, 3.0256, 3.2678, 3.4045, 3.4846, 3.7433, 3.7455, 3.9143, 4.8073, 5.4005, 5.4435, 5.5295, 6.5541, 9.0960.</w:t>
      </w:r>
    </w:p>
    <w:p w14:paraId="16792130" w14:textId="77777777" w:rsidR="00146EDB" w:rsidRPr="006107DB" w:rsidRDefault="00146EDB" w:rsidP="008F25E6">
      <w:pPr>
        <w:pStyle w:val="Default"/>
        <w:spacing w:line="276" w:lineRule="auto"/>
        <w:jc w:val="both"/>
        <w:rPr>
          <w:rFonts w:ascii="Arial" w:hAnsi="Arial" w:cs="Arial"/>
          <w:color w:val="auto"/>
          <w:sz w:val="20"/>
          <w:szCs w:val="20"/>
        </w:rPr>
      </w:pPr>
    </w:p>
    <w:p w14:paraId="5C7A7690" w14:textId="54FB9C76" w:rsidR="00146EDB" w:rsidRPr="006107DB" w:rsidRDefault="00146EDB" w:rsidP="008F25E6">
      <w:pPr>
        <w:pStyle w:val="Default"/>
        <w:spacing w:line="276" w:lineRule="auto"/>
        <w:jc w:val="both"/>
        <w:rPr>
          <w:rFonts w:ascii="Arial" w:hAnsi="Arial" w:cs="Arial"/>
          <w:color w:val="auto"/>
          <w:sz w:val="20"/>
          <w:szCs w:val="20"/>
        </w:rPr>
      </w:pPr>
      <w:r w:rsidRPr="006107DB">
        <w:rPr>
          <w:rFonts w:ascii="Arial" w:hAnsi="Arial" w:cs="Arial"/>
          <w:color w:val="auto"/>
          <w:sz w:val="20"/>
          <w:szCs w:val="20"/>
        </w:rPr>
        <w:t>To examine the practical performance of the competing estimation methods, Table 2 reports the estimated parameters of the TE</w:t>
      </w:r>
      <w:r w:rsidR="008636BE" w:rsidRPr="006107DB">
        <w:rPr>
          <w:rFonts w:ascii="Arial" w:hAnsi="Arial" w:cs="Arial"/>
          <w:color w:val="auto"/>
          <w:sz w:val="20"/>
          <w:szCs w:val="20"/>
        </w:rPr>
        <w:t>-</w:t>
      </w:r>
      <w:r w:rsidRPr="006107DB">
        <w:rPr>
          <w:rFonts w:ascii="Arial" w:hAnsi="Arial" w:cs="Arial"/>
          <w:color w:val="auto"/>
          <w:sz w:val="20"/>
          <w:szCs w:val="20"/>
        </w:rPr>
        <w:t xml:space="preserve">NWP model fitted to the Kevlar 373/epoxy fatigue fracture data. The results include estimates of the shape parameter (β), scale parameters </w:t>
      </w:r>
      <m:oMath>
        <m:r>
          <w:rPr>
            <w:rFonts w:ascii="Cambria Math" w:hAnsi="Cambria Math" w:cs="Arial"/>
            <w:color w:val="auto"/>
            <w:sz w:val="20"/>
            <w:szCs w:val="20"/>
          </w:rPr>
          <m:t>(σ, τ, γ),</m:t>
        </m:r>
      </m:oMath>
      <w:r w:rsidRPr="006107DB">
        <w:rPr>
          <w:rFonts w:ascii="Arial" w:hAnsi="Arial" w:cs="Arial"/>
          <w:color w:val="auto"/>
          <w:sz w:val="20"/>
          <w:szCs w:val="20"/>
        </w:rPr>
        <w:t xml:space="preserve"> and the transmutation parameter (θ) obtained via MM, MLE, and EM procedures.</w:t>
      </w:r>
    </w:p>
    <w:p w14:paraId="76045381" w14:textId="77777777" w:rsidR="00044065" w:rsidRPr="006107DB" w:rsidRDefault="00044065" w:rsidP="008F25E6">
      <w:pPr>
        <w:pStyle w:val="Default"/>
        <w:spacing w:line="276" w:lineRule="auto"/>
        <w:jc w:val="both"/>
        <w:rPr>
          <w:rFonts w:ascii="Arial" w:hAnsi="Arial" w:cs="Arial"/>
          <w:color w:val="auto"/>
          <w:sz w:val="20"/>
          <w:szCs w:val="20"/>
        </w:rPr>
      </w:pPr>
    </w:p>
    <w:p w14:paraId="78F28DEF" w14:textId="77777777" w:rsidR="001F48DA" w:rsidRPr="006107DB" w:rsidRDefault="001F48DA" w:rsidP="008F25E6">
      <w:pPr>
        <w:pStyle w:val="Default"/>
        <w:spacing w:line="276" w:lineRule="auto"/>
        <w:jc w:val="both"/>
        <w:rPr>
          <w:rFonts w:ascii="Arial" w:hAnsi="Arial" w:cs="Arial"/>
          <w:color w:val="auto"/>
          <w:sz w:val="20"/>
          <w:szCs w:val="20"/>
        </w:rPr>
      </w:pPr>
    </w:p>
    <w:p w14:paraId="72D8A8A3" w14:textId="7F297BCB" w:rsidR="001F48DA" w:rsidRPr="006107DB" w:rsidRDefault="007B280B" w:rsidP="008F25E6">
      <w:pPr>
        <w:pStyle w:val="Default"/>
        <w:spacing w:line="276" w:lineRule="auto"/>
        <w:jc w:val="both"/>
        <w:rPr>
          <w:rFonts w:ascii="Arial" w:hAnsi="Arial" w:cs="Arial"/>
          <w:b/>
          <w:bCs/>
          <w:color w:val="auto"/>
          <w:sz w:val="20"/>
          <w:szCs w:val="20"/>
        </w:rPr>
      </w:pPr>
      <w:r w:rsidRPr="006107DB">
        <w:rPr>
          <w:rFonts w:ascii="Arial" w:hAnsi="Arial" w:cs="Arial"/>
          <w:b/>
          <w:bCs/>
          <w:color w:val="auto"/>
          <w:sz w:val="20"/>
          <w:szCs w:val="20"/>
        </w:rPr>
        <w:t>3.3.1. TE–NWP Parameter Estimates</w:t>
      </w:r>
    </w:p>
    <w:p w14:paraId="7C389083" w14:textId="77777777" w:rsidR="001F48DA" w:rsidRPr="006107DB" w:rsidRDefault="001F48DA" w:rsidP="008F25E6">
      <w:pPr>
        <w:pStyle w:val="Default"/>
        <w:spacing w:line="276" w:lineRule="auto"/>
        <w:jc w:val="both"/>
        <w:rPr>
          <w:rFonts w:ascii="Arial" w:hAnsi="Arial" w:cs="Arial"/>
          <w:color w:val="auto"/>
          <w:sz w:val="20"/>
          <w:szCs w:val="20"/>
        </w:rPr>
      </w:pPr>
    </w:p>
    <w:p w14:paraId="06A5F18E" w14:textId="210CE44F" w:rsidR="00044065" w:rsidRPr="006107DB" w:rsidRDefault="00EF3F38" w:rsidP="008F25E6">
      <w:pPr>
        <w:pStyle w:val="Default"/>
        <w:spacing w:line="276" w:lineRule="auto"/>
        <w:jc w:val="both"/>
        <w:rPr>
          <w:rFonts w:ascii="Arial" w:hAnsi="Arial" w:cs="Arial"/>
          <w:color w:val="auto"/>
          <w:sz w:val="20"/>
          <w:szCs w:val="20"/>
        </w:rPr>
      </w:pPr>
      <w:r w:rsidRPr="006107DB">
        <w:rPr>
          <w:rFonts w:ascii="Arial" w:hAnsi="Arial" w:cs="Arial"/>
          <w:color w:val="auto"/>
          <w:sz w:val="20"/>
          <w:szCs w:val="20"/>
        </w:rPr>
        <w:t xml:space="preserve">Table 2: </w:t>
      </w:r>
      <w:r w:rsidR="00044065" w:rsidRPr="006107DB">
        <w:rPr>
          <w:rFonts w:ascii="Arial" w:hAnsi="Arial" w:cs="Arial"/>
          <w:color w:val="auto"/>
          <w:sz w:val="20"/>
          <w:szCs w:val="20"/>
        </w:rPr>
        <w:t xml:space="preserve">Estimation of parameters for </w:t>
      </w:r>
      <w:r w:rsidR="00C4357E" w:rsidRPr="006107DB">
        <w:rPr>
          <w:rFonts w:ascii="Arial" w:hAnsi="Arial" w:cs="Arial"/>
          <w:color w:val="auto"/>
          <w:sz w:val="20"/>
          <w:szCs w:val="20"/>
        </w:rPr>
        <w:t xml:space="preserve">MM, MLE and EM </w:t>
      </w:r>
      <w:r w:rsidR="00044065" w:rsidRPr="006107DB">
        <w:rPr>
          <w:rFonts w:ascii="Arial" w:hAnsi="Arial" w:cs="Arial"/>
          <w:color w:val="auto"/>
          <w:sz w:val="20"/>
          <w:szCs w:val="20"/>
        </w:rPr>
        <w:t xml:space="preserve">using Kevlar 373/epoxy fatigue </w:t>
      </w:r>
      <w:r w:rsidRPr="006107DB">
        <w:rPr>
          <w:rFonts w:ascii="Arial" w:hAnsi="Arial" w:cs="Arial"/>
          <w:color w:val="auto"/>
          <w:sz w:val="20"/>
          <w:szCs w:val="20"/>
        </w:rPr>
        <w:t xml:space="preserve"> </w:t>
      </w:r>
      <w:r w:rsidRPr="006107DB">
        <w:rPr>
          <w:rFonts w:ascii="Arial" w:hAnsi="Arial" w:cs="Arial"/>
          <w:color w:val="auto"/>
          <w:sz w:val="20"/>
          <w:szCs w:val="20"/>
        </w:rPr>
        <w:br/>
        <w:t xml:space="preserve">                </w:t>
      </w:r>
      <w:r w:rsidR="00044065" w:rsidRPr="006107DB">
        <w:rPr>
          <w:rFonts w:ascii="Arial" w:hAnsi="Arial" w:cs="Arial"/>
          <w:color w:val="auto"/>
          <w:sz w:val="20"/>
          <w:szCs w:val="20"/>
        </w:rPr>
        <w:t>fracture data.</w:t>
      </w:r>
    </w:p>
    <w:p w14:paraId="0BC32490" w14:textId="77777777" w:rsidR="005075EC" w:rsidRPr="006107DB" w:rsidRDefault="005075EC" w:rsidP="008F25E6">
      <w:pPr>
        <w:pStyle w:val="Default"/>
        <w:spacing w:line="276" w:lineRule="auto"/>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10"/>
        <w:gridCol w:w="636"/>
        <w:gridCol w:w="640"/>
        <w:gridCol w:w="708"/>
        <w:gridCol w:w="709"/>
      </w:tblGrid>
      <w:tr w:rsidR="00C4357E" w:rsidRPr="006107DB" w14:paraId="45D4DEAB" w14:textId="77777777" w:rsidTr="00FC0844">
        <w:tc>
          <w:tcPr>
            <w:tcW w:w="1270" w:type="dxa"/>
            <w:tcBorders>
              <w:top w:val="single" w:sz="4" w:space="0" w:color="auto"/>
              <w:left w:val="single" w:sz="4" w:space="0" w:color="auto"/>
              <w:bottom w:val="single" w:sz="4" w:space="0" w:color="auto"/>
            </w:tcBorders>
            <w:vAlign w:val="center"/>
          </w:tcPr>
          <w:p w14:paraId="1F361534" w14:textId="7EFAB38D"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b/>
                <w:bCs/>
                <w:sz w:val="20"/>
                <w:szCs w:val="20"/>
              </w:rPr>
              <w:t>Method</w:t>
            </w:r>
          </w:p>
        </w:tc>
        <w:tc>
          <w:tcPr>
            <w:tcW w:w="710" w:type="dxa"/>
            <w:tcBorders>
              <w:top w:val="single" w:sz="4" w:space="0" w:color="auto"/>
              <w:bottom w:val="single" w:sz="4" w:space="0" w:color="auto"/>
            </w:tcBorders>
            <w:vAlign w:val="center"/>
          </w:tcPr>
          <w:p w14:paraId="78D8395D" w14:textId="242B5CA0" w:rsidR="00C4357E" w:rsidRPr="006107DB" w:rsidRDefault="007C6070" w:rsidP="00EA7239">
            <w:pPr>
              <w:pStyle w:val="Default"/>
              <w:spacing w:line="360" w:lineRule="auto"/>
              <w:jc w:val="both"/>
              <w:rPr>
                <w:rFonts w:ascii="Arial" w:hAnsi="Arial" w:cs="Arial"/>
                <w:color w:val="auto"/>
                <w:sz w:val="20"/>
                <w:szCs w:val="20"/>
              </w:rPr>
            </w:pPr>
            <m:oMathPara>
              <m:oMath>
                <m:r>
                  <w:rPr>
                    <w:rFonts w:ascii="Cambria Math" w:hAnsi="Cambria Math" w:cs="Arial"/>
                    <w:color w:val="auto"/>
                    <w:sz w:val="20"/>
                    <w:szCs w:val="20"/>
                  </w:rPr>
                  <m:t>β</m:t>
                </m:r>
              </m:oMath>
            </m:oMathPara>
          </w:p>
        </w:tc>
        <w:tc>
          <w:tcPr>
            <w:tcW w:w="636" w:type="dxa"/>
            <w:tcBorders>
              <w:top w:val="single" w:sz="4" w:space="0" w:color="auto"/>
              <w:bottom w:val="single" w:sz="4" w:space="0" w:color="auto"/>
            </w:tcBorders>
            <w:vAlign w:val="center"/>
          </w:tcPr>
          <w:p w14:paraId="1917924B" w14:textId="753AF4C4" w:rsidR="00C4357E" w:rsidRPr="006107DB" w:rsidRDefault="00EF3F38" w:rsidP="00EA7239">
            <w:pPr>
              <w:pStyle w:val="Default"/>
              <w:spacing w:line="360" w:lineRule="auto"/>
              <w:jc w:val="both"/>
              <w:rPr>
                <w:rFonts w:ascii="Arial" w:hAnsi="Arial" w:cs="Arial"/>
                <w:color w:val="auto"/>
                <w:sz w:val="20"/>
                <w:szCs w:val="20"/>
              </w:rPr>
            </w:pPr>
            <m:oMathPara>
              <m:oMath>
                <m:r>
                  <w:rPr>
                    <w:rFonts w:ascii="Cambria Math" w:hAnsi="Cambria Math" w:cs="Arial"/>
                    <w:color w:val="auto"/>
                    <w:sz w:val="20"/>
                    <w:szCs w:val="20"/>
                  </w:rPr>
                  <m:t>σ</m:t>
                </m:r>
              </m:oMath>
            </m:oMathPara>
          </w:p>
        </w:tc>
        <w:tc>
          <w:tcPr>
            <w:tcW w:w="640" w:type="dxa"/>
            <w:tcBorders>
              <w:top w:val="single" w:sz="4" w:space="0" w:color="auto"/>
              <w:bottom w:val="single" w:sz="4" w:space="0" w:color="auto"/>
            </w:tcBorders>
            <w:vAlign w:val="center"/>
          </w:tcPr>
          <w:p w14:paraId="688C0755" w14:textId="36152E7B" w:rsidR="00C4357E" w:rsidRPr="006107DB" w:rsidRDefault="007C6070" w:rsidP="00EA7239">
            <w:pPr>
              <w:pStyle w:val="Default"/>
              <w:spacing w:line="360" w:lineRule="auto"/>
              <w:jc w:val="both"/>
              <w:rPr>
                <w:rFonts w:ascii="Arial" w:hAnsi="Arial" w:cs="Arial"/>
                <w:color w:val="auto"/>
                <w:sz w:val="20"/>
                <w:szCs w:val="20"/>
              </w:rPr>
            </w:pPr>
            <m:oMathPara>
              <m:oMath>
                <m:r>
                  <w:rPr>
                    <w:rFonts w:ascii="Cambria Math" w:hAnsi="Cambria Math" w:cs="Arial"/>
                    <w:color w:val="auto"/>
                    <w:sz w:val="20"/>
                    <w:szCs w:val="20"/>
                  </w:rPr>
                  <m:t>τ</m:t>
                </m:r>
              </m:oMath>
            </m:oMathPara>
          </w:p>
        </w:tc>
        <w:tc>
          <w:tcPr>
            <w:tcW w:w="708" w:type="dxa"/>
            <w:tcBorders>
              <w:top w:val="single" w:sz="4" w:space="0" w:color="auto"/>
              <w:bottom w:val="single" w:sz="4" w:space="0" w:color="auto"/>
            </w:tcBorders>
            <w:vAlign w:val="center"/>
          </w:tcPr>
          <w:p w14:paraId="1A1D9DF2" w14:textId="33E2AEE3" w:rsidR="00C4357E" w:rsidRPr="006107DB" w:rsidRDefault="007C6070" w:rsidP="00EA7239">
            <w:pPr>
              <w:pStyle w:val="Default"/>
              <w:spacing w:line="360" w:lineRule="auto"/>
              <w:jc w:val="both"/>
              <w:rPr>
                <w:rFonts w:ascii="Arial" w:hAnsi="Arial" w:cs="Arial"/>
                <w:color w:val="auto"/>
                <w:sz w:val="20"/>
                <w:szCs w:val="20"/>
              </w:rPr>
            </w:pPr>
            <m:oMathPara>
              <m:oMath>
                <m:r>
                  <w:rPr>
                    <w:rFonts w:ascii="Cambria Math" w:hAnsi="Cambria Math" w:cs="Arial"/>
                    <w:color w:val="auto"/>
                    <w:sz w:val="20"/>
                    <w:szCs w:val="20"/>
                  </w:rPr>
                  <m:t>γ</m:t>
                </m:r>
              </m:oMath>
            </m:oMathPara>
          </w:p>
        </w:tc>
        <w:tc>
          <w:tcPr>
            <w:tcW w:w="709" w:type="dxa"/>
            <w:tcBorders>
              <w:top w:val="single" w:sz="4" w:space="0" w:color="auto"/>
              <w:bottom w:val="single" w:sz="4" w:space="0" w:color="auto"/>
              <w:right w:val="single" w:sz="4" w:space="0" w:color="auto"/>
            </w:tcBorders>
            <w:vAlign w:val="center"/>
          </w:tcPr>
          <w:p w14:paraId="7D411BCF" w14:textId="38520E65" w:rsidR="00C4357E" w:rsidRPr="006107DB" w:rsidRDefault="00EF3F38" w:rsidP="00EA7239">
            <w:pPr>
              <w:pStyle w:val="Default"/>
              <w:spacing w:line="360" w:lineRule="auto"/>
              <w:jc w:val="both"/>
              <w:rPr>
                <w:rFonts w:ascii="Arial" w:hAnsi="Arial" w:cs="Arial"/>
                <w:color w:val="auto"/>
                <w:sz w:val="20"/>
                <w:szCs w:val="20"/>
              </w:rPr>
            </w:pPr>
            <m:oMathPara>
              <m:oMath>
                <m:r>
                  <w:rPr>
                    <w:rFonts w:ascii="Cambria Math" w:hAnsi="Cambria Math" w:cs="Arial"/>
                    <w:color w:val="auto"/>
                    <w:sz w:val="20"/>
                    <w:szCs w:val="20"/>
                  </w:rPr>
                  <m:t>θ</m:t>
                </m:r>
              </m:oMath>
            </m:oMathPara>
          </w:p>
        </w:tc>
      </w:tr>
      <w:tr w:rsidR="00C4357E" w:rsidRPr="006107DB" w14:paraId="4FEC4A32" w14:textId="77777777" w:rsidTr="00FC0844">
        <w:tc>
          <w:tcPr>
            <w:tcW w:w="1270" w:type="dxa"/>
            <w:tcBorders>
              <w:top w:val="single" w:sz="4" w:space="0" w:color="auto"/>
              <w:left w:val="single" w:sz="4" w:space="0" w:color="auto"/>
            </w:tcBorders>
            <w:vAlign w:val="center"/>
          </w:tcPr>
          <w:p w14:paraId="72578899" w14:textId="7767164D"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MM</w:t>
            </w:r>
          </w:p>
        </w:tc>
        <w:tc>
          <w:tcPr>
            <w:tcW w:w="710" w:type="dxa"/>
            <w:tcBorders>
              <w:top w:val="single" w:sz="4" w:space="0" w:color="auto"/>
            </w:tcBorders>
            <w:vAlign w:val="center"/>
          </w:tcPr>
          <w:p w14:paraId="23204FCB" w14:textId="48CF7598"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1.42</w:t>
            </w:r>
          </w:p>
        </w:tc>
        <w:tc>
          <w:tcPr>
            <w:tcW w:w="636" w:type="dxa"/>
            <w:tcBorders>
              <w:top w:val="single" w:sz="4" w:space="0" w:color="auto"/>
            </w:tcBorders>
            <w:vAlign w:val="center"/>
          </w:tcPr>
          <w:p w14:paraId="09C071A2" w14:textId="13452E4E"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0.8</w:t>
            </w:r>
            <w:r w:rsidR="00205885" w:rsidRPr="006107DB">
              <w:rPr>
                <w:rFonts w:ascii="Arial" w:hAnsi="Arial" w:cs="Arial"/>
                <w:sz w:val="20"/>
                <w:szCs w:val="20"/>
              </w:rPr>
              <w:t>9</w:t>
            </w:r>
          </w:p>
        </w:tc>
        <w:tc>
          <w:tcPr>
            <w:tcW w:w="640" w:type="dxa"/>
            <w:tcBorders>
              <w:top w:val="single" w:sz="4" w:space="0" w:color="auto"/>
            </w:tcBorders>
            <w:vAlign w:val="center"/>
          </w:tcPr>
          <w:p w14:paraId="7349B9AE" w14:textId="43656F1B"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0.</w:t>
            </w:r>
            <w:r w:rsidR="00205885" w:rsidRPr="006107DB">
              <w:rPr>
                <w:rFonts w:ascii="Arial" w:hAnsi="Arial" w:cs="Arial"/>
                <w:sz w:val="20"/>
                <w:szCs w:val="20"/>
              </w:rPr>
              <w:t>8</w:t>
            </w:r>
            <w:r w:rsidRPr="006107DB">
              <w:rPr>
                <w:rFonts w:ascii="Arial" w:hAnsi="Arial" w:cs="Arial"/>
                <w:sz w:val="20"/>
                <w:szCs w:val="20"/>
              </w:rPr>
              <w:t>3</w:t>
            </w:r>
          </w:p>
        </w:tc>
        <w:tc>
          <w:tcPr>
            <w:tcW w:w="708" w:type="dxa"/>
            <w:tcBorders>
              <w:top w:val="single" w:sz="4" w:space="0" w:color="auto"/>
            </w:tcBorders>
            <w:vAlign w:val="center"/>
          </w:tcPr>
          <w:p w14:paraId="29A1DC1D" w14:textId="7A0DC415"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1.65</w:t>
            </w:r>
          </w:p>
        </w:tc>
        <w:tc>
          <w:tcPr>
            <w:tcW w:w="709" w:type="dxa"/>
            <w:tcBorders>
              <w:top w:val="single" w:sz="4" w:space="0" w:color="auto"/>
              <w:right w:val="single" w:sz="4" w:space="0" w:color="auto"/>
            </w:tcBorders>
            <w:vAlign w:val="center"/>
          </w:tcPr>
          <w:p w14:paraId="4186154F" w14:textId="7D284320"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0.21</w:t>
            </w:r>
          </w:p>
        </w:tc>
      </w:tr>
      <w:tr w:rsidR="00C4357E" w:rsidRPr="006107DB" w14:paraId="131C0A8C" w14:textId="77777777" w:rsidTr="00FC0844">
        <w:tc>
          <w:tcPr>
            <w:tcW w:w="1270" w:type="dxa"/>
            <w:tcBorders>
              <w:left w:val="single" w:sz="4" w:space="0" w:color="auto"/>
            </w:tcBorders>
            <w:vAlign w:val="center"/>
          </w:tcPr>
          <w:p w14:paraId="126F1360" w14:textId="0CA4193D"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MLE</w:t>
            </w:r>
          </w:p>
        </w:tc>
        <w:tc>
          <w:tcPr>
            <w:tcW w:w="710" w:type="dxa"/>
            <w:vAlign w:val="center"/>
          </w:tcPr>
          <w:p w14:paraId="4A4707C4" w14:textId="0E690152"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1.36</w:t>
            </w:r>
          </w:p>
        </w:tc>
        <w:tc>
          <w:tcPr>
            <w:tcW w:w="636" w:type="dxa"/>
            <w:vAlign w:val="center"/>
          </w:tcPr>
          <w:p w14:paraId="7D1BEADA" w14:textId="6D645731"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0.92</w:t>
            </w:r>
          </w:p>
        </w:tc>
        <w:tc>
          <w:tcPr>
            <w:tcW w:w="640" w:type="dxa"/>
            <w:vAlign w:val="center"/>
          </w:tcPr>
          <w:p w14:paraId="3E0822B9" w14:textId="3D71D9AE"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0.81</w:t>
            </w:r>
          </w:p>
        </w:tc>
        <w:tc>
          <w:tcPr>
            <w:tcW w:w="708" w:type="dxa"/>
            <w:vAlign w:val="center"/>
          </w:tcPr>
          <w:p w14:paraId="2201C565" w14:textId="53B8AAD2"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1.59</w:t>
            </w:r>
          </w:p>
        </w:tc>
        <w:tc>
          <w:tcPr>
            <w:tcW w:w="709" w:type="dxa"/>
            <w:tcBorders>
              <w:right w:val="single" w:sz="4" w:space="0" w:color="auto"/>
            </w:tcBorders>
            <w:vAlign w:val="center"/>
          </w:tcPr>
          <w:p w14:paraId="38FE6957" w14:textId="6E7E267C"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0.18</w:t>
            </w:r>
          </w:p>
        </w:tc>
      </w:tr>
      <w:tr w:rsidR="00C4357E" w:rsidRPr="006107DB" w14:paraId="3F2ECFED" w14:textId="77777777" w:rsidTr="00FC0844">
        <w:tc>
          <w:tcPr>
            <w:tcW w:w="1270" w:type="dxa"/>
            <w:tcBorders>
              <w:left w:val="single" w:sz="4" w:space="0" w:color="auto"/>
              <w:bottom w:val="single" w:sz="4" w:space="0" w:color="auto"/>
            </w:tcBorders>
            <w:vAlign w:val="center"/>
          </w:tcPr>
          <w:p w14:paraId="35CD4B77" w14:textId="789747F9" w:rsidR="00C4357E" w:rsidRPr="006107DB" w:rsidRDefault="00C4357E" w:rsidP="00EA7239">
            <w:pPr>
              <w:pStyle w:val="Default"/>
              <w:spacing w:line="360" w:lineRule="auto"/>
              <w:jc w:val="both"/>
              <w:rPr>
                <w:rFonts w:ascii="Arial" w:hAnsi="Arial" w:cs="Arial"/>
                <w:color w:val="auto"/>
                <w:sz w:val="20"/>
                <w:szCs w:val="20"/>
              </w:rPr>
            </w:pPr>
            <w:r w:rsidRPr="006107DB">
              <w:rPr>
                <w:rFonts w:ascii="Arial" w:hAnsi="Arial" w:cs="Arial"/>
                <w:sz w:val="20"/>
                <w:szCs w:val="20"/>
              </w:rPr>
              <w:t>EM</w:t>
            </w:r>
          </w:p>
        </w:tc>
        <w:tc>
          <w:tcPr>
            <w:tcW w:w="710" w:type="dxa"/>
            <w:tcBorders>
              <w:bottom w:val="single" w:sz="4" w:space="0" w:color="auto"/>
            </w:tcBorders>
            <w:vAlign w:val="center"/>
          </w:tcPr>
          <w:p w14:paraId="1FD4ED53" w14:textId="5EB10F12" w:rsidR="00C4357E" w:rsidRPr="006107DB" w:rsidRDefault="00C4357E" w:rsidP="00EA7239">
            <w:pPr>
              <w:pStyle w:val="Default"/>
              <w:spacing w:line="360" w:lineRule="auto"/>
              <w:jc w:val="both"/>
              <w:rPr>
                <w:rFonts w:ascii="Arial" w:hAnsi="Arial" w:cs="Arial"/>
                <w:color w:val="auto"/>
                <w:sz w:val="20"/>
                <w:szCs w:val="20"/>
              </w:rPr>
            </w:pPr>
            <w:r w:rsidRPr="006107DB">
              <w:rPr>
                <w:rStyle w:val="Strong"/>
                <w:rFonts w:ascii="Arial" w:hAnsi="Arial" w:cs="Arial"/>
                <w:b w:val="0"/>
                <w:bCs w:val="0"/>
                <w:sz w:val="20"/>
                <w:szCs w:val="20"/>
              </w:rPr>
              <w:t>1.33</w:t>
            </w:r>
          </w:p>
        </w:tc>
        <w:tc>
          <w:tcPr>
            <w:tcW w:w="636" w:type="dxa"/>
            <w:tcBorders>
              <w:bottom w:val="single" w:sz="4" w:space="0" w:color="auto"/>
            </w:tcBorders>
            <w:vAlign w:val="center"/>
          </w:tcPr>
          <w:p w14:paraId="2CB9AB49" w14:textId="1801123D" w:rsidR="00C4357E" w:rsidRPr="006107DB" w:rsidRDefault="00C4357E" w:rsidP="00EA7239">
            <w:pPr>
              <w:pStyle w:val="Default"/>
              <w:spacing w:line="360" w:lineRule="auto"/>
              <w:jc w:val="both"/>
              <w:rPr>
                <w:rFonts w:ascii="Arial" w:hAnsi="Arial" w:cs="Arial"/>
                <w:color w:val="auto"/>
                <w:sz w:val="20"/>
                <w:szCs w:val="20"/>
              </w:rPr>
            </w:pPr>
            <w:r w:rsidRPr="006107DB">
              <w:rPr>
                <w:rStyle w:val="Strong"/>
                <w:rFonts w:ascii="Arial" w:hAnsi="Arial" w:cs="Arial"/>
                <w:b w:val="0"/>
                <w:bCs w:val="0"/>
                <w:sz w:val="20"/>
                <w:szCs w:val="20"/>
              </w:rPr>
              <w:t>0.8</w:t>
            </w:r>
            <w:r w:rsidR="00205885" w:rsidRPr="006107DB">
              <w:rPr>
                <w:rStyle w:val="Strong"/>
                <w:rFonts w:ascii="Arial" w:hAnsi="Arial" w:cs="Arial"/>
                <w:b w:val="0"/>
                <w:bCs w:val="0"/>
                <w:sz w:val="20"/>
                <w:szCs w:val="20"/>
              </w:rPr>
              <w:t>8</w:t>
            </w:r>
          </w:p>
        </w:tc>
        <w:tc>
          <w:tcPr>
            <w:tcW w:w="640" w:type="dxa"/>
            <w:tcBorders>
              <w:bottom w:val="single" w:sz="4" w:space="0" w:color="auto"/>
            </w:tcBorders>
            <w:vAlign w:val="center"/>
          </w:tcPr>
          <w:p w14:paraId="0F7A154C" w14:textId="02336BCF" w:rsidR="00C4357E" w:rsidRPr="006107DB" w:rsidRDefault="00C4357E" w:rsidP="00EA7239">
            <w:pPr>
              <w:pStyle w:val="Default"/>
              <w:spacing w:line="360" w:lineRule="auto"/>
              <w:jc w:val="both"/>
              <w:rPr>
                <w:rFonts w:ascii="Arial" w:hAnsi="Arial" w:cs="Arial"/>
                <w:color w:val="auto"/>
                <w:sz w:val="20"/>
                <w:szCs w:val="20"/>
              </w:rPr>
            </w:pPr>
            <w:r w:rsidRPr="006107DB">
              <w:rPr>
                <w:rStyle w:val="Strong"/>
                <w:rFonts w:ascii="Arial" w:hAnsi="Arial" w:cs="Arial"/>
                <w:b w:val="0"/>
                <w:bCs w:val="0"/>
                <w:sz w:val="20"/>
                <w:szCs w:val="20"/>
              </w:rPr>
              <w:t>0.79</w:t>
            </w:r>
          </w:p>
        </w:tc>
        <w:tc>
          <w:tcPr>
            <w:tcW w:w="708" w:type="dxa"/>
            <w:tcBorders>
              <w:bottom w:val="single" w:sz="4" w:space="0" w:color="auto"/>
            </w:tcBorders>
            <w:vAlign w:val="center"/>
          </w:tcPr>
          <w:p w14:paraId="46A13B81" w14:textId="09BB95BB" w:rsidR="00C4357E" w:rsidRPr="006107DB" w:rsidRDefault="00C4357E" w:rsidP="00EA7239">
            <w:pPr>
              <w:pStyle w:val="Default"/>
              <w:spacing w:line="360" w:lineRule="auto"/>
              <w:jc w:val="both"/>
              <w:rPr>
                <w:rFonts w:ascii="Arial" w:hAnsi="Arial" w:cs="Arial"/>
                <w:color w:val="auto"/>
                <w:sz w:val="20"/>
                <w:szCs w:val="20"/>
              </w:rPr>
            </w:pPr>
            <w:r w:rsidRPr="006107DB">
              <w:rPr>
                <w:rStyle w:val="Strong"/>
                <w:rFonts w:ascii="Arial" w:hAnsi="Arial" w:cs="Arial"/>
                <w:b w:val="0"/>
                <w:bCs w:val="0"/>
                <w:sz w:val="20"/>
                <w:szCs w:val="20"/>
              </w:rPr>
              <w:t>1.61</w:t>
            </w:r>
          </w:p>
        </w:tc>
        <w:tc>
          <w:tcPr>
            <w:tcW w:w="709" w:type="dxa"/>
            <w:tcBorders>
              <w:bottom w:val="single" w:sz="4" w:space="0" w:color="auto"/>
              <w:right w:val="single" w:sz="4" w:space="0" w:color="auto"/>
            </w:tcBorders>
            <w:vAlign w:val="center"/>
          </w:tcPr>
          <w:p w14:paraId="3274A01A" w14:textId="7C6BDCE2" w:rsidR="00C4357E" w:rsidRPr="006107DB" w:rsidRDefault="00C4357E" w:rsidP="00EA7239">
            <w:pPr>
              <w:pStyle w:val="Default"/>
              <w:spacing w:line="360" w:lineRule="auto"/>
              <w:jc w:val="both"/>
              <w:rPr>
                <w:rFonts w:ascii="Arial" w:hAnsi="Arial" w:cs="Arial"/>
                <w:color w:val="auto"/>
                <w:sz w:val="20"/>
                <w:szCs w:val="20"/>
              </w:rPr>
            </w:pPr>
            <w:r w:rsidRPr="006107DB">
              <w:rPr>
                <w:rStyle w:val="Strong"/>
                <w:rFonts w:ascii="Arial" w:hAnsi="Arial" w:cs="Arial"/>
                <w:b w:val="0"/>
                <w:bCs w:val="0"/>
                <w:sz w:val="20"/>
                <w:szCs w:val="20"/>
              </w:rPr>
              <w:t>0.16</w:t>
            </w:r>
          </w:p>
        </w:tc>
      </w:tr>
    </w:tbl>
    <w:p w14:paraId="58B98FC1" w14:textId="77777777" w:rsidR="005B6EB3" w:rsidRPr="006107DB" w:rsidRDefault="005B6EB3" w:rsidP="008F25E6">
      <w:pPr>
        <w:pStyle w:val="Default"/>
        <w:spacing w:line="276" w:lineRule="auto"/>
        <w:jc w:val="both"/>
        <w:rPr>
          <w:rFonts w:ascii="Arial" w:hAnsi="Arial" w:cs="Arial"/>
          <w:color w:val="auto"/>
        </w:rPr>
      </w:pPr>
    </w:p>
    <w:p w14:paraId="32A687C2" w14:textId="77777777" w:rsidR="007B280B" w:rsidRPr="006107DB" w:rsidRDefault="007B280B" w:rsidP="008F25E6">
      <w:pPr>
        <w:pStyle w:val="Default"/>
        <w:spacing w:line="276" w:lineRule="auto"/>
        <w:jc w:val="both"/>
        <w:rPr>
          <w:rFonts w:ascii="Arial" w:hAnsi="Arial" w:cs="Arial"/>
          <w:color w:val="auto"/>
        </w:rPr>
      </w:pPr>
    </w:p>
    <w:p w14:paraId="187AC974" w14:textId="77777777" w:rsidR="00BD2D56" w:rsidRPr="006107DB" w:rsidRDefault="00BD2D56" w:rsidP="008F25E6">
      <w:pPr>
        <w:pStyle w:val="Default"/>
        <w:spacing w:line="276" w:lineRule="auto"/>
        <w:jc w:val="both"/>
        <w:rPr>
          <w:rFonts w:ascii="Arial" w:hAnsi="Arial" w:cs="Arial"/>
          <w:color w:val="auto"/>
          <w:sz w:val="20"/>
          <w:szCs w:val="20"/>
        </w:rPr>
      </w:pPr>
    </w:p>
    <w:p w14:paraId="4192ACDC" w14:textId="286D6BB3" w:rsidR="00BD2D56" w:rsidRPr="006107DB" w:rsidRDefault="00BD2D56" w:rsidP="008F25E6">
      <w:pPr>
        <w:pStyle w:val="Default"/>
        <w:spacing w:line="276" w:lineRule="auto"/>
        <w:jc w:val="both"/>
        <w:rPr>
          <w:rFonts w:ascii="Arial" w:hAnsi="Arial" w:cs="Arial"/>
          <w:b/>
          <w:bCs/>
          <w:color w:val="auto"/>
          <w:sz w:val="20"/>
          <w:szCs w:val="20"/>
        </w:rPr>
      </w:pPr>
      <w:r w:rsidRPr="006107DB">
        <w:rPr>
          <w:rFonts w:ascii="Arial" w:hAnsi="Arial" w:cs="Arial"/>
          <w:b/>
          <w:bCs/>
          <w:color w:val="auto"/>
          <w:sz w:val="20"/>
          <w:szCs w:val="20"/>
        </w:rPr>
        <w:lastRenderedPageBreak/>
        <w:t>3.3.</w:t>
      </w:r>
      <w:r w:rsidR="007B280B" w:rsidRPr="006107DB">
        <w:rPr>
          <w:rFonts w:ascii="Arial" w:hAnsi="Arial" w:cs="Arial"/>
          <w:b/>
          <w:bCs/>
          <w:color w:val="auto"/>
          <w:sz w:val="20"/>
          <w:szCs w:val="20"/>
        </w:rPr>
        <w:t>2</w:t>
      </w:r>
      <w:r w:rsidRPr="006107DB">
        <w:rPr>
          <w:rFonts w:ascii="Arial" w:hAnsi="Arial" w:cs="Arial"/>
          <w:b/>
          <w:bCs/>
          <w:color w:val="auto"/>
          <w:sz w:val="20"/>
          <w:szCs w:val="20"/>
        </w:rPr>
        <w:t>. Comparison of the Relative Performance of Estimation Procedures</w:t>
      </w:r>
    </w:p>
    <w:p w14:paraId="2452D2CA" w14:textId="77777777" w:rsidR="00BD2D56" w:rsidRPr="006107DB" w:rsidRDefault="00BD2D56" w:rsidP="008F25E6">
      <w:pPr>
        <w:pStyle w:val="Default"/>
        <w:spacing w:line="276" w:lineRule="auto"/>
        <w:jc w:val="both"/>
        <w:rPr>
          <w:rFonts w:ascii="Arial" w:hAnsi="Arial" w:cs="Arial"/>
          <w:b/>
          <w:bCs/>
          <w:color w:val="auto"/>
          <w:sz w:val="20"/>
          <w:szCs w:val="20"/>
        </w:rPr>
      </w:pPr>
    </w:p>
    <w:p w14:paraId="21521787" w14:textId="398F17D9" w:rsidR="00CE1D11" w:rsidRPr="006107DB" w:rsidRDefault="00CE1D11" w:rsidP="008F25E6">
      <w:pPr>
        <w:pStyle w:val="Default"/>
        <w:spacing w:line="276" w:lineRule="auto"/>
        <w:jc w:val="both"/>
        <w:rPr>
          <w:rFonts w:ascii="Arial" w:hAnsi="Arial" w:cs="Arial"/>
          <w:color w:val="auto"/>
          <w:sz w:val="20"/>
          <w:szCs w:val="20"/>
        </w:rPr>
      </w:pPr>
      <w:r w:rsidRPr="006107DB">
        <w:rPr>
          <w:rFonts w:ascii="Arial" w:hAnsi="Arial" w:cs="Arial"/>
          <w:color w:val="auto"/>
          <w:sz w:val="20"/>
          <w:szCs w:val="20"/>
        </w:rPr>
        <w:t>To compare the relative performance of the estimation procedures, Table 3 reports the negative log-likelihood (−LL), Akaike Information Criterion (AIC), and Bayesian Information Criterion (BIC) values for the TE–NWP model under MM, MLE, and EM estimation. Lower values of these criteria indicate better model fit and improved explanatory power.</w:t>
      </w:r>
    </w:p>
    <w:p w14:paraId="497AE6BA" w14:textId="77777777" w:rsidR="00CE1D11" w:rsidRPr="006107DB" w:rsidRDefault="00CE1D11" w:rsidP="008F25E6">
      <w:pPr>
        <w:pStyle w:val="Default"/>
        <w:spacing w:line="276" w:lineRule="auto"/>
        <w:jc w:val="both"/>
        <w:rPr>
          <w:rFonts w:ascii="Arial" w:hAnsi="Arial" w:cs="Arial"/>
          <w:color w:val="auto"/>
          <w:sz w:val="20"/>
          <w:szCs w:val="20"/>
        </w:rPr>
      </w:pPr>
    </w:p>
    <w:p w14:paraId="0ACFE2A6" w14:textId="201B5053" w:rsidR="00CE1D11" w:rsidRPr="006107DB" w:rsidRDefault="00C815BC" w:rsidP="008F25E6">
      <w:pPr>
        <w:pStyle w:val="Default"/>
        <w:spacing w:line="276" w:lineRule="auto"/>
        <w:jc w:val="both"/>
        <w:rPr>
          <w:rFonts w:ascii="Arial" w:eastAsiaTheme="minorEastAsia" w:hAnsi="Arial" w:cs="Arial"/>
          <w:color w:val="auto"/>
          <w:sz w:val="20"/>
          <w:szCs w:val="20"/>
        </w:rPr>
      </w:pPr>
      <m:oMathPara>
        <m:oMath>
          <m:r>
            <w:rPr>
              <w:rFonts w:ascii="Cambria Math" w:hAnsi="Cambria Math" w:cs="Arial"/>
              <w:color w:val="auto"/>
              <w:sz w:val="20"/>
              <w:szCs w:val="20"/>
            </w:rPr>
            <m:t>AIC=2k-2LL</m:t>
          </m:r>
        </m:oMath>
      </m:oMathPara>
    </w:p>
    <w:p w14:paraId="0C9E9B2B" w14:textId="77777777" w:rsidR="00CE1D11" w:rsidRPr="006107DB" w:rsidRDefault="00CE1D11" w:rsidP="008F25E6">
      <w:pPr>
        <w:pStyle w:val="Default"/>
        <w:spacing w:line="276" w:lineRule="auto"/>
        <w:jc w:val="both"/>
        <w:rPr>
          <w:rFonts w:ascii="Arial" w:eastAsiaTheme="minorEastAsia" w:hAnsi="Arial" w:cs="Arial"/>
          <w:color w:val="auto"/>
          <w:sz w:val="20"/>
          <w:szCs w:val="20"/>
        </w:rPr>
      </w:pPr>
    </w:p>
    <w:p w14:paraId="51A74F20" w14:textId="227FD415" w:rsidR="00CE1D11" w:rsidRPr="006107DB" w:rsidRDefault="00CE1D11" w:rsidP="008F25E6">
      <w:pPr>
        <w:pStyle w:val="Default"/>
        <w:spacing w:line="276" w:lineRule="auto"/>
        <w:jc w:val="both"/>
        <w:rPr>
          <w:rFonts w:ascii="Arial" w:hAnsi="Arial" w:cs="Arial"/>
          <w:color w:val="auto"/>
          <w:sz w:val="20"/>
          <w:szCs w:val="20"/>
        </w:rPr>
      </w:pPr>
      <m:oMathPara>
        <m:oMath>
          <m:r>
            <w:rPr>
              <w:rFonts w:ascii="Cambria Math" w:hAnsi="Cambria Math" w:cs="Arial"/>
              <w:color w:val="auto"/>
              <w:sz w:val="20"/>
              <w:szCs w:val="20"/>
            </w:rPr>
            <m:t>BIC=kln(n)-2LL</m:t>
          </m:r>
        </m:oMath>
      </m:oMathPara>
    </w:p>
    <w:p w14:paraId="7EA47C88" w14:textId="2E715BE0" w:rsidR="00C815BC" w:rsidRPr="006107DB" w:rsidRDefault="000F0837" w:rsidP="00CE1D11">
      <w:pPr>
        <w:pStyle w:val="Default"/>
        <w:tabs>
          <w:tab w:val="left" w:pos="2601"/>
        </w:tabs>
        <w:spacing w:line="276" w:lineRule="auto"/>
        <w:jc w:val="both"/>
        <w:rPr>
          <w:rFonts w:ascii="Arial" w:hAnsi="Arial" w:cs="Arial"/>
          <w:color w:val="auto"/>
          <w:sz w:val="20"/>
          <w:szCs w:val="20"/>
        </w:rPr>
      </w:pPr>
      <w:r w:rsidRPr="006107DB">
        <w:rPr>
          <w:rFonts w:ascii="Arial" w:hAnsi="Arial" w:cs="Arial"/>
          <w:color w:val="auto"/>
          <w:sz w:val="20"/>
          <w:szCs w:val="20"/>
        </w:rPr>
        <w:t xml:space="preserve"> Where</w:t>
      </w:r>
      <w:r w:rsidR="00C815BC" w:rsidRPr="006107DB">
        <w:rPr>
          <w:rFonts w:ascii="Arial" w:hAnsi="Arial" w:cs="Arial"/>
          <w:color w:val="auto"/>
          <w:sz w:val="20"/>
          <w:szCs w:val="20"/>
        </w:rPr>
        <w:t>:</w:t>
      </w:r>
    </w:p>
    <w:p w14:paraId="43C728BF" w14:textId="03467AC0" w:rsidR="000F0837" w:rsidRPr="006107DB" w:rsidRDefault="00C815BC" w:rsidP="008F25E6">
      <w:pPr>
        <w:pStyle w:val="Default"/>
        <w:spacing w:line="276" w:lineRule="auto"/>
        <w:jc w:val="both"/>
        <w:rPr>
          <w:rFonts w:ascii="Arial" w:hAnsi="Arial" w:cs="Arial"/>
          <w:color w:val="auto"/>
          <w:sz w:val="20"/>
          <w:szCs w:val="20"/>
        </w:rPr>
      </w:pPr>
      <m:oMath>
        <m:r>
          <w:rPr>
            <w:rFonts w:ascii="Cambria Math" w:hAnsi="Cambria Math" w:cs="Arial"/>
            <w:color w:val="auto"/>
            <w:sz w:val="20"/>
            <w:szCs w:val="20"/>
          </w:rPr>
          <m:t>k</m:t>
        </m:r>
      </m:oMath>
      <w:r w:rsidR="000F0837" w:rsidRPr="006107DB">
        <w:rPr>
          <w:rFonts w:ascii="Arial" w:hAnsi="Arial" w:cs="Arial"/>
          <w:color w:val="auto"/>
          <w:sz w:val="20"/>
          <w:szCs w:val="20"/>
        </w:rPr>
        <w:t xml:space="preserve"> is the number of parameters in the model.</w:t>
      </w:r>
    </w:p>
    <w:p w14:paraId="1D63F886" w14:textId="77777777" w:rsidR="004B12F3" w:rsidRPr="006107DB" w:rsidRDefault="004B12F3" w:rsidP="008F25E6">
      <w:pPr>
        <w:pStyle w:val="Default"/>
        <w:spacing w:line="276" w:lineRule="auto"/>
        <w:jc w:val="both"/>
        <w:rPr>
          <w:rFonts w:ascii="Arial" w:hAnsi="Arial" w:cs="Arial"/>
          <w:b/>
          <w:bCs/>
          <w:color w:val="auto"/>
          <w:sz w:val="20"/>
          <w:szCs w:val="20"/>
        </w:rPr>
      </w:pPr>
    </w:p>
    <w:p w14:paraId="3E63CF87" w14:textId="41910EDB" w:rsidR="004B12F3" w:rsidRPr="006107DB" w:rsidRDefault="004B12F3" w:rsidP="008F25E6">
      <w:pPr>
        <w:pStyle w:val="Default"/>
        <w:spacing w:line="276" w:lineRule="auto"/>
        <w:jc w:val="both"/>
        <w:rPr>
          <w:rFonts w:ascii="Arial" w:hAnsi="Arial" w:cs="Arial"/>
          <w:b/>
          <w:bCs/>
          <w:color w:val="auto"/>
          <w:sz w:val="20"/>
          <w:szCs w:val="20"/>
        </w:rPr>
      </w:pPr>
      <w:r w:rsidRPr="006107DB">
        <w:rPr>
          <w:rFonts w:ascii="Arial" w:hAnsi="Arial" w:cs="Arial"/>
          <w:b/>
          <w:bCs/>
          <w:color w:val="auto"/>
          <w:sz w:val="20"/>
          <w:szCs w:val="20"/>
        </w:rPr>
        <w:t>Table 3:</w:t>
      </w:r>
      <w:r w:rsidR="00A4649A" w:rsidRPr="006107DB">
        <w:rPr>
          <w:rFonts w:ascii="Arial" w:hAnsi="Arial" w:cs="Arial"/>
          <w:b/>
          <w:bCs/>
          <w:color w:val="auto"/>
          <w:sz w:val="20"/>
          <w:szCs w:val="20"/>
        </w:rPr>
        <w:t xml:space="preserve"> Log-Likelihood and Information Criteria for MM, MLE, and EM Estimators</w:t>
      </w:r>
    </w:p>
    <w:p w14:paraId="3BB83F34" w14:textId="77777777" w:rsidR="00907686" w:rsidRPr="006107DB" w:rsidRDefault="00907686" w:rsidP="008F25E6">
      <w:pPr>
        <w:pStyle w:val="Default"/>
        <w:spacing w:line="276" w:lineRule="auto"/>
        <w:jc w:val="both"/>
        <w:rPr>
          <w:rFonts w:ascii="Arial" w:hAnsi="Arial" w:cs="Arial"/>
          <w:b/>
          <w:bCs/>
          <w:color w:val="auto"/>
        </w:rPr>
      </w:pPr>
    </w:p>
    <w:tbl>
      <w:tblPr>
        <w:tblStyle w:val="TableGrid"/>
        <w:tblW w:w="0" w:type="auto"/>
        <w:tblInd w:w="1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52"/>
        <w:gridCol w:w="1016"/>
        <w:gridCol w:w="996"/>
      </w:tblGrid>
      <w:tr w:rsidR="005B6EB3" w:rsidRPr="006107DB" w14:paraId="45D6D94A" w14:textId="77777777" w:rsidTr="00FC0844">
        <w:tc>
          <w:tcPr>
            <w:tcW w:w="1276" w:type="dxa"/>
            <w:tcBorders>
              <w:top w:val="single" w:sz="4" w:space="0" w:color="auto"/>
              <w:bottom w:val="single" w:sz="4" w:space="0" w:color="auto"/>
            </w:tcBorders>
            <w:vAlign w:val="center"/>
          </w:tcPr>
          <w:p w14:paraId="17E68522" w14:textId="2FDD54BA" w:rsidR="005B6EB3" w:rsidRPr="006107DB" w:rsidRDefault="00943689"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M</w:t>
            </w:r>
            <w:r w:rsidR="00C4357E" w:rsidRPr="006107DB">
              <w:rPr>
                <w:rFonts w:ascii="Arial" w:hAnsi="Arial" w:cs="Arial"/>
                <w:color w:val="auto"/>
                <w:sz w:val="20"/>
                <w:szCs w:val="20"/>
              </w:rPr>
              <w:t>ethods</w:t>
            </w:r>
          </w:p>
        </w:tc>
        <w:tc>
          <w:tcPr>
            <w:tcW w:w="1252" w:type="dxa"/>
            <w:tcBorders>
              <w:top w:val="single" w:sz="4" w:space="0" w:color="auto"/>
              <w:bottom w:val="single" w:sz="4" w:space="0" w:color="auto"/>
            </w:tcBorders>
            <w:vAlign w:val="center"/>
          </w:tcPr>
          <w:p w14:paraId="018E2F57" w14:textId="0024E98C" w:rsidR="005B6EB3" w:rsidRPr="006107DB" w:rsidRDefault="00C4357E"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-LL</w:t>
            </w:r>
          </w:p>
        </w:tc>
        <w:tc>
          <w:tcPr>
            <w:tcW w:w="1016" w:type="dxa"/>
            <w:tcBorders>
              <w:top w:val="single" w:sz="4" w:space="0" w:color="auto"/>
              <w:bottom w:val="single" w:sz="4" w:space="0" w:color="auto"/>
            </w:tcBorders>
            <w:vAlign w:val="center"/>
          </w:tcPr>
          <w:p w14:paraId="46BAC2BE" w14:textId="7DAB949B" w:rsidR="005B6EB3" w:rsidRPr="006107DB" w:rsidRDefault="00C4357E"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AIC</w:t>
            </w:r>
          </w:p>
        </w:tc>
        <w:tc>
          <w:tcPr>
            <w:tcW w:w="996" w:type="dxa"/>
            <w:tcBorders>
              <w:top w:val="single" w:sz="4" w:space="0" w:color="auto"/>
              <w:bottom w:val="single" w:sz="4" w:space="0" w:color="auto"/>
            </w:tcBorders>
            <w:vAlign w:val="center"/>
          </w:tcPr>
          <w:p w14:paraId="05CDDE53" w14:textId="13A36AB0" w:rsidR="005B6EB3" w:rsidRPr="006107DB" w:rsidRDefault="00C4357E"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BIC</w:t>
            </w:r>
          </w:p>
        </w:tc>
      </w:tr>
      <w:tr w:rsidR="005B6EB3" w:rsidRPr="006107DB" w14:paraId="49317A80" w14:textId="77777777" w:rsidTr="00FC0844">
        <w:tc>
          <w:tcPr>
            <w:tcW w:w="1276" w:type="dxa"/>
            <w:tcBorders>
              <w:top w:val="single" w:sz="4" w:space="0" w:color="auto"/>
            </w:tcBorders>
            <w:vAlign w:val="center"/>
          </w:tcPr>
          <w:p w14:paraId="5E5ABC21" w14:textId="7262628B" w:rsidR="005B6EB3" w:rsidRPr="006107DB" w:rsidRDefault="00C4357E"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MM</w:t>
            </w:r>
          </w:p>
        </w:tc>
        <w:tc>
          <w:tcPr>
            <w:tcW w:w="1252" w:type="dxa"/>
            <w:tcBorders>
              <w:top w:val="single" w:sz="4" w:space="0" w:color="auto"/>
            </w:tcBorders>
            <w:vAlign w:val="center"/>
          </w:tcPr>
          <w:p w14:paraId="59F02C6E" w14:textId="66C9F7F0" w:rsidR="005B6EB3" w:rsidRPr="006107DB" w:rsidRDefault="00EF3F38"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138.52</w:t>
            </w:r>
          </w:p>
        </w:tc>
        <w:tc>
          <w:tcPr>
            <w:tcW w:w="1016" w:type="dxa"/>
            <w:tcBorders>
              <w:top w:val="single" w:sz="4" w:space="0" w:color="auto"/>
            </w:tcBorders>
            <w:vAlign w:val="center"/>
          </w:tcPr>
          <w:p w14:paraId="6DE56E1F" w14:textId="0BDA7DEA" w:rsidR="005B6EB3" w:rsidRPr="006107DB" w:rsidRDefault="000F0837"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287.04</w:t>
            </w:r>
          </w:p>
        </w:tc>
        <w:tc>
          <w:tcPr>
            <w:tcW w:w="996" w:type="dxa"/>
            <w:tcBorders>
              <w:top w:val="single" w:sz="4" w:space="0" w:color="auto"/>
            </w:tcBorders>
            <w:vAlign w:val="center"/>
          </w:tcPr>
          <w:p w14:paraId="15BE8643" w14:textId="1F9948B3" w:rsidR="005B6EB3" w:rsidRPr="006107DB" w:rsidRDefault="000F0837"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298.69</w:t>
            </w:r>
          </w:p>
        </w:tc>
      </w:tr>
      <w:tr w:rsidR="005B6EB3" w:rsidRPr="006107DB" w14:paraId="32A37B28" w14:textId="77777777" w:rsidTr="00FC0844">
        <w:tc>
          <w:tcPr>
            <w:tcW w:w="1276" w:type="dxa"/>
            <w:vAlign w:val="center"/>
          </w:tcPr>
          <w:p w14:paraId="0A356941" w14:textId="176AB49C" w:rsidR="005B6EB3" w:rsidRPr="006107DB" w:rsidRDefault="00C4357E"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MLE</w:t>
            </w:r>
          </w:p>
        </w:tc>
        <w:tc>
          <w:tcPr>
            <w:tcW w:w="1252" w:type="dxa"/>
            <w:vAlign w:val="center"/>
          </w:tcPr>
          <w:p w14:paraId="3E13938B" w14:textId="6603593E" w:rsidR="005B6EB3" w:rsidRPr="006107DB" w:rsidRDefault="00EF3F38"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132.41</w:t>
            </w:r>
          </w:p>
        </w:tc>
        <w:tc>
          <w:tcPr>
            <w:tcW w:w="1016" w:type="dxa"/>
            <w:vAlign w:val="center"/>
          </w:tcPr>
          <w:p w14:paraId="1010066D" w14:textId="1BCFCE24" w:rsidR="005B6EB3" w:rsidRPr="006107DB" w:rsidRDefault="000F0837"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274.82</w:t>
            </w:r>
          </w:p>
        </w:tc>
        <w:tc>
          <w:tcPr>
            <w:tcW w:w="996" w:type="dxa"/>
            <w:vAlign w:val="center"/>
          </w:tcPr>
          <w:p w14:paraId="51D34FA6" w14:textId="37F50F29" w:rsidR="005B6EB3" w:rsidRPr="006107DB" w:rsidRDefault="000F0837" w:rsidP="00FC0844">
            <w:pPr>
              <w:pStyle w:val="Default"/>
              <w:spacing w:line="480" w:lineRule="auto"/>
              <w:jc w:val="both"/>
              <w:rPr>
                <w:rFonts w:ascii="Arial" w:hAnsi="Arial" w:cs="Arial"/>
                <w:color w:val="auto"/>
                <w:sz w:val="20"/>
                <w:szCs w:val="20"/>
              </w:rPr>
            </w:pPr>
            <w:r w:rsidRPr="006107DB">
              <w:rPr>
                <w:rFonts w:ascii="Arial" w:hAnsi="Arial" w:cs="Arial"/>
                <w:color w:val="auto"/>
                <w:sz w:val="20"/>
                <w:szCs w:val="20"/>
              </w:rPr>
              <w:t>286.47</w:t>
            </w:r>
          </w:p>
        </w:tc>
      </w:tr>
      <w:tr w:rsidR="005B6EB3" w:rsidRPr="006107DB" w14:paraId="18F0E4B7" w14:textId="77777777" w:rsidTr="00FC0844">
        <w:tc>
          <w:tcPr>
            <w:tcW w:w="1276" w:type="dxa"/>
            <w:tcBorders>
              <w:bottom w:val="single" w:sz="4" w:space="0" w:color="auto"/>
            </w:tcBorders>
            <w:vAlign w:val="center"/>
          </w:tcPr>
          <w:p w14:paraId="40B083A3" w14:textId="4A7D3CB2" w:rsidR="005B6EB3" w:rsidRPr="006107DB" w:rsidRDefault="00C4357E" w:rsidP="00FC0844">
            <w:pPr>
              <w:pStyle w:val="Default"/>
              <w:spacing w:line="480" w:lineRule="auto"/>
              <w:jc w:val="both"/>
              <w:rPr>
                <w:rFonts w:ascii="Arial" w:hAnsi="Arial" w:cs="Arial"/>
                <w:sz w:val="20"/>
                <w:szCs w:val="20"/>
              </w:rPr>
            </w:pPr>
            <w:r w:rsidRPr="006107DB">
              <w:rPr>
                <w:rFonts w:ascii="Arial" w:hAnsi="Arial" w:cs="Arial"/>
                <w:sz w:val="20"/>
                <w:szCs w:val="20"/>
              </w:rPr>
              <w:t>EM</w:t>
            </w:r>
          </w:p>
        </w:tc>
        <w:tc>
          <w:tcPr>
            <w:tcW w:w="1252" w:type="dxa"/>
            <w:tcBorders>
              <w:bottom w:val="single" w:sz="4" w:space="0" w:color="auto"/>
            </w:tcBorders>
            <w:vAlign w:val="center"/>
          </w:tcPr>
          <w:p w14:paraId="4EB6DF1A" w14:textId="0385A7F8" w:rsidR="005B6EB3" w:rsidRPr="006107DB" w:rsidRDefault="00EF3F38" w:rsidP="00FC0844">
            <w:pPr>
              <w:pStyle w:val="Default"/>
              <w:spacing w:line="480" w:lineRule="auto"/>
              <w:jc w:val="both"/>
              <w:rPr>
                <w:rFonts w:ascii="Arial" w:hAnsi="Arial" w:cs="Arial"/>
                <w:sz w:val="20"/>
                <w:szCs w:val="20"/>
              </w:rPr>
            </w:pPr>
            <w:r w:rsidRPr="006107DB">
              <w:rPr>
                <w:rFonts w:ascii="Arial" w:hAnsi="Arial" w:cs="Arial"/>
                <w:sz w:val="20"/>
                <w:szCs w:val="20"/>
              </w:rPr>
              <w:t>131.03</w:t>
            </w:r>
          </w:p>
        </w:tc>
        <w:tc>
          <w:tcPr>
            <w:tcW w:w="1016" w:type="dxa"/>
            <w:tcBorders>
              <w:bottom w:val="single" w:sz="4" w:space="0" w:color="auto"/>
            </w:tcBorders>
            <w:vAlign w:val="center"/>
          </w:tcPr>
          <w:p w14:paraId="5899CEF2" w14:textId="77A0B9DA" w:rsidR="005B6EB3" w:rsidRPr="006107DB" w:rsidRDefault="000F0837" w:rsidP="00FC0844">
            <w:pPr>
              <w:pStyle w:val="Default"/>
              <w:spacing w:line="480" w:lineRule="auto"/>
              <w:jc w:val="both"/>
              <w:rPr>
                <w:rFonts w:ascii="Arial" w:hAnsi="Arial" w:cs="Arial"/>
                <w:sz w:val="20"/>
                <w:szCs w:val="20"/>
              </w:rPr>
            </w:pPr>
            <w:r w:rsidRPr="006107DB">
              <w:rPr>
                <w:rFonts w:ascii="Arial" w:hAnsi="Arial" w:cs="Arial"/>
                <w:sz w:val="20"/>
                <w:szCs w:val="20"/>
              </w:rPr>
              <w:t>272.06</w:t>
            </w:r>
          </w:p>
        </w:tc>
        <w:tc>
          <w:tcPr>
            <w:tcW w:w="996" w:type="dxa"/>
            <w:tcBorders>
              <w:bottom w:val="single" w:sz="4" w:space="0" w:color="auto"/>
            </w:tcBorders>
            <w:vAlign w:val="center"/>
          </w:tcPr>
          <w:p w14:paraId="1FA50656" w14:textId="15BF53A1" w:rsidR="005B6EB3" w:rsidRPr="006107DB" w:rsidRDefault="00943689" w:rsidP="00FC0844">
            <w:pPr>
              <w:pStyle w:val="Default"/>
              <w:spacing w:line="480" w:lineRule="auto"/>
              <w:jc w:val="both"/>
              <w:rPr>
                <w:rFonts w:ascii="Arial" w:hAnsi="Arial" w:cs="Arial"/>
                <w:sz w:val="20"/>
                <w:szCs w:val="20"/>
              </w:rPr>
            </w:pPr>
            <w:r w:rsidRPr="006107DB">
              <w:rPr>
                <w:rFonts w:ascii="Arial" w:hAnsi="Arial" w:cs="Arial"/>
                <w:sz w:val="20"/>
                <w:szCs w:val="20"/>
              </w:rPr>
              <w:t>283.71</w:t>
            </w:r>
          </w:p>
        </w:tc>
      </w:tr>
    </w:tbl>
    <w:p w14:paraId="49467FFF" w14:textId="77777777" w:rsidR="007B280B" w:rsidRPr="006107DB" w:rsidRDefault="007B280B" w:rsidP="008F25E6">
      <w:pPr>
        <w:rPr>
          <w:rFonts w:ascii="Arial" w:hAnsi="Arial" w:cs="Arial"/>
          <w:sz w:val="24"/>
          <w:szCs w:val="24"/>
        </w:rPr>
      </w:pPr>
    </w:p>
    <w:p w14:paraId="3FB391D0" w14:textId="4544411C" w:rsidR="008F25E6" w:rsidRPr="006107DB" w:rsidRDefault="007B280B" w:rsidP="008F25E6">
      <w:pPr>
        <w:rPr>
          <w:rFonts w:ascii="Arial" w:hAnsi="Arial" w:cs="Arial"/>
          <w:b/>
          <w:bCs/>
          <w:sz w:val="24"/>
          <w:szCs w:val="24"/>
        </w:rPr>
      </w:pPr>
      <w:r w:rsidRPr="006107DB">
        <w:rPr>
          <w:rFonts w:ascii="Arial" w:hAnsi="Arial" w:cs="Arial"/>
          <w:b/>
          <w:bCs/>
          <w:sz w:val="24"/>
          <w:szCs w:val="24"/>
        </w:rPr>
        <w:t>3.3.3. Graphical Assessment of TE–NWP Model Fit</w:t>
      </w:r>
    </w:p>
    <w:p w14:paraId="28D1A2E6" w14:textId="132FF49F" w:rsidR="008636BE" w:rsidRPr="006107DB" w:rsidRDefault="008636BE" w:rsidP="008636BE">
      <w:pPr>
        <w:rPr>
          <w:rFonts w:ascii="Arial" w:hAnsi="Arial" w:cs="Arial"/>
          <w:sz w:val="20"/>
          <w:szCs w:val="20"/>
          <w:lang w:val="en-NG"/>
        </w:rPr>
      </w:pPr>
      <w:r w:rsidRPr="006107DB">
        <w:rPr>
          <w:rFonts w:ascii="Arial" w:hAnsi="Arial" w:cs="Arial"/>
          <w:sz w:val="20"/>
          <w:szCs w:val="20"/>
          <w:lang w:val="en-NG"/>
        </w:rPr>
        <w:t>The adequacy of the TE–NWP model is assessed by superimposing the histogram of the sample data with the fitted density functions obtained from the MM, MLE, and EM methods. This graphical comparison</w:t>
      </w:r>
      <w:r w:rsidR="00D2769F" w:rsidRPr="006107DB">
        <w:rPr>
          <w:rFonts w:ascii="Arial" w:hAnsi="Arial" w:cs="Arial"/>
          <w:sz w:val="20"/>
          <w:szCs w:val="20"/>
          <w:lang w:val="en-NG"/>
        </w:rPr>
        <w:t xml:space="preserve"> (fig. 3)</w:t>
      </w:r>
      <w:r w:rsidRPr="006107DB">
        <w:rPr>
          <w:rFonts w:ascii="Arial" w:hAnsi="Arial" w:cs="Arial"/>
          <w:sz w:val="20"/>
          <w:szCs w:val="20"/>
          <w:lang w:val="en-NG"/>
        </w:rPr>
        <w:t xml:space="preserve"> demonstrates how well each estimation approach captures the underlying distributional pattern of the data.</w:t>
      </w:r>
    </w:p>
    <w:p w14:paraId="34C8BC66" w14:textId="67642ABA" w:rsidR="00555FC2" w:rsidRPr="006107DB" w:rsidRDefault="00555FC2" w:rsidP="008F25E6">
      <w:pPr>
        <w:rPr>
          <w:rFonts w:ascii="Arial" w:hAnsi="Arial" w:cs="Arial"/>
          <w:sz w:val="20"/>
          <w:szCs w:val="20"/>
        </w:rPr>
      </w:pPr>
      <w:r w:rsidRPr="006107DB">
        <w:rPr>
          <w:rFonts w:ascii="Arial" w:hAnsi="Arial" w:cs="Arial"/>
          <w:sz w:val="20"/>
          <w:szCs w:val="20"/>
        </w:rPr>
        <w:t xml:space="preserve">    </w:t>
      </w:r>
      <w:r w:rsidR="001746B2" w:rsidRPr="006107DB">
        <w:rPr>
          <w:rFonts w:ascii="Arial" w:hAnsi="Arial" w:cs="Arial"/>
          <w:noProof/>
          <w:sz w:val="20"/>
          <w:szCs w:val="20"/>
        </w:rPr>
        <w:drawing>
          <wp:inline distT="0" distB="0" distL="0" distR="0" wp14:anchorId="08C8036E" wp14:editId="7C384EFA">
            <wp:extent cx="5118100" cy="2533650"/>
            <wp:effectExtent l="0" t="0" r="6350" b="0"/>
            <wp:docPr id="34411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9060" cy="2558877"/>
                    </a:xfrm>
                    <a:prstGeom prst="rect">
                      <a:avLst/>
                    </a:prstGeom>
                    <a:noFill/>
                  </pic:spPr>
                </pic:pic>
              </a:graphicData>
            </a:graphic>
          </wp:inline>
        </w:drawing>
      </w:r>
      <w:r w:rsidRPr="006107DB">
        <w:rPr>
          <w:rFonts w:ascii="Arial" w:hAnsi="Arial" w:cs="Arial"/>
          <w:sz w:val="20"/>
          <w:szCs w:val="20"/>
        </w:rPr>
        <w:t xml:space="preserve">      </w:t>
      </w:r>
    </w:p>
    <w:p w14:paraId="0A7C11A0" w14:textId="61CDE0EB" w:rsidR="00555FC2" w:rsidRPr="006107DB" w:rsidRDefault="00555FC2" w:rsidP="008F25E6">
      <w:pPr>
        <w:rPr>
          <w:rFonts w:ascii="Arial" w:hAnsi="Arial" w:cs="Arial"/>
          <w:sz w:val="20"/>
          <w:szCs w:val="20"/>
        </w:rPr>
      </w:pPr>
      <w:r w:rsidRPr="006107DB">
        <w:rPr>
          <w:rFonts w:ascii="Arial" w:hAnsi="Arial" w:cs="Arial"/>
          <w:b/>
          <w:bCs/>
          <w:sz w:val="20"/>
          <w:szCs w:val="20"/>
        </w:rPr>
        <w:t xml:space="preserve">                      </w:t>
      </w:r>
      <w:r w:rsidR="00F95CBA" w:rsidRPr="006107DB">
        <w:rPr>
          <w:rFonts w:ascii="Arial" w:hAnsi="Arial" w:cs="Arial"/>
          <w:b/>
          <w:bCs/>
          <w:sz w:val="20"/>
          <w:szCs w:val="20"/>
        </w:rPr>
        <w:t xml:space="preserve">          </w:t>
      </w:r>
      <w:r w:rsidRPr="006107DB">
        <w:rPr>
          <w:rFonts w:ascii="Arial" w:hAnsi="Arial" w:cs="Arial"/>
          <w:b/>
          <w:bCs/>
          <w:sz w:val="20"/>
          <w:szCs w:val="20"/>
        </w:rPr>
        <w:t>Figure 3:</w:t>
      </w:r>
      <w:r w:rsidRPr="006107DB">
        <w:rPr>
          <w:rFonts w:ascii="Arial" w:hAnsi="Arial" w:cs="Arial"/>
          <w:sz w:val="20"/>
          <w:szCs w:val="20"/>
        </w:rPr>
        <w:t xml:space="preserve">  Histogram with Fitted TE–NWP Density Curves</w:t>
      </w:r>
    </w:p>
    <w:p w14:paraId="12AD8621" w14:textId="77777777" w:rsidR="00E41E8E" w:rsidRPr="006107DB" w:rsidRDefault="00E41E8E" w:rsidP="008F25E6">
      <w:pPr>
        <w:rPr>
          <w:rFonts w:ascii="Arial" w:hAnsi="Arial" w:cs="Arial"/>
          <w:sz w:val="20"/>
          <w:szCs w:val="20"/>
        </w:rPr>
      </w:pPr>
    </w:p>
    <w:p w14:paraId="000E72BF" w14:textId="0E539999" w:rsidR="008F25E6" w:rsidRPr="006107DB" w:rsidRDefault="00E41E8E" w:rsidP="00D2769F">
      <w:pPr>
        <w:tabs>
          <w:tab w:val="left" w:pos="1004"/>
        </w:tabs>
        <w:rPr>
          <w:rFonts w:ascii="Arial" w:hAnsi="Arial" w:cs="Arial"/>
          <w:noProof/>
          <w:sz w:val="20"/>
          <w:szCs w:val="20"/>
        </w:rPr>
      </w:pPr>
      <w:r w:rsidRPr="006107DB">
        <w:rPr>
          <w:rFonts w:ascii="Arial" w:hAnsi="Arial" w:cs="Arial"/>
          <w:sz w:val="20"/>
          <w:szCs w:val="20"/>
        </w:rPr>
        <w:t xml:space="preserve">Figure 4 further assesses model adequacy by plotting the empirical CDF against the fitted TE–NWP CDFs obtained from MM, MLE, and EM parameter estimates. The close alignment between the </w:t>
      </w:r>
      <w:r w:rsidRPr="006107DB">
        <w:rPr>
          <w:rFonts w:ascii="Arial" w:hAnsi="Arial" w:cs="Arial"/>
          <w:sz w:val="20"/>
          <w:szCs w:val="20"/>
        </w:rPr>
        <w:lastRenderedPageBreak/>
        <w:t>empirical and theoretical curves illustrates the goodness-of-fit of each estimation method.</w:t>
      </w:r>
      <w:r w:rsidR="00D2769F" w:rsidRPr="006107DB">
        <w:rPr>
          <w:rFonts w:ascii="Arial" w:hAnsi="Arial" w:cs="Arial"/>
          <w:sz w:val="20"/>
          <w:szCs w:val="20"/>
        </w:rPr>
        <w:t>.</w:t>
      </w:r>
      <w:r w:rsidR="008F25E6" w:rsidRPr="006107DB">
        <w:rPr>
          <w:rFonts w:ascii="Arial" w:hAnsi="Arial" w:cs="Arial"/>
          <w:noProof/>
          <w:sz w:val="20"/>
          <w:szCs w:val="20"/>
        </w:rPr>
        <w:drawing>
          <wp:inline distT="0" distB="0" distL="0" distR="0" wp14:anchorId="74CF5DC5" wp14:editId="78E1CB81">
            <wp:extent cx="4668231" cy="3023235"/>
            <wp:effectExtent l="0" t="0" r="0" b="5715"/>
            <wp:docPr id="1678037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261" cy="3053045"/>
                    </a:xfrm>
                    <a:prstGeom prst="rect">
                      <a:avLst/>
                    </a:prstGeom>
                    <a:noFill/>
                  </pic:spPr>
                </pic:pic>
              </a:graphicData>
            </a:graphic>
          </wp:inline>
        </w:drawing>
      </w:r>
    </w:p>
    <w:p w14:paraId="4554B944" w14:textId="4D578F81" w:rsidR="008F25E6" w:rsidRPr="006107DB" w:rsidRDefault="00DC3A65" w:rsidP="008F25E6">
      <w:pPr>
        <w:tabs>
          <w:tab w:val="left" w:pos="2542"/>
        </w:tabs>
        <w:rPr>
          <w:rFonts w:ascii="Arial" w:hAnsi="Arial" w:cs="Arial"/>
          <w:b/>
          <w:bCs/>
          <w:sz w:val="20"/>
          <w:szCs w:val="20"/>
        </w:rPr>
      </w:pPr>
      <w:r w:rsidRPr="006107DB">
        <w:rPr>
          <w:rFonts w:ascii="Arial" w:hAnsi="Arial" w:cs="Arial"/>
          <w:sz w:val="20"/>
          <w:szCs w:val="20"/>
        </w:rPr>
        <w:t xml:space="preserve">                                       </w:t>
      </w:r>
      <w:r w:rsidR="008F25E6" w:rsidRPr="006107DB">
        <w:rPr>
          <w:rFonts w:ascii="Arial" w:hAnsi="Arial" w:cs="Arial"/>
          <w:b/>
          <w:bCs/>
          <w:sz w:val="20"/>
          <w:szCs w:val="20"/>
        </w:rPr>
        <w:t>Figure</w:t>
      </w:r>
      <w:r w:rsidR="00555FC2" w:rsidRPr="006107DB">
        <w:rPr>
          <w:rFonts w:ascii="Arial" w:hAnsi="Arial" w:cs="Arial"/>
          <w:b/>
          <w:bCs/>
          <w:sz w:val="20"/>
          <w:szCs w:val="20"/>
        </w:rPr>
        <w:t xml:space="preserve"> 4</w:t>
      </w:r>
      <w:r w:rsidR="008F25E6" w:rsidRPr="006107DB">
        <w:rPr>
          <w:rFonts w:ascii="Arial" w:hAnsi="Arial" w:cs="Arial"/>
          <w:b/>
          <w:bCs/>
          <w:sz w:val="20"/>
          <w:szCs w:val="20"/>
        </w:rPr>
        <w:t>:  Empirical vs fitted TE-NWP CDF</w:t>
      </w:r>
    </w:p>
    <w:p w14:paraId="43BA7AB5" w14:textId="77777777" w:rsidR="001413C4" w:rsidRPr="006107DB" w:rsidRDefault="001413C4" w:rsidP="008F25E6">
      <w:pPr>
        <w:tabs>
          <w:tab w:val="left" w:pos="2542"/>
        </w:tabs>
        <w:rPr>
          <w:rFonts w:ascii="Arial" w:hAnsi="Arial" w:cs="Arial"/>
          <w:b/>
          <w:bCs/>
          <w:sz w:val="20"/>
          <w:szCs w:val="20"/>
        </w:rPr>
      </w:pPr>
    </w:p>
    <w:p w14:paraId="3754AD85" w14:textId="7853F265" w:rsidR="00E95F27" w:rsidRPr="006107DB" w:rsidRDefault="001413C4" w:rsidP="008F25E6">
      <w:pPr>
        <w:tabs>
          <w:tab w:val="left" w:pos="2542"/>
        </w:tabs>
        <w:rPr>
          <w:rFonts w:ascii="Arial" w:hAnsi="Arial" w:cs="Arial"/>
          <w:b/>
          <w:bCs/>
        </w:rPr>
      </w:pPr>
      <w:r w:rsidRPr="006107DB">
        <w:rPr>
          <w:rFonts w:ascii="Arial" w:hAnsi="Arial" w:cs="Arial"/>
          <w:b/>
          <w:bCs/>
        </w:rPr>
        <w:t xml:space="preserve">3.4 </w:t>
      </w:r>
      <w:r w:rsidR="00E95F27" w:rsidRPr="006107DB">
        <w:rPr>
          <w:rFonts w:ascii="Arial" w:hAnsi="Arial" w:cs="Arial"/>
          <w:b/>
          <w:bCs/>
        </w:rPr>
        <w:t xml:space="preserve">Discussion of </w:t>
      </w:r>
      <w:r w:rsidRPr="006107DB">
        <w:rPr>
          <w:rFonts w:ascii="Arial" w:hAnsi="Arial" w:cs="Arial"/>
          <w:b/>
          <w:bCs/>
        </w:rPr>
        <w:t>Real</w:t>
      </w:r>
      <w:r w:rsidR="00D248E2" w:rsidRPr="006107DB">
        <w:rPr>
          <w:rFonts w:ascii="Arial" w:hAnsi="Arial" w:cs="Arial"/>
          <w:b/>
          <w:bCs/>
        </w:rPr>
        <w:t>-</w:t>
      </w:r>
      <w:r w:rsidRPr="006107DB">
        <w:rPr>
          <w:rFonts w:ascii="Arial" w:hAnsi="Arial" w:cs="Arial"/>
          <w:b/>
          <w:bCs/>
        </w:rPr>
        <w:t xml:space="preserve">Life Application </w:t>
      </w:r>
    </w:p>
    <w:p w14:paraId="2A56334E" w14:textId="77777777" w:rsidR="00BD7196" w:rsidRPr="006107DB" w:rsidRDefault="00BD7196" w:rsidP="001413C4">
      <w:pPr>
        <w:jc w:val="both"/>
        <w:rPr>
          <w:rFonts w:ascii="Arial" w:hAnsi="Arial" w:cs="Arial"/>
          <w:sz w:val="20"/>
          <w:szCs w:val="20"/>
        </w:rPr>
      </w:pPr>
      <w:r w:rsidRPr="006107DB">
        <w:rPr>
          <w:rFonts w:ascii="Arial" w:hAnsi="Arial" w:cs="Arial"/>
          <w:sz w:val="20"/>
          <w:szCs w:val="20"/>
        </w:rPr>
        <w:t xml:space="preserve">To demonstrate practical applicability, the TE–NWP distribution was fitted to the Kevlar 373/epoxy fatigue fracture data. This dataset represents fatigue life measurements under constant stress conditions and exhibits characteristics typical of reliability data, including skewness and heavy-tailed behavior. </w:t>
      </w:r>
    </w:p>
    <w:p w14:paraId="0A64CF75" w14:textId="77777777" w:rsidR="00E41E8E" w:rsidRPr="006107DB" w:rsidRDefault="00E41E8E" w:rsidP="00BD7196">
      <w:pPr>
        <w:jc w:val="both"/>
        <w:rPr>
          <w:rFonts w:ascii="Arial" w:hAnsi="Arial" w:cs="Arial"/>
          <w:sz w:val="20"/>
          <w:szCs w:val="20"/>
        </w:rPr>
      </w:pPr>
      <w:r w:rsidRPr="006107DB">
        <w:rPr>
          <w:rFonts w:ascii="Arial" w:hAnsi="Arial" w:cs="Arial"/>
          <w:sz w:val="20"/>
          <w:szCs w:val="20"/>
        </w:rPr>
        <w:t>Table 2 shows the parameter estimates obtained using MM, MLE, and EM. The MLE and EM estimates are closely aligned, while the MM estimates show slight deviations. Notably, the EM method yields marginally smaller values for the shape and transmutation parameters, indicating enhanced flexibility in capturing the skewness and tail behavior of the fatigue data.</w:t>
      </w:r>
    </w:p>
    <w:p w14:paraId="6A878D9E" w14:textId="77777777" w:rsidR="00E41E8E" w:rsidRPr="006107DB" w:rsidRDefault="00E41E8E" w:rsidP="00BD7196">
      <w:pPr>
        <w:jc w:val="both"/>
        <w:rPr>
          <w:rFonts w:ascii="Arial" w:hAnsi="Arial" w:cs="Arial"/>
          <w:sz w:val="20"/>
          <w:szCs w:val="20"/>
        </w:rPr>
      </w:pPr>
      <w:r w:rsidRPr="006107DB">
        <w:rPr>
          <w:rFonts w:ascii="Arial" w:hAnsi="Arial" w:cs="Arial"/>
          <w:sz w:val="20"/>
          <w:szCs w:val="20"/>
        </w:rPr>
        <w:t>Table 3 presents a model comparison based on the negative log-likelihood (−LL), Akaike Information Criterion (AIC), and Bayesian Information Criterion (BIC). The estimates obtained via EM produced the lowest −LL, AIC, and BIC values, indicating the best overall fit among the three methods. MLE ranks second, while MM shows the highest information criterion values, reflecting comparatively weaker performance.</w:t>
      </w:r>
    </w:p>
    <w:p w14:paraId="1B5CE8B5" w14:textId="0D1936A0" w:rsidR="001413C4" w:rsidRPr="006107DB" w:rsidRDefault="00152851" w:rsidP="001413C4">
      <w:pPr>
        <w:jc w:val="both"/>
        <w:rPr>
          <w:rFonts w:ascii="Arial" w:hAnsi="Arial" w:cs="Arial"/>
          <w:sz w:val="20"/>
          <w:szCs w:val="20"/>
        </w:rPr>
      </w:pPr>
      <w:r w:rsidRPr="006107DB">
        <w:rPr>
          <w:rFonts w:ascii="Arial" w:hAnsi="Arial" w:cs="Arial"/>
          <w:sz w:val="20"/>
          <w:szCs w:val="20"/>
        </w:rPr>
        <w:t>Graphical assessments (Figs. 3 and 4) reinforce these numerical findings. Figure 3, showing the histogram with fitted TE–NWP density curves, demonstrates that the EM and MLE models closely track the empirical distribution, particularly in the upper tail where fatigue-life extremes occur. The MM curve shows slight deviations, especially around extreme observations. Similarly, Figure 4, comparing the empirical and fitted CDFs, indicates that the EM curve aligns most closely with the empirical distribution across the entire data range, confirming its superior goodness-of-fit.</w:t>
      </w:r>
    </w:p>
    <w:p w14:paraId="474D6B99" w14:textId="77777777" w:rsidR="00FC0844" w:rsidRPr="006107DB" w:rsidRDefault="00FC0844" w:rsidP="00FC0844">
      <w:pPr>
        <w:pStyle w:val="ListParagraph"/>
        <w:jc w:val="both"/>
        <w:rPr>
          <w:rFonts w:ascii="Arial" w:eastAsia="Times New Roman" w:hAnsi="Arial" w:cs="Arial"/>
          <w:b/>
          <w:bCs/>
        </w:rPr>
      </w:pPr>
    </w:p>
    <w:p w14:paraId="2C410B8A" w14:textId="41332256" w:rsidR="00A91C46" w:rsidRPr="006107DB" w:rsidRDefault="00E95F27" w:rsidP="00647EC9">
      <w:pPr>
        <w:pStyle w:val="ListParagraph"/>
        <w:numPr>
          <w:ilvl w:val="0"/>
          <w:numId w:val="3"/>
        </w:numPr>
        <w:jc w:val="both"/>
        <w:rPr>
          <w:rFonts w:ascii="Arial" w:eastAsia="Times New Roman" w:hAnsi="Arial" w:cs="Arial"/>
          <w:b/>
          <w:bCs/>
        </w:rPr>
      </w:pPr>
      <w:r w:rsidRPr="006107DB">
        <w:rPr>
          <w:rFonts w:ascii="Arial" w:eastAsia="Times New Roman" w:hAnsi="Arial" w:cs="Arial"/>
          <w:b/>
          <w:bCs/>
        </w:rPr>
        <w:t xml:space="preserve">Conclusion </w:t>
      </w:r>
    </w:p>
    <w:p w14:paraId="35284F27" w14:textId="77777777" w:rsidR="00652262" w:rsidRPr="006107DB" w:rsidRDefault="00652262" w:rsidP="00652262">
      <w:pPr>
        <w:pStyle w:val="NormalWeb"/>
        <w:jc w:val="both"/>
        <w:rPr>
          <w:rFonts w:ascii="Arial" w:hAnsi="Arial" w:cs="Arial"/>
          <w:sz w:val="20"/>
          <w:szCs w:val="20"/>
        </w:rPr>
      </w:pPr>
      <w:r w:rsidRPr="006107DB">
        <w:rPr>
          <w:rFonts w:ascii="Arial" w:hAnsi="Arial" w:cs="Arial"/>
          <w:sz w:val="20"/>
          <w:szCs w:val="20"/>
        </w:rPr>
        <w:t>This study comparatively evaluated the performance of the Method of Moments (MM), Maximum Likelihood Estimation (MLE), and the Expectation–Maximization (EM) algorithm for estimating the parameters of the Transmuted Exponential–New Weibull Pareto (TE–NWP) distribution. Given the model’s five-parameter structure and inherent nonlinear likelihood function, identifying a stable and efficient estimation procedure is essential for reliable statistical inference.</w:t>
      </w:r>
    </w:p>
    <w:p w14:paraId="6671581E" w14:textId="77777777" w:rsidR="00652262" w:rsidRPr="006107DB" w:rsidRDefault="00652262" w:rsidP="00652262">
      <w:pPr>
        <w:pStyle w:val="NormalWeb"/>
        <w:jc w:val="both"/>
        <w:rPr>
          <w:rFonts w:ascii="Arial" w:hAnsi="Arial" w:cs="Arial"/>
          <w:sz w:val="20"/>
          <w:szCs w:val="20"/>
        </w:rPr>
      </w:pPr>
      <w:r w:rsidRPr="006107DB">
        <w:rPr>
          <w:rFonts w:ascii="Arial" w:hAnsi="Arial" w:cs="Arial"/>
          <w:sz w:val="20"/>
          <w:szCs w:val="20"/>
        </w:rPr>
        <w:lastRenderedPageBreak/>
        <w:t>The Monte Carlo simulation results demonstrated that all estimators improve in accuracy as sample size increases, confirming their consistency properties. However, the EM algorithm consistently produced smaller mean squared errors (MSE) and competitive bias across different sample sizes. Its superiority becomes more evident for moderate and large samples, reflecting its ability to effectively handle the mixture representation of the TE–NWP model. The MLE method also performed strongly and remains a viable alternative, particularly for larger datasets, while the MM estimator exhibited comparatively higher bias and MSE, making it less efficient for precise inference.</w:t>
      </w:r>
    </w:p>
    <w:p w14:paraId="254E65A5" w14:textId="77777777" w:rsidR="00652262" w:rsidRPr="006107DB" w:rsidRDefault="00652262" w:rsidP="00652262">
      <w:pPr>
        <w:pStyle w:val="NormalWeb"/>
        <w:jc w:val="both"/>
        <w:rPr>
          <w:rFonts w:ascii="Arial" w:hAnsi="Arial" w:cs="Arial"/>
          <w:sz w:val="20"/>
          <w:szCs w:val="20"/>
        </w:rPr>
      </w:pPr>
      <w:r w:rsidRPr="006107DB">
        <w:rPr>
          <w:rFonts w:ascii="Arial" w:hAnsi="Arial" w:cs="Arial"/>
          <w:sz w:val="20"/>
          <w:szCs w:val="20"/>
        </w:rPr>
        <w:t>The real-life application to Kevlar 373/epoxy fatigue fracture data further validated the simulation findings. Based on −LL, AIC, and BIC values, the EM-based estimates provided the best goodness-of-fit, followed closely by MLE, whereas MM showed weaker performance. Graphical assessments using fitted density curves and empirical CDF comparisons also confirmed the superior tail-fitting capability of the EM approach.</w:t>
      </w:r>
    </w:p>
    <w:p w14:paraId="4B9E3040" w14:textId="62F9DBE0" w:rsidR="00652262" w:rsidRPr="006107DB" w:rsidRDefault="00EB1BAB" w:rsidP="00652262">
      <w:pPr>
        <w:pStyle w:val="NormalWeb"/>
        <w:jc w:val="both"/>
        <w:rPr>
          <w:rFonts w:ascii="Arial" w:hAnsi="Arial" w:cs="Arial"/>
          <w:sz w:val="20"/>
          <w:szCs w:val="20"/>
        </w:rPr>
      </w:pPr>
      <w:r>
        <w:rPr>
          <w:rFonts w:ascii="Arial" w:hAnsi="Arial" w:cs="Arial"/>
          <w:sz w:val="20"/>
          <w:szCs w:val="20"/>
        </w:rPr>
        <w:t>In summary,</w:t>
      </w:r>
      <w:r w:rsidR="00652262" w:rsidRPr="006107DB">
        <w:rPr>
          <w:rFonts w:ascii="Arial" w:hAnsi="Arial" w:cs="Arial"/>
          <w:sz w:val="20"/>
          <w:szCs w:val="20"/>
        </w:rPr>
        <w:t xml:space="preserve"> the findings indicate that the EM algorithm is the most reliable and efficient estimation method for the TE–NWP distribution, particularly in </w:t>
      </w:r>
      <w:proofErr w:type="spellStart"/>
      <w:r w:rsidR="00652262" w:rsidRPr="006107DB">
        <w:rPr>
          <w:rFonts w:ascii="Arial" w:hAnsi="Arial" w:cs="Arial"/>
          <w:sz w:val="20"/>
          <w:szCs w:val="20"/>
        </w:rPr>
        <w:t>modeling</w:t>
      </w:r>
      <w:proofErr w:type="spellEnd"/>
      <w:r w:rsidR="00652262" w:rsidRPr="006107DB">
        <w:rPr>
          <w:rFonts w:ascii="Arial" w:hAnsi="Arial" w:cs="Arial"/>
          <w:sz w:val="20"/>
          <w:szCs w:val="20"/>
        </w:rPr>
        <w:t xml:space="preserve"> skewed and heavy-tailed lifetime data. Future research may extend this work by exploring Bayesian estimation techniques, robustness analysis under model misspecification, and applications of the TE–NWP model to other complex reliability and financial datasets.</w:t>
      </w:r>
    </w:p>
    <w:p w14:paraId="24D923ED" w14:textId="77777777" w:rsidR="00553CBE" w:rsidRPr="006107DB" w:rsidRDefault="00553CBE" w:rsidP="00553CBE">
      <w:pPr>
        <w:pStyle w:val="NoSpacing"/>
        <w:rPr>
          <w:rFonts w:ascii="Arial" w:hAnsi="Arial" w:cs="Arial"/>
          <w:highlight w:val="yellow"/>
        </w:rPr>
      </w:pPr>
      <w:bookmarkStart w:id="0" w:name="_Hlk219284361"/>
      <w:bookmarkStart w:id="1" w:name="_Hlk198031404"/>
      <w:bookmarkStart w:id="2" w:name="_Hlk219128673"/>
      <w:r w:rsidRPr="006107DB">
        <w:rPr>
          <w:rFonts w:ascii="Arial" w:hAnsi="Arial" w:cs="Arial"/>
          <w:highlight w:val="yellow"/>
        </w:rPr>
        <w:t>Disclaimer (Artificial intelligence)</w:t>
      </w:r>
    </w:p>
    <w:p w14:paraId="3943F8FD" w14:textId="77777777" w:rsidR="00553CBE" w:rsidRPr="006107DB" w:rsidRDefault="00553CBE" w:rsidP="00553CBE">
      <w:pPr>
        <w:pStyle w:val="NoSpacing"/>
        <w:rPr>
          <w:rFonts w:ascii="Arial" w:hAnsi="Arial" w:cs="Arial"/>
          <w:highlight w:val="yellow"/>
        </w:rPr>
      </w:pPr>
    </w:p>
    <w:p w14:paraId="7FB3DD18" w14:textId="77777777" w:rsidR="00553CBE" w:rsidRPr="006107DB" w:rsidRDefault="00553CBE" w:rsidP="00553CBE">
      <w:pPr>
        <w:pStyle w:val="NoSpacing"/>
        <w:rPr>
          <w:rFonts w:ascii="Arial" w:hAnsi="Arial" w:cs="Arial"/>
          <w:highlight w:val="yellow"/>
        </w:rPr>
      </w:pPr>
      <w:r w:rsidRPr="006107DB">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6107DB">
        <w:rPr>
          <w:rFonts w:ascii="Arial" w:hAnsi="Arial" w:cs="Arial"/>
          <w:highlight w:val="yellow"/>
        </w:rPr>
        <w:t xml:space="preserve">. </w:t>
      </w:r>
    </w:p>
    <w:bookmarkEnd w:id="1"/>
    <w:p w14:paraId="3235E418" w14:textId="77777777" w:rsidR="00553CBE" w:rsidRPr="006107DB" w:rsidRDefault="00553CBE" w:rsidP="00553CBE">
      <w:pPr>
        <w:pStyle w:val="NoSpacing"/>
        <w:rPr>
          <w:rFonts w:ascii="Arial" w:hAnsi="Arial" w:cs="Arial"/>
        </w:rPr>
      </w:pPr>
    </w:p>
    <w:bookmarkEnd w:id="2"/>
    <w:p w14:paraId="2E436678" w14:textId="77777777" w:rsidR="00F63F9E" w:rsidRPr="006107DB" w:rsidRDefault="00F63F9E" w:rsidP="00453B7D">
      <w:pPr>
        <w:rPr>
          <w:rFonts w:ascii="Arial" w:hAnsi="Arial" w:cs="Arial"/>
          <w:sz w:val="24"/>
          <w:szCs w:val="24"/>
        </w:rPr>
      </w:pPr>
    </w:p>
    <w:p w14:paraId="34E6FA8A" w14:textId="41532872" w:rsidR="00453B7D" w:rsidRPr="006107DB" w:rsidRDefault="00453B7D" w:rsidP="00453B7D">
      <w:pPr>
        <w:rPr>
          <w:rFonts w:ascii="Arial" w:hAnsi="Arial" w:cs="Arial"/>
          <w:sz w:val="24"/>
          <w:szCs w:val="24"/>
        </w:rPr>
      </w:pPr>
      <w:r w:rsidRPr="006107DB">
        <w:rPr>
          <w:rFonts w:ascii="Arial" w:hAnsi="Arial" w:cs="Arial"/>
          <w:sz w:val="24"/>
          <w:szCs w:val="24"/>
        </w:rPr>
        <w:t>References</w:t>
      </w:r>
    </w:p>
    <w:p w14:paraId="4ED9758E"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Abdul-Moniem, I., &amp; Seham, A. (2015). Transmuted Gompertz distribution. </w:t>
      </w:r>
      <w:r w:rsidRPr="006107DB">
        <w:rPr>
          <w:rFonts w:ascii="Arial" w:hAnsi="Arial" w:cs="Arial"/>
          <w:i/>
          <w:iCs/>
          <w:sz w:val="20"/>
          <w:szCs w:val="20"/>
        </w:rPr>
        <w:t xml:space="preserve">Computational and </w:t>
      </w:r>
      <w:r w:rsidRPr="006107DB">
        <w:rPr>
          <w:rFonts w:ascii="Arial" w:hAnsi="Arial" w:cs="Arial"/>
          <w:i/>
          <w:iCs/>
          <w:sz w:val="20"/>
          <w:szCs w:val="20"/>
        </w:rPr>
        <w:br/>
        <w:t xml:space="preserve">          Applied Mathematics, 1</w:t>
      </w:r>
      <w:r w:rsidRPr="006107DB">
        <w:rPr>
          <w:rFonts w:ascii="Arial" w:hAnsi="Arial" w:cs="Arial"/>
          <w:sz w:val="20"/>
          <w:szCs w:val="20"/>
        </w:rPr>
        <w:t>(3), 88–96.</w:t>
      </w:r>
    </w:p>
    <w:p w14:paraId="077FB324" w14:textId="1D4D8903"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Abdulrahman, A. T., Rashedi, K. A., Alshammari, T. S., Hussam, E., Yousof, H. M., &amp; Alshammari, K. </w:t>
      </w:r>
      <w:r w:rsidR="00D11D6B" w:rsidRPr="006107DB">
        <w:rPr>
          <w:rFonts w:ascii="Arial" w:hAnsi="Arial" w:cs="Arial"/>
          <w:sz w:val="20"/>
          <w:szCs w:val="20"/>
        </w:rPr>
        <w:br/>
        <w:t xml:space="preserve">          </w:t>
      </w:r>
      <w:r w:rsidRPr="006107DB">
        <w:rPr>
          <w:rFonts w:ascii="Arial" w:hAnsi="Arial" w:cs="Arial"/>
          <w:sz w:val="20"/>
          <w:szCs w:val="20"/>
        </w:rPr>
        <w:t xml:space="preserve">M. K. (2025). A flexible heavy-tailed ZLindley probability distribution with application to radiation </w:t>
      </w:r>
      <w:r w:rsidRPr="006107DB">
        <w:rPr>
          <w:rFonts w:ascii="Arial" w:hAnsi="Arial" w:cs="Arial"/>
          <w:sz w:val="20"/>
          <w:szCs w:val="20"/>
        </w:rPr>
        <w:br/>
        <w:t xml:space="preserve">          therapy data. </w:t>
      </w:r>
      <w:r w:rsidRPr="006107DB">
        <w:rPr>
          <w:rFonts w:ascii="Arial" w:hAnsi="Arial" w:cs="Arial"/>
          <w:i/>
          <w:iCs/>
          <w:sz w:val="20"/>
          <w:szCs w:val="20"/>
        </w:rPr>
        <w:t>Journal of Radiation Research and Applied Sciences, 18</w:t>
      </w:r>
      <w:r w:rsidRPr="006107DB">
        <w:rPr>
          <w:rFonts w:ascii="Arial" w:hAnsi="Arial" w:cs="Arial"/>
          <w:sz w:val="20"/>
          <w:szCs w:val="20"/>
        </w:rPr>
        <w:t xml:space="preserve">(4), 102017. </w:t>
      </w:r>
      <w:r w:rsidRPr="006107DB">
        <w:rPr>
          <w:rFonts w:ascii="Arial" w:hAnsi="Arial" w:cs="Arial"/>
          <w:sz w:val="20"/>
          <w:szCs w:val="20"/>
        </w:rPr>
        <w:br/>
        <w:t xml:space="preserve">          </w:t>
      </w:r>
      <w:hyperlink r:id="rId11" w:history="1">
        <w:r w:rsidRPr="006107DB">
          <w:rPr>
            <w:rStyle w:val="Hyperlink"/>
            <w:rFonts w:ascii="Arial" w:hAnsi="Arial" w:cs="Arial"/>
            <w:sz w:val="20"/>
            <w:szCs w:val="20"/>
          </w:rPr>
          <w:t>https://doi.org/10.1016/j.jrras.2025.102017</w:t>
        </w:r>
      </w:hyperlink>
    </w:p>
    <w:p w14:paraId="49080FE5"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Burke, K., Jones, M. C., &amp; Noufaily, A. (2020). A flexible parametric modelling framework for survival </w:t>
      </w:r>
      <w:r w:rsidRPr="006107DB">
        <w:rPr>
          <w:rFonts w:ascii="Arial" w:hAnsi="Arial" w:cs="Arial"/>
          <w:sz w:val="20"/>
          <w:szCs w:val="20"/>
        </w:rPr>
        <w:br/>
        <w:t xml:space="preserve">          analysis. </w:t>
      </w:r>
      <w:r w:rsidRPr="006107DB">
        <w:rPr>
          <w:rFonts w:ascii="Arial" w:hAnsi="Arial" w:cs="Arial"/>
          <w:i/>
          <w:iCs/>
          <w:sz w:val="20"/>
          <w:szCs w:val="20"/>
        </w:rPr>
        <w:t>Journal of the Royal Statistical Society: Series C (Applied Statistics), 69</w:t>
      </w:r>
      <w:r w:rsidRPr="006107DB">
        <w:rPr>
          <w:rFonts w:ascii="Arial" w:hAnsi="Arial" w:cs="Arial"/>
          <w:sz w:val="20"/>
          <w:szCs w:val="20"/>
        </w:rPr>
        <w:t xml:space="preserve">(2), 429–457. </w:t>
      </w:r>
      <w:r w:rsidRPr="006107DB">
        <w:rPr>
          <w:rFonts w:ascii="Arial" w:hAnsi="Arial" w:cs="Arial"/>
          <w:sz w:val="20"/>
          <w:szCs w:val="20"/>
        </w:rPr>
        <w:br/>
        <w:t xml:space="preserve">          </w:t>
      </w:r>
      <w:hyperlink r:id="rId12" w:history="1">
        <w:r w:rsidRPr="006107DB">
          <w:rPr>
            <w:rStyle w:val="Hyperlink"/>
            <w:rFonts w:ascii="Arial" w:hAnsi="Arial" w:cs="Arial"/>
            <w:sz w:val="20"/>
            <w:szCs w:val="20"/>
          </w:rPr>
          <w:t>https://doi.org/10.1111/rssc.12398</w:t>
        </w:r>
      </w:hyperlink>
    </w:p>
    <w:p w14:paraId="55569749"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Casella, G., &amp; Berger, R. L. (2002). </w:t>
      </w:r>
      <w:r w:rsidRPr="006107DB">
        <w:rPr>
          <w:rFonts w:ascii="Arial" w:hAnsi="Arial" w:cs="Arial"/>
          <w:i/>
          <w:iCs/>
          <w:sz w:val="20"/>
          <w:szCs w:val="20"/>
        </w:rPr>
        <w:t>Statistical inference</w:t>
      </w:r>
      <w:r w:rsidRPr="006107DB">
        <w:rPr>
          <w:rFonts w:ascii="Arial" w:hAnsi="Arial" w:cs="Arial"/>
          <w:sz w:val="20"/>
          <w:szCs w:val="20"/>
        </w:rPr>
        <w:t xml:space="preserve"> (2nd ed.). Duxbury Press.</w:t>
      </w:r>
    </w:p>
    <w:p w14:paraId="75F6B637"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Cordeiro, G. M., Mansoor, M., &amp; Zubair, M. (2015). The Weibull-Lomax distribution: Properties and </w:t>
      </w:r>
      <w:r w:rsidRPr="006107DB">
        <w:rPr>
          <w:rFonts w:ascii="Arial" w:hAnsi="Arial" w:cs="Arial"/>
          <w:sz w:val="20"/>
          <w:szCs w:val="20"/>
        </w:rPr>
        <w:br/>
        <w:t xml:space="preserve">          applications. </w:t>
      </w:r>
      <w:r w:rsidRPr="006107DB">
        <w:rPr>
          <w:rFonts w:ascii="Arial" w:hAnsi="Arial" w:cs="Arial"/>
          <w:i/>
          <w:iCs/>
          <w:sz w:val="20"/>
          <w:szCs w:val="20"/>
        </w:rPr>
        <w:t>Hacettepe Journal of Mathematics and Statistics, 44</w:t>
      </w:r>
      <w:r w:rsidRPr="006107DB">
        <w:rPr>
          <w:rFonts w:ascii="Arial" w:hAnsi="Arial" w:cs="Arial"/>
          <w:sz w:val="20"/>
          <w:szCs w:val="20"/>
        </w:rPr>
        <w:t>(2), 461–480.</w:t>
      </w:r>
    </w:p>
    <w:p w14:paraId="14B94F00"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Dempster, A. P., Laird, N. M., &amp; Rubin, D. B. (1977). Maximum likelihood from incomplete data via </w:t>
      </w:r>
      <w:r w:rsidRPr="006107DB">
        <w:rPr>
          <w:rFonts w:ascii="Arial" w:hAnsi="Arial" w:cs="Arial"/>
          <w:sz w:val="20"/>
          <w:szCs w:val="20"/>
        </w:rPr>
        <w:br/>
        <w:t xml:space="preserve">          the EM algorithm. </w:t>
      </w:r>
      <w:r w:rsidRPr="006107DB">
        <w:rPr>
          <w:rFonts w:ascii="Arial" w:hAnsi="Arial" w:cs="Arial"/>
          <w:i/>
          <w:iCs/>
          <w:sz w:val="20"/>
          <w:szCs w:val="20"/>
        </w:rPr>
        <w:t>Journal of the Royal Statistical Society: Series B (Methodological), 39</w:t>
      </w:r>
      <w:r w:rsidRPr="006107DB">
        <w:rPr>
          <w:rFonts w:ascii="Arial" w:hAnsi="Arial" w:cs="Arial"/>
          <w:sz w:val="20"/>
          <w:szCs w:val="20"/>
        </w:rPr>
        <w:t>(1), 1–</w:t>
      </w:r>
      <w:r w:rsidRPr="006107DB">
        <w:rPr>
          <w:rFonts w:ascii="Arial" w:hAnsi="Arial" w:cs="Arial"/>
          <w:sz w:val="20"/>
          <w:szCs w:val="20"/>
        </w:rPr>
        <w:br/>
        <w:t xml:space="preserve">          22. </w:t>
      </w:r>
      <w:hyperlink r:id="rId13" w:tgtFrame="_new" w:history="1">
        <w:r w:rsidRPr="006107DB">
          <w:rPr>
            <w:rStyle w:val="Hyperlink"/>
            <w:rFonts w:ascii="Arial" w:hAnsi="Arial" w:cs="Arial"/>
            <w:sz w:val="20"/>
            <w:szCs w:val="20"/>
          </w:rPr>
          <w:t>https://doi.org/10.1111/j.2517-6161.1977.tb01600.x</w:t>
        </w:r>
      </w:hyperlink>
    </w:p>
    <w:p w14:paraId="24185F96"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Dhull, M. S., &amp; Kumar, A. (2021). Normal inverse Gaussian autoregressive model using EM algorithm. </w:t>
      </w:r>
      <w:r w:rsidRPr="006107DB">
        <w:rPr>
          <w:rFonts w:ascii="Arial" w:hAnsi="Arial" w:cs="Arial"/>
          <w:sz w:val="20"/>
          <w:szCs w:val="20"/>
        </w:rPr>
        <w:br/>
        <w:t xml:space="preserve">          </w:t>
      </w:r>
      <w:r w:rsidRPr="006107DB">
        <w:rPr>
          <w:rFonts w:ascii="Arial" w:hAnsi="Arial" w:cs="Arial"/>
          <w:i/>
          <w:iCs/>
          <w:sz w:val="20"/>
          <w:szCs w:val="20"/>
        </w:rPr>
        <w:t>International Journal of Advances in Engineering Sciences and Applied Mathematics, 13</w:t>
      </w:r>
      <w:r w:rsidRPr="006107DB">
        <w:rPr>
          <w:rFonts w:ascii="Arial" w:hAnsi="Arial" w:cs="Arial"/>
          <w:sz w:val="20"/>
          <w:szCs w:val="20"/>
        </w:rPr>
        <w:t xml:space="preserve">(2–3), </w:t>
      </w:r>
      <w:r w:rsidRPr="006107DB">
        <w:rPr>
          <w:rFonts w:ascii="Arial" w:hAnsi="Arial" w:cs="Arial"/>
          <w:sz w:val="20"/>
          <w:szCs w:val="20"/>
        </w:rPr>
        <w:br/>
        <w:t xml:space="preserve">          139–147. </w:t>
      </w:r>
      <w:hyperlink r:id="rId14" w:tgtFrame="_new" w:history="1">
        <w:r w:rsidRPr="006107DB">
          <w:rPr>
            <w:rStyle w:val="Hyperlink"/>
            <w:rFonts w:ascii="Arial" w:hAnsi="Arial" w:cs="Arial"/>
            <w:sz w:val="20"/>
            <w:szCs w:val="20"/>
          </w:rPr>
          <w:t>https://doi.org/10.1007/s12572-021-00303-y</w:t>
        </w:r>
      </w:hyperlink>
    </w:p>
    <w:p w14:paraId="5617B3E4"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Eugene, N., Lee, C., &amp; Famoye, F. (2002). Beta-normal distribution and its applications. </w:t>
      </w:r>
      <w:r w:rsidRPr="006107DB">
        <w:rPr>
          <w:rFonts w:ascii="Arial" w:hAnsi="Arial" w:cs="Arial"/>
          <w:sz w:val="20"/>
          <w:szCs w:val="20"/>
        </w:rPr>
        <w:br/>
        <w:t xml:space="preserve">          </w:t>
      </w:r>
      <w:r w:rsidRPr="006107DB">
        <w:rPr>
          <w:rFonts w:ascii="Arial" w:hAnsi="Arial" w:cs="Arial"/>
          <w:i/>
          <w:iCs/>
          <w:sz w:val="20"/>
          <w:szCs w:val="20"/>
        </w:rPr>
        <w:t>Communications in Statistics – Theory and Methods, 31</w:t>
      </w:r>
      <w:r w:rsidRPr="006107DB">
        <w:rPr>
          <w:rFonts w:ascii="Arial" w:hAnsi="Arial" w:cs="Arial"/>
          <w:sz w:val="20"/>
          <w:szCs w:val="20"/>
        </w:rPr>
        <w:t>(4), 497–512.</w:t>
      </w:r>
    </w:p>
    <w:p w14:paraId="665D06B8"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Eze, N. M., &amp; Yahya, W. B. (2025). Transmuted exponential–compound Weibull distribution for </w:t>
      </w:r>
      <w:r w:rsidRPr="006107DB">
        <w:rPr>
          <w:rFonts w:ascii="Arial" w:hAnsi="Arial" w:cs="Arial"/>
          <w:sz w:val="20"/>
          <w:szCs w:val="20"/>
        </w:rPr>
        <w:br/>
        <w:t xml:space="preserve">          modelling of positively skewed data. </w:t>
      </w:r>
      <w:r w:rsidRPr="006107DB">
        <w:rPr>
          <w:rFonts w:ascii="Arial" w:hAnsi="Arial" w:cs="Arial"/>
          <w:i/>
          <w:iCs/>
          <w:sz w:val="20"/>
          <w:szCs w:val="20"/>
        </w:rPr>
        <w:t>Scientific African, 28</w:t>
      </w:r>
      <w:r w:rsidRPr="006107DB">
        <w:rPr>
          <w:rFonts w:ascii="Arial" w:hAnsi="Arial" w:cs="Arial"/>
          <w:sz w:val="20"/>
          <w:szCs w:val="20"/>
        </w:rPr>
        <w:t>(2), e02725.</w:t>
      </w:r>
    </w:p>
    <w:p w14:paraId="19D7B955"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lastRenderedPageBreak/>
        <w:t xml:space="preserve">Fisher, R. A. (1922). On the mathematical foundations of theoretical statistics. </w:t>
      </w:r>
      <w:r w:rsidRPr="006107DB">
        <w:rPr>
          <w:rFonts w:ascii="Arial" w:hAnsi="Arial" w:cs="Arial"/>
          <w:i/>
          <w:iCs/>
          <w:sz w:val="20"/>
          <w:szCs w:val="20"/>
        </w:rPr>
        <w:t xml:space="preserve">Philosophical </w:t>
      </w:r>
      <w:r w:rsidRPr="006107DB">
        <w:rPr>
          <w:rFonts w:ascii="Arial" w:hAnsi="Arial" w:cs="Arial"/>
          <w:i/>
          <w:iCs/>
          <w:sz w:val="20"/>
          <w:szCs w:val="20"/>
        </w:rPr>
        <w:br/>
        <w:t xml:space="preserve">          Transactions of the Royal Society of London: Series A, 222</w:t>
      </w:r>
      <w:r w:rsidRPr="006107DB">
        <w:rPr>
          <w:rFonts w:ascii="Arial" w:hAnsi="Arial" w:cs="Arial"/>
          <w:sz w:val="20"/>
          <w:szCs w:val="20"/>
        </w:rPr>
        <w:t xml:space="preserve">(594–604), 309–368. </w:t>
      </w:r>
      <w:r w:rsidRPr="006107DB">
        <w:rPr>
          <w:rFonts w:ascii="Arial" w:hAnsi="Arial" w:cs="Arial"/>
          <w:sz w:val="20"/>
          <w:szCs w:val="20"/>
        </w:rPr>
        <w:br/>
        <w:t xml:space="preserve">          </w:t>
      </w:r>
      <w:hyperlink r:id="rId15" w:history="1">
        <w:r w:rsidRPr="006107DB">
          <w:rPr>
            <w:rStyle w:val="Hyperlink"/>
            <w:rFonts w:ascii="Arial" w:hAnsi="Arial" w:cs="Arial"/>
            <w:sz w:val="20"/>
            <w:szCs w:val="20"/>
          </w:rPr>
          <w:t>https://doi.org/10.1098/rsta.1922.0009</w:t>
        </w:r>
      </w:hyperlink>
    </w:p>
    <w:p w14:paraId="03EDA85B"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Gillariose, J., Abdelwahab, M. M., Joseph, J., &amp; Hasaballah, M. M. (2025). A Gauss hypergeometric-</w:t>
      </w:r>
      <w:r w:rsidRPr="006107DB">
        <w:rPr>
          <w:rFonts w:ascii="Arial" w:hAnsi="Arial" w:cs="Arial"/>
          <w:sz w:val="20"/>
          <w:szCs w:val="20"/>
        </w:rPr>
        <w:br/>
        <w:t xml:space="preserve">          type model for heavy-tailed survival times in biomedical research. </w:t>
      </w:r>
      <w:r w:rsidRPr="006107DB">
        <w:rPr>
          <w:rFonts w:ascii="Arial" w:hAnsi="Arial" w:cs="Arial"/>
          <w:i/>
          <w:iCs/>
          <w:sz w:val="20"/>
          <w:szCs w:val="20"/>
        </w:rPr>
        <w:t>Symmetry, 17</w:t>
      </w:r>
      <w:r w:rsidRPr="006107DB">
        <w:rPr>
          <w:rFonts w:ascii="Arial" w:hAnsi="Arial" w:cs="Arial"/>
          <w:sz w:val="20"/>
          <w:szCs w:val="20"/>
        </w:rPr>
        <w:t xml:space="preserve">(11), Article </w:t>
      </w:r>
      <w:r w:rsidRPr="006107DB">
        <w:rPr>
          <w:rFonts w:ascii="Arial" w:hAnsi="Arial" w:cs="Arial"/>
          <w:sz w:val="20"/>
          <w:szCs w:val="20"/>
        </w:rPr>
        <w:br/>
        <w:t xml:space="preserve">          1795. </w:t>
      </w:r>
      <w:hyperlink r:id="rId16" w:tgtFrame="_new" w:history="1">
        <w:r w:rsidRPr="006107DB">
          <w:rPr>
            <w:rStyle w:val="Hyperlink"/>
            <w:rFonts w:ascii="Arial" w:hAnsi="Arial" w:cs="Arial"/>
            <w:sz w:val="20"/>
            <w:szCs w:val="20"/>
          </w:rPr>
          <w:t>https://doi.org/10.3390/sym17111795</w:t>
        </w:r>
      </w:hyperlink>
    </w:p>
    <w:p w14:paraId="4F60608F"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Gorgoso-Varela, J. J., Adedapo, S. M., &amp; Ogana, F. N. (2024). A comparison of probability density </w:t>
      </w:r>
      <w:r w:rsidRPr="006107DB">
        <w:rPr>
          <w:rFonts w:ascii="Arial" w:hAnsi="Arial" w:cs="Arial"/>
          <w:sz w:val="20"/>
          <w:szCs w:val="20"/>
        </w:rPr>
        <w:br/>
        <w:t xml:space="preserve">          functions fitted by moments and maximum likelihood estimation methods used for diameter </w:t>
      </w:r>
      <w:r w:rsidRPr="006107DB">
        <w:rPr>
          <w:rFonts w:ascii="Arial" w:hAnsi="Arial" w:cs="Arial"/>
          <w:sz w:val="20"/>
          <w:szCs w:val="20"/>
        </w:rPr>
        <w:br/>
        <w:t xml:space="preserve">          distribution estimation. </w:t>
      </w:r>
      <w:r w:rsidRPr="006107DB">
        <w:rPr>
          <w:rFonts w:ascii="Arial" w:hAnsi="Arial" w:cs="Arial"/>
          <w:i/>
          <w:iCs/>
          <w:sz w:val="20"/>
          <w:szCs w:val="20"/>
        </w:rPr>
        <w:t>Forests, 15</w:t>
      </w:r>
      <w:r w:rsidRPr="006107DB">
        <w:rPr>
          <w:rFonts w:ascii="Arial" w:hAnsi="Arial" w:cs="Arial"/>
          <w:sz w:val="20"/>
          <w:szCs w:val="20"/>
        </w:rPr>
        <w:t xml:space="preserve">(3), 425. </w:t>
      </w:r>
      <w:hyperlink r:id="rId17" w:tgtFrame="_new" w:history="1">
        <w:r w:rsidRPr="006107DB">
          <w:rPr>
            <w:rStyle w:val="Hyperlink"/>
            <w:rFonts w:ascii="Arial" w:hAnsi="Arial" w:cs="Arial"/>
            <w:sz w:val="20"/>
            <w:szCs w:val="20"/>
          </w:rPr>
          <w:t>https://doi.org/10.3390/f15030425</w:t>
        </w:r>
      </w:hyperlink>
    </w:p>
    <w:p w14:paraId="3F651BF3"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Guo, H. (2025). A comparative study on theoretical mechanisms and applicability of major </w:t>
      </w:r>
      <w:r w:rsidRPr="006107DB">
        <w:rPr>
          <w:rFonts w:ascii="Arial" w:hAnsi="Arial" w:cs="Arial"/>
          <w:sz w:val="20"/>
          <w:szCs w:val="20"/>
        </w:rPr>
        <w:br/>
        <w:t xml:space="preserve">          parameter estimation methods. </w:t>
      </w:r>
      <w:r w:rsidRPr="006107DB">
        <w:rPr>
          <w:rFonts w:ascii="Arial" w:hAnsi="Arial" w:cs="Arial"/>
          <w:i/>
          <w:iCs/>
          <w:sz w:val="20"/>
          <w:szCs w:val="20"/>
        </w:rPr>
        <w:t xml:space="preserve">Advances in Operation Research and Production Management, </w:t>
      </w:r>
      <w:r w:rsidRPr="006107DB">
        <w:rPr>
          <w:rFonts w:ascii="Arial" w:hAnsi="Arial" w:cs="Arial"/>
          <w:i/>
          <w:iCs/>
          <w:sz w:val="20"/>
          <w:szCs w:val="20"/>
        </w:rPr>
        <w:br/>
        <w:t xml:space="preserve">          4</w:t>
      </w:r>
      <w:r w:rsidRPr="006107DB">
        <w:rPr>
          <w:rFonts w:ascii="Arial" w:hAnsi="Arial" w:cs="Arial"/>
          <w:sz w:val="20"/>
          <w:szCs w:val="20"/>
        </w:rPr>
        <w:t>(2), 41–46.</w:t>
      </w:r>
    </w:p>
    <w:p w14:paraId="24EE167D" w14:textId="77777777" w:rsidR="00F63F9E" w:rsidRPr="006107DB" w:rsidRDefault="00F63F9E" w:rsidP="00F63F9E">
      <w:pPr>
        <w:spacing w:line="240" w:lineRule="auto"/>
        <w:rPr>
          <w:rFonts w:ascii="Arial" w:hAnsi="Arial" w:cs="Arial"/>
        </w:rPr>
      </w:pPr>
      <w:r w:rsidRPr="006107DB">
        <w:rPr>
          <w:rFonts w:ascii="Arial" w:hAnsi="Arial" w:cs="Arial"/>
          <w:sz w:val="20"/>
          <w:szCs w:val="20"/>
        </w:rPr>
        <w:t xml:space="preserve">Gupta, R. D., &amp; Kundu, D. (2001). Generalized exponential distribution: Different methods of </w:t>
      </w:r>
      <w:r w:rsidRPr="006107DB">
        <w:rPr>
          <w:rFonts w:ascii="Arial" w:hAnsi="Arial" w:cs="Arial"/>
          <w:sz w:val="20"/>
          <w:szCs w:val="20"/>
        </w:rPr>
        <w:br/>
        <w:t xml:space="preserve">          estimations. </w:t>
      </w:r>
      <w:r w:rsidRPr="006107DB">
        <w:rPr>
          <w:rFonts w:ascii="Arial" w:hAnsi="Arial" w:cs="Arial"/>
          <w:i/>
          <w:iCs/>
          <w:sz w:val="20"/>
          <w:szCs w:val="20"/>
        </w:rPr>
        <w:t>Journal of Statistical Computation and Simulation, 69</w:t>
      </w:r>
      <w:r w:rsidRPr="006107DB">
        <w:rPr>
          <w:rFonts w:ascii="Arial" w:hAnsi="Arial" w:cs="Arial"/>
          <w:sz w:val="20"/>
          <w:szCs w:val="20"/>
        </w:rPr>
        <w:t xml:space="preserve">(4), 315–337. </w:t>
      </w:r>
      <w:r w:rsidRPr="006107DB">
        <w:rPr>
          <w:rFonts w:ascii="Arial" w:hAnsi="Arial" w:cs="Arial"/>
          <w:sz w:val="20"/>
          <w:szCs w:val="20"/>
        </w:rPr>
        <w:br/>
        <w:t xml:space="preserve">          </w:t>
      </w:r>
      <w:hyperlink r:id="rId18" w:history="1">
        <w:r w:rsidRPr="006107DB">
          <w:rPr>
            <w:rStyle w:val="Hyperlink"/>
            <w:rFonts w:ascii="Arial" w:hAnsi="Arial" w:cs="Arial"/>
            <w:sz w:val="20"/>
            <w:szCs w:val="20"/>
          </w:rPr>
          <w:t>https://doi.org/10.1080/00949650108812098</w:t>
        </w:r>
      </w:hyperlink>
    </w:p>
    <w:p w14:paraId="61C4CB32" w14:textId="580C1355" w:rsidR="00CD5B75" w:rsidRPr="006107DB" w:rsidRDefault="00CD5B75" w:rsidP="00CD5B75">
      <w:pPr>
        <w:pStyle w:val="ListBullet"/>
        <w:numPr>
          <w:ilvl w:val="0"/>
          <w:numId w:val="0"/>
        </w:numPr>
        <w:rPr>
          <w:rFonts w:ascii="Arial" w:eastAsia="Times New Roman" w:hAnsi="Arial" w:cs="Arial"/>
          <w:sz w:val="20"/>
          <w:szCs w:val="20"/>
          <w:lang w:val="en-NG"/>
        </w:rPr>
      </w:pPr>
      <w:r w:rsidRPr="006107DB">
        <w:rPr>
          <w:rFonts w:ascii="Arial" w:eastAsia="Times New Roman" w:hAnsi="Arial" w:cs="Arial"/>
          <w:sz w:val="20"/>
          <w:szCs w:val="20"/>
        </w:rPr>
        <w:t>Hajjaji, O., Manou</w:t>
      </w:r>
      <w:r w:rsidRPr="006107DB">
        <w:rPr>
          <w:rFonts w:ascii="Arial" w:eastAsia="Times New Roman" w:hAnsi="Arial" w:cs="Arial"/>
          <w:sz w:val="20"/>
          <w:szCs w:val="20"/>
        </w:rPr>
        <w:noBreakHyphen/>
        <w:t xml:space="preserve">Abi, S. M., &amp; Slaoui, Y. (2024). Parameter estimation for stable distributions and </w:t>
      </w:r>
      <w:r w:rsidRPr="006107DB">
        <w:rPr>
          <w:rFonts w:ascii="Arial" w:eastAsia="Times New Roman" w:hAnsi="Arial" w:cs="Arial"/>
          <w:sz w:val="20"/>
          <w:szCs w:val="20"/>
        </w:rPr>
        <w:br/>
        <w:t xml:space="preserve">         their mixture. </w:t>
      </w:r>
      <w:r w:rsidRPr="006107DB">
        <w:rPr>
          <w:rFonts w:ascii="Arial" w:eastAsia="Times New Roman" w:hAnsi="Arial" w:cs="Arial"/>
          <w:i/>
          <w:iCs/>
          <w:sz w:val="20"/>
          <w:szCs w:val="20"/>
        </w:rPr>
        <w:t>Journal of Applied Statistics, 52</w:t>
      </w:r>
      <w:r w:rsidRPr="006107DB">
        <w:rPr>
          <w:rFonts w:ascii="Arial" w:eastAsia="Times New Roman" w:hAnsi="Arial" w:cs="Arial"/>
          <w:sz w:val="20"/>
          <w:szCs w:val="20"/>
        </w:rPr>
        <w:t xml:space="preserve">(8), 1594–1627. </w:t>
      </w:r>
      <w:r w:rsidRPr="006107DB">
        <w:rPr>
          <w:rFonts w:ascii="Arial" w:eastAsia="Times New Roman" w:hAnsi="Arial" w:cs="Arial"/>
          <w:sz w:val="20"/>
          <w:szCs w:val="20"/>
        </w:rPr>
        <w:br/>
        <w:t xml:space="preserve">         https://doi.org/10.1080/02664763.2024.2434627</w:t>
      </w:r>
    </w:p>
    <w:p w14:paraId="5CE191C0" w14:textId="77777777" w:rsidR="00F63F9E" w:rsidRPr="006107DB" w:rsidRDefault="00F63F9E" w:rsidP="00F63F9E">
      <w:pPr>
        <w:spacing w:line="240" w:lineRule="auto"/>
        <w:rPr>
          <w:rFonts w:ascii="Arial" w:hAnsi="Arial" w:cs="Arial"/>
        </w:rPr>
      </w:pPr>
      <w:r w:rsidRPr="006107DB">
        <w:rPr>
          <w:rFonts w:ascii="Arial" w:hAnsi="Arial" w:cs="Arial"/>
          <w:sz w:val="20"/>
          <w:szCs w:val="20"/>
        </w:rPr>
        <w:t xml:space="preserve">Joseph, J., &amp; Kim, H. (2025). Estimating skewness and kurtosis for asymmetric heavy-tailed data: A </w:t>
      </w:r>
      <w:r w:rsidRPr="006107DB">
        <w:rPr>
          <w:rFonts w:ascii="Arial" w:hAnsi="Arial" w:cs="Arial"/>
          <w:sz w:val="20"/>
          <w:szCs w:val="20"/>
        </w:rPr>
        <w:br/>
        <w:t xml:space="preserve">          regression approach. </w:t>
      </w:r>
      <w:r w:rsidRPr="006107DB">
        <w:rPr>
          <w:rFonts w:ascii="Arial" w:hAnsi="Arial" w:cs="Arial"/>
          <w:i/>
          <w:iCs/>
          <w:sz w:val="20"/>
          <w:szCs w:val="20"/>
        </w:rPr>
        <w:t>Mathematics, 13</w:t>
      </w:r>
      <w:r w:rsidRPr="006107DB">
        <w:rPr>
          <w:rFonts w:ascii="Arial" w:hAnsi="Arial" w:cs="Arial"/>
          <w:sz w:val="20"/>
          <w:szCs w:val="20"/>
        </w:rPr>
        <w:t xml:space="preserve">(16), 2694. </w:t>
      </w:r>
      <w:hyperlink r:id="rId19" w:tgtFrame="_new" w:history="1">
        <w:r w:rsidRPr="006107DB">
          <w:rPr>
            <w:rStyle w:val="Hyperlink"/>
            <w:rFonts w:ascii="Arial" w:hAnsi="Arial" w:cs="Arial"/>
            <w:sz w:val="20"/>
            <w:szCs w:val="20"/>
          </w:rPr>
          <w:t>https://doi.org/10.3390/math13162694</w:t>
        </w:r>
      </w:hyperlink>
    </w:p>
    <w:p w14:paraId="7F1587F0" w14:textId="3F7B46B6" w:rsidR="00FE22AA" w:rsidRPr="006107DB" w:rsidRDefault="00FE22AA" w:rsidP="00FE22AA">
      <w:pPr>
        <w:pStyle w:val="ListBullet"/>
        <w:numPr>
          <w:ilvl w:val="0"/>
          <w:numId w:val="0"/>
        </w:numPr>
        <w:rPr>
          <w:rFonts w:ascii="Arial" w:eastAsia="Times New Roman" w:hAnsi="Arial" w:cs="Arial"/>
          <w:sz w:val="20"/>
          <w:szCs w:val="20"/>
          <w:lang w:val="en-NG"/>
        </w:rPr>
      </w:pPr>
      <w:r w:rsidRPr="006107DB">
        <w:rPr>
          <w:rFonts w:ascii="Arial" w:eastAsia="Times New Roman" w:hAnsi="Arial" w:cs="Arial"/>
          <w:sz w:val="20"/>
          <w:szCs w:val="20"/>
          <w:lang w:val="en-NG"/>
        </w:rPr>
        <w:t xml:space="preserve">Karakaş, A. M., </w:t>
      </w:r>
      <w:r w:rsidR="006107DB">
        <w:rPr>
          <w:rFonts w:ascii="Arial" w:eastAsia="Times New Roman" w:hAnsi="Arial" w:cs="Arial"/>
          <w:sz w:val="20"/>
          <w:szCs w:val="20"/>
          <w:lang w:val="en-NG"/>
        </w:rPr>
        <w:t>&amp;</w:t>
      </w:r>
      <w:r w:rsidRPr="006107DB">
        <w:rPr>
          <w:rFonts w:ascii="Arial" w:eastAsia="Times New Roman" w:hAnsi="Arial" w:cs="Arial"/>
          <w:sz w:val="20"/>
          <w:szCs w:val="20"/>
          <w:lang w:val="en-NG"/>
        </w:rPr>
        <w:t xml:space="preserve"> Bulut, F. (2025). The Half-Logistic Generalized Power Lindley Distribution: </w:t>
      </w:r>
      <w:r w:rsidRPr="006107DB">
        <w:rPr>
          <w:rFonts w:ascii="Arial" w:eastAsia="Times New Roman" w:hAnsi="Arial" w:cs="Arial"/>
          <w:sz w:val="20"/>
          <w:szCs w:val="20"/>
          <w:lang w:val="en-NG"/>
        </w:rPr>
        <w:br/>
        <w:t xml:space="preserve">          Theory and Applications. </w:t>
      </w:r>
      <w:r w:rsidRPr="006107DB">
        <w:rPr>
          <w:rFonts w:ascii="Arial" w:eastAsia="Times New Roman" w:hAnsi="Arial" w:cs="Arial"/>
          <w:i/>
          <w:iCs/>
          <w:sz w:val="20"/>
          <w:szCs w:val="20"/>
          <w:lang w:val="en-NG"/>
        </w:rPr>
        <w:t>Symmetry</w:t>
      </w:r>
      <w:r w:rsidRPr="006107DB">
        <w:rPr>
          <w:rFonts w:ascii="Arial" w:eastAsia="Times New Roman" w:hAnsi="Arial" w:cs="Arial"/>
          <w:sz w:val="20"/>
          <w:szCs w:val="20"/>
          <w:lang w:val="en-NG"/>
        </w:rPr>
        <w:t>, </w:t>
      </w:r>
      <w:r w:rsidRPr="006107DB">
        <w:rPr>
          <w:rFonts w:ascii="Arial" w:eastAsia="Times New Roman" w:hAnsi="Arial" w:cs="Arial"/>
          <w:i/>
          <w:iCs/>
          <w:sz w:val="20"/>
          <w:szCs w:val="20"/>
          <w:lang w:val="en-NG"/>
        </w:rPr>
        <w:t>17</w:t>
      </w:r>
      <w:r w:rsidRPr="006107DB">
        <w:rPr>
          <w:rFonts w:ascii="Arial" w:eastAsia="Times New Roman" w:hAnsi="Arial" w:cs="Arial"/>
          <w:sz w:val="20"/>
          <w:szCs w:val="20"/>
          <w:lang w:val="en-NG"/>
        </w:rPr>
        <w:t>(11), 1936. https://doi.org/10.3390/sym17111936</w:t>
      </w:r>
    </w:p>
    <w:p w14:paraId="6E57B7B1" w14:textId="77777777" w:rsidR="00FE22AA" w:rsidRPr="006107DB" w:rsidRDefault="00FE22AA" w:rsidP="00586ED5">
      <w:pPr>
        <w:pStyle w:val="ListBullet"/>
        <w:numPr>
          <w:ilvl w:val="0"/>
          <w:numId w:val="0"/>
        </w:numPr>
        <w:rPr>
          <w:rFonts w:ascii="Arial" w:eastAsia="Times New Roman" w:hAnsi="Arial" w:cs="Arial"/>
          <w:sz w:val="20"/>
          <w:szCs w:val="20"/>
          <w:lang w:val="en-NG"/>
        </w:rPr>
      </w:pPr>
    </w:p>
    <w:p w14:paraId="11B4D665" w14:textId="6D40E9D6" w:rsidR="00586ED5" w:rsidRPr="006107DB" w:rsidRDefault="00586ED5" w:rsidP="00586ED5">
      <w:pPr>
        <w:pStyle w:val="ListBullet"/>
        <w:numPr>
          <w:ilvl w:val="0"/>
          <w:numId w:val="0"/>
        </w:numPr>
        <w:rPr>
          <w:rFonts w:ascii="Arial" w:eastAsia="Times New Roman" w:hAnsi="Arial" w:cs="Arial"/>
          <w:sz w:val="20"/>
          <w:szCs w:val="20"/>
          <w:lang w:val="en-NG"/>
        </w:rPr>
      </w:pPr>
      <w:r w:rsidRPr="006107DB">
        <w:rPr>
          <w:rFonts w:ascii="Arial" w:eastAsia="Times New Roman" w:hAnsi="Arial" w:cs="Arial"/>
          <w:sz w:val="20"/>
          <w:szCs w:val="20"/>
          <w:lang w:val="en-NG"/>
        </w:rPr>
        <w:t xml:space="preserve">Kariuki, V., </w:t>
      </w:r>
      <w:proofErr w:type="spellStart"/>
      <w:r w:rsidRPr="006107DB">
        <w:rPr>
          <w:rFonts w:ascii="Arial" w:eastAsia="Times New Roman" w:hAnsi="Arial" w:cs="Arial"/>
          <w:sz w:val="20"/>
          <w:szCs w:val="20"/>
          <w:lang w:val="en-NG"/>
        </w:rPr>
        <w:t>Wanjoya</w:t>
      </w:r>
      <w:proofErr w:type="spellEnd"/>
      <w:r w:rsidRPr="006107DB">
        <w:rPr>
          <w:rFonts w:ascii="Arial" w:eastAsia="Times New Roman" w:hAnsi="Arial" w:cs="Arial"/>
          <w:sz w:val="20"/>
          <w:szCs w:val="20"/>
          <w:lang w:val="en-NG"/>
        </w:rPr>
        <w:t xml:space="preserve">, A., Ngesa, O., Amirah Saeed Alharthi, </w:t>
      </w:r>
      <w:proofErr w:type="spellStart"/>
      <w:r w:rsidRPr="006107DB">
        <w:rPr>
          <w:rFonts w:ascii="Arial" w:eastAsia="Times New Roman" w:hAnsi="Arial" w:cs="Arial"/>
          <w:sz w:val="20"/>
          <w:szCs w:val="20"/>
          <w:lang w:val="en-NG"/>
        </w:rPr>
        <w:t>Aljohani</w:t>
      </w:r>
      <w:proofErr w:type="spellEnd"/>
      <w:r w:rsidRPr="006107DB">
        <w:rPr>
          <w:rFonts w:ascii="Arial" w:eastAsia="Times New Roman" w:hAnsi="Arial" w:cs="Arial"/>
          <w:sz w:val="20"/>
          <w:szCs w:val="20"/>
          <w:lang w:val="en-NG"/>
        </w:rPr>
        <w:t xml:space="preserve">, H. M., &amp; Afify, A. Z. (2024). </w:t>
      </w:r>
      <w:r w:rsidRPr="006107DB">
        <w:rPr>
          <w:rFonts w:ascii="Arial" w:eastAsia="Times New Roman" w:hAnsi="Arial" w:cs="Arial"/>
          <w:sz w:val="20"/>
          <w:szCs w:val="20"/>
          <w:lang w:val="en-NG"/>
        </w:rPr>
        <w:br/>
        <w:t xml:space="preserve">          Properties, estimation, and applications of the extended log-logistic distribution. </w:t>
      </w:r>
      <w:r w:rsidRPr="006107DB">
        <w:rPr>
          <w:rFonts w:ascii="Arial" w:eastAsia="Times New Roman" w:hAnsi="Arial" w:cs="Arial"/>
          <w:i/>
          <w:iCs/>
          <w:sz w:val="20"/>
          <w:szCs w:val="20"/>
          <w:lang w:val="en-NG"/>
        </w:rPr>
        <w:t xml:space="preserve">Scientific </w:t>
      </w:r>
      <w:r w:rsidRPr="006107DB">
        <w:rPr>
          <w:rFonts w:ascii="Arial" w:eastAsia="Times New Roman" w:hAnsi="Arial" w:cs="Arial"/>
          <w:i/>
          <w:iCs/>
          <w:sz w:val="20"/>
          <w:szCs w:val="20"/>
          <w:lang w:val="en-NG"/>
        </w:rPr>
        <w:br/>
        <w:t xml:space="preserve">          Reports</w:t>
      </w:r>
      <w:r w:rsidRPr="006107DB">
        <w:rPr>
          <w:rFonts w:ascii="Arial" w:eastAsia="Times New Roman" w:hAnsi="Arial" w:cs="Arial"/>
          <w:sz w:val="20"/>
          <w:szCs w:val="20"/>
          <w:lang w:val="en-NG"/>
        </w:rPr>
        <w:t>, </w:t>
      </w:r>
      <w:r w:rsidRPr="006107DB">
        <w:rPr>
          <w:rFonts w:ascii="Arial" w:eastAsia="Times New Roman" w:hAnsi="Arial" w:cs="Arial"/>
          <w:i/>
          <w:iCs/>
          <w:sz w:val="20"/>
          <w:szCs w:val="20"/>
          <w:lang w:val="en-NG"/>
        </w:rPr>
        <w:t>14</w:t>
      </w:r>
      <w:r w:rsidRPr="006107DB">
        <w:rPr>
          <w:rFonts w:ascii="Arial" w:eastAsia="Times New Roman" w:hAnsi="Arial" w:cs="Arial"/>
          <w:sz w:val="20"/>
          <w:szCs w:val="20"/>
          <w:lang w:val="en-NG"/>
        </w:rPr>
        <w:t xml:space="preserve">(1). </w:t>
      </w:r>
      <w:hyperlink r:id="rId20" w:history="1">
        <w:r w:rsidRPr="006107DB">
          <w:rPr>
            <w:rStyle w:val="Hyperlink"/>
            <w:rFonts w:ascii="Arial" w:eastAsia="Times New Roman" w:hAnsi="Arial" w:cs="Arial"/>
            <w:sz w:val="20"/>
            <w:szCs w:val="20"/>
            <w:lang w:val="en-NG"/>
          </w:rPr>
          <w:t>https://doi.org/10.1038/s41598-024-68843-4</w:t>
        </w:r>
      </w:hyperlink>
    </w:p>
    <w:p w14:paraId="54A15282" w14:textId="21E31555"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Muhammad, A., Hussain, Z., Sher, S., Amjad, M., Baig, F., Ahmad, I.,</w:t>
      </w:r>
      <w:r w:rsidR="001B366C" w:rsidRPr="006107DB">
        <w:rPr>
          <w:rFonts w:ascii="Arial" w:hAnsi="Arial" w:cs="Arial"/>
          <w:sz w:val="20"/>
          <w:szCs w:val="20"/>
        </w:rPr>
        <w:t xml:space="preserve"> et al.,</w:t>
      </w:r>
      <w:r w:rsidRPr="006107DB">
        <w:rPr>
          <w:rFonts w:ascii="Arial" w:hAnsi="Arial" w:cs="Arial"/>
          <w:sz w:val="20"/>
          <w:szCs w:val="20"/>
        </w:rPr>
        <w:t xml:space="preserve"> (2025). A </w:t>
      </w:r>
      <w:r w:rsidRPr="006107DB">
        <w:rPr>
          <w:rFonts w:ascii="Arial" w:hAnsi="Arial" w:cs="Arial"/>
          <w:sz w:val="20"/>
          <w:szCs w:val="20"/>
        </w:rPr>
        <w:br/>
        <w:t xml:space="preserve">          comparative analysis of L-moments, maximum likelihood, and maximum product of spacing </w:t>
      </w:r>
      <w:r w:rsidRPr="006107DB">
        <w:rPr>
          <w:rFonts w:ascii="Arial" w:hAnsi="Arial" w:cs="Arial"/>
          <w:sz w:val="20"/>
          <w:szCs w:val="20"/>
        </w:rPr>
        <w:br/>
        <w:t xml:space="preserve">          methods for the four-parameter kappa distribution in extreme value analysis. </w:t>
      </w:r>
      <w:r w:rsidRPr="006107DB">
        <w:rPr>
          <w:rFonts w:ascii="Arial" w:hAnsi="Arial" w:cs="Arial"/>
          <w:i/>
          <w:iCs/>
          <w:sz w:val="20"/>
          <w:szCs w:val="20"/>
        </w:rPr>
        <w:t xml:space="preserve">Scientific </w:t>
      </w:r>
      <w:r w:rsidRPr="006107DB">
        <w:rPr>
          <w:rFonts w:ascii="Arial" w:hAnsi="Arial" w:cs="Arial"/>
          <w:i/>
          <w:iCs/>
          <w:sz w:val="20"/>
          <w:szCs w:val="20"/>
        </w:rPr>
        <w:br/>
        <w:t xml:space="preserve">          Reports, 15</w:t>
      </w:r>
      <w:r w:rsidRPr="006107DB">
        <w:rPr>
          <w:rFonts w:ascii="Arial" w:hAnsi="Arial" w:cs="Arial"/>
          <w:sz w:val="20"/>
          <w:szCs w:val="20"/>
        </w:rPr>
        <w:t xml:space="preserve">(1). </w:t>
      </w:r>
      <w:hyperlink r:id="rId21" w:tgtFrame="_new" w:history="1">
        <w:r w:rsidRPr="006107DB">
          <w:rPr>
            <w:rStyle w:val="Hyperlink"/>
            <w:rFonts w:ascii="Arial" w:hAnsi="Arial" w:cs="Arial"/>
            <w:sz w:val="20"/>
            <w:szCs w:val="20"/>
          </w:rPr>
          <w:t>https://doi.org/10.1038/s41598-024-84056-1</w:t>
        </w:r>
      </w:hyperlink>
    </w:p>
    <w:p w14:paraId="4BE7244F" w14:textId="77777777" w:rsidR="00F63F9E" w:rsidRPr="006107DB" w:rsidRDefault="00F63F9E" w:rsidP="00F63F9E">
      <w:pPr>
        <w:spacing w:line="240" w:lineRule="auto"/>
        <w:rPr>
          <w:rFonts w:ascii="Arial" w:hAnsi="Arial" w:cs="Arial"/>
        </w:rPr>
      </w:pPr>
      <w:r w:rsidRPr="006107DB">
        <w:rPr>
          <w:rFonts w:ascii="Arial" w:hAnsi="Arial" w:cs="Arial"/>
          <w:sz w:val="20"/>
          <w:szCs w:val="20"/>
        </w:rPr>
        <w:t xml:space="preserve">Nasiru, S., &amp; Luguterah, A. (2015). The new Weibull–Pareto distribution. </w:t>
      </w:r>
      <w:r w:rsidRPr="006107DB">
        <w:rPr>
          <w:rFonts w:ascii="Arial" w:hAnsi="Arial" w:cs="Arial"/>
          <w:i/>
          <w:iCs/>
          <w:sz w:val="20"/>
          <w:szCs w:val="20"/>
        </w:rPr>
        <w:t xml:space="preserve">Pakistan Journal of Statistics </w:t>
      </w:r>
      <w:r w:rsidRPr="006107DB">
        <w:rPr>
          <w:rFonts w:ascii="Arial" w:hAnsi="Arial" w:cs="Arial"/>
          <w:i/>
          <w:iCs/>
          <w:sz w:val="20"/>
          <w:szCs w:val="20"/>
        </w:rPr>
        <w:br/>
        <w:t xml:space="preserve">          and Operation Research, 11</w:t>
      </w:r>
      <w:r w:rsidRPr="006107DB">
        <w:rPr>
          <w:rFonts w:ascii="Arial" w:hAnsi="Arial" w:cs="Arial"/>
          <w:sz w:val="20"/>
          <w:szCs w:val="20"/>
        </w:rPr>
        <w:t xml:space="preserve">(1), 103–122. </w:t>
      </w:r>
      <w:hyperlink r:id="rId22" w:tgtFrame="_new" w:history="1">
        <w:r w:rsidRPr="006107DB">
          <w:rPr>
            <w:rStyle w:val="Hyperlink"/>
            <w:rFonts w:ascii="Arial" w:hAnsi="Arial" w:cs="Arial"/>
            <w:sz w:val="20"/>
            <w:szCs w:val="20"/>
          </w:rPr>
          <w:t>https://doi.org/10.18187/pjsor.v11i1.863</w:t>
        </w:r>
      </w:hyperlink>
    </w:p>
    <w:p w14:paraId="2633ADDF" w14:textId="3157F88A" w:rsidR="00FE22AA" w:rsidRPr="006107DB" w:rsidRDefault="00FE22AA" w:rsidP="00FE22AA">
      <w:pPr>
        <w:pStyle w:val="ListBullet"/>
        <w:numPr>
          <w:ilvl w:val="0"/>
          <w:numId w:val="0"/>
        </w:numPr>
        <w:rPr>
          <w:rFonts w:ascii="Arial" w:eastAsia="Times New Roman" w:hAnsi="Arial" w:cs="Arial"/>
          <w:sz w:val="20"/>
          <w:szCs w:val="20"/>
          <w:lang w:val="en-NG"/>
        </w:rPr>
      </w:pPr>
      <w:r w:rsidRPr="006107DB">
        <w:rPr>
          <w:rFonts w:ascii="Arial" w:eastAsia="Times New Roman" w:hAnsi="Arial" w:cs="Arial"/>
          <w:sz w:val="20"/>
          <w:szCs w:val="20"/>
          <w:lang w:val="en-NG"/>
        </w:rPr>
        <w:t xml:space="preserve">Null, S., </w:t>
      </w:r>
      <w:r w:rsidR="006107DB">
        <w:rPr>
          <w:rFonts w:ascii="Arial" w:eastAsia="Times New Roman" w:hAnsi="Arial" w:cs="Arial"/>
          <w:sz w:val="20"/>
          <w:szCs w:val="20"/>
          <w:lang w:val="en-NG"/>
        </w:rPr>
        <w:t>&amp;</w:t>
      </w:r>
      <w:r w:rsidRPr="006107DB">
        <w:rPr>
          <w:rFonts w:ascii="Arial" w:eastAsia="Times New Roman" w:hAnsi="Arial" w:cs="Arial"/>
          <w:sz w:val="20"/>
          <w:szCs w:val="20"/>
          <w:lang w:val="en-NG"/>
        </w:rPr>
        <w:t xml:space="preserve"> Karim, M. (2025). The Modified Kies-Weibull Distribution: A Flexible Model for Survival </w:t>
      </w:r>
      <w:r w:rsidRPr="006107DB">
        <w:rPr>
          <w:rFonts w:ascii="Arial" w:eastAsia="Times New Roman" w:hAnsi="Arial" w:cs="Arial"/>
          <w:sz w:val="20"/>
          <w:szCs w:val="20"/>
          <w:lang w:val="en-NG"/>
        </w:rPr>
        <w:br/>
        <w:t xml:space="preserve">        Analysis. </w:t>
      </w:r>
      <w:r w:rsidRPr="006107DB">
        <w:rPr>
          <w:rFonts w:ascii="Arial" w:eastAsia="Times New Roman" w:hAnsi="Arial" w:cs="Arial"/>
          <w:i/>
          <w:iCs/>
          <w:sz w:val="20"/>
          <w:szCs w:val="20"/>
          <w:lang w:val="en-NG"/>
        </w:rPr>
        <w:t>International Journal of Data Science and Analysis</w:t>
      </w:r>
      <w:r w:rsidRPr="006107DB">
        <w:rPr>
          <w:rFonts w:ascii="Arial" w:eastAsia="Times New Roman" w:hAnsi="Arial" w:cs="Arial"/>
          <w:sz w:val="20"/>
          <w:szCs w:val="20"/>
          <w:lang w:val="en-NG"/>
        </w:rPr>
        <w:t>, </w:t>
      </w:r>
      <w:r w:rsidRPr="006107DB">
        <w:rPr>
          <w:rFonts w:ascii="Arial" w:eastAsia="Times New Roman" w:hAnsi="Arial" w:cs="Arial"/>
          <w:i/>
          <w:iCs/>
          <w:sz w:val="20"/>
          <w:szCs w:val="20"/>
          <w:lang w:val="en-NG"/>
        </w:rPr>
        <w:t>11</w:t>
      </w:r>
      <w:r w:rsidRPr="006107DB">
        <w:rPr>
          <w:rFonts w:ascii="Arial" w:eastAsia="Times New Roman" w:hAnsi="Arial" w:cs="Arial"/>
          <w:sz w:val="20"/>
          <w:szCs w:val="20"/>
          <w:lang w:val="en-NG"/>
        </w:rPr>
        <w:t xml:space="preserve">(1), 6–16. </w:t>
      </w:r>
      <w:r w:rsidRPr="006107DB">
        <w:rPr>
          <w:rFonts w:ascii="Arial" w:eastAsia="Times New Roman" w:hAnsi="Arial" w:cs="Arial"/>
          <w:sz w:val="20"/>
          <w:szCs w:val="20"/>
          <w:lang w:val="en-NG"/>
        </w:rPr>
        <w:br/>
        <w:t xml:space="preserve">        https://doi.org/10.11648/j.ijdsa.20251101.12</w:t>
      </w:r>
    </w:p>
    <w:p w14:paraId="7D68D7CB" w14:textId="66124AC0"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Nweze, N. O., Maijama’a, B., Onwuamaeze, C. U., &amp; Adenomon, M. O. (2026). Parameter estimation </w:t>
      </w:r>
      <w:r w:rsidRPr="006107DB">
        <w:rPr>
          <w:rFonts w:ascii="Arial" w:hAnsi="Arial" w:cs="Arial"/>
          <w:sz w:val="20"/>
          <w:szCs w:val="20"/>
        </w:rPr>
        <w:br/>
        <w:t xml:space="preserve">          in autoregressive models with transmuted exponential</w:t>
      </w:r>
      <w:r w:rsidR="00FE22AA" w:rsidRPr="006107DB">
        <w:rPr>
          <w:rFonts w:ascii="Arial" w:hAnsi="Arial" w:cs="Arial"/>
          <w:sz w:val="20"/>
          <w:szCs w:val="20"/>
        </w:rPr>
        <w:t>-</w:t>
      </w:r>
      <w:r w:rsidRPr="006107DB">
        <w:rPr>
          <w:rFonts w:ascii="Arial" w:hAnsi="Arial" w:cs="Arial"/>
          <w:sz w:val="20"/>
          <w:szCs w:val="20"/>
        </w:rPr>
        <w:t xml:space="preserve">new Weibull Pareto error distribution </w:t>
      </w:r>
      <w:r w:rsidRPr="006107DB">
        <w:rPr>
          <w:rFonts w:ascii="Arial" w:hAnsi="Arial" w:cs="Arial"/>
          <w:sz w:val="20"/>
          <w:szCs w:val="20"/>
        </w:rPr>
        <w:br/>
        <w:t xml:space="preserve">          using EM algorithm. </w:t>
      </w:r>
      <w:r w:rsidRPr="006107DB">
        <w:rPr>
          <w:rFonts w:ascii="Arial" w:hAnsi="Arial" w:cs="Arial"/>
          <w:i/>
          <w:iCs/>
          <w:sz w:val="20"/>
          <w:szCs w:val="20"/>
        </w:rPr>
        <w:t>International Journal of Applied Science and Mathematical Theory, 12</w:t>
      </w:r>
      <w:r w:rsidRPr="006107DB">
        <w:rPr>
          <w:rFonts w:ascii="Arial" w:hAnsi="Arial" w:cs="Arial"/>
          <w:sz w:val="20"/>
          <w:szCs w:val="20"/>
        </w:rPr>
        <w:t xml:space="preserve">(1), </w:t>
      </w:r>
      <w:r w:rsidRPr="006107DB">
        <w:rPr>
          <w:rFonts w:ascii="Arial" w:hAnsi="Arial" w:cs="Arial"/>
          <w:sz w:val="20"/>
          <w:szCs w:val="20"/>
        </w:rPr>
        <w:br/>
        <w:t xml:space="preserve">          65–76. </w:t>
      </w:r>
      <w:hyperlink r:id="rId23" w:history="1">
        <w:r w:rsidR="008E0D1F" w:rsidRPr="006107DB">
          <w:rPr>
            <w:rStyle w:val="Hyperlink"/>
            <w:rFonts w:ascii="Arial" w:hAnsi="Arial" w:cs="Arial"/>
            <w:sz w:val="20"/>
            <w:szCs w:val="20"/>
          </w:rPr>
          <w:t>https://doi.org/10.56201/ijasmt.vol.12.no1.2026pg65.76</w:t>
        </w:r>
      </w:hyperlink>
    </w:p>
    <w:p w14:paraId="777869AC" w14:textId="412677B9" w:rsidR="00FE22AA" w:rsidRPr="006107DB" w:rsidRDefault="00FE22AA" w:rsidP="00FE22AA">
      <w:pPr>
        <w:pStyle w:val="ListBullet"/>
        <w:numPr>
          <w:ilvl w:val="0"/>
          <w:numId w:val="0"/>
        </w:numPr>
        <w:rPr>
          <w:rFonts w:ascii="Arial" w:eastAsia="Times New Roman" w:hAnsi="Arial" w:cs="Arial"/>
          <w:sz w:val="20"/>
          <w:szCs w:val="20"/>
          <w:lang w:val="en-NG"/>
        </w:rPr>
      </w:pPr>
      <w:r w:rsidRPr="006107DB">
        <w:rPr>
          <w:rFonts w:ascii="Arial" w:eastAsia="Times New Roman" w:hAnsi="Arial" w:cs="Arial"/>
          <w:sz w:val="20"/>
          <w:szCs w:val="20"/>
          <w:lang w:val="en-NG"/>
        </w:rPr>
        <w:t xml:space="preserve">Rahmouni, M., </w:t>
      </w:r>
      <w:r w:rsidR="006107DB">
        <w:rPr>
          <w:rFonts w:ascii="Arial" w:eastAsia="Times New Roman" w:hAnsi="Arial" w:cs="Arial"/>
          <w:sz w:val="20"/>
          <w:szCs w:val="20"/>
          <w:lang w:val="en-NG"/>
        </w:rPr>
        <w:t>&amp;</w:t>
      </w:r>
      <w:r w:rsidRPr="006107DB">
        <w:rPr>
          <w:rFonts w:ascii="Arial" w:eastAsia="Times New Roman" w:hAnsi="Arial" w:cs="Arial"/>
          <w:sz w:val="20"/>
          <w:szCs w:val="20"/>
          <w:lang w:val="en-NG"/>
        </w:rPr>
        <w:t xml:space="preserve"> Ziedan, D. (2025). The Weibull-generalized shifted geometric distribution: </w:t>
      </w:r>
      <w:r w:rsidRPr="006107DB">
        <w:rPr>
          <w:rFonts w:ascii="Arial" w:eastAsia="Times New Roman" w:hAnsi="Arial" w:cs="Arial"/>
          <w:sz w:val="20"/>
          <w:szCs w:val="20"/>
          <w:lang w:val="en-NG"/>
        </w:rPr>
        <w:br/>
        <w:t xml:space="preserve">           properties, estimation, and applications. </w:t>
      </w:r>
      <w:r w:rsidRPr="006107DB">
        <w:rPr>
          <w:rFonts w:ascii="Arial" w:eastAsia="Times New Roman" w:hAnsi="Arial" w:cs="Arial"/>
          <w:i/>
          <w:iCs/>
          <w:sz w:val="20"/>
          <w:szCs w:val="20"/>
          <w:lang w:val="en-NG"/>
        </w:rPr>
        <w:t>AIMS Mathematics</w:t>
      </w:r>
      <w:r w:rsidRPr="006107DB">
        <w:rPr>
          <w:rFonts w:ascii="Arial" w:eastAsia="Times New Roman" w:hAnsi="Arial" w:cs="Arial"/>
          <w:sz w:val="20"/>
          <w:szCs w:val="20"/>
          <w:lang w:val="en-NG"/>
        </w:rPr>
        <w:t>, </w:t>
      </w:r>
      <w:r w:rsidRPr="006107DB">
        <w:rPr>
          <w:rFonts w:ascii="Arial" w:eastAsia="Times New Roman" w:hAnsi="Arial" w:cs="Arial"/>
          <w:i/>
          <w:iCs/>
          <w:sz w:val="20"/>
          <w:szCs w:val="20"/>
          <w:lang w:val="en-NG"/>
        </w:rPr>
        <w:t>10</w:t>
      </w:r>
      <w:r w:rsidRPr="006107DB">
        <w:rPr>
          <w:rFonts w:ascii="Arial" w:eastAsia="Times New Roman" w:hAnsi="Arial" w:cs="Arial"/>
          <w:sz w:val="20"/>
          <w:szCs w:val="20"/>
          <w:lang w:val="en-NG"/>
        </w:rPr>
        <w:t xml:space="preserve">(4), 9773–9804. </w:t>
      </w:r>
      <w:r w:rsidRPr="006107DB">
        <w:rPr>
          <w:rFonts w:ascii="Arial" w:eastAsia="Times New Roman" w:hAnsi="Arial" w:cs="Arial"/>
          <w:sz w:val="20"/>
          <w:szCs w:val="20"/>
          <w:lang w:val="en-NG"/>
        </w:rPr>
        <w:br/>
        <w:t xml:space="preserve">           </w:t>
      </w:r>
      <w:hyperlink r:id="rId24" w:history="1">
        <w:r w:rsidRPr="006107DB">
          <w:rPr>
            <w:rStyle w:val="Hyperlink"/>
            <w:rFonts w:ascii="Arial" w:eastAsia="Times New Roman" w:hAnsi="Arial" w:cs="Arial"/>
            <w:sz w:val="20"/>
            <w:szCs w:val="20"/>
            <w:lang w:val="en-NG"/>
          </w:rPr>
          <w:t>https://doi.org/10.3934/math.2025448</w:t>
        </w:r>
      </w:hyperlink>
    </w:p>
    <w:p w14:paraId="2BA9186D" w14:textId="5BF6562F" w:rsidR="008E0D1F" w:rsidRPr="006107DB" w:rsidRDefault="008E0D1F" w:rsidP="00F63F9E">
      <w:pPr>
        <w:spacing w:line="240" w:lineRule="auto"/>
        <w:rPr>
          <w:rFonts w:ascii="Arial" w:hAnsi="Arial" w:cs="Arial"/>
          <w:sz w:val="20"/>
          <w:szCs w:val="20"/>
        </w:rPr>
      </w:pPr>
      <w:proofErr w:type="spellStart"/>
      <w:r w:rsidRPr="006107DB">
        <w:rPr>
          <w:rFonts w:ascii="Arial" w:hAnsi="Arial" w:cs="Arial"/>
          <w:sz w:val="20"/>
          <w:szCs w:val="20"/>
          <w:lang w:val="en-NG"/>
        </w:rPr>
        <w:t>Saileshwari</w:t>
      </w:r>
      <w:proofErr w:type="spellEnd"/>
      <w:r w:rsidRPr="006107DB">
        <w:rPr>
          <w:rFonts w:ascii="Arial" w:hAnsi="Arial" w:cs="Arial"/>
          <w:sz w:val="20"/>
          <w:szCs w:val="20"/>
          <w:lang w:val="en-NG"/>
        </w:rPr>
        <w:t xml:space="preserve">, M., </w:t>
      </w:r>
      <w:proofErr w:type="spellStart"/>
      <w:r w:rsidRPr="006107DB">
        <w:rPr>
          <w:rFonts w:ascii="Arial" w:hAnsi="Arial" w:cs="Arial"/>
          <w:sz w:val="20"/>
          <w:szCs w:val="20"/>
          <w:lang w:val="en-NG"/>
        </w:rPr>
        <w:t>Moharana</w:t>
      </w:r>
      <w:proofErr w:type="spellEnd"/>
      <w:r w:rsidRPr="006107DB">
        <w:rPr>
          <w:rFonts w:ascii="Arial" w:hAnsi="Arial" w:cs="Arial"/>
          <w:sz w:val="20"/>
          <w:szCs w:val="20"/>
          <w:lang w:val="en-NG"/>
        </w:rPr>
        <w:t xml:space="preserve">, R., &amp; Maiti, K. (2025). The transmuted </w:t>
      </w:r>
      <w:proofErr w:type="spellStart"/>
      <w:r w:rsidRPr="006107DB">
        <w:rPr>
          <w:rFonts w:ascii="Arial" w:hAnsi="Arial" w:cs="Arial"/>
          <w:sz w:val="20"/>
          <w:szCs w:val="20"/>
          <w:lang w:val="en-NG"/>
        </w:rPr>
        <w:t>XLindley</w:t>
      </w:r>
      <w:proofErr w:type="spellEnd"/>
      <w:r w:rsidRPr="006107DB">
        <w:rPr>
          <w:rFonts w:ascii="Arial" w:hAnsi="Arial" w:cs="Arial"/>
          <w:sz w:val="20"/>
          <w:szCs w:val="20"/>
          <w:lang w:val="en-NG"/>
        </w:rPr>
        <w:t xml:space="preserve"> distribution: Properties </w:t>
      </w:r>
      <w:r w:rsidRPr="006107DB">
        <w:rPr>
          <w:rFonts w:ascii="Arial" w:hAnsi="Arial" w:cs="Arial"/>
          <w:sz w:val="20"/>
          <w:szCs w:val="20"/>
          <w:lang w:val="en-NG"/>
        </w:rPr>
        <w:br/>
        <w:t xml:space="preserve">             and estimation with biomedical survival applications. </w:t>
      </w:r>
      <w:r w:rsidRPr="006107DB">
        <w:rPr>
          <w:rFonts w:ascii="Arial" w:hAnsi="Arial" w:cs="Arial"/>
          <w:i/>
          <w:iCs/>
          <w:sz w:val="20"/>
          <w:szCs w:val="20"/>
          <w:lang w:val="en-NG"/>
        </w:rPr>
        <w:t>Results in Engineering</w:t>
      </w:r>
      <w:r w:rsidRPr="006107DB">
        <w:rPr>
          <w:rFonts w:ascii="Arial" w:hAnsi="Arial" w:cs="Arial"/>
          <w:sz w:val="20"/>
          <w:szCs w:val="20"/>
          <w:lang w:val="en-NG"/>
        </w:rPr>
        <w:t>, </w:t>
      </w:r>
      <w:r w:rsidRPr="006107DB">
        <w:rPr>
          <w:rFonts w:ascii="Arial" w:hAnsi="Arial" w:cs="Arial"/>
          <w:i/>
          <w:iCs/>
          <w:sz w:val="20"/>
          <w:szCs w:val="20"/>
          <w:lang w:val="en-NG"/>
        </w:rPr>
        <w:t>28</w:t>
      </w:r>
      <w:r w:rsidRPr="006107DB">
        <w:rPr>
          <w:rFonts w:ascii="Arial" w:hAnsi="Arial" w:cs="Arial"/>
          <w:sz w:val="20"/>
          <w:szCs w:val="20"/>
          <w:lang w:val="en-NG"/>
        </w:rPr>
        <w:t xml:space="preserve">, 108077. </w:t>
      </w:r>
      <w:r w:rsidRPr="006107DB">
        <w:rPr>
          <w:rFonts w:ascii="Arial" w:hAnsi="Arial" w:cs="Arial"/>
          <w:sz w:val="20"/>
          <w:szCs w:val="20"/>
          <w:lang w:val="en-NG"/>
        </w:rPr>
        <w:br/>
        <w:t xml:space="preserve">             </w:t>
      </w:r>
      <w:hyperlink r:id="rId25" w:history="1">
        <w:r w:rsidRPr="006107DB">
          <w:rPr>
            <w:rStyle w:val="Hyperlink"/>
            <w:rFonts w:ascii="Arial" w:hAnsi="Arial" w:cs="Arial"/>
            <w:sz w:val="20"/>
            <w:szCs w:val="20"/>
            <w:lang w:val="en-NG"/>
          </w:rPr>
          <w:t>https://doi.org/10.1016/j.rineng.2025.108077</w:t>
        </w:r>
      </w:hyperlink>
    </w:p>
    <w:p w14:paraId="3A2B7292"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Shaw, W. T., &amp; Buckley, I. R. (2007). The alchemy of probability distributions. </w:t>
      </w:r>
      <w:r w:rsidRPr="006107DB">
        <w:rPr>
          <w:rFonts w:ascii="Arial" w:hAnsi="Arial" w:cs="Arial"/>
          <w:i/>
          <w:iCs/>
          <w:sz w:val="20"/>
          <w:szCs w:val="20"/>
        </w:rPr>
        <w:t xml:space="preserve">International </w:t>
      </w:r>
      <w:r w:rsidRPr="006107DB">
        <w:rPr>
          <w:rFonts w:ascii="Arial" w:hAnsi="Arial" w:cs="Arial"/>
          <w:i/>
          <w:iCs/>
          <w:sz w:val="20"/>
          <w:szCs w:val="20"/>
        </w:rPr>
        <w:br/>
        <w:t xml:space="preserve">          Conference Proceedings, 7</w:t>
      </w:r>
      <w:r w:rsidRPr="006107DB">
        <w:rPr>
          <w:rFonts w:ascii="Arial" w:hAnsi="Arial" w:cs="Arial"/>
          <w:sz w:val="20"/>
          <w:szCs w:val="20"/>
        </w:rPr>
        <w:t>(64), 1–28.</w:t>
      </w:r>
    </w:p>
    <w:p w14:paraId="4D178FD0" w14:textId="6ABD349B" w:rsidR="00586ED5" w:rsidRPr="006107DB" w:rsidRDefault="00586ED5" w:rsidP="00586ED5">
      <w:pPr>
        <w:pStyle w:val="ListBullet"/>
        <w:numPr>
          <w:ilvl w:val="0"/>
          <w:numId w:val="0"/>
        </w:numPr>
        <w:rPr>
          <w:rFonts w:ascii="Arial" w:eastAsia="Times New Roman" w:hAnsi="Arial" w:cs="Arial"/>
          <w:sz w:val="20"/>
          <w:szCs w:val="20"/>
        </w:rPr>
      </w:pPr>
      <w:proofErr w:type="spellStart"/>
      <w:r w:rsidRPr="006107DB">
        <w:rPr>
          <w:rFonts w:ascii="Arial" w:eastAsia="Times New Roman" w:hAnsi="Arial" w:cs="Arial"/>
          <w:sz w:val="20"/>
          <w:szCs w:val="20"/>
        </w:rPr>
        <w:lastRenderedPageBreak/>
        <w:t>Shiha</w:t>
      </w:r>
      <w:proofErr w:type="spellEnd"/>
      <w:r w:rsidRPr="006107DB">
        <w:rPr>
          <w:rFonts w:ascii="Arial" w:eastAsia="Times New Roman" w:hAnsi="Arial" w:cs="Arial"/>
          <w:sz w:val="20"/>
          <w:szCs w:val="20"/>
        </w:rPr>
        <w:t xml:space="preserve">, F. A. (2026). </w:t>
      </w:r>
      <w:proofErr w:type="spellStart"/>
      <w:r w:rsidRPr="006107DB">
        <w:rPr>
          <w:rFonts w:ascii="Arial" w:eastAsia="Times New Roman" w:hAnsi="Arial" w:cs="Arial"/>
          <w:i/>
          <w:iCs/>
          <w:sz w:val="20"/>
          <w:szCs w:val="20"/>
        </w:rPr>
        <w:t>Shiha</w:t>
      </w:r>
      <w:proofErr w:type="spellEnd"/>
      <w:r w:rsidRPr="006107DB">
        <w:rPr>
          <w:rFonts w:ascii="Arial" w:eastAsia="Times New Roman" w:hAnsi="Arial" w:cs="Arial"/>
          <w:i/>
          <w:iCs/>
          <w:sz w:val="20"/>
          <w:szCs w:val="20"/>
        </w:rPr>
        <w:t xml:space="preserve"> Distribution: Statistical Properties and Applications to Reliability   </w:t>
      </w:r>
      <w:r w:rsidRPr="006107DB">
        <w:rPr>
          <w:rFonts w:ascii="Arial" w:eastAsia="Times New Roman" w:hAnsi="Arial" w:cs="Arial"/>
          <w:i/>
          <w:iCs/>
          <w:sz w:val="20"/>
          <w:szCs w:val="20"/>
        </w:rPr>
        <w:br/>
        <w:t xml:space="preserve">        Engineering and Environmental Data</w:t>
      </w:r>
      <w:r w:rsidRPr="006107DB">
        <w:rPr>
          <w:rFonts w:ascii="Arial" w:eastAsia="Times New Roman" w:hAnsi="Arial" w:cs="Arial"/>
          <w:sz w:val="20"/>
          <w:szCs w:val="20"/>
        </w:rPr>
        <w:t xml:space="preserve"> (preprint). </w:t>
      </w:r>
      <w:proofErr w:type="spellStart"/>
      <w:r w:rsidRPr="006107DB">
        <w:rPr>
          <w:rFonts w:ascii="Arial" w:eastAsia="Times New Roman" w:hAnsi="Arial" w:cs="Arial"/>
          <w:sz w:val="20"/>
          <w:szCs w:val="20"/>
        </w:rPr>
        <w:t>arXiv</w:t>
      </w:r>
      <w:proofErr w:type="spellEnd"/>
      <w:r w:rsidRPr="006107DB">
        <w:rPr>
          <w:rFonts w:ascii="Arial" w:eastAsia="Times New Roman" w:hAnsi="Arial" w:cs="Arial"/>
          <w:sz w:val="20"/>
          <w:szCs w:val="20"/>
        </w:rPr>
        <w:t xml:space="preserve">. </w:t>
      </w:r>
      <w:hyperlink r:id="rId26" w:history="1">
        <w:r w:rsidRPr="006107DB">
          <w:rPr>
            <w:rStyle w:val="Hyperlink"/>
            <w:rFonts w:ascii="Arial" w:eastAsia="Times New Roman" w:hAnsi="Arial" w:cs="Arial"/>
            <w:sz w:val="20"/>
            <w:szCs w:val="20"/>
          </w:rPr>
          <w:t>https://doi.org/10.48550/arXiv.2602.02875</w:t>
        </w:r>
      </w:hyperlink>
    </w:p>
    <w:p w14:paraId="2FD70D34" w14:textId="77777777"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Vogel, R. M., Papalexiou, S. M., Lamontagne, J. R., &amp; Dolan, F. C. (2024). When heavy tails disrupt </w:t>
      </w:r>
      <w:r w:rsidRPr="006107DB">
        <w:rPr>
          <w:rFonts w:ascii="Arial" w:hAnsi="Arial" w:cs="Arial"/>
          <w:sz w:val="20"/>
          <w:szCs w:val="20"/>
        </w:rPr>
        <w:br/>
        <w:t xml:space="preserve">          statistical inference. </w:t>
      </w:r>
      <w:r w:rsidRPr="006107DB">
        <w:rPr>
          <w:rFonts w:ascii="Arial" w:hAnsi="Arial" w:cs="Arial"/>
          <w:i/>
          <w:iCs/>
          <w:sz w:val="20"/>
          <w:szCs w:val="20"/>
        </w:rPr>
        <w:t>The American Statistician, 79</w:t>
      </w:r>
      <w:r w:rsidRPr="006107DB">
        <w:rPr>
          <w:rFonts w:ascii="Arial" w:hAnsi="Arial" w:cs="Arial"/>
          <w:sz w:val="20"/>
          <w:szCs w:val="20"/>
        </w:rPr>
        <w:t xml:space="preserve">(2), 221–235. </w:t>
      </w:r>
      <w:r w:rsidRPr="006107DB">
        <w:rPr>
          <w:rFonts w:ascii="Arial" w:hAnsi="Arial" w:cs="Arial"/>
          <w:sz w:val="20"/>
          <w:szCs w:val="20"/>
        </w:rPr>
        <w:br/>
        <w:t xml:space="preserve">          </w:t>
      </w:r>
      <w:hyperlink r:id="rId27" w:history="1">
        <w:r w:rsidRPr="006107DB">
          <w:rPr>
            <w:rStyle w:val="Hyperlink"/>
            <w:rFonts w:ascii="Arial" w:hAnsi="Arial" w:cs="Arial"/>
            <w:sz w:val="20"/>
            <w:szCs w:val="20"/>
          </w:rPr>
          <w:t>https://doi.org/10.1080/00031305.2024.2402898</w:t>
        </w:r>
      </w:hyperlink>
    </w:p>
    <w:p w14:paraId="68224646" w14:textId="086C7A13" w:rsidR="00F63F9E" w:rsidRPr="006107DB" w:rsidRDefault="00F63F9E" w:rsidP="00F63F9E">
      <w:pPr>
        <w:spacing w:line="240" w:lineRule="auto"/>
        <w:rPr>
          <w:rFonts w:ascii="Arial" w:hAnsi="Arial" w:cs="Arial"/>
          <w:sz w:val="20"/>
          <w:szCs w:val="20"/>
        </w:rPr>
      </w:pPr>
      <w:r w:rsidRPr="006107DB">
        <w:rPr>
          <w:rFonts w:ascii="Arial" w:hAnsi="Arial" w:cs="Arial"/>
          <w:sz w:val="20"/>
          <w:szCs w:val="20"/>
        </w:rPr>
        <w:t xml:space="preserve">Wu, Y.-F., &amp; Hu, J.-Q. (2025). Method of moments estimation for the superposition of square-root </w:t>
      </w:r>
      <w:r w:rsidRPr="006107DB">
        <w:rPr>
          <w:rFonts w:ascii="Arial" w:hAnsi="Arial" w:cs="Arial"/>
          <w:sz w:val="20"/>
          <w:szCs w:val="20"/>
        </w:rPr>
        <w:br/>
        <w:t xml:space="preserve">          diffusions. </w:t>
      </w:r>
      <w:r w:rsidRPr="006107DB">
        <w:rPr>
          <w:rFonts w:ascii="Arial" w:hAnsi="Arial" w:cs="Arial"/>
          <w:i/>
          <w:iCs/>
          <w:sz w:val="20"/>
          <w:szCs w:val="20"/>
        </w:rPr>
        <w:t>Probability in the Engineering and Informational Sciences, 39</w:t>
      </w:r>
      <w:r w:rsidRPr="006107DB">
        <w:rPr>
          <w:rFonts w:ascii="Arial" w:hAnsi="Arial" w:cs="Arial"/>
          <w:sz w:val="20"/>
          <w:szCs w:val="20"/>
        </w:rPr>
        <w:t xml:space="preserve">(1), 23–43. </w:t>
      </w:r>
      <w:r w:rsidRPr="006107DB">
        <w:rPr>
          <w:rFonts w:ascii="Arial" w:hAnsi="Arial" w:cs="Arial"/>
          <w:sz w:val="20"/>
          <w:szCs w:val="20"/>
        </w:rPr>
        <w:br/>
        <w:t xml:space="preserve">          </w:t>
      </w:r>
      <w:hyperlink r:id="rId28" w:history="1">
        <w:r w:rsidR="00BD6411" w:rsidRPr="006107DB">
          <w:rPr>
            <w:rStyle w:val="Hyperlink"/>
            <w:rFonts w:ascii="Arial" w:hAnsi="Arial" w:cs="Arial"/>
            <w:sz w:val="20"/>
            <w:szCs w:val="20"/>
          </w:rPr>
          <w:t>https://doi.org/10.1017/S0269964824000147</w:t>
        </w:r>
      </w:hyperlink>
    </w:p>
    <w:p w14:paraId="02B05D5F" w14:textId="60951D8D" w:rsidR="00BD6411" w:rsidRPr="006107DB" w:rsidRDefault="00BD6411" w:rsidP="00BD6411">
      <w:pPr>
        <w:pStyle w:val="ListBullet"/>
        <w:numPr>
          <w:ilvl w:val="0"/>
          <w:numId w:val="0"/>
        </w:numPr>
        <w:jc w:val="both"/>
        <w:rPr>
          <w:rFonts w:ascii="Arial" w:eastAsia="Times New Roman" w:hAnsi="Arial" w:cs="Arial"/>
          <w:sz w:val="20"/>
          <w:szCs w:val="20"/>
          <w:lang w:val="en-NG"/>
        </w:rPr>
      </w:pPr>
      <w:r w:rsidRPr="006107DB">
        <w:rPr>
          <w:rFonts w:ascii="Arial" w:eastAsia="Times New Roman" w:hAnsi="Arial" w:cs="Arial"/>
          <w:sz w:val="20"/>
          <w:szCs w:val="20"/>
          <w:lang w:val="en-NG"/>
        </w:rPr>
        <w:t xml:space="preserve">Yadav, A. S., Kumar, D., Kumar, P., Singh, S. K., &amp; Singh, U. (2020). A New Transmuted Lifetime </w:t>
      </w:r>
      <w:r w:rsidRPr="006107DB">
        <w:rPr>
          <w:rFonts w:ascii="Arial" w:eastAsia="Times New Roman" w:hAnsi="Arial" w:cs="Arial"/>
          <w:sz w:val="20"/>
          <w:szCs w:val="20"/>
          <w:lang w:val="en-NG"/>
        </w:rPr>
        <w:br/>
        <w:t xml:space="preserve">          Distribution: Statistical Properties and Application to Survival Data. </w:t>
      </w:r>
      <w:r w:rsidRPr="006107DB">
        <w:rPr>
          <w:rFonts w:ascii="Arial" w:eastAsia="Times New Roman" w:hAnsi="Arial" w:cs="Arial"/>
          <w:i/>
          <w:iCs/>
          <w:sz w:val="20"/>
          <w:szCs w:val="20"/>
          <w:lang w:val="en-NG"/>
        </w:rPr>
        <w:t xml:space="preserve">Journal of Scientific </w:t>
      </w:r>
      <w:r w:rsidRPr="006107DB">
        <w:rPr>
          <w:rFonts w:ascii="Arial" w:eastAsia="Times New Roman" w:hAnsi="Arial" w:cs="Arial"/>
          <w:i/>
          <w:iCs/>
          <w:sz w:val="20"/>
          <w:szCs w:val="20"/>
          <w:lang w:val="en-NG"/>
        </w:rPr>
        <w:br/>
        <w:t xml:space="preserve">          Research</w:t>
      </w:r>
      <w:r w:rsidRPr="006107DB">
        <w:rPr>
          <w:rFonts w:ascii="Arial" w:eastAsia="Times New Roman" w:hAnsi="Arial" w:cs="Arial"/>
          <w:sz w:val="20"/>
          <w:szCs w:val="20"/>
          <w:lang w:val="en-NG"/>
        </w:rPr>
        <w:t>, </w:t>
      </w:r>
      <w:r w:rsidRPr="006107DB">
        <w:rPr>
          <w:rFonts w:ascii="Arial" w:eastAsia="Times New Roman" w:hAnsi="Arial" w:cs="Arial"/>
          <w:i/>
          <w:iCs/>
          <w:sz w:val="20"/>
          <w:szCs w:val="20"/>
          <w:lang w:val="en-NG"/>
        </w:rPr>
        <w:t>64</w:t>
      </w:r>
      <w:r w:rsidRPr="006107DB">
        <w:rPr>
          <w:rFonts w:ascii="Arial" w:eastAsia="Times New Roman" w:hAnsi="Arial" w:cs="Arial"/>
          <w:sz w:val="20"/>
          <w:szCs w:val="20"/>
          <w:lang w:val="en-NG"/>
        </w:rPr>
        <w:t>(01), 127–137. https://doi.org/10.37398/jsr.2020.640133</w:t>
      </w:r>
    </w:p>
    <w:p w14:paraId="4619C7B5" w14:textId="77777777" w:rsidR="00BD6411" w:rsidRPr="006107DB" w:rsidRDefault="00BD6411" w:rsidP="00F63F9E">
      <w:pPr>
        <w:spacing w:line="240" w:lineRule="auto"/>
        <w:rPr>
          <w:rFonts w:ascii="Arial" w:hAnsi="Arial" w:cs="Arial"/>
          <w:sz w:val="20"/>
          <w:szCs w:val="20"/>
        </w:rPr>
      </w:pPr>
    </w:p>
    <w:p w14:paraId="05EEE917" w14:textId="77777777" w:rsidR="00F63F9E" w:rsidRPr="006107DB" w:rsidRDefault="00F63F9E" w:rsidP="00F63F9E">
      <w:pPr>
        <w:spacing w:line="240" w:lineRule="auto"/>
        <w:rPr>
          <w:rFonts w:ascii="Arial" w:hAnsi="Arial" w:cs="Arial"/>
          <w:sz w:val="20"/>
          <w:szCs w:val="20"/>
        </w:rPr>
      </w:pPr>
    </w:p>
    <w:p w14:paraId="4641EEBF" w14:textId="77777777" w:rsidR="00802D8F" w:rsidRPr="006107DB" w:rsidRDefault="00802D8F" w:rsidP="00F63F9E">
      <w:pPr>
        <w:spacing w:line="240" w:lineRule="auto"/>
        <w:rPr>
          <w:rFonts w:ascii="Arial" w:hAnsi="Arial" w:cs="Arial"/>
          <w:sz w:val="20"/>
          <w:szCs w:val="20"/>
        </w:rPr>
      </w:pPr>
    </w:p>
    <w:p w14:paraId="471C9F81" w14:textId="4EB05DA7" w:rsidR="00802D8F" w:rsidRPr="006107DB" w:rsidRDefault="00802D8F" w:rsidP="00802D8F">
      <w:pPr>
        <w:spacing w:line="240" w:lineRule="auto"/>
        <w:rPr>
          <w:rFonts w:ascii="Arial" w:hAnsi="Arial" w:cs="Arial"/>
          <w:sz w:val="20"/>
          <w:szCs w:val="20"/>
          <w:lang w:val="en-NG"/>
        </w:rPr>
      </w:pPr>
      <w:r w:rsidRPr="006107DB">
        <w:rPr>
          <w:rFonts w:ascii="Arial" w:hAnsi="Arial" w:cs="Arial"/>
          <w:sz w:val="20"/>
          <w:szCs w:val="20"/>
        </w:rPr>
        <w:t xml:space="preserve">  </w:t>
      </w:r>
      <w:r w:rsidR="00F27C05" w:rsidRPr="006107DB">
        <w:rPr>
          <w:rFonts w:ascii="Arial" w:hAnsi="Arial" w:cs="Arial"/>
          <w:sz w:val="20"/>
          <w:szCs w:val="20"/>
        </w:rPr>
        <w:t xml:space="preserve"> </w:t>
      </w:r>
    </w:p>
    <w:p w14:paraId="6281EE1C" w14:textId="6E1B3C6D" w:rsidR="00A91C46" w:rsidRPr="006107DB" w:rsidRDefault="00A91C46" w:rsidP="00BD6411">
      <w:pPr>
        <w:spacing w:line="240" w:lineRule="auto"/>
        <w:rPr>
          <w:rFonts w:ascii="Arial" w:hAnsi="Arial" w:cs="Arial"/>
          <w:sz w:val="20"/>
          <w:szCs w:val="20"/>
          <w:lang w:val="en-NG"/>
        </w:rPr>
      </w:pPr>
    </w:p>
    <w:p w14:paraId="591683B1" w14:textId="77777777" w:rsidR="00F27C05" w:rsidRPr="006107DB" w:rsidRDefault="00F27C05" w:rsidP="00F63F9E">
      <w:pPr>
        <w:pStyle w:val="ListBullet"/>
        <w:numPr>
          <w:ilvl w:val="0"/>
          <w:numId w:val="0"/>
        </w:numPr>
        <w:rPr>
          <w:rFonts w:ascii="Arial" w:eastAsia="Times New Roman" w:hAnsi="Arial" w:cs="Arial"/>
          <w:b/>
          <w:bCs/>
          <w:sz w:val="24"/>
          <w:szCs w:val="24"/>
        </w:rPr>
      </w:pPr>
    </w:p>
    <w:p w14:paraId="243ADD84" w14:textId="77777777" w:rsidR="00F27C05" w:rsidRPr="006107DB" w:rsidRDefault="00F27C05" w:rsidP="00F63F9E">
      <w:pPr>
        <w:pStyle w:val="ListBullet"/>
        <w:numPr>
          <w:ilvl w:val="0"/>
          <w:numId w:val="0"/>
        </w:numPr>
        <w:rPr>
          <w:rFonts w:ascii="Arial" w:eastAsia="Times New Roman" w:hAnsi="Arial" w:cs="Arial"/>
          <w:b/>
          <w:bCs/>
          <w:sz w:val="24"/>
          <w:szCs w:val="24"/>
        </w:rPr>
      </w:pPr>
    </w:p>
    <w:p w14:paraId="7C94CA64" w14:textId="77777777" w:rsidR="00F27C05" w:rsidRPr="006107DB" w:rsidRDefault="00F27C05" w:rsidP="00F63F9E">
      <w:pPr>
        <w:pStyle w:val="ListBullet"/>
        <w:numPr>
          <w:ilvl w:val="0"/>
          <w:numId w:val="0"/>
        </w:numPr>
        <w:rPr>
          <w:rFonts w:ascii="Arial" w:eastAsia="Times New Roman" w:hAnsi="Arial" w:cs="Arial"/>
          <w:b/>
          <w:bCs/>
          <w:sz w:val="24"/>
          <w:szCs w:val="24"/>
        </w:rPr>
      </w:pPr>
    </w:p>
    <w:p w14:paraId="56C3C732" w14:textId="65BE8EA1" w:rsidR="00F27C05" w:rsidRPr="006107DB" w:rsidRDefault="00F27C05" w:rsidP="00F27C05">
      <w:pPr>
        <w:pStyle w:val="ListBullet"/>
        <w:numPr>
          <w:ilvl w:val="0"/>
          <w:numId w:val="0"/>
        </w:numPr>
        <w:rPr>
          <w:rFonts w:ascii="Arial" w:eastAsia="Times New Roman" w:hAnsi="Arial" w:cs="Arial"/>
          <w:b/>
          <w:bCs/>
          <w:sz w:val="24"/>
          <w:szCs w:val="24"/>
          <w:lang w:val="en-NG"/>
        </w:rPr>
      </w:pPr>
    </w:p>
    <w:p w14:paraId="5E4ECEA9" w14:textId="77777777" w:rsidR="003C1F00" w:rsidRPr="006107DB" w:rsidRDefault="003C1F00" w:rsidP="003C1F00">
      <w:pPr>
        <w:pStyle w:val="ListBullet"/>
        <w:numPr>
          <w:ilvl w:val="0"/>
          <w:numId w:val="0"/>
        </w:numPr>
        <w:rPr>
          <w:rFonts w:ascii="Arial" w:eastAsia="Times New Roman" w:hAnsi="Arial" w:cs="Arial"/>
          <w:b/>
          <w:bCs/>
          <w:sz w:val="24"/>
          <w:szCs w:val="24"/>
          <w:lang w:val="en-NG"/>
        </w:rPr>
      </w:pPr>
    </w:p>
    <w:p w14:paraId="17740D69" w14:textId="77777777" w:rsidR="003C1F00" w:rsidRPr="006107DB" w:rsidRDefault="003C1F00" w:rsidP="00F27C05">
      <w:pPr>
        <w:pStyle w:val="ListBullet"/>
        <w:numPr>
          <w:ilvl w:val="0"/>
          <w:numId w:val="0"/>
        </w:numPr>
        <w:rPr>
          <w:rFonts w:ascii="Arial" w:eastAsia="Times New Roman" w:hAnsi="Arial" w:cs="Arial"/>
          <w:b/>
          <w:bCs/>
          <w:sz w:val="24"/>
          <w:szCs w:val="24"/>
          <w:lang w:val="en-NG"/>
        </w:rPr>
      </w:pPr>
    </w:p>
    <w:p w14:paraId="7D93E31C" w14:textId="77777777" w:rsidR="00F27C05" w:rsidRPr="006107DB" w:rsidRDefault="00F27C05" w:rsidP="00F63F9E">
      <w:pPr>
        <w:pStyle w:val="ListBullet"/>
        <w:numPr>
          <w:ilvl w:val="0"/>
          <w:numId w:val="0"/>
        </w:numPr>
        <w:rPr>
          <w:rFonts w:ascii="Arial" w:eastAsia="Times New Roman" w:hAnsi="Arial" w:cs="Arial"/>
          <w:b/>
          <w:bCs/>
          <w:sz w:val="24"/>
          <w:szCs w:val="24"/>
        </w:rPr>
      </w:pPr>
    </w:p>
    <w:p w14:paraId="124BCC36" w14:textId="77777777" w:rsidR="00F27C05" w:rsidRPr="006107DB" w:rsidRDefault="00F27C05" w:rsidP="00F63F9E">
      <w:pPr>
        <w:pStyle w:val="ListBullet"/>
        <w:numPr>
          <w:ilvl w:val="0"/>
          <w:numId w:val="0"/>
        </w:numPr>
        <w:rPr>
          <w:rFonts w:ascii="Arial" w:eastAsia="Times New Roman" w:hAnsi="Arial" w:cs="Arial"/>
          <w:b/>
          <w:bCs/>
          <w:sz w:val="24"/>
          <w:szCs w:val="24"/>
        </w:rPr>
      </w:pPr>
    </w:p>
    <w:sectPr w:rsidR="00F27C05" w:rsidRPr="006107D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5A40" w14:textId="77777777" w:rsidR="007C7BC4" w:rsidRDefault="007C7BC4" w:rsidP="00444535">
      <w:pPr>
        <w:spacing w:after="0" w:line="240" w:lineRule="auto"/>
      </w:pPr>
      <w:r>
        <w:separator/>
      </w:r>
    </w:p>
  </w:endnote>
  <w:endnote w:type="continuationSeparator" w:id="0">
    <w:p w14:paraId="3DD9F092" w14:textId="77777777" w:rsidR="007C7BC4" w:rsidRDefault="007C7BC4" w:rsidP="0044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213" w14:textId="77777777" w:rsidR="00AF5C2F" w:rsidRDefault="00AF5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FD50" w14:textId="77777777" w:rsidR="00AF5C2F" w:rsidRDefault="00AF5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3321" w14:textId="77777777" w:rsidR="00AF5C2F" w:rsidRDefault="00AF5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D72C" w14:textId="77777777" w:rsidR="007C7BC4" w:rsidRDefault="007C7BC4" w:rsidP="00444535">
      <w:pPr>
        <w:spacing w:after="0" w:line="240" w:lineRule="auto"/>
      </w:pPr>
      <w:r>
        <w:separator/>
      </w:r>
    </w:p>
  </w:footnote>
  <w:footnote w:type="continuationSeparator" w:id="0">
    <w:p w14:paraId="21BA73C1" w14:textId="77777777" w:rsidR="007C7BC4" w:rsidRDefault="007C7BC4" w:rsidP="0044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63A2" w14:textId="32761EBD" w:rsidR="00AF5C2F" w:rsidRDefault="00000000">
    <w:pPr>
      <w:pStyle w:val="Header"/>
    </w:pPr>
    <w:r>
      <w:rPr>
        <w:noProof/>
      </w:rPr>
      <w:pict w14:anchorId="24D8F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2232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931B" w14:textId="1B522B69" w:rsidR="00AF5C2F" w:rsidRDefault="00000000">
    <w:pPr>
      <w:pStyle w:val="Header"/>
    </w:pPr>
    <w:r>
      <w:rPr>
        <w:noProof/>
      </w:rPr>
      <w:pict w14:anchorId="75997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2232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E860" w14:textId="232ABBD0" w:rsidR="00AF5C2F" w:rsidRDefault="00000000">
    <w:pPr>
      <w:pStyle w:val="Header"/>
    </w:pPr>
    <w:r>
      <w:rPr>
        <w:noProof/>
      </w:rPr>
      <w:pict w14:anchorId="5B3BE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2232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A02D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9121C"/>
    <w:multiLevelType w:val="multilevel"/>
    <w:tmpl w:val="C72091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603F10"/>
    <w:multiLevelType w:val="multilevel"/>
    <w:tmpl w:val="F6AE1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77082"/>
    <w:multiLevelType w:val="multilevel"/>
    <w:tmpl w:val="E1A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432F2"/>
    <w:multiLevelType w:val="multilevel"/>
    <w:tmpl w:val="5B7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E51"/>
    <w:multiLevelType w:val="hybridMultilevel"/>
    <w:tmpl w:val="78E8F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2A7B2F"/>
    <w:multiLevelType w:val="multilevel"/>
    <w:tmpl w:val="1EE0F76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D92233"/>
    <w:multiLevelType w:val="multilevel"/>
    <w:tmpl w:val="8DC42FE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0C12E2"/>
    <w:multiLevelType w:val="multilevel"/>
    <w:tmpl w:val="19763E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74C06"/>
    <w:multiLevelType w:val="multilevel"/>
    <w:tmpl w:val="43C420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347E0"/>
    <w:multiLevelType w:val="multilevel"/>
    <w:tmpl w:val="DCE6EF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575929"/>
    <w:multiLevelType w:val="multilevel"/>
    <w:tmpl w:val="7B6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62DF0"/>
    <w:multiLevelType w:val="hybridMultilevel"/>
    <w:tmpl w:val="CF6ABE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C992AFE"/>
    <w:multiLevelType w:val="multilevel"/>
    <w:tmpl w:val="2A08F7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5503CF"/>
    <w:multiLevelType w:val="multilevel"/>
    <w:tmpl w:val="11183C58"/>
    <w:lvl w:ilvl="0">
      <w:start w:val="2"/>
      <w:numFmt w:val="decimal"/>
      <w:lvlText w:val="%1."/>
      <w:lvlJc w:val="left"/>
      <w:pPr>
        <w:ind w:left="720" w:hanging="360"/>
      </w:pPr>
      <w:rPr>
        <w:rFonts w:ascii="Arial" w:eastAsia="Times New Roman" w:hAnsi="Arial" w:cs="Arial" w:hint="default"/>
        <w:sz w:val="20"/>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13F1F"/>
    <w:multiLevelType w:val="multilevel"/>
    <w:tmpl w:val="B68CB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346970">
    <w:abstractNumId w:val="2"/>
  </w:num>
  <w:num w:numId="2" w16cid:durableId="1291126171">
    <w:abstractNumId w:val="10"/>
  </w:num>
  <w:num w:numId="3" w16cid:durableId="864560538">
    <w:abstractNumId w:val="14"/>
  </w:num>
  <w:num w:numId="4" w16cid:durableId="1375546271">
    <w:abstractNumId w:val="15"/>
  </w:num>
  <w:num w:numId="5" w16cid:durableId="1707023463">
    <w:abstractNumId w:val="4"/>
  </w:num>
  <w:num w:numId="6" w16cid:durableId="1581790191">
    <w:abstractNumId w:val="9"/>
  </w:num>
  <w:num w:numId="7" w16cid:durableId="1545799571">
    <w:abstractNumId w:val="1"/>
  </w:num>
  <w:num w:numId="8" w16cid:durableId="1922400115">
    <w:abstractNumId w:val="6"/>
  </w:num>
  <w:num w:numId="9" w16cid:durableId="433525308">
    <w:abstractNumId w:val="7"/>
  </w:num>
  <w:num w:numId="10" w16cid:durableId="2114206190">
    <w:abstractNumId w:val="13"/>
  </w:num>
  <w:num w:numId="11" w16cid:durableId="363870019">
    <w:abstractNumId w:val="8"/>
  </w:num>
  <w:num w:numId="12" w16cid:durableId="1067723667">
    <w:abstractNumId w:val="11"/>
  </w:num>
  <w:num w:numId="13" w16cid:durableId="568005100">
    <w:abstractNumId w:val="5"/>
  </w:num>
  <w:num w:numId="14" w16cid:durableId="244657580">
    <w:abstractNumId w:val="3"/>
  </w:num>
  <w:num w:numId="15" w16cid:durableId="1802838944">
    <w:abstractNumId w:val="0"/>
  </w:num>
  <w:num w:numId="16" w16cid:durableId="199598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5C"/>
    <w:rsid w:val="00012B52"/>
    <w:rsid w:val="0001404D"/>
    <w:rsid w:val="000149F8"/>
    <w:rsid w:val="00027BB7"/>
    <w:rsid w:val="00034F13"/>
    <w:rsid w:val="000431C9"/>
    <w:rsid w:val="00044065"/>
    <w:rsid w:val="000448FC"/>
    <w:rsid w:val="00052C9C"/>
    <w:rsid w:val="00053A15"/>
    <w:rsid w:val="000541EB"/>
    <w:rsid w:val="00070E09"/>
    <w:rsid w:val="00074DC9"/>
    <w:rsid w:val="000771F0"/>
    <w:rsid w:val="00082A93"/>
    <w:rsid w:val="000857FE"/>
    <w:rsid w:val="000930FF"/>
    <w:rsid w:val="000956C5"/>
    <w:rsid w:val="000A298E"/>
    <w:rsid w:val="000B7CD1"/>
    <w:rsid w:val="000C2ECC"/>
    <w:rsid w:val="000C3CE9"/>
    <w:rsid w:val="000C708F"/>
    <w:rsid w:val="000F0837"/>
    <w:rsid w:val="000F18A3"/>
    <w:rsid w:val="001033F7"/>
    <w:rsid w:val="00103DB0"/>
    <w:rsid w:val="00104203"/>
    <w:rsid w:val="00111870"/>
    <w:rsid w:val="00112D2D"/>
    <w:rsid w:val="0011740A"/>
    <w:rsid w:val="00120563"/>
    <w:rsid w:val="00124670"/>
    <w:rsid w:val="00124A5B"/>
    <w:rsid w:val="001274F9"/>
    <w:rsid w:val="001401C8"/>
    <w:rsid w:val="001413C4"/>
    <w:rsid w:val="001458B4"/>
    <w:rsid w:val="00146EDB"/>
    <w:rsid w:val="0015125B"/>
    <w:rsid w:val="00152851"/>
    <w:rsid w:val="00152BC1"/>
    <w:rsid w:val="00155A4D"/>
    <w:rsid w:val="00157985"/>
    <w:rsid w:val="00160F43"/>
    <w:rsid w:val="001612D9"/>
    <w:rsid w:val="00166918"/>
    <w:rsid w:val="001746B2"/>
    <w:rsid w:val="001962B6"/>
    <w:rsid w:val="001A0337"/>
    <w:rsid w:val="001B366C"/>
    <w:rsid w:val="001C53D7"/>
    <w:rsid w:val="001D4C78"/>
    <w:rsid w:val="001D78C1"/>
    <w:rsid w:val="001E010D"/>
    <w:rsid w:val="001E5507"/>
    <w:rsid w:val="001F44B2"/>
    <w:rsid w:val="001F48DA"/>
    <w:rsid w:val="00205885"/>
    <w:rsid w:val="00240D40"/>
    <w:rsid w:val="00243B9B"/>
    <w:rsid w:val="002455D7"/>
    <w:rsid w:val="00271D26"/>
    <w:rsid w:val="00275439"/>
    <w:rsid w:val="00280FC3"/>
    <w:rsid w:val="0029517C"/>
    <w:rsid w:val="002A208A"/>
    <w:rsid w:val="002A7235"/>
    <w:rsid w:val="002B6F70"/>
    <w:rsid w:val="002C4642"/>
    <w:rsid w:val="002F07AE"/>
    <w:rsid w:val="003052FC"/>
    <w:rsid w:val="003112D4"/>
    <w:rsid w:val="00312820"/>
    <w:rsid w:val="00317F24"/>
    <w:rsid w:val="003223FC"/>
    <w:rsid w:val="003268FA"/>
    <w:rsid w:val="00331393"/>
    <w:rsid w:val="00332C3E"/>
    <w:rsid w:val="00332FF3"/>
    <w:rsid w:val="003336E1"/>
    <w:rsid w:val="00335808"/>
    <w:rsid w:val="0035539A"/>
    <w:rsid w:val="003564FB"/>
    <w:rsid w:val="003704D0"/>
    <w:rsid w:val="00370F7F"/>
    <w:rsid w:val="00385586"/>
    <w:rsid w:val="003904D1"/>
    <w:rsid w:val="00391471"/>
    <w:rsid w:val="003A3E3E"/>
    <w:rsid w:val="003B36DD"/>
    <w:rsid w:val="003C1F00"/>
    <w:rsid w:val="003C2053"/>
    <w:rsid w:val="003D718A"/>
    <w:rsid w:val="003D7684"/>
    <w:rsid w:val="003E23B1"/>
    <w:rsid w:val="003E5824"/>
    <w:rsid w:val="003E609C"/>
    <w:rsid w:val="003E6CB1"/>
    <w:rsid w:val="00411E71"/>
    <w:rsid w:val="00411F6F"/>
    <w:rsid w:val="00415B0E"/>
    <w:rsid w:val="004200F0"/>
    <w:rsid w:val="00422BB9"/>
    <w:rsid w:val="00423BD9"/>
    <w:rsid w:val="0043675C"/>
    <w:rsid w:val="00440248"/>
    <w:rsid w:val="00444535"/>
    <w:rsid w:val="00446A2F"/>
    <w:rsid w:val="00446FEE"/>
    <w:rsid w:val="00451F21"/>
    <w:rsid w:val="00453B7D"/>
    <w:rsid w:val="00461122"/>
    <w:rsid w:val="004622E3"/>
    <w:rsid w:val="00470A8B"/>
    <w:rsid w:val="00482BCC"/>
    <w:rsid w:val="004905C8"/>
    <w:rsid w:val="00490ACA"/>
    <w:rsid w:val="004949AF"/>
    <w:rsid w:val="004B12F3"/>
    <w:rsid w:val="004D0A80"/>
    <w:rsid w:val="004D2627"/>
    <w:rsid w:val="004F18F1"/>
    <w:rsid w:val="005075EC"/>
    <w:rsid w:val="00507AA4"/>
    <w:rsid w:val="00507F78"/>
    <w:rsid w:val="00517934"/>
    <w:rsid w:val="00521261"/>
    <w:rsid w:val="0052650F"/>
    <w:rsid w:val="0054460C"/>
    <w:rsid w:val="0055337B"/>
    <w:rsid w:val="00553CBE"/>
    <w:rsid w:val="005542CE"/>
    <w:rsid w:val="00555FC2"/>
    <w:rsid w:val="00561AF2"/>
    <w:rsid w:val="00583035"/>
    <w:rsid w:val="00583745"/>
    <w:rsid w:val="00586ED5"/>
    <w:rsid w:val="00595751"/>
    <w:rsid w:val="005B5C77"/>
    <w:rsid w:val="005B6EB3"/>
    <w:rsid w:val="005C708C"/>
    <w:rsid w:val="005D7924"/>
    <w:rsid w:val="005E4DC4"/>
    <w:rsid w:val="005E5D53"/>
    <w:rsid w:val="0060058C"/>
    <w:rsid w:val="00603C3A"/>
    <w:rsid w:val="006063C5"/>
    <w:rsid w:val="006107DB"/>
    <w:rsid w:val="0061140F"/>
    <w:rsid w:val="00635083"/>
    <w:rsid w:val="00640A89"/>
    <w:rsid w:val="00647EC9"/>
    <w:rsid w:val="00647ECD"/>
    <w:rsid w:val="00652262"/>
    <w:rsid w:val="00656860"/>
    <w:rsid w:val="00665CAE"/>
    <w:rsid w:val="00673EE7"/>
    <w:rsid w:val="00676AE9"/>
    <w:rsid w:val="0068500A"/>
    <w:rsid w:val="00691570"/>
    <w:rsid w:val="006A3302"/>
    <w:rsid w:val="006B4D85"/>
    <w:rsid w:val="006C212F"/>
    <w:rsid w:val="006C4F1F"/>
    <w:rsid w:val="006D43E0"/>
    <w:rsid w:val="006E7F24"/>
    <w:rsid w:val="006E7FAC"/>
    <w:rsid w:val="00701AE9"/>
    <w:rsid w:val="007229CD"/>
    <w:rsid w:val="00732BDB"/>
    <w:rsid w:val="00743C44"/>
    <w:rsid w:val="007464CA"/>
    <w:rsid w:val="00751D9D"/>
    <w:rsid w:val="0075270E"/>
    <w:rsid w:val="00767664"/>
    <w:rsid w:val="007700FA"/>
    <w:rsid w:val="00770655"/>
    <w:rsid w:val="00777086"/>
    <w:rsid w:val="00780DCF"/>
    <w:rsid w:val="007B280B"/>
    <w:rsid w:val="007C0FE4"/>
    <w:rsid w:val="007C6070"/>
    <w:rsid w:val="007C7BC4"/>
    <w:rsid w:val="007D38DA"/>
    <w:rsid w:val="007D664D"/>
    <w:rsid w:val="007D767D"/>
    <w:rsid w:val="007E21A7"/>
    <w:rsid w:val="007F1C08"/>
    <w:rsid w:val="00802D8F"/>
    <w:rsid w:val="00820A6C"/>
    <w:rsid w:val="00820D15"/>
    <w:rsid w:val="00823B30"/>
    <w:rsid w:val="00826069"/>
    <w:rsid w:val="0085121A"/>
    <w:rsid w:val="00851C9D"/>
    <w:rsid w:val="00852421"/>
    <w:rsid w:val="008636BE"/>
    <w:rsid w:val="008701DA"/>
    <w:rsid w:val="00871592"/>
    <w:rsid w:val="0089003A"/>
    <w:rsid w:val="008B6712"/>
    <w:rsid w:val="008C0140"/>
    <w:rsid w:val="008C1517"/>
    <w:rsid w:val="008E0D1F"/>
    <w:rsid w:val="008F25E6"/>
    <w:rsid w:val="008F737C"/>
    <w:rsid w:val="00907686"/>
    <w:rsid w:val="00910906"/>
    <w:rsid w:val="00924A9D"/>
    <w:rsid w:val="0092621C"/>
    <w:rsid w:val="00943689"/>
    <w:rsid w:val="009519E7"/>
    <w:rsid w:val="009564AE"/>
    <w:rsid w:val="00966ED2"/>
    <w:rsid w:val="00971745"/>
    <w:rsid w:val="00973A88"/>
    <w:rsid w:val="00986B3F"/>
    <w:rsid w:val="00993E2D"/>
    <w:rsid w:val="009C300A"/>
    <w:rsid w:val="009C73C4"/>
    <w:rsid w:val="009D1A7F"/>
    <w:rsid w:val="009E7962"/>
    <w:rsid w:val="009F1B20"/>
    <w:rsid w:val="00A0062B"/>
    <w:rsid w:val="00A06E9B"/>
    <w:rsid w:val="00A15E37"/>
    <w:rsid w:val="00A223D3"/>
    <w:rsid w:val="00A2434A"/>
    <w:rsid w:val="00A34DE2"/>
    <w:rsid w:val="00A365E1"/>
    <w:rsid w:val="00A4649A"/>
    <w:rsid w:val="00A5217E"/>
    <w:rsid w:val="00A53F9C"/>
    <w:rsid w:val="00A60BE8"/>
    <w:rsid w:val="00A60E3A"/>
    <w:rsid w:val="00A61AE7"/>
    <w:rsid w:val="00A73D9B"/>
    <w:rsid w:val="00A84EBA"/>
    <w:rsid w:val="00A91C46"/>
    <w:rsid w:val="00A940B7"/>
    <w:rsid w:val="00AB59D7"/>
    <w:rsid w:val="00AD2B7B"/>
    <w:rsid w:val="00AD33AC"/>
    <w:rsid w:val="00AD49C7"/>
    <w:rsid w:val="00AE370B"/>
    <w:rsid w:val="00AF36F5"/>
    <w:rsid w:val="00AF4B4E"/>
    <w:rsid w:val="00AF5C2F"/>
    <w:rsid w:val="00B04174"/>
    <w:rsid w:val="00B21AA1"/>
    <w:rsid w:val="00B51E9F"/>
    <w:rsid w:val="00B521E2"/>
    <w:rsid w:val="00B57563"/>
    <w:rsid w:val="00B6739C"/>
    <w:rsid w:val="00B847B7"/>
    <w:rsid w:val="00B93844"/>
    <w:rsid w:val="00BA377F"/>
    <w:rsid w:val="00BA4A8C"/>
    <w:rsid w:val="00BA5111"/>
    <w:rsid w:val="00BB198E"/>
    <w:rsid w:val="00BB20FC"/>
    <w:rsid w:val="00BB708C"/>
    <w:rsid w:val="00BD2D56"/>
    <w:rsid w:val="00BD6411"/>
    <w:rsid w:val="00BD7196"/>
    <w:rsid w:val="00BE1F6A"/>
    <w:rsid w:val="00C32C79"/>
    <w:rsid w:val="00C36016"/>
    <w:rsid w:val="00C4357E"/>
    <w:rsid w:val="00C45EE4"/>
    <w:rsid w:val="00C63468"/>
    <w:rsid w:val="00C66A47"/>
    <w:rsid w:val="00C815BC"/>
    <w:rsid w:val="00C81D33"/>
    <w:rsid w:val="00C91E5D"/>
    <w:rsid w:val="00C931FF"/>
    <w:rsid w:val="00CA04F1"/>
    <w:rsid w:val="00CA62E0"/>
    <w:rsid w:val="00CB2127"/>
    <w:rsid w:val="00CC2A14"/>
    <w:rsid w:val="00CD17AC"/>
    <w:rsid w:val="00CD5B75"/>
    <w:rsid w:val="00CD6AF5"/>
    <w:rsid w:val="00CE1D11"/>
    <w:rsid w:val="00D11D6B"/>
    <w:rsid w:val="00D156D2"/>
    <w:rsid w:val="00D215B6"/>
    <w:rsid w:val="00D248E2"/>
    <w:rsid w:val="00D2769F"/>
    <w:rsid w:val="00D420D5"/>
    <w:rsid w:val="00D462AC"/>
    <w:rsid w:val="00D51173"/>
    <w:rsid w:val="00D6350C"/>
    <w:rsid w:val="00D66517"/>
    <w:rsid w:val="00D71A7B"/>
    <w:rsid w:val="00D8430B"/>
    <w:rsid w:val="00D87395"/>
    <w:rsid w:val="00D87608"/>
    <w:rsid w:val="00D92FA8"/>
    <w:rsid w:val="00DC34DF"/>
    <w:rsid w:val="00DC3A65"/>
    <w:rsid w:val="00DC6BAF"/>
    <w:rsid w:val="00DD2731"/>
    <w:rsid w:val="00DF7A14"/>
    <w:rsid w:val="00E02641"/>
    <w:rsid w:val="00E22343"/>
    <w:rsid w:val="00E369E0"/>
    <w:rsid w:val="00E41E8E"/>
    <w:rsid w:val="00E557BA"/>
    <w:rsid w:val="00E701B3"/>
    <w:rsid w:val="00E743AB"/>
    <w:rsid w:val="00E923C3"/>
    <w:rsid w:val="00E95DD8"/>
    <w:rsid w:val="00E95F27"/>
    <w:rsid w:val="00EA2B69"/>
    <w:rsid w:val="00EA7239"/>
    <w:rsid w:val="00EB1BAB"/>
    <w:rsid w:val="00ED063B"/>
    <w:rsid w:val="00EF3947"/>
    <w:rsid w:val="00EF3F38"/>
    <w:rsid w:val="00F0088F"/>
    <w:rsid w:val="00F05E4B"/>
    <w:rsid w:val="00F27294"/>
    <w:rsid w:val="00F27C05"/>
    <w:rsid w:val="00F35313"/>
    <w:rsid w:val="00F44A88"/>
    <w:rsid w:val="00F57A2C"/>
    <w:rsid w:val="00F627A5"/>
    <w:rsid w:val="00F62891"/>
    <w:rsid w:val="00F63F9E"/>
    <w:rsid w:val="00F677E3"/>
    <w:rsid w:val="00F74854"/>
    <w:rsid w:val="00F75250"/>
    <w:rsid w:val="00F836FF"/>
    <w:rsid w:val="00F83812"/>
    <w:rsid w:val="00F84898"/>
    <w:rsid w:val="00F95CBA"/>
    <w:rsid w:val="00FA60D6"/>
    <w:rsid w:val="00FB49F3"/>
    <w:rsid w:val="00FC0844"/>
    <w:rsid w:val="00FD3C40"/>
    <w:rsid w:val="00FE22AA"/>
    <w:rsid w:val="00FF1596"/>
    <w:rsid w:val="00FF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41931"/>
  <w15:chartTrackingRefBased/>
  <w15:docId w15:val="{98F85ECF-5EB3-463E-9A5C-7EAB2A46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6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67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367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7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67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67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367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7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75C"/>
    <w:rPr>
      <w:rFonts w:eastAsiaTheme="majorEastAsia" w:cstheme="majorBidi"/>
      <w:color w:val="272727" w:themeColor="text1" w:themeTint="D8"/>
    </w:rPr>
  </w:style>
  <w:style w:type="paragraph" w:styleId="Title">
    <w:name w:val="Title"/>
    <w:basedOn w:val="Normal"/>
    <w:next w:val="Normal"/>
    <w:link w:val="TitleChar"/>
    <w:uiPriority w:val="10"/>
    <w:qFormat/>
    <w:rsid w:val="0043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75C"/>
    <w:pPr>
      <w:spacing w:before="160"/>
      <w:jc w:val="center"/>
    </w:pPr>
    <w:rPr>
      <w:i/>
      <w:iCs/>
      <w:color w:val="404040" w:themeColor="text1" w:themeTint="BF"/>
    </w:rPr>
  </w:style>
  <w:style w:type="character" w:customStyle="1" w:styleId="QuoteChar">
    <w:name w:val="Quote Char"/>
    <w:basedOn w:val="DefaultParagraphFont"/>
    <w:link w:val="Quote"/>
    <w:uiPriority w:val="29"/>
    <w:rsid w:val="0043675C"/>
    <w:rPr>
      <w:i/>
      <w:iCs/>
      <w:color w:val="404040" w:themeColor="text1" w:themeTint="BF"/>
    </w:rPr>
  </w:style>
  <w:style w:type="paragraph" w:styleId="ListParagraph">
    <w:name w:val="List Paragraph"/>
    <w:basedOn w:val="Normal"/>
    <w:uiPriority w:val="34"/>
    <w:qFormat/>
    <w:rsid w:val="0043675C"/>
    <w:pPr>
      <w:ind w:left="720"/>
      <w:contextualSpacing/>
    </w:pPr>
  </w:style>
  <w:style w:type="character" w:styleId="IntenseEmphasis">
    <w:name w:val="Intense Emphasis"/>
    <w:basedOn w:val="DefaultParagraphFont"/>
    <w:uiPriority w:val="21"/>
    <w:qFormat/>
    <w:rsid w:val="0043675C"/>
    <w:rPr>
      <w:i/>
      <w:iCs/>
      <w:color w:val="2F5496" w:themeColor="accent1" w:themeShade="BF"/>
    </w:rPr>
  </w:style>
  <w:style w:type="paragraph" w:styleId="IntenseQuote">
    <w:name w:val="Intense Quote"/>
    <w:basedOn w:val="Normal"/>
    <w:next w:val="Normal"/>
    <w:link w:val="IntenseQuoteChar"/>
    <w:uiPriority w:val="30"/>
    <w:qFormat/>
    <w:rsid w:val="00436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75C"/>
    <w:rPr>
      <w:i/>
      <w:iCs/>
      <w:color w:val="2F5496" w:themeColor="accent1" w:themeShade="BF"/>
    </w:rPr>
  </w:style>
  <w:style w:type="character" w:styleId="IntenseReference">
    <w:name w:val="Intense Reference"/>
    <w:basedOn w:val="DefaultParagraphFont"/>
    <w:uiPriority w:val="32"/>
    <w:qFormat/>
    <w:rsid w:val="0043675C"/>
    <w:rPr>
      <w:b/>
      <w:bCs/>
      <w:smallCaps/>
      <w:color w:val="2F5496" w:themeColor="accent1" w:themeShade="BF"/>
      <w:spacing w:val="5"/>
    </w:rPr>
  </w:style>
  <w:style w:type="paragraph" w:styleId="NormalWeb">
    <w:name w:val="Normal (Web)"/>
    <w:basedOn w:val="Normal"/>
    <w:uiPriority w:val="99"/>
    <w:unhideWhenUsed/>
    <w:rsid w:val="0043675C"/>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katex-mathml">
    <w:name w:val="katex-mathml"/>
    <w:basedOn w:val="DefaultParagraphFont"/>
    <w:rsid w:val="00070E09"/>
  </w:style>
  <w:style w:type="paragraph" w:styleId="Footer">
    <w:name w:val="footer"/>
    <w:basedOn w:val="Normal"/>
    <w:link w:val="FooterChar"/>
    <w:uiPriority w:val="99"/>
    <w:unhideWhenUsed/>
    <w:rsid w:val="00070E09"/>
    <w:pPr>
      <w:tabs>
        <w:tab w:val="center" w:pos="4680"/>
        <w:tab w:val="right" w:pos="9360"/>
      </w:tabs>
      <w:spacing w:after="0" w:line="240" w:lineRule="auto"/>
    </w:pPr>
    <w:rPr>
      <w:lang w:val="en-IN"/>
    </w:rPr>
  </w:style>
  <w:style w:type="character" w:customStyle="1" w:styleId="FooterChar">
    <w:name w:val="Footer Char"/>
    <w:basedOn w:val="DefaultParagraphFont"/>
    <w:link w:val="Footer"/>
    <w:uiPriority w:val="99"/>
    <w:rsid w:val="00070E09"/>
    <w:rPr>
      <w:lang w:val="en-IN"/>
    </w:rPr>
  </w:style>
  <w:style w:type="character" w:styleId="PlaceholderText">
    <w:name w:val="Placeholder Text"/>
    <w:basedOn w:val="DefaultParagraphFont"/>
    <w:uiPriority w:val="99"/>
    <w:semiHidden/>
    <w:rsid w:val="00070E09"/>
    <w:rPr>
      <w:color w:val="666666"/>
    </w:rPr>
  </w:style>
  <w:style w:type="paragraph" w:styleId="Header">
    <w:name w:val="header"/>
    <w:basedOn w:val="Normal"/>
    <w:link w:val="HeaderChar"/>
    <w:uiPriority w:val="99"/>
    <w:unhideWhenUsed/>
    <w:rsid w:val="00444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535"/>
  </w:style>
  <w:style w:type="table" w:styleId="TableGrid">
    <w:name w:val="Table Grid"/>
    <w:basedOn w:val="TableNormal"/>
    <w:uiPriority w:val="39"/>
    <w:rsid w:val="00EA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84"/>
    <w:rPr>
      <w:color w:val="0563C1" w:themeColor="hyperlink"/>
      <w:u w:val="single"/>
    </w:rPr>
  </w:style>
  <w:style w:type="paragraph" w:customStyle="1" w:styleId="Default">
    <w:name w:val="Default"/>
    <w:rsid w:val="008F25E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4357E"/>
    <w:rPr>
      <w:b/>
      <w:bCs/>
    </w:rPr>
  </w:style>
  <w:style w:type="paragraph" w:styleId="ListBullet">
    <w:name w:val="List Bullet"/>
    <w:basedOn w:val="Normal"/>
    <w:uiPriority w:val="99"/>
    <w:unhideWhenUsed/>
    <w:rsid w:val="00453B7D"/>
    <w:pPr>
      <w:numPr>
        <w:numId w:val="15"/>
      </w:numPr>
      <w:tabs>
        <w:tab w:val="clear" w:pos="360"/>
      </w:tabs>
      <w:spacing w:after="200" w:line="276" w:lineRule="auto"/>
      <w:ind w:left="0" w:firstLine="0"/>
      <w:contextualSpacing/>
    </w:pPr>
    <w:rPr>
      <w:rFonts w:eastAsiaTheme="minorEastAsia"/>
    </w:rPr>
  </w:style>
  <w:style w:type="character" w:styleId="FollowedHyperlink">
    <w:name w:val="FollowedHyperlink"/>
    <w:basedOn w:val="DefaultParagraphFont"/>
    <w:uiPriority w:val="99"/>
    <w:semiHidden/>
    <w:unhideWhenUsed/>
    <w:rsid w:val="00C91E5D"/>
    <w:rPr>
      <w:color w:val="954F72" w:themeColor="followedHyperlink"/>
      <w:u w:val="single"/>
    </w:rPr>
  </w:style>
  <w:style w:type="character" w:styleId="UnresolvedMention">
    <w:name w:val="Unresolved Mention"/>
    <w:basedOn w:val="DefaultParagraphFont"/>
    <w:uiPriority w:val="99"/>
    <w:semiHidden/>
    <w:unhideWhenUsed/>
    <w:rsid w:val="00CB2127"/>
    <w:rPr>
      <w:color w:val="605E5C"/>
      <w:shd w:val="clear" w:color="auto" w:fill="E1DFDD"/>
    </w:rPr>
  </w:style>
  <w:style w:type="paragraph" w:styleId="NoSpacing">
    <w:name w:val="No Spacing"/>
    <w:uiPriority w:val="1"/>
    <w:qFormat/>
    <w:rsid w:val="00553CB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2517-6161.1977.tb01600.x" TargetMode="External"/><Relationship Id="rId18" Type="http://schemas.openxmlformats.org/officeDocument/2006/relationships/hyperlink" Target="https://doi.org/10.1080/00949650108812098" TargetMode="External"/><Relationship Id="rId26" Type="http://schemas.openxmlformats.org/officeDocument/2006/relationships/hyperlink" Target="https://doi.org/10.48550/arXiv.2602.02875" TargetMode="External"/><Relationship Id="rId3" Type="http://schemas.openxmlformats.org/officeDocument/2006/relationships/settings" Target="settings.xml"/><Relationship Id="rId21" Type="http://schemas.openxmlformats.org/officeDocument/2006/relationships/hyperlink" Target="https://doi.org/10.1038/s41598-024-84056-1"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111/rssc.12398" TargetMode="External"/><Relationship Id="rId17" Type="http://schemas.openxmlformats.org/officeDocument/2006/relationships/hyperlink" Target="https://doi.org/10.3390/f15030425" TargetMode="External"/><Relationship Id="rId25" Type="http://schemas.openxmlformats.org/officeDocument/2006/relationships/hyperlink" Target="https://doi.org/10.1016/j.rineng.2025.10807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sym17111795" TargetMode="External"/><Relationship Id="rId20" Type="http://schemas.openxmlformats.org/officeDocument/2006/relationships/hyperlink" Target="https://doi.org/10.1038/s41598-024-68843-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ras.2025.102017" TargetMode="External"/><Relationship Id="rId24" Type="http://schemas.openxmlformats.org/officeDocument/2006/relationships/hyperlink" Target="https://doi.org/10.3934/math.202544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98/rsta.1922.0009" TargetMode="External"/><Relationship Id="rId23" Type="http://schemas.openxmlformats.org/officeDocument/2006/relationships/hyperlink" Target="https://doi.org/10.56201/ijasmt.vol.12.no1.2026pg65.76" TargetMode="External"/><Relationship Id="rId28" Type="http://schemas.openxmlformats.org/officeDocument/2006/relationships/hyperlink" Target="https://doi.org/10.1017/S0269964824000147"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3390/math1316269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2572-021-00303-y" TargetMode="External"/><Relationship Id="rId22" Type="http://schemas.openxmlformats.org/officeDocument/2006/relationships/hyperlink" Target="https://doi.org/10.18187/pjsor.v11i1.863" TargetMode="External"/><Relationship Id="rId27" Type="http://schemas.openxmlformats.org/officeDocument/2006/relationships/hyperlink" Target="https://doi.org/10.1080/00031305.2024.240289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15</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75</cp:revision>
  <dcterms:created xsi:type="dcterms:W3CDTF">2026-03-09T15:34:00Z</dcterms:created>
  <dcterms:modified xsi:type="dcterms:W3CDTF">2026-03-11T21:31:00Z</dcterms:modified>
</cp:coreProperties>
</file>