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491E" w14:textId="03F75798" w:rsidR="002458C4" w:rsidRDefault="007111F9" w:rsidP="0027192F">
      <w:pPr>
        <w:spacing w:after="0" w:line="480" w:lineRule="auto"/>
        <w:jc w:val="center"/>
        <w:rPr>
          <w:rFonts w:asciiTheme="majorBidi" w:eastAsia="Times New Roman" w:hAnsiTheme="majorBidi" w:cstheme="majorBidi"/>
          <w:b/>
          <w:sz w:val="24"/>
          <w:szCs w:val="24"/>
        </w:rPr>
      </w:pPr>
      <w:bookmarkStart w:id="0" w:name="_Hlk222580386"/>
      <w:bookmarkStart w:id="1" w:name="Title_2"/>
      <w:r w:rsidRPr="00A36CFE">
        <w:rPr>
          <w:rFonts w:asciiTheme="majorBidi" w:eastAsia="Times New Roman" w:hAnsiTheme="majorBidi" w:cstheme="majorBidi"/>
          <w:b/>
          <w:sz w:val="24"/>
          <w:szCs w:val="24"/>
        </w:rPr>
        <w:t>ROLE OF INDIAN COUNCIL FOR CULTURAL RELATIONS (ICCR)</w:t>
      </w:r>
      <w:r w:rsidR="002F20D4">
        <w:rPr>
          <w:rFonts w:asciiTheme="majorBidi" w:eastAsia="Times New Roman" w:hAnsiTheme="majorBidi" w:cstheme="majorBidi"/>
          <w:b/>
          <w:sz w:val="24"/>
          <w:szCs w:val="24"/>
        </w:rPr>
        <w:t>’</w:t>
      </w:r>
      <w:r w:rsidR="0039438C" w:rsidRPr="00A36CFE">
        <w:rPr>
          <w:rFonts w:asciiTheme="majorBidi" w:hAnsiTheme="majorBidi" w:cstheme="majorBidi"/>
          <w:color w:val="000000" w:themeColor="text1"/>
          <w:sz w:val="24"/>
          <w:szCs w:val="24"/>
        </w:rPr>
        <w:t xml:space="preserve"> </w:t>
      </w:r>
      <w:r w:rsidR="00B36F01">
        <w:rPr>
          <w:rFonts w:asciiTheme="majorBidi" w:hAnsiTheme="majorBidi" w:cstheme="majorBidi"/>
          <w:b/>
          <w:bCs/>
          <w:color w:val="000000" w:themeColor="text1"/>
          <w:sz w:val="24"/>
          <w:szCs w:val="24"/>
        </w:rPr>
        <w:t xml:space="preserve">SOCIO-ECONOMIC </w:t>
      </w:r>
      <w:r w:rsidR="0039438C" w:rsidRPr="00A36CFE">
        <w:rPr>
          <w:rFonts w:asciiTheme="majorBidi" w:hAnsiTheme="majorBidi" w:cstheme="majorBidi"/>
          <w:b/>
          <w:bCs/>
          <w:color w:val="000000" w:themeColor="text1"/>
          <w:sz w:val="24"/>
          <w:szCs w:val="24"/>
        </w:rPr>
        <w:t xml:space="preserve">SCHEME IN </w:t>
      </w:r>
      <w:r w:rsidR="002F20D4">
        <w:rPr>
          <w:rFonts w:asciiTheme="majorBidi" w:hAnsiTheme="majorBidi" w:cstheme="majorBidi"/>
          <w:b/>
          <w:bCs/>
          <w:color w:val="000000" w:themeColor="text1"/>
          <w:sz w:val="24"/>
          <w:szCs w:val="24"/>
        </w:rPr>
        <w:t>ENHANC</w:t>
      </w:r>
      <w:r w:rsidR="0039438C" w:rsidRPr="00A36CFE">
        <w:rPr>
          <w:rFonts w:asciiTheme="majorBidi" w:hAnsiTheme="majorBidi" w:cstheme="majorBidi"/>
          <w:b/>
          <w:bCs/>
          <w:color w:val="000000" w:themeColor="text1"/>
          <w:sz w:val="24"/>
          <w:szCs w:val="24"/>
        </w:rPr>
        <w:t>ING INTERNATIONAL UNDERSTANDING</w:t>
      </w:r>
      <w:bookmarkEnd w:id="0"/>
      <w:r w:rsidR="0039438C" w:rsidRPr="00A36CFE">
        <w:rPr>
          <w:rFonts w:asciiTheme="majorBidi" w:eastAsia="Times New Roman" w:hAnsiTheme="majorBidi" w:cstheme="majorBidi"/>
          <w:b/>
          <w:bCs/>
          <w:sz w:val="24"/>
          <w:szCs w:val="24"/>
        </w:rPr>
        <w:t xml:space="preserve">: </w:t>
      </w:r>
      <w:r w:rsidRPr="00A36CFE">
        <w:rPr>
          <w:rFonts w:asciiTheme="majorBidi" w:eastAsia="Times New Roman" w:hAnsiTheme="majorBidi" w:cstheme="majorBidi"/>
          <w:b/>
          <w:sz w:val="24"/>
          <w:szCs w:val="24"/>
        </w:rPr>
        <w:t>A STUDY AMONG INTERNATIONAL STUDENTS IN INDIA</w:t>
      </w:r>
      <w:r w:rsidR="0039438C" w:rsidRPr="00A36CFE">
        <w:rPr>
          <w:rFonts w:asciiTheme="majorBidi" w:eastAsia="Times New Roman" w:hAnsiTheme="majorBidi" w:cstheme="majorBidi"/>
          <w:b/>
          <w:sz w:val="24"/>
          <w:szCs w:val="24"/>
        </w:rPr>
        <w:t xml:space="preserve"> </w:t>
      </w:r>
    </w:p>
    <w:bookmarkEnd w:id="1"/>
    <w:p w14:paraId="17F8C609" w14:textId="77777777" w:rsidR="00DC0730" w:rsidRPr="00A36CFE" w:rsidRDefault="00DC0730" w:rsidP="00E5306D">
      <w:pPr>
        <w:spacing w:after="0" w:line="360" w:lineRule="auto"/>
        <w:jc w:val="center"/>
        <w:rPr>
          <w:rFonts w:asciiTheme="majorBidi" w:eastAsia="Times New Roman" w:hAnsiTheme="majorBidi" w:cstheme="majorBidi"/>
          <w:sz w:val="24"/>
          <w:szCs w:val="24"/>
          <w:lang w:val="en-CA"/>
        </w:rPr>
      </w:pPr>
    </w:p>
    <w:p w14:paraId="76747336" w14:textId="77777777" w:rsidR="007111F9" w:rsidRDefault="0040242A" w:rsidP="0039438C">
      <w:pPr>
        <w:spacing w:after="0" w:line="480" w:lineRule="auto"/>
        <w:jc w:val="both"/>
        <w:rPr>
          <w:rFonts w:asciiTheme="majorBidi" w:eastAsia="Times New Roman" w:hAnsiTheme="majorBidi" w:cstheme="majorBidi"/>
          <w:b/>
          <w:sz w:val="24"/>
          <w:szCs w:val="24"/>
        </w:rPr>
      </w:pPr>
      <w:r w:rsidRPr="00A36CFE">
        <w:rPr>
          <w:rFonts w:asciiTheme="majorBidi" w:eastAsia="Times New Roman" w:hAnsiTheme="majorBidi" w:cstheme="majorBidi"/>
          <w:b/>
          <w:sz w:val="24"/>
          <w:szCs w:val="24"/>
        </w:rPr>
        <w:t>Abstract</w:t>
      </w:r>
    </w:p>
    <w:p w14:paraId="4DEB0EBE" w14:textId="47B23D88" w:rsidR="00816D1B" w:rsidRPr="00816D1B" w:rsidRDefault="003D351A" w:rsidP="00522B5B">
      <w:pPr>
        <w:spacing w:after="0" w:line="480" w:lineRule="auto"/>
        <w:ind w:firstLine="720"/>
        <w:jc w:val="both"/>
        <w:rPr>
          <w:rFonts w:asciiTheme="majorBidi" w:eastAsia="Times New Roman" w:hAnsiTheme="majorBidi" w:cstheme="majorBidi"/>
          <w:b/>
          <w:sz w:val="24"/>
          <w:szCs w:val="24"/>
        </w:rPr>
      </w:pPr>
      <w:r w:rsidRPr="003D351A">
        <w:rPr>
          <w:rFonts w:asciiTheme="majorBidi" w:hAnsiTheme="majorBidi" w:cstheme="majorBidi"/>
          <w:sz w:val="24"/>
          <w:szCs w:val="24"/>
        </w:rPr>
        <w:t xml:space="preserve">In the contemporary globalized world, international understanding and cross-cultural cooperation </w:t>
      </w:r>
      <w:r>
        <w:rPr>
          <w:rFonts w:asciiTheme="majorBidi" w:hAnsiTheme="majorBidi" w:cstheme="majorBidi"/>
          <w:sz w:val="24"/>
          <w:szCs w:val="24"/>
        </w:rPr>
        <w:t>have become</w:t>
      </w:r>
      <w:r w:rsidRPr="003D351A">
        <w:rPr>
          <w:rFonts w:asciiTheme="majorBidi" w:hAnsiTheme="majorBidi" w:cstheme="majorBidi"/>
          <w:sz w:val="24"/>
          <w:szCs w:val="24"/>
        </w:rPr>
        <w:t xml:space="preserve"> essential for peaceful coexistence among nations. The primary objective of this study was to examine the role of ICCR’s socio-economic schemes in promoting international understanding among international students studying in India. The study aimed to evaluate how ICCR’s support mechanisms, including scholarships, financial assistance, and welfare initiatives, impacted students’ cultural integration, academic experience, and perception of India as a host nation. The researcher employed a mixed-methods approach, adopting a descriptive and explanatory research design to achieve the research objectives. Random sampling was used, and the sample consisted of 373 international students receiving ICCR scholarships in India. The data collection technique employed was a questionnaire, and the data were analyzed and the hypothesis tested using SPSS. The findings demonstrated that the ICCR socio-economic scheme fostered international understanding by providing international students with meaningful cultural exposure, enhancing their intercultural communication skills, and enabling them to appreciate India’s diversity.</w:t>
      </w:r>
      <w:r w:rsidR="00816D1B" w:rsidRPr="00816D1B">
        <w:rPr>
          <w:rFonts w:asciiTheme="majorBidi" w:hAnsiTheme="majorBidi" w:cstheme="majorBidi"/>
          <w:sz w:val="24"/>
          <w:szCs w:val="24"/>
        </w:rPr>
        <w:t xml:space="preserve"> </w:t>
      </w:r>
    </w:p>
    <w:p w14:paraId="0D2925E5" w14:textId="3BE7B293" w:rsidR="001035FD" w:rsidRDefault="001035FD" w:rsidP="001035FD">
      <w:pPr>
        <w:pStyle w:val="NormalWeb"/>
        <w:spacing w:line="480" w:lineRule="auto"/>
        <w:jc w:val="both"/>
      </w:pPr>
      <w:r w:rsidRPr="00A36CFE">
        <w:rPr>
          <w:rStyle w:val="Strong"/>
        </w:rPr>
        <w:t>Keywords:</w:t>
      </w:r>
      <w:r w:rsidRPr="00A36CFE">
        <w:t xml:space="preserve"> </w:t>
      </w:r>
      <w:r w:rsidR="00522B5B" w:rsidRPr="00522B5B">
        <w:t>ICCR</w:t>
      </w:r>
      <w:r w:rsidR="00522B5B">
        <w:t>’s</w:t>
      </w:r>
      <w:r w:rsidR="00522B5B" w:rsidRPr="00522B5B">
        <w:t xml:space="preserve"> Socio-Economic Scheme</w:t>
      </w:r>
      <w:r w:rsidR="00522B5B">
        <w:t>,</w:t>
      </w:r>
      <w:r w:rsidR="00522B5B" w:rsidRPr="00522B5B">
        <w:t xml:space="preserve"> International Students</w:t>
      </w:r>
      <w:r w:rsidR="00522B5B">
        <w:t>,</w:t>
      </w:r>
      <w:r w:rsidR="00522B5B" w:rsidRPr="00522B5B">
        <w:t xml:space="preserve"> International Understanding</w:t>
      </w:r>
      <w:r w:rsidR="00522B5B">
        <w:t>,</w:t>
      </w:r>
      <w:r w:rsidR="00522B5B" w:rsidRPr="00522B5B">
        <w:t xml:space="preserve"> Cultural Diplomacy</w:t>
      </w:r>
      <w:r w:rsidR="00522B5B">
        <w:t>,</w:t>
      </w:r>
      <w:r w:rsidR="00522B5B" w:rsidRPr="00522B5B">
        <w:t xml:space="preserve"> Soft Power</w:t>
      </w:r>
      <w:r w:rsidR="00522B5B">
        <w:t>.</w:t>
      </w:r>
    </w:p>
    <w:p w14:paraId="17E31C0C" w14:textId="77777777" w:rsidR="00192CF6" w:rsidRDefault="00192CF6" w:rsidP="001035FD">
      <w:pPr>
        <w:pStyle w:val="NormalWeb"/>
        <w:spacing w:line="480" w:lineRule="auto"/>
        <w:jc w:val="both"/>
      </w:pPr>
    </w:p>
    <w:p w14:paraId="06E806ED" w14:textId="77777777" w:rsidR="00F67E72" w:rsidRDefault="00F67E72" w:rsidP="001035FD">
      <w:pPr>
        <w:pStyle w:val="NormalWeb"/>
        <w:spacing w:line="480" w:lineRule="auto"/>
        <w:jc w:val="both"/>
      </w:pPr>
    </w:p>
    <w:p w14:paraId="66E7D2F6" w14:textId="77777777" w:rsidR="003D351A" w:rsidRPr="00A36CFE" w:rsidRDefault="003D351A" w:rsidP="001035FD">
      <w:pPr>
        <w:pStyle w:val="NormalWeb"/>
        <w:spacing w:line="480" w:lineRule="auto"/>
        <w:jc w:val="both"/>
      </w:pPr>
    </w:p>
    <w:p w14:paraId="371BBFEC" w14:textId="1C8002C3" w:rsidR="00DC6EF2" w:rsidRPr="00E5306D" w:rsidRDefault="007111F9" w:rsidP="00E5306D">
      <w:pPr>
        <w:pStyle w:val="ListParagraph"/>
        <w:numPr>
          <w:ilvl w:val="0"/>
          <w:numId w:val="8"/>
        </w:numPr>
        <w:spacing w:line="480" w:lineRule="auto"/>
        <w:jc w:val="both"/>
        <w:rPr>
          <w:rFonts w:asciiTheme="majorBidi" w:hAnsiTheme="majorBidi" w:cstheme="majorBidi"/>
          <w:b/>
          <w:bCs/>
          <w:sz w:val="24"/>
          <w:szCs w:val="24"/>
        </w:rPr>
      </w:pPr>
      <w:r w:rsidRPr="00E5306D">
        <w:rPr>
          <w:rFonts w:asciiTheme="majorBidi" w:hAnsiTheme="majorBidi" w:cstheme="majorBidi"/>
          <w:b/>
          <w:bCs/>
          <w:sz w:val="24"/>
          <w:szCs w:val="24"/>
        </w:rPr>
        <w:lastRenderedPageBreak/>
        <w:t>INTRODUCTION:</w:t>
      </w:r>
    </w:p>
    <w:p w14:paraId="5237DF88" w14:textId="77777777" w:rsidR="009F4FC5" w:rsidRDefault="009F4FC5" w:rsidP="009F4FC5">
      <w:pPr>
        <w:pStyle w:val="NormalWeb"/>
        <w:spacing w:line="480" w:lineRule="auto"/>
        <w:ind w:firstLine="720"/>
        <w:jc w:val="both"/>
      </w:pPr>
      <w:r>
        <w:t>In the contemporary era of globalization, international understanding has become a fundamental prerequisite for peaceful coexistence, sustainable development, and cooperative relations among nations. As global mobility in education continues to expand, international students have emerged as key agents of cross-cultural exchange and people-to-people diplomacy. Their academic journeys are shaped not only by classroom learning but also by the socio-economic environment and institutional support they receive in host countries. In this context, educational and socio-economic initiatives aimed at international students play a vital role in fostering mutual respect, cultural harmony, and long-term international goodwill.</w:t>
      </w:r>
    </w:p>
    <w:p w14:paraId="3CD794E6" w14:textId="20B0CE15" w:rsidR="009F4FC5" w:rsidRDefault="00500CD1" w:rsidP="00500CD1">
      <w:pPr>
        <w:pStyle w:val="NormalWeb"/>
        <w:spacing w:line="480" w:lineRule="auto"/>
        <w:ind w:firstLine="720"/>
        <w:jc w:val="both"/>
      </w:pPr>
      <w:r>
        <w:rPr>
          <w:lang w:val="en-US"/>
        </w:rPr>
        <w:t xml:space="preserve">According to </w:t>
      </w:r>
      <w:r w:rsidRPr="00500CD1">
        <w:rPr>
          <w:rFonts w:asciiTheme="majorBidi" w:hAnsiTheme="majorBidi" w:cstheme="majorBidi"/>
          <w:lang w:val="en-US"/>
        </w:rPr>
        <w:t>Kang, H. (2013)</w:t>
      </w:r>
      <w:r>
        <w:rPr>
          <w:rFonts w:asciiTheme="majorBidi" w:hAnsiTheme="majorBidi" w:cstheme="majorBidi"/>
          <w:lang w:val="en-US"/>
        </w:rPr>
        <w:t xml:space="preserve">, </w:t>
      </w:r>
      <w:r w:rsidRPr="00500CD1">
        <w:rPr>
          <w:lang w:val="en-US"/>
        </w:rPr>
        <w:t>Cultural diplomacy is primarily associated with soft power</w:t>
      </w:r>
      <w:r>
        <w:rPr>
          <w:lang w:val="en-US"/>
        </w:rPr>
        <w:t xml:space="preserve">. </w:t>
      </w:r>
      <w:r w:rsidR="009F4FC5">
        <w:t xml:space="preserve">Cultural diplomacy and educational exchange have long been recognized as effective instruments of soft power. Through scholarships, academic collaborations, and student support mechanisms, nations can project their values, culture, and developmental ethos beyond their borders. India, with its rich civilizational heritage and growing global engagement, has actively employed education and cultural exchange as strategic tools to strengthen international relations. The presence of international students </w:t>
      </w:r>
      <w:r w:rsidR="00297931">
        <w:t>at Indian universities not only enhances campus diversity but also fosters deeper intercultural understanding between India and their</w:t>
      </w:r>
      <w:r w:rsidR="009F4FC5">
        <w:t xml:space="preserve"> countries of origin.</w:t>
      </w:r>
    </w:p>
    <w:p w14:paraId="3F31EF54" w14:textId="068E8C83" w:rsidR="00753A2D" w:rsidRPr="00753A2D" w:rsidRDefault="009F4FC5" w:rsidP="00753A2D">
      <w:pPr>
        <w:pStyle w:val="NormalWeb"/>
        <w:spacing w:line="480" w:lineRule="auto"/>
        <w:ind w:firstLine="720"/>
        <w:jc w:val="both"/>
      </w:pPr>
      <w:r>
        <w:t>The Indian Council for Cultural Relations (ICCR), established in 1950, serves as the primary institutional framework for India’s cultural and educational diplomacy. ICCR</w:t>
      </w:r>
      <w:r w:rsidR="00297931">
        <w:t>, under the Ministry of External Affairs,</w:t>
      </w:r>
      <w:r>
        <w:t xml:space="preserve"> is entrusted with promoting cultural relations and mutual understanding between India and other countries</w:t>
      </w:r>
      <w:r w:rsidR="00500CD1">
        <w:t xml:space="preserve"> (ICCR, 2025)</w:t>
      </w:r>
      <w:r>
        <w:t xml:space="preserve">. Over the decades, ICCR has implemented a wide range of initiatives, including cultural exchange programs, academic partnerships, and scholarship schemes, </w:t>
      </w:r>
      <w:r w:rsidR="00297931">
        <w:t>to strengthen</w:t>
      </w:r>
      <w:r>
        <w:t xml:space="preserve"> international cooperation. Among these </w:t>
      </w:r>
      <w:r>
        <w:lastRenderedPageBreak/>
        <w:t>initiatives, ICCR’s socio-economic schemes</w:t>
      </w:r>
      <w:r w:rsidR="00441B72">
        <w:t>, particularly scholarship programs and student welfare measures,</w:t>
      </w:r>
      <w:r w:rsidR="00297931">
        <w:t xml:space="preserve"> play a significant role</w:t>
      </w:r>
      <w:r>
        <w:t xml:space="preserve"> in shaping the educational experiences and perceptions of international students in India.</w:t>
      </w:r>
      <w:r w:rsidR="00753A2D">
        <w:t xml:space="preserve"> </w:t>
      </w:r>
      <w:r w:rsidR="00500CD1">
        <w:rPr>
          <w:lang w:val="en-US"/>
        </w:rPr>
        <w:t xml:space="preserve">According to </w:t>
      </w:r>
      <w:r w:rsidR="00500CD1" w:rsidRPr="00500CD1">
        <w:rPr>
          <w:lang w:val="en-US"/>
        </w:rPr>
        <w:t>Khalid</w:t>
      </w:r>
      <w:r w:rsidR="00500CD1">
        <w:rPr>
          <w:lang w:val="en-US"/>
        </w:rPr>
        <w:t xml:space="preserve"> et al.</w:t>
      </w:r>
      <w:r w:rsidR="00500CD1" w:rsidRPr="00500CD1">
        <w:rPr>
          <w:lang w:val="en-US"/>
        </w:rPr>
        <w:t xml:space="preserve"> (2025)</w:t>
      </w:r>
      <w:r w:rsidR="00500CD1">
        <w:rPr>
          <w:lang w:val="en-US"/>
        </w:rPr>
        <w:t xml:space="preserve">, </w:t>
      </w:r>
      <w:r w:rsidR="00297931">
        <w:rPr>
          <w:lang w:val="en-US"/>
        </w:rPr>
        <w:t>a stipend is a fixed, regular sum of money paid to someone to help them live or cover</w:t>
      </w:r>
      <w:r w:rsidR="00500CD1" w:rsidRPr="00500CD1">
        <w:rPr>
          <w:lang w:val="en-US"/>
        </w:rPr>
        <w:t xml:space="preserve"> their expenses</w:t>
      </w:r>
      <w:r w:rsidR="00500CD1">
        <w:rPr>
          <w:lang w:val="en-US"/>
        </w:rPr>
        <w:t xml:space="preserve">. </w:t>
      </w:r>
      <w:r>
        <w:t xml:space="preserve">ICCR’s socio-economic schemes provide financial assistance, academic support, and welfare services to international students pursuing higher education in India. These schemes aim to reduce economic barriers, ensure academic continuity, and facilitate cultural integration within Indian society. </w:t>
      </w:r>
      <w:r w:rsidR="0012313B" w:rsidRPr="0012313B">
        <w:rPr>
          <w:lang w:val="en-US"/>
        </w:rPr>
        <w:t xml:space="preserve">State-funded scholarship programs are transforming the way citizens and policymakers think about higher education. Advocates </w:t>
      </w:r>
      <w:r w:rsidR="0012313B">
        <w:rPr>
          <w:lang w:val="en-US"/>
        </w:rPr>
        <w:t>view these programs as a remedy to the problems facing the state workforce, such as “brain drain” and “unequal opportunity” for a sound education (</w:t>
      </w:r>
      <w:proofErr w:type="spellStart"/>
      <w:r w:rsidR="0012313B">
        <w:rPr>
          <w:lang w:val="en-US"/>
        </w:rPr>
        <w:t>Duffourc</w:t>
      </w:r>
      <w:proofErr w:type="spellEnd"/>
      <w:r w:rsidR="0012313B">
        <w:rPr>
          <w:lang w:val="en-US"/>
        </w:rPr>
        <w:t xml:space="preserve">, </w:t>
      </w:r>
      <w:r w:rsidR="0012313B" w:rsidRPr="0012313B">
        <w:rPr>
          <w:lang w:val="en-US"/>
        </w:rPr>
        <w:t>2006).</w:t>
      </w:r>
      <w:r w:rsidR="0012313B">
        <w:rPr>
          <w:lang w:val="en-US"/>
        </w:rPr>
        <w:t xml:space="preserve"> </w:t>
      </w:r>
      <w:r>
        <w:t xml:space="preserve">By addressing students’ financial needs and well-being, ICCR enables international students to focus on their academic goals while engaging meaningfully with India’s social and cultural environment. </w:t>
      </w:r>
      <w:r w:rsidR="00753A2D" w:rsidRPr="00753A2D">
        <w:rPr>
          <w:lang w:val="en-US" w:eastAsia="en-US"/>
        </w:rPr>
        <w:t xml:space="preserve">Support systems of this nature contribute not only to the academic success of individual students but also to the broader goal of fostering international understanding and strengthening long-term bilateral relations. While traditional factors in selecting a graduate </w:t>
      </w:r>
      <w:proofErr w:type="spellStart"/>
      <w:r w:rsidR="00753A2D" w:rsidRPr="00753A2D">
        <w:rPr>
          <w:lang w:val="en-US" w:eastAsia="en-US"/>
        </w:rPr>
        <w:t>programme</w:t>
      </w:r>
      <w:proofErr w:type="spellEnd"/>
      <w:r w:rsidR="00753A2D" w:rsidRPr="00753A2D">
        <w:rPr>
          <w:lang w:val="en-US" w:eastAsia="en-US"/>
        </w:rPr>
        <w:t xml:space="preserve">—such as the relevance and appeal of the research topic, the reputation of the </w:t>
      </w:r>
      <w:proofErr w:type="spellStart"/>
      <w:r w:rsidR="00753A2D" w:rsidRPr="00753A2D">
        <w:rPr>
          <w:lang w:val="en-US" w:eastAsia="en-US"/>
        </w:rPr>
        <w:t>programme</w:t>
      </w:r>
      <w:proofErr w:type="spellEnd"/>
      <w:r w:rsidR="00753A2D" w:rsidRPr="00753A2D">
        <w:rPr>
          <w:lang w:val="en-US" w:eastAsia="en-US"/>
        </w:rPr>
        <w:t xml:space="preserve">, and the compatibility with a prospective advisor—often take precedence over financial considerations, the availability of financial support can nevertheless play a decisive role in a student’s choice of graduate study (Schultz &amp; </w:t>
      </w:r>
      <w:proofErr w:type="spellStart"/>
      <w:r w:rsidR="00753A2D" w:rsidRPr="00753A2D">
        <w:rPr>
          <w:lang w:val="en-US" w:eastAsia="en-US"/>
        </w:rPr>
        <w:t>VanDeHey</w:t>
      </w:r>
      <w:proofErr w:type="spellEnd"/>
      <w:r w:rsidR="00753A2D" w:rsidRPr="00753A2D">
        <w:rPr>
          <w:lang w:val="en-US" w:eastAsia="en-US"/>
        </w:rPr>
        <w:t>, 2012).</w:t>
      </w:r>
    </w:p>
    <w:p w14:paraId="645B55E4" w14:textId="205A081D" w:rsidR="009F4FC5" w:rsidRDefault="009F4FC5" w:rsidP="0060491B">
      <w:pPr>
        <w:pStyle w:val="NormalWeb"/>
        <w:spacing w:line="480" w:lineRule="auto"/>
        <w:ind w:firstLine="720"/>
        <w:jc w:val="both"/>
      </w:pPr>
      <w:r>
        <w:t xml:space="preserve">International understanding, in the context of higher education, extends beyond mere academic interaction. It encompasses intercultural awareness, mutual respect, social integration, and positive perceptions of the host country. Socio-economic support mechanisms play a crucial role in this process by fostering a sense of security, belonging, and inclusivity among international students. When students feel supported and valued, they are more likely </w:t>
      </w:r>
      <w:r>
        <w:lastRenderedPageBreak/>
        <w:t>to develop favourable attitudes toward the host nation and act as informal ambassadors upon returning to their home countries.</w:t>
      </w:r>
      <w:r w:rsidR="0060491B">
        <w:t xml:space="preserve"> </w:t>
      </w:r>
      <w:r w:rsidR="0060491B" w:rsidRPr="0060491B">
        <w:rPr>
          <w:lang w:val="en-US"/>
        </w:rPr>
        <w:t xml:space="preserve">Scholarships play a </w:t>
      </w:r>
      <w:r w:rsidR="0060491B">
        <w:rPr>
          <w:lang w:val="en-US"/>
        </w:rPr>
        <w:t>significant role in enhancing access to international education, particularly for disadvantaged learners, and provide</w:t>
      </w:r>
      <w:r w:rsidR="0060491B" w:rsidRPr="0060491B">
        <w:rPr>
          <w:lang w:val="en-US"/>
        </w:rPr>
        <w:t xml:space="preserve"> transformative opportunities for both academic success and personal development</w:t>
      </w:r>
      <w:r w:rsidR="0060491B">
        <w:rPr>
          <w:lang w:val="en-US"/>
        </w:rPr>
        <w:t xml:space="preserve"> (</w:t>
      </w:r>
      <w:proofErr w:type="spellStart"/>
      <w:r w:rsidR="0060491B" w:rsidRPr="0060491B">
        <w:rPr>
          <w:lang w:val="en-US"/>
        </w:rPr>
        <w:t>Khoso</w:t>
      </w:r>
      <w:proofErr w:type="spellEnd"/>
      <w:r w:rsidR="0060491B">
        <w:rPr>
          <w:lang w:val="en-US"/>
        </w:rPr>
        <w:t xml:space="preserve"> </w:t>
      </w:r>
      <w:r w:rsidR="0060491B" w:rsidRPr="0060491B">
        <w:rPr>
          <w:lang w:val="en-US"/>
        </w:rPr>
        <w:t>&amp; Umair</w:t>
      </w:r>
      <w:r w:rsidR="0060491B">
        <w:rPr>
          <w:lang w:val="en-US"/>
        </w:rPr>
        <w:t xml:space="preserve">, </w:t>
      </w:r>
      <w:r w:rsidR="0060491B" w:rsidRPr="0060491B">
        <w:rPr>
          <w:lang w:val="en-US"/>
        </w:rPr>
        <w:t>2024</w:t>
      </w:r>
      <w:r w:rsidR="00CC2ED8">
        <w:rPr>
          <w:lang w:val="en-US"/>
        </w:rPr>
        <w:t xml:space="preserve">; </w:t>
      </w:r>
      <w:proofErr w:type="spellStart"/>
      <w:r w:rsidR="00CC2ED8" w:rsidRPr="00CC2ED8">
        <w:rPr>
          <w:lang w:val="en-US"/>
        </w:rPr>
        <w:t>Hussaini</w:t>
      </w:r>
      <w:proofErr w:type="spellEnd"/>
      <w:r w:rsidR="00CC2ED8" w:rsidRPr="00CC2ED8">
        <w:rPr>
          <w:lang w:val="en-US"/>
        </w:rPr>
        <w:t>, S. A</w:t>
      </w:r>
      <w:r w:rsidR="00CC2ED8">
        <w:rPr>
          <w:lang w:val="en-US"/>
        </w:rPr>
        <w:t xml:space="preserve"> et al., 2025</w:t>
      </w:r>
      <w:r w:rsidR="0060491B">
        <w:rPr>
          <w:lang w:val="en-US"/>
        </w:rPr>
        <w:t>).</w:t>
      </w:r>
    </w:p>
    <w:p w14:paraId="134018A0" w14:textId="62E3172E" w:rsidR="00DC6EF2" w:rsidRPr="00DC6EF2" w:rsidRDefault="009F4FC5" w:rsidP="009F4FC5">
      <w:pPr>
        <w:pStyle w:val="NormalWeb"/>
        <w:spacing w:line="480" w:lineRule="auto"/>
        <w:ind w:firstLine="720"/>
        <w:jc w:val="both"/>
      </w:pPr>
      <w:r>
        <w:t>In doing so, this research contributes to the broader discourse on educational diplomacy, soft power, and international cooperation. It highlights the strategic significance of socio-economic support systems in higher education and emphasizes the role of international students as bridges between nations. Ultimately, the study reinforces the importance of strengthening and refining ICCR’s socio-economic schemes to enhance India’s role in promoting global understanding, peace, and cooperation through education.</w:t>
      </w:r>
    </w:p>
    <w:p w14:paraId="13B3F459" w14:textId="77777777" w:rsidR="00767026" w:rsidRPr="00E5306D" w:rsidRDefault="00050DC0" w:rsidP="00E5306D">
      <w:pPr>
        <w:pStyle w:val="ListParagraph"/>
        <w:numPr>
          <w:ilvl w:val="0"/>
          <w:numId w:val="8"/>
        </w:numPr>
        <w:spacing w:line="480" w:lineRule="auto"/>
        <w:jc w:val="both"/>
        <w:rPr>
          <w:rFonts w:asciiTheme="majorBidi" w:hAnsiTheme="majorBidi" w:cstheme="majorBidi"/>
          <w:b/>
          <w:bCs/>
          <w:sz w:val="24"/>
          <w:szCs w:val="24"/>
        </w:rPr>
      </w:pPr>
      <w:r w:rsidRPr="00E5306D">
        <w:rPr>
          <w:rFonts w:asciiTheme="majorBidi" w:hAnsiTheme="majorBidi" w:cstheme="majorBidi"/>
          <w:b/>
          <w:bCs/>
          <w:sz w:val="24"/>
          <w:szCs w:val="24"/>
        </w:rPr>
        <w:t>LITERATURE REVIEW:</w:t>
      </w:r>
    </w:p>
    <w:p w14:paraId="652E5FA8" w14:textId="77777777" w:rsidR="00753A2D" w:rsidRDefault="00751501" w:rsidP="00753A2D">
      <w:pPr>
        <w:pStyle w:val="NormalWeb"/>
        <w:spacing w:line="480" w:lineRule="auto"/>
        <w:ind w:firstLine="720"/>
        <w:jc w:val="both"/>
        <w:rPr>
          <w:rFonts w:asciiTheme="majorBidi" w:hAnsiTheme="majorBidi" w:cstheme="majorBidi"/>
          <w:lang w:val="en-US"/>
        </w:rPr>
      </w:pPr>
      <w:r w:rsidRPr="00751501">
        <w:rPr>
          <w:rFonts w:asciiTheme="majorBidi" w:hAnsiTheme="majorBidi" w:cstheme="majorBidi"/>
        </w:rPr>
        <w:t>According to Andrade (2006), institutional and financial support significantly influence international students’ academic success and cultural adjustment. When students receive adequate socio-economic assistance, they experience reduced stress related to financial and academic pressures, allowing them to engage more meaningfully in cultural exchange. Such engagement enhances intercultural competence, mutual respect, and appreciation of diversity, which are key components of international understanding</w:t>
      </w:r>
      <w:r w:rsidR="00641586" w:rsidRPr="00641586">
        <w:rPr>
          <w:rFonts w:asciiTheme="majorBidi" w:hAnsiTheme="majorBidi" w:cstheme="majorBidi"/>
        </w:rPr>
        <w:t xml:space="preserve">. </w:t>
      </w:r>
      <w:r w:rsidR="00753A2D">
        <w:t>Socioeconomic status (SES) is an indicator of an individual’s or group’s economic and social position within society and is frequently linked to variations in health outcomes, with higher SES generally associated with better health. This concept is typically operationalised using three primary measures: education, income, and occupation. Each of these indicators provides a distinct perspective on socioeconomic advantage or disadvantage, both theoretically and empirically.</w:t>
      </w:r>
      <w:r w:rsidR="00753A2D">
        <w:t xml:space="preserve"> </w:t>
      </w:r>
      <w:r w:rsidR="00641586" w:rsidRPr="00641586">
        <w:rPr>
          <w:rFonts w:asciiTheme="majorBidi" w:hAnsiTheme="majorBidi" w:cstheme="majorBidi"/>
          <w:lang w:val="en-US"/>
        </w:rPr>
        <w:t xml:space="preserve">SES is generally thought to influence health through three avenues: (1) SES influences health through the ability </w:t>
      </w:r>
      <w:r w:rsidR="00641586" w:rsidRPr="00641586">
        <w:rPr>
          <w:rFonts w:asciiTheme="majorBidi" w:hAnsiTheme="majorBidi" w:cstheme="majorBidi"/>
          <w:lang w:val="en-US"/>
        </w:rPr>
        <w:lastRenderedPageBreak/>
        <w:t>to purchase health promoting resources and treatments; (2) socialization of early health habits and continuing socialization of health habits differs by SES; and (3) it has been posited that, rather than SES influencing health, health influences SES less healthy individuals complete fewer years of school, miss more work, and earn lower incomes</w:t>
      </w:r>
      <w:r w:rsidR="00641586">
        <w:rPr>
          <w:rFonts w:asciiTheme="majorBidi" w:hAnsiTheme="majorBidi" w:cstheme="majorBidi"/>
          <w:lang w:val="en-US"/>
        </w:rPr>
        <w:t xml:space="preserve"> (</w:t>
      </w:r>
      <w:r w:rsidR="00641586" w:rsidRPr="00641586">
        <w:rPr>
          <w:rFonts w:asciiTheme="majorBidi" w:hAnsiTheme="majorBidi" w:cstheme="majorBidi"/>
          <w:lang w:val="en-US"/>
        </w:rPr>
        <w:t>Baker, E. H. 2014).</w:t>
      </w:r>
    </w:p>
    <w:p w14:paraId="5FCD739A" w14:textId="3F188CA5" w:rsidR="00753A2D" w:rsidRPr="00753A2D" w:rsidRDefault="00641586" w:rsidP="00753A2D">
      <w:pPr>
        <w:pStyle w:val="NormalWeb"/>
        <w:spacing w:line="480" w:lineRule="auto"/>
        <w:ind w:firstLine="720"/>
        <w:jc w:val="both"/>
        <w:rPr>
          <w:rFonts w:asciiTheme="majorBidi" w:hAnsiTheme="majorBidi" w:cstheme="majorBidi"/>
          <w:lang w:val="en-US"/>
        </w:rPr>
      </w:pPr>
      <w:r>
        <w:rPr>
          <w:rFonts w:asciiTheme="majorBidi" w:hAnsiTheme="majorBidi" w:cstheme="majorBidi"/>
          <w:lang w:val="en-US"/>
        </w:rPr>
        <w:t xml:space="preserve">It was </w:t>
      </w:r>
      <w:r w:rsidRPr="00641586">
        <w:rPr>
          <w:rFonts w:asciiTheme="majorBidi" w:hAnsiTheme="majorBidi" w:cstheme="majorBidi"/>
          <w:lang w:val="en-US"/>
        </w:rPr>
        <w:t>found that students in private schools, who were socioeconomically stronger, had significantly higher academic achievement levels in language, mathematics, and science tests</w:t>
      </w:r>
      <w:r>
        <w:rPr>
          <w:rFonts w:asciiTheme="majorBidi" w:hAnsiTheme="majorBidi" w:cstheme="majorBidi"/>
          <w:lang w:val="en-US"/>
        </w:rPr>
        <w:t xml:space="preserve"> (</w:t>
      </w:r>
      <w:proofErr w:type="spellStart"/>
      <w:r w:rsidRPr="00641586">
        <w:rPr>
          <w:rFonts w:asciiTheme="majorBidi" w:hAnsiTheme="majorBidi" w:cstheme="majorBidi"/>
          <w:lang w:val="en-US"/>
        </w:rPr>
        <w:t>Suna</w:t>
      </w:r>
      <w:proofErr w:type="spellEnd"/>
      <w:r w:rsidRPr="00641586">
        <w:rPr>
          <w:rFonts w:asciiTheme="majorBidi" w:hAnsiTheme="majorBidi" w:cstheme="majorBidi"/>
          <w:lang w:val="en-US"/>
        </w:rPr>
        <w:t xml:space="preserve">, H. E., </w:t>
      </w:r>
      <w:r>
        <w:rPr>
          <w:rFonts w:asciiTheme="majorBidi" w:hAnsiTheme="majorBidi" w:cstheme="majorBidi"/>
          <w:lang w:val="en-US"/>
        </w:rPr>
        <w:t xml:space="preserve">et al., </w:t>
      </w:r>
      <w:r w:rsidRPr="00641586">
        <w:rPr>
          <w:rFonts w:asciiTheme="majorBidi" w:hAnsiTheme="majorBidi" w:cstheme="majorBidi"/>
          <w:lang w:val="en-US"/>
        </w:rPr>
        <w:t>2020)</w:t>
      </w:r>
      <w:r>
        <w:rPr>
          <w:rFonts w:asciiTheme="majorBidi" w:hAnsiTheme="majorBidi" w:cstheme="majorBidi"/>
          <w:lang w:val="en-US"/>
        </w:rPr>
        <w:t xml:space="preserve">. </w:t>
      </w:r>
      <w:r w:rsidR="001B1092">
        <w:rPr>
          <w:rFonts w:asciiTheme="majorBidi" w:hAnsiTheme="majorBidi" w:cstheme="majorBidi"/>
          <w:lang w:val="en-US"/>
        </w:rPr>
        <w:t xml:space="preserve">A student's performance refers to how well an individual fulfills the role of a student in an educational institution (Barry, J. E., </w:t>
      </w:r>
      <w:r w:rsidR="001B1092" w:rsidRPr="001B1092">
        <w:rPr>
          <w:rFonts w:asciiTheme="majorBidi" w:hAnsiTheme="majorBidi" w:cstheme="majorBidi"/>
          <w:lang w:val="en-US"/>
        </w:rPr>
        <w:t>2006)</w:t>
      </w:r>
      <w:r w:rsidR="001B1092">
        <w:rPr>
          <w:rFonts w:asciiTheme="majorBidi" w:hAnsiTheme="majorBidi" w:cstheme="majorBidi"/>
          <w:lang w:val="en-US"/>
        </w:rPr>
        <w:t xml:space="preserve">. </w:t>
      </w:r>
      <w:r w:rsidR="00753A2D" w:rsidRPr="00753A2D">
        <w:rPr>
          <w:lang w:val="en-US" w:eastAsia="en-US"/>
        </w:rPr>
        <w:t xml:space="preserve">Scholarships represent financial awards that enable students to pursue their academic objectives and further their education. These awards are typically granted based on specific criteria that reflect the priorities, values, or objectives of the donor or funding </w:t>
      </w:r>
      <w:proofErr w:type="spellStart"/>
      <w:r w:rsidR="00753A2D" w:rsidRPr="00753A2D">
        <w:rPr>
          <w:lang w:val="en-US" w:eastAsia="en-US"/>
        </w:rPr>
        <w:t>organisation</w:t>
      </w:r>
      <w:proofErr w:type="spellEnd"/>
      <w:r w:rsidR="00753A2D" w:rsidRPr="00753A2D">
        <w:rPr>
          <w:lang w:val="en-US" w:eastAsia="en-US"/>
        </w:rPr>
        <w:t>. Unlike loans, scholarship funds do not require repayment, providing recipients with direct financial support to facilitate their studies (</w:t>
      </w:r>
      <w:proofErr w:type="spellStart"/>
      <w:r w:rsidR="00753A2D" w:rsidRPr="00753A2D">
        <w:rPr>
          <w:lang w:val="en-US" w:eastAsia="en-US"/>
        </w:rPr>
        <w:t>Omeje</w:t>
      </w:r>
      <w:proofErr w:type="spellEnd"/>
      <w:r w:rsidR="00753A2D" w:rsidRPr="00753A2D">
        <w:rPr>
          <w:lang w:val="en-US" w:eastAsia="en-US"/>
        </w:rPr>
        <w:t xml:space="preserve"> &amp; </w:t>
      </w:r>
      <w:proofErr w:type="spellStart"/>
      <w:r w:rsidR="00753A2D" w:rsidRPr="00753A2D">
        <w:rPr>
          <w:lang w:val="en-US" w:eastAsia="en-US"/>
        </w:rPr>
        <w:t>Abugu</w:t>
      </w:r>
      <w:proofErr w:type="spellEnd"/>
      <w:r w:rsidR="00753A2D" w:rsidRPr="00753A2D">
        <w:rPr>
          <w:lang w:val="en-US" w:eastAsia="en-US"/>
        </w:rPr>
        <w:t>, 2015).</w:t>
      </w:r>
      <w:r w:rsidR="00753A2D">
        <w:rPr>
          <w:lang w:val="en-US" w:eastAsia="en-US"/>
        </w:rPr>
        <w:t xml:space="preserve"> </w:t>
      </w:r>
      <w:r w:rsidR="00753A2D" w:rsidRPr="00753A2D">
        <w:t>Beyond individual benefits, universities play a significant economic role. Their contribution extends beyond the creation of human capital—a critical driver of economic growth—to encompass the economic activities generated by educating international students. By attracting and teaching students from abroad, universities stimulate the local economy through increased demand for housing, services, and cultural activities, effectively enhancing the city’s service exports. In turn, international students exert a measurable economic impact on the host city, supporting local businesses and contributing to regional development (</w:t>
      </w:r>
      <w:proofErr w:type="spellStart"/>
      <w:r w:rsidR="00753A2D" w:rsidRPr="00753A2D">
        <w:t>Nestorenko</w:t>
      </w:r>
      <w:proofErr w:type="spellEnd"/>
      <w:r w:rsidR="00753A2D" w:rsidRPr="00753A2D">
        <w:t xml:space="preserve"> et al., 2016; Sayed Anwar </w:t>
      </w:r>
      <w:proofErr w:type="spellStart"/>
      <w:r w:rsidR="00753A2D" w:rsidRPr="00753A2D">
        <w:t>Hussaini</w:t>
      </w:r>
      <w:proofErr w:type="spellEnd"/>
      <w:r w:rsidR="00753A2D" w:rsidRPr="00753A2D">
        <w:t xml:space="preserve"> et al., 2026).</w:t>
      </w:r>
    </w:p>
    <w:p w14:paraId="78666187" w14:textId="77777777" w:rsidR="00753A2D" w:rsidRPr="00753A2D" w:rsidRDefault="00753A2D" w:rsidP="00753A2D">
      <w:pPr>
        <w:spacing w:before="100" w:beforeAutospacing="1" w:after="100" w:afterAutospacing="1" w:line="240" w:lineRule="auto"/>
        <w:jc w:val="both"/>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 xml:space="preserve">Sustaining the healthy economic growth of regional </w:t>
      </w:r>
      <w:proofErr w:type="spellStart"/>
      <w:r w:rsidRPr="00753A2D">
        <w:rPr>
          <w:rFonts w:ascii="Times New Roman" w:eastAsia="Times New Roman" w:hAnsi="Times New Roman" w:cs="Times New Roman"/>
          <w:sz w:val="24"/>
          <w:szCs w:val="24"/>
        </w:rPr>
        <w:t>centres</w:t>
      </w:r>
      <w:proofErr w:type="spellEnd"/>
      <w:r w:rsidRPr="00753A2D">
        <w:rPr>
          <w:rFonts w:ascii="Times New Roman" w:eastAsia="Times New Roman" w:hAnsi="Times New Roman" w:cs="Times New Roman"/>
          <w:sz w:val="24"/>
          <w:szCs w:val="24"/>
        </w:rPr>
        <w:t xml:space="preserve"> in Australia increasingly depends on attracting and retaining a substantial population of international students, who contribute significantly to local wealth creation. Beyond economic benefits, international students enrich regional cities with cultural diversity, which is often less pronounced than in major metropolitan areas (Yao &amp; Bai, 2008).</w:t>
      </w:r>
    </w:p>
    <w:p w14:paraId="5E074761" w14:textId="32C7D091" w:rsidR="00753A2D" w:rsidRPr="00753A2D" w:rsidRDefault="00753A2D" w:rsidP="00753A2D">
      <w:pPr>
        <w:spacing w:before="100" w:beforeAutospacing="1" w:after="100" w:afterAutospacing="1" w:line="240" w:lineRule="auto"/>
        <w:jc w:val="both"/>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 xml:space="preserve">Globalization, which shapes economic, financial, political, sociological, and cultural domains, has also transformed the education sector, notably by increasing international student mobility. </w:t>
      </w:r>
      <w:r w:rsidRPr="00753A2D">
        <w:rPr>
          <w:rFonts w:ascii="Times New Roman" w:eastAsia="Times New Roman" w:hAnsi="Times New Roman" w:cs="Times New Roman"/>
          <w:sz w:val="24"/>
          <w:szCs w:val="24"/>
        </w:rPr>
        <w:lastRenderedPageBreak/>
        <w:t>This trend has created a new market segment in which international students are regarded as a source of revenue for higher education institutions (</w:t>
      </w:r>
      <w:proofErr w:type="spellStart"/>
      <w:r w:rsidRPr="00753A2D">
        <w:rPr>
          <w:rFonts w:ascii="Times New Roman" w:eastAsia="Times New Roman" w:hAnsi="Times New Roman" w:cs="Times New Roman"/>
          <w:sz w:val="24"/>
          <w:szCs w:val="24"/>
        </w:rPr>
        <w:t>Levent</w:t>
      </w:r>
      <w:proofErr w:type="spellEnd"/>
      <w:r w:rsidRPr="00753A2D">
        <w:rPr>
          <w:rFonts w:ascii="Times New Roman" w:eastAsia="Times New Roman" w:hAnsi="Times New Roman" w:cs="Times New Roman"/>
          <w:sz w:val="24"/>
          <w:szCs w:val="24"/>
        </w:rPr>
        <w:t xml:space="preserve">, 2016). Economic impact analyses of university campuses are therefore particularly relevant to business and government stakeholders, who are closely linked to taxpayers and voters. Conversely, the academic community tends to </w:t>
      </w:r>
      <w:proofErr w:type="spellStart"/>
      <w:r w:rsidRPr="00753A2D">
        <w:rPr>
          <w:rFonts w:ascii="Times New Roman" w:eastAsia="Times New Roman" w:hAnsi="Times New Roman" w:cs="Times New Roman"/>
          <w:sz w:val="24"/>
          <w:szCs w:val="24"/>
        </w:rPr>
        <w:t>prioritise</w:t>
      </w:r>
      <w:proofErr w:type="spellEnd"/>
      <w:r w:rsidRPr="00753A2D">
        <w:rPr>
          <w:rFonts w:ascii="Times New Roman" w:eastAsia="Times New Roman" w:hAnsi="Times New Roman" w:cs="Times New Roman"/>
          <w:sz w:val="24"/>
          <w:szCs w:val="24"/>
        </w:rPr>
        <w:t xml:space="preserve"> social justice considerations, </w:t>
      </w:r>
      <w:proofErr w:type="spellStart"/>
      <w:r w:rsidRPr="00753A2D">
        <w:rPr>
          <w:rFonts w:ascii="Times New Roman" w:eastAsia="Times New Roman" w:hAnsi="Times New Roman" w:cs="Times New Roman"/>
          <w:sz w:val="24"/>
          <w:szCs w:val="24"/>
        </w:rPr>
        <w:t>emphasising</w:t>
      </w:r>
      <w:proofErr w:type="spellEnd"/>
      <w:r w:rsidRPr="00753A2D">
        <w:rPr>
          <w:rFonts w:ascii="Times New Roman" w:eastAsia="Times New Roman" w:hAnsi="Times New Roman" w:cs="Times New Roman"/>
          <w:sz w:val="24"/>
          <w:szCs w:val="24"/>
        </w:rPr>
        <w:t xml:space="preserve"> the broader societal benefits of fostering an inclusive, globally connected educational environment.</w:t>
      </w:r>
      <w:r>
        <w:rPr>
          <w:rFonts w:ascii="Times New Roman" w:eastAsia="Times New Roman" w:hAnsi="Times New Roman" w:cs="Times New Roman"/>
          <w:sz w:val="24"/>
          <w:szCs w:val="24"/>
        </w:rPr>
        <w:t xml:space="preserve"> </w:t>
      </w:r>
      <w:r w:rsidRPr="00753A2D">
        <w:rPr>
          <w:rFonts w:ascii="Times New Roman" w:eastAsia="Times New Roman" w:hAnsi="Times New Roman" w:cs="Times New Roman"/>
          <w:sz w:val="24"/>
          <w:szCs w:val="24"/>
        </w:rPr>
        <w:t>Effective bilateral support for international students requires an integrated understanding of both perspectives, encompassing the academic, political, and social factors that influence student mobility. Such a comprehensive approach enables institutions and local communities to assess the economic costs and benefits associated with hosting international students, ensuring informed policy and planning decisions (Kelly, 2012).</w:t>
      </w:r>
    </w:p>
    <w:p w14:paraId="0D09E572" w14:textId="49972E32" w:rsidR="00753A2D" w:rsidRPr="00753A2D" w:rsidRDefault="00701F30" w:rsidP="00753A2D">
      <w:pPr>
        <w:pStyle w:val="NormalWeb"/>
        <w:jc w:val="both"/>
        <w:rPr>
          <w:lang w:val="en-US" w:eastAsia="en-US"/>
        </w:rPr>
      </w:pPr>
      <w:r w:rsidRPr="00701F30">
        <w:rPr>
          <w:rFonts w:asciiTheme="majorBidi" w:hAnsiTheme="majorBidi" w:cstheme="majorBidi"/>
          <w:lang w:val="en-US"/>
        </w:rPr>
        <w:t xml:space="preserve">Many American students, faculty, and staff interact with international students </w:t>
      </w:r>
      <w:r w:rsidR="00441B72">
        <w:rPr>
          <w:rFonts w:asciiTheme="majorBidi" w:hAnsiTheme="majorBidi" w:cstheme="majorBidi"/>
          <w:lang w:val="en-US"/>
        </w:rPr>
        <w:t>daily and may be well positioned</w:t>
      </w:r>
      <w:r w:rsidR="00814EC5">
        <w:rPr>
          <w:rFonts w:asciiTheme="majorBidi" w:hAnsiTheme="majorBidi" w:cstheme="majorBidi"/>
          <w:lang w:val="en-US"/>
        </w:rPr>
        <w:t xml:space="preserve"> to appreciate the cultural or intellectual value of these interactions</w:t>
      </w:r>
      <w:r w:rsidRPr="00701F30">
        <w:rPr>
          <w:rFonts w:asciiTheme="majorBidi" w:hAnsiTheme="majorBidi" w:cstheme="majorBidi"/>
          <w:lang w:val="en-US"/>
        </w:rPr>
        <w:t xml:space="preserve">. However, some people may not be </w:t>
      </w:r>
      <w:r>
        <w:rPr>
          <w:rFonts w:asciiTheme="majorBidi" w:hAnsiTheme="majorBidi" w:cstheme="majorBidi"/>
          <w:lang w:val="en-US"/>
        </w:rPr>
        <w:t>well-informed about the financial benefits that these students bring (</w:t>
      </w:r>
      <w:proofErr w:type="spellStart"/>
      <w:r w:rsidRPr="00701F30">
        <w:rPr>
          <w:rFonts w:asciiTheme="majorBidi" w:hAnsiTheme="majorBidi" w:cstheme="majorBidi"/>
          <w:lang w:val="en-US"/>
        </w:rPr>
        <w:t>Apanda</w:t>
      </w:r>
      <w:proofErr w:type="spellEnd"/>
      <w:r w:rsidRPr="00701F30">
        <w:rPr>
          <w:rFonts w:asciiTheme="majorBidi" w:hAnsiTheme="majorBidi" w:cstheme="majorBidi"/>
          <w:lang w:val="en-US"/>
        </w:rPr>
        <w:t>, J. A. 2000).</w:t>
      </w:r>
      <w:r>
        <w:rPr>
          <w:rFonts w:asciiTheme="majorBidi" w:hAnsiTheme="majorBidi" w:cstheme="majorBidi"/>
          <w:lang w:val="en-US"/>
        </w:rPr>
        <w:t xml:space="preserve"> </w:t>
      </w:r>
      <w:r w:rsidR="00753A2D" w:rsidRPr="00753A2D">
        <w:rPr>
          <w:lang w:val="en-US" w:eastAsia="en-US"/>
        </w:rPr>
        <w:t xml:space="preserve">Research indicates that the spending patterns of domestic and international students are broadly comparable, with the slightly higher economic impact of foreign students largely attributable to their preference for more expensive residential accommodation rather than higher overall expenditure (Snowball &amp; </w:t>
      </w:r>
      <w:proofErr w:type="spellStart"/>
      <w:r w:rsidR="00753A2D" w:rsidRPr="00753A2D">
        <w:rPr>
          <w:lang w:val="en-US" w:eastAsia="en-US"/>
        </w:rPr>
        <w:t>Antrobus</w:t>
      </w:r>
      <w:proofErr w:type="spellEnd"/>
      <w:r w:rsidR="00753A2D" w:rsidRPr="00753A2D">
        <w:rPr>
          <w:lang w:val="en-US" w:eastAsia="en-US"/>
        </w:rPr>
        <w:t>, 2006).</w:t>
      </w:r>
      <w:r w:rsidR="00753A2D">
        <w:rPr>
          <w:lang w:val="en-US" w:eastAsia="en-US"/>
        </w:rPr>
        <w:t xml:space="preserve"> </w:t>
      </w:r>
      <w:r w:rsidR="00753A2D" w:rsidRPr="00753A2D">
        <w:t>Beyond their contribution to cultural diversity and the strengthening of international relations between universities, the presence of international students generates substantial economic benefits. These benefits extend from the host institution and local city to the national economy, highlighting the multifaceted value of international student enrolment (</w:t>
      </w:r>
      <w:proofErr w:type="spellStart"/>
      <w:r w:rsidR="00753A2D" w:rsidRPr="00753A2D">
        <w:t>Császár</w:t>
      </w:r>
      <w:proofErr w:type="spellEnd"/>
      <w:r w:rsidR="00753A2D" w:rsidRPr="00753A2D">
        <w:t xml:space="preserve"> </w:t>
      </w:r>
      <w:r w:rsidR="00753A2D" w:rsidRPr="00753A2D">
        <w:rPr>
          <w:i/>
          <w:iCs/>
        </w:rPr>
        <w:t>et al</w:t>
      </w:r>
      <w:r w:rsidR="00753A2D" w:rsidRPr="00753A2D">
        <w:t>., 2019).</w:t>
      </w:r>
    </w:p>
    <w:p w14:paraId="594D83BF" w14:textId="734DEA06" w:rsidR="00BE027E" w:rsidRPr="00DE16E8" w:rsidRDefault="00701F30" w:rsidP="00701F30">
      <w:pPr>
        <w:pStyle w:val="NormalWeb"/>
        <w:spacing w:line="480" w:lineRule="auto"/>
        <w:ind w:firstLine="720"/>
        <w:jc w:val="both"/>
        <w:rPr>
          <w:rFonts w:asciiTheme="majorBidi" w:hAnsiTheme="majorBidi" w:cstheme="majorBidi"/>
          <w:lang w:val="en-US"/>
        </w:rPr>
      </w:pPr>
      <w:r w:rsidRPr="00701F30">
        <w:rPr>
          <w:rFonts w:asciiTheme="majorBidi" w:hAnsiTheme="majorBidi" w:cstheme="majorBidi"/>
          <w:lang w:val="en-US"/>
        </w:rPr>
        <w:t xml:space="preserve">The University, as an income-expenditure flow, has positive effects </w:t>
      </w:r>
      <w:r>
        <w:rPr>
          <w:rFonts w:asciiTheme="majorBidi" w:hAnsiTheme="majorBidi" w:cstheme="majorBidi"/>
          <w:lang w:val="en-US"/>
        </w:rPr>
        <w:t>on</w:t>
      </w:r>
      <w:r w:rsidRPr="00701F30">
        <w:rPr>
          <w:rFonts w:asciiTheme="majorBidi" w:hAnsiTheme="majorBidi" w:cstheme="majorBidi"/>
          <w:lang w:val="en-US"/>
        </w:rPr>
        <w:t xml:space="preserve"> local economic development. These effects can be classified into two categories: supply effects</w:t>
      </w:r>
      <w:r>
        <w:rPr>
          <w:rFonts w:asciiTheme="majorBidi" w:hAnsiTheme="majorBidi" w:cstheme="majorBidi"/>
          <w:lang w:val="en-US"/>
        </w:rPr>
        <w:t xml:space="preserve">, related to human capital and research, and demand-side effects, </w:t>
      </w:r>
      <w:r w:rsidRPr="00701F30">
        <w:rPr>
          <w:rFonts w:asciiTheme="majorBidi" w:hAnsiTheme="majorBidi" w:cstheme="majorBidi"/>
          <w:lang w:val="en-US"/>
        </w:rPr>
        <w:t xml:space="preserve">related to expenditure and its multiplier impact on </w:t>
      </w:r>
      <w:r>
        <w:rPr>
          <w:rFonts w:asciiTheme="majorBidi" w:hAnsiTheme="majorBidi" w:cstheme="majorBidi"/>
          <w:lang w:val="en-US"/>
        </w:rPr>
        <w:t>the local economy (Garrido-</w:t>
      </w:r>
      <w:proofErr w:type="spellStart"/>
      <w:r>
        <w:rPr>
          <w:rFonts w:asciiTheme="majorBidi" w:hAnsiTheme="majorBidi" w:cstheme="majorBidi"/>
          <w:lang w:val="en-US"/>
        </w:rPr>
        <w:t>Yserte</w:t>
      </w:r>
      <w:proofErr w:type="spellEnd"/>
      <w:r>
        <w:rPr>
          <w:rFonts w:asciiTheme="majorBidi" w:hAnsiTheme="majorBidi" w:cstheme="majorBidi"/>
          <w:lang w:val="en-US"/>
        </w:rPr>
        <w:t>, R., &amp; Gallo-Rivera, M. T.,</w:t>
      </w:r>
      <w:r w:rsidRPr="00701F30">
        <w:rPr>
          <w:rFonts w:asciiTheme="majorBidi" w:hAnsiTheme="majorBidi" w:cstheme="majorBidi"/>
          <w:lang w:val="en-US"/>
        </w:rPr>
        <w:t xml:space="preserve"> 2010).</w:t>
      </w:r>
      <w:r>
        <w:rPr>
          <w:rFonts w:asciiTheme="majorBidi" w:hAnsiTheme="majorBidi" w:cstheme="majorBidi"/>
          <w:lang w:val="en-US"/>
        </w:rPr>
        <w:t xml:space="preserve"> </w:t>
      </w:r>
    </w:p>
    <w:p w14:paraId="09DDD9A6" w14:textId="4565A873" w:rsidR="00C75CC1" w:rsidRPr="00E5306D" w:rsidRDefault="00C75CC1"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SCOPE:</w:t>
      </w:r>
    </w:p>
    <w:p w14:paraId="43EBF8C6" w14:textId="6F2717AD" w:rsidR="00C75CC1" w:rsidRPr="00D901A0" w:rsidRDefault="00A76DBF" w:rsidP="00814EC5">
      <w:pPr>
        <w:spacing w:after="0" w:line="480" w:lineRule="auto"/>
        <w:ind w:firstLine="720"/>
        <w:jc w:val="both"/>
        <w:rPr>
          <w:rFonts w:ascii="Times New Roman" w:hAnsi="Times New Roman" w:cs="Times New Roman"/>
          <w:i/>
          <w:iCs/>
          <w:color w:val="000000" w:themeColor="text1"/>
          <w:sz w:val="24"/>
          <w:szCs w:val="24"/>
          <w:lang w:val="en-IN"/>
        </w:rPr>
      </w:pPr>
      <w:r w:rsidRPr="00A76DBF">
        <w:rPr>
          <w:rFonts w:asciiTheme="majorBidi" w:hAnsiTheme="majorBidi" w:cstheme="majorBidi"/>
          <w:sz w:val="24"/>
          <w:szCs w:val="24"/>
        </w:rPr>
        <w:t xml:space="preserve">The scope of the present study is limited to examining the role of the Indian Council for Cultural Relations (ICCR) socio-economic schemes in promoting international understanding among international students studying in India. The study focuses on ICCR-sponsored international students enrolled in selected Indian universities and institutions. It specifically examines students’ perceptions of ICCR’s socio-economic support, including scholarships, financial assistance, and welfare measures, and their influence on cultural integration, academic experience, and intercultural understanding. The study does not cover </w:t>
      </w:r>
      <w:r w:rsidRPr="00A76DBF">
        <w:rPr>
          <w:rFonts w:asciiTheme="majorBidi" w:hAnsiTheme="majorBidi" w:cstheme="majorBidi"/>
          <w:sz w:val="24"/>
          <w:szCs w:val="24"/>
        </w:rPr>
        <w:lastRenderedPageBreak/>
        <w:t xml:space="preserve">non-ICCR-sponsored students or other cultural programs outside </w:t>
      </w:r>
      <w:r w:rsidR="002F20D4">
        <w:rPr>
          <w:rFonts w:asciiTheme="majorBidi" w:hAnsiTheme="majorBidi" w:cstheme="majorBidi"/>
          <w:sz w:val="24"/>
          <w:szCs w:val="24"/>
        </w:rPr>
        <w:t>ICCR's socio-economic framework</w:t>
      </w:r>
      <w:r w:rsidRPr="00A76DBF">
        <w:rPr>
          <w:rFonts w:asciiTheme="majorBidi" w:hAnsiTheme="majorBidi" w:cstheme="majorBidi"/>
          <w:sz w:val="24"/>
          <w:szCs w:val="24"/>
        </w:rPr>
        <w:t>.</w:t>
      </w:r>
      <w:r w:rsidR="00C75CC1">
        <w:rPr>
          <w:rFonts w:asciiTheme="majorBidi" w:hAnsiTheme="majorBidi" w:cstheme="majorBidi"/>
          <w:sz w:val="24"/>
          <w:szCs w:val="24"/>
        </w:rPr>
        <w:br/>
      </w:r>
      <w:r w:rsidR="00814EC5">
        <w:rPr>
          <w:rFonts w:ascii="Times New Roman" w:hAnsi="Times New Roman" w:cs="Times New Roman"/>
          <w:b/>
          <w:bCs/>
          <w:i/>
          <w:iCs/>
          <w:color w:val="000000" w:themeColor="text1"/>
          <w:sz w:val="24"/>
          <w:szCs w:val="24"/>
        </w:rPr>
        <w:t>Picture</w:t>
      </w:r>
      <w:r w:rsidR="00FA388D">
        <w:rPr>
          <w:rFonts w:ascii="Times New Roman" w:hAnsi="Times New Roman" w:cs="Times New Roman"/>
          <w:b/>
          <w:bCs/>
          <w:i/>
          <w:iCs/>
          <w:color w:val="000000" w:themeColor="text1"/>
          <w:sz w:val="24"/>
          <w:szCs w:val="24"/>
        </w:rPr>
        <w:t xml:space="preserve"> 1-</w:t>
      </w:r>
      <w:r w:rsidR="00C75CC1" w:rsidRPr="00E5306D">
        <w:rPr>
          <w:rFonts w:ascii="Times New Roman" w:hAnsi="Times New Roman" w:cs="Times New Roman"/>
          <w:b/>
          <w:bCs/>
          <w:i/>
          <w:iCs/>
          <w:color w:val="000000" w:themeColor="text1"/>
          <w:sz w:val="24"/>
          <w:szCs w:val="24"/>
        </w:rPr>
        <w:t>Theoretical framework:</w:t>
      </w:r>
    </w:p>
    <w:p w14:paraId="4EB391A1" w14:textId="77777777" w:rsidR="00C75CC1" w:rsidRDefault="00C75CC1" w:rsidP="00C75CC1">
      <w:pPr>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91637">
        <w:rPr>
          <w:rFonts w:ascii="Times New Roman" w:hAnsi="Times New Roman" w:cs="Times New Roman"/>
          <w:bCs/>
          <w:sz w:val="24"/>
          <w:szCs w:val="24"/>
        </w:rPr>
        <w:t>Independent Variable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91637">
        <w:rPr>
          <w:rFonts w:ascii="Times New Roman" w:hAnsi="Times New Roman" w:cs="Times New Roman"/>
          <w:bCs/>
          <w:sz w:val="24"/>
          <w:szCs w:val="24"/>
        </w:rPr>
        <w:t>Dependent Variable</w:t>
      </w:r>
      <w:r w:rsidRPr="00591637">
        <w:rPr>
          <w:rFonts w:ascii="Times New Roman" w:hAnsi="Times New Roman" w:cs="Times New Roman"/>
          <w:bCs/>
          <w:sz w:val="24"/>
          <w:szCs w:val="24"/>
        </w:rPr>
        <w:tab/>
      </w:r>
    </w:p>
    <w:p w14:paraId="59E6B530" w14:textId="77777777" w:rsidR="00C75CC1" w:rsidRPr="0087100A" w:rsidRDefault="00C75CC1" w:rsidP="00C75CC1">
      <w:pPr>
        <w:spacing w:line="480" w:lineRule="auto"/>
        <w:rPr>
          <w:rFonts w:ascii="Times New Roman" w:hAnsi="Times New Roman" w:cs="Times New Roman"/>
          <w:sz w:val="24"/>
          <w:szCs w:val="24"/>
        </w:rPr>
      </w:pPr>
      <w:r w:rsidRPr="00591637">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61312" behindDoc="0" locked="0" layoutInCell="1" allowOverlap="1" wp14:anchorId="6A617874" wp14:editId="3856F852">
                <wp:simplePos x="0" y="0"/>
                <wp:positionH relativeFrom="column">
                  <wp:posOffset>2171700</wp:posOffset>
                </wp:positionH>
                <wp:positionV relativeFrom="paragraph">
                  <wp:posOffset>379730</wp:posOffset>
                </wp:positionV>
                <wp:extent cx="1257300" cy="152400"/>
                <wp:effectExtent l="57150" t="38100" r="19050" b="95250"/>
                <wp:wrapNone/>
                <wp:docPr id="440500326" name="Arrow: Right 1"/>
                <wp:cNvGraphicFramePr/>
                <a:graphic xmlns:a="http://schemas.openxmlformats.org/drawingml/2006/main">
                  <a:graphicData uri="http://schemas.microsoft.com/office/word/2010/wordprocessingShape">
                    <wps:wsp>
                      <wps:cNvSpPr/>
                      <wps:spPr>
                        <a:xfrm>
                          <a:off x="0" y="0"/>
                          <a:ext cx="1257300" cy="152400"/>
                        </a:xfrm>
                        <a:prstGeom prst="rightArrow">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2FB0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71pt;margin-top:29.9pt;width:99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" adj="20291" fillcolor="#a8b7df" strokecolor="#4472c4" strokeweight=".5pt">
                <v:fill color2="#879ed7" rotate="t" colors="0 #a8b7df;.5 #9aabd9;1 #879ed7" focus="100%" type="gradient">
                  <o:fill v:ext="view" type="gradientUnscaled"/>
                </v:fill>
              </v:shape>
            </w:pict>
          </mc:Fallback>
        </mc:AlternateContent>
      </w:r>
      <w:r w:rsidRPr="00591637">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7B813721" wp14:editId="272CE8EC">
                <wp:simplePos x="0" y="0"/>
                <wp:positionH relativeFrom="column">
                  <wp:posOffset>-83820</wp:posOffset>
                </wp:positionH>
                <wp:positionV relativeFrom="paragraph">
                  <wp:posOffset>157480</wp:posOffset>
                </wp:positionV>
                <wp:extent cx="1996440" cy="5181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1996440" cy="518160"/>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14:paraId="311BB520" w14:textId="0006CCD0" w:rsidR="00C75CC1" w:rsidRPr="00591637" w:rsidRDefault="00C75CC1" w:rsidP="00C75CC1">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ICCR’ Socio-Economic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3721" id="Rectangle 11" o:spid="_x0000_s1026" style="position:absolute;margin-left:-6.6pt;margin-top:12.4pt;width:157.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" fillcolor="#f18c55" strokecolor="#ed7d31" strokeweight=".5pt">
                <v:fill color2="#e56b17" rotate="t" colors="0 #f18c55;.5 #f67b28;1 #e56b17" focus="100%" type="gradient">
                  <o:fill v:ext="view" type="gradientUnscaled"/>
                </v:fill>
                <v:textbox>
                  <w:txbxContent>
                    <w:p w14:paraId="311BB520" w14:textId="0006CCD0" w:rsidR="00C75CC1" w:rsidRPr="00591637" w:rsidRDefault="00C75CC1" w:rsidP="00C75CC1">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ICCR’ Socio-Economic Scheme</w:t>
                      </w:r>
                    </w:p>
                  </w:txbxContent>
                </v:textbox>
              </v:rect>
            </w:pict>
          </mc:Fallback>
        </mc:AlternateContent>
      </w:r>
      <w:r w:rsidRPr="00591637">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00F06A00" wp14:editId="221F2152">
                <wp:simplePos x="0" y="0"/>
                <wp:positionH relativeFrom="margin">
                  <wp:posOffset>3813810</wp:posOffset>
                </wp:positionH>
                <wp:positionV relativeFrom="paragraph">
                  <wp:posOffset>176530</wp:posOffset>
                </wp:positionV>
                <wp:extent cx="1895475" cy="521970"/>
                <wp:effectExtent l="57150" t="38100" r="66675" b="68580"/>
                <wp:wrapNone/>
                <wp:docPr id="14" name="Rectangle 14"/>
                <wp:cNvGraphicFramePr/>
                <a:graphic xmlns:a="http://schemas.openxmlformats.org/drawingml/2006/main">
                  <a:graphicData uri="http://schemas.microsoft.com/office/word/2010/wordprocessingShape">
                    <wps:wsp>
                      <wps:cNvSpPr/>
                      <wps:spPr>
                        <a:xfrm>
                          <a:off x="0" y="0"/>
                          <a:ext cx="1895475" cy="521970"/>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CC99C05" w14:textId="77777777" w:rsidR="00C75CC1" w:rsidRPr="00591637" w:rsidRDefault="00C75CC1" w:rsidP="00C75CC1">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International Understanding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06A00" id="Rectangle 14" o:spid="_x0000_s1027" style="position:absolute;margin-left:300.3pt;margin-top:13.9pt;width:149.25pt;height:41.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" fillcolor="#6083cb" stroked="f">
                <v:fill color2="#2e61ba" rotate="t" colors="0 #6083cb;.5 #3e70ca;1 #2e61ba" focus="100%" type="gradient">
                  <o:fill v:ext="view" type="gradientUnscaled"/>
                </v:fill>
                <v:shadow on="t" color="black" opacity="41287f" offset="0,1.5pt"/>
                <v:textbox>
                  <w:txbxContent>
                    <w:p w14:paraId="1CC99C05" w14:textId="77777777" w:rsidR="00C75CC1" w:rsidRPr="00591637" w:rsidRDefault="00C75CC1" w:rsidP="00C75CC1">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International Understanding</w:t>
                      </w:r>
                    </w:p>
                  </w:txbxContent>
                </v:textbox>
                <w10:wrap anchorx="margin"/>
              </v:rect>
            </w:pict>
          </mc:Fallback>
        </mc:AlternateContent>
      </w:r>
    </w:p>
    <w:p w14:paraId="02C1DB44" w14:textId="77777777" w:rsidR="00C75CC1" w:rsidRPr="00A410CE" w:rsidRDefault="00C75CC1" w:rsidP="00C75CC1">
      <w:pPr>
        <w:spacing w:line="480" w:lineRule="auto"/>
        <w:jc w:val="both"/>
        <w:rPr>
          <w:rFonts w:ascii="Times New Roman" w:hAnsi="Times New Roman" w:cs="Times New Roman"/>
          <w:sz w:val="24"/>
          <w:szCs w:val="24"/>
        </w:rPr>
      </w:pPr>
    </w:p>
    <w:p w14:paraId="32CE4F03" w14:textId="77777777" w:rsidR="00753A2D" w:rsidRPr="00753A2D" w:rsidRDefault="00753A2D" w:rsidP="00753A2D">
      <w:pPr>
        <w:spacing w:before="100" w:beforeAutospacing="1" w:after="100" w:afterAutospacing="1" w:line="240" w:lineRule="auto"/>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 xml:space="preserve">The conceptual framework for this study </w:t>
      </w:r>
      <w:proofErr w:type="spellStart"/>
      <w:r w:rsidRPr="00753A2D">
        <w:rPr>
          <w:rFonts w:ascii="Times New Roman" w:eastAsia="Times New Roman" w:hAnsi="Times New Roman" w:cs="Times New Roman"/>
          <w:sz w:val="24"/>
          <w:szCs w:val="24"/>
        </w:rPr>
        <w:t>centres</w:t>
      </w:r>
      <w:proofErr w:type="spellEnd"/>
      <w:r w:rsidRPr="00753A2D">
        <w:rPr>
          <w:rFonts w:ascii="Times New Roman" w:eastAsia="Times New Roman" w:hAnsi="Times New Roman" w:cs="Times New Roman"/>
          <w:sz w:val="24"/>
          <w:szCs w:val="24"/>
        </w:rPr>
        <w:t xml:space="preserve"> on examining the role of the Indian Council for Cultural Relations (ICCR) Socio-Economic Scheme in fostering international understanding among international students pursuing higher education in India. The ICCR socio-economic scheme is positioned as the key independent variable, given its function as an instrument of cultural diplomacy, designed to enhance students’ cross-cultural communication skills, appreciation of cultural diversity, and global outlook.</w:t>
      </w:r>
    </w:p>
    <w:p w14:paraId="2FB9FDD5" w14:textId="77777777" w:rsidR="00753A2D" w:rsidRPr="00753A2D" w:rsidRDefault="00753A2D" w:rsidP="00753A2D">
      <w:pPr>
        <w:spacing w:before="100" w:beforeAutospacing="1" w:after="100" w:afterAutospacing="1" w:line="240" w:lineRule="auto"/>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International understanding is identified as the dependent variable, reflecting the extent to which international students develop mutual respect, cultural awareness, and positive perceptions of India. The proposed model delineates the relationship between the ICCR socio-economic scheme and international understanding, providing a structured basis for the formulation of research hypotheses and guiding the empirical analysis of the scheme’s impact.</w:t>
      </w:r>
    </w:p>
    <w:p w14:paraId="2BF8EF97" w14:textId="77777777" w:rsidR="00441B72" w:rsidRDefault="00441B72" w:rsidP="00C75CC1">
      <w:pPr>
        <w:spacing w:after="0" w:line="480" w:lineRule="auto"/>
        <w:ind w:firstLine="720"/>
        <w:jc w:val="both"/>
        <w:rPr>
          <w:rFonts w:ascii="Times New Roman" w:eastAsia="Calibri" w:hAnsi="Times New Roman" w:cs="Times New Roman"/>
          <w:sz w:val="24"/>
          <w:szCs w:val="24"/>
          <w:lang w:val="en-IN"/>
        </w:rPr>
      </w:pPr>
    </w:p>
    <w:p w14:paraId="58785514" w14:textId="77777777" w:rsidR="00441B72" w:rsidRPr="00C75CC1" w:rsidRDefault="00441B72" w:rsidP="00C75CC1">
      <w:pPr>
        <w:spacing w:after="0" w:line="480" w:lineRule="auto"/>
        <w:ind w:firstLine="720"/>
        <w:jc w:val="both"/>
        <w:rPr>
          <w:rFonts w:ascii="Times New Roman" w:eastAsia="Calibri" w:hAnsi="Times New Roman" w:cs="Times New Roman"/>
          <w:sz w:val="24"/>
          <w:szCs w:val="24"/>
          <w:lang w:val="en-IN"/>
        </w:rPr>
      </w:pPr>
    </w:p>
    <w:p w14:paraId="35844E46" w14:textId="76E9FEB8" w:rsidR="00767026"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RESEARCH QUESTION:</w:t>
      </w:r>
    </w:p>
    <w:p w14:paraId="16D875BC" w14:textId="56FCFB76" w:rsidR="00C9291B" w:rsidRPr="00A36CFE" w:rsidRDefault="00C9291B" w:rsidP="00C9291B">
      <w:pPr>
        <w:pStyle w:val="ListParagraph"/>
        <w:spacing w:line="480" w:lineRule="auto"/>
        <w:rPr>
          <w:rFonts w:asciiTheme="majorBidi" w:hAnsiTheme="majorBidi"/>
          <w:color w:val="000000" w:themeColor="text1"/>
          <w:sz w:val="24"/>
          <w:szCs w:val="24"/>
        </w:rPr>
      </w:pPr>
      <w:r w:rsidRPr="00A36CFE">
        <w:rPr>
          <w:rFonts w:asciiTheme="majorBidi" w:hAnsiTheme="majorBidi"/>
          <w:color w:val="000000" w:themeColor="text1"/>
          <w:sz w:val="24"/>
          <w:szCs w:val="24"/>
        </w:rPr>
        <w:t xml:space="preserve">How does the ICCR's </w:t>
      </w:r>
      <w:r w:rsidR="00B36F01">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Scheme influence international understanding among international students in India?</w:t>
      </w:r>
    </w:p>
    <w:p w14:paraId="6990CE39" w14:textId="43D0851C" w:rsidR="00C9291B"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OBJECTIVE OF THE STUDY:</w:t>
      </w:r>
      <w:bookmarkStart w:id="2" w:name="_Hlk215309123"/>
    </w:p>
    <w:p w14:paraId="759F492D" w14:textId="4C4AF493" w:rsidR="002C682E" w:rsidRPr="00A36CFE" w:rsidRDefault="00C9291B" w:rsidP="00C9291B">
      <w:pPr>
        <w:pStyle w:val="ListParagraph"/>
        <w:spacing w:line="480" w:lineRule="auto"/>
        <w:rPr>
          <w:rFonts w:asciiTheme="majorBidi" w:hAnsiTheme="majorBidi"/>
          <w:color w:val="000000" w:themeColor="text1"/>
          <w:sz w:val="24"/>
          <w:szCs w:val="24"/>
        </w:rPr>
      </w:pPr>
      <w:r w:rsidRPr="00A36CFE">
        <w:rPr>
          <w:rFonts w:asciiTheme="majorBidi" w:hAnsiTheme="majorBidi"/>
          <w:color w:val="000000" w:themeColor="text1"/>
          <w:sz w:val="24"/>
          <w:szCs w:val="24"/>
        </w:rPr>
        <w:t xml:space="preserve">To assess the role of ICCR's </w:t>
      </w:r>
      <w:r w:rsidR="00B36F01">
        <w:rPr>
          <w:rFonts w:asciiTheme="majorBidi" w:hAnsiTheme="majorBidi"/>
          <w:color w:val="000000" w:themeColor="text1"/>
          <w:sz w:val="24"/>
          <w:szCs w:val="24"/>
        </w:rPr>
        <w:t>Socio-Economic</w:t>
      </w:r>
      <w:r w:rsidR="00B36F01" w:rsidRPr="00A36CFE">
        <w:rPr>
          <w:rFonts w:asciiTheme="majorBidi" w:hAnsiTheme="majorBidi"/>
          <w:color w:val="000000" w:themeColor="text1"/>
          <w:sz w:val="24"/>
          <w:szCs w:val="24"/>
        </w:rPr>
        <w:t xml:space="preserve"> </w:t>
      </w:r>
      <w:r w:rsidRPr="00A36CFE">
        <w:rPr>
          <w:rFonts w:asciiTheme="majorBidi" w:hAnsiTheme="majorBidi"/>
          <w:color w:val="000000" w:themeColor="text1"/>
          <w:sz w:val="24"/>
          <w:szCs w:val="24"/>
        </w:rPr>
        <w:t>scheme on international understanding.</w:t>
      </w:r>
    </w:p>
    <w:bookmarkEnd w:id="2"/>
    <w:p w14:paraId="1873B8F4" w14:textId="530819EE" w:rsidR="00767026"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HYPOTHESIS:</w:t>
      </w:r>
    </w:p>
    <w:p w14:paraId="75B56718" w14:textId="04DB6262" w:rsidR="002C682E" w:rsidRPr="00A36CFE" w:rsidRDefault="00441B72" w:rsidP="002C682E">
      <w:pPr>
        <w:pStyle w:val="ListParagraph"/>
        <w:spacing w:before="240" w:line="360" w:lineRule="auto"/>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lastRenderedPageBreak/>
        <w:t xml:space="preserve">The </w:t>
      </w:r>
      <w:r w:rsidR="002C682E" w:rsidRPr="00A36CFE">
        <w:rPr>
          <w:rFonts w:asciiTheme="majorBidi" w:hAnsiTheme="majorBidi" w:cstheme="majorBidi"/>
          <w:color w:val="000000" w:themeColor="text1"/>
          <w:sz w:val="24"/>
          <w:szCs w:val="24"/>
        </w:rPr>
        <w:t xml:space="preserve">ICCR </w:t>
      </w:r>
      <w:r w:rsidR="00B36F01">
        <w:rPr>
          <w:rFonts w:asciiTheme="majorBidi" w:hAnsiTheme="majorBidi"/>
          <w:color w:val="000000" w:themeColor="text1"/>
          <w:sz w:val="24"/>
          <w:szCs w:val="24"/>
        </w:rPr>
        <w:t>Socio-Economic</w:t>
      </w:r>
      <w:r w:rsidR="002C682E" w:rsidRPr="00A36CFE">
        <w:rPr>
          <w:rFonts w:asciiTheme="majorBidi" w:hAnsiTheme="majorBidi" w:cstheme="majorBidi"/>
          <w:color w:val="000000" w:themeColor="text1"/>
          <w:sz w:val="24"/>
          <w:szCs w:val="24"/>
        </w:rPr>
        <w:t xml:space="preserve"> scheme has a significant role in </w:t>
      </w:r>
      <w:r>
        <w:rPr>
          <w:rFonts w:asciiTheme="majorBidi" w:hAnsiTheme="majorBidi" w:cstheme="majorBidi"/>
          <w:color w:val="000000" w:themeColor="text1"/>
          <w:sz w:val="24"/>
          <w:szCs w:val="24"/>
        </w:rPr>
        <w:t>enhancing</w:t>
      </w:r>
      <w:r w:rsidR="002C682E" w:rsidRPr="00A36CFE">
        <w:rPr>
          <w:rFonts w:asciiTheme="majorBidi" w:hAnsiTheme="majorBidi" w:cstheme="majorBidi"/>
          <w:color w:val="000000" w:themeColor="text1"/>
          <w:sz w:val="24"/>
          <w:szCs w:val="24"/>
        </w:rPr>
        <w:t xml:space="preserve"> international understanding.</w:t>
      </w:r>
    </w:p>
    <w:p w14:paraId="72BFC072" w14:textId="3632906D" w:rsidR="002C682E"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METHODOLOGY:</w:t>
      </w:r>
    </w:p>
    <w:p w14:paraId="396F930E" w14:textId="6B29301B" w:rsidR="003D351A" w:rsidRPr="007977DF" w:rsidRDefault="004F3A80" w:rsidP="003D351A">
      <w:pPr>
        <w:pStyle w:val="BodyText"/>
        <w:spacing w:line="480" w:lineRule="auto"/>
        <w:ind w:right="20" w:firstLine="719"/>
        <w:jc w:val="both"/>
        <w:rPr>
          <w:rFonts w:asciiTheme="majorBidi" w:hAnsiTheme="majorBidi" w:cstheme="majorBidi"/>
        </w:rPr>
      </w:pPr>
      <w:r w:rsidRPr="00A36CFE">
        <w:rPr>
          <w:rFonts w:asciiTheme="majorBidi" w:hAnsiTheme="majorBidi" w:cstheme="majorBidi"/>
        </w:rPr>
        <w:t xml:space="preserve">This study employed qualitative and quantitative research techniques. A descriptive and exploratory research design was selected to </w:t>
      </w:r>
      <w:r w:rsidR="00FF1389" w:rsidRPr="00A36CFE">
        <w:rPr>
          <w:rFonts w:asciiTheme="majorBidi" w:hAnsiTheme="majorBidi" w:cstheme="majorBidi"/>
        </w:rPr>
        <w:t xml:space="preserve">investigate the Role of the Indian Council for Cultural Relations (ICCR) </w:t>
      </w:r>
      <w:r w:rsidR="00B36F01">
        <w:rPr>
          <w:rFonts w:asciiTheme="majorBidi" w:hAnsiTheme="majorBidi"/>
          <w:color w:val="000000" w:themeColor="text1"/>
        </w:rPr>
        <w:t>Socio-</w:t>
      </w:r>
      <w:r w:rsidR="00373884">
        <w:rPr>
          <w:rFonts w:asciiTheme="majorBidi" w:hAnsiTheme="majorBidi"/>
          <w:color w:val="000000" w:themeColor="text1"/>
        </w:rPr>
        <w:t>Economic</w:t>
      </w:r>
      <w:r w:rsidR="00373884" w:rsidRPr="00A36CFE">
        <w:rPr>
          <w:rFonts w:asciiTheme="majorBidi" w:hAnsiTheme="majorBidi"/>
          <w:color w:val="000000" w:themeColor="text1"/>
        </w:rPr>
        <w:t xml:space="preserve"> </w:t>
      </w:r>
      <w:r w:rsidR="00373884" w:rsidRPr="00A36CFE">
        <w:rPr>
          <w:rFonts w:asciiTheme="majorBidi" w:hAnsiTheme="majorBidi" w:cstheme="majorBidi"/>
        </w:rPr>
        <w:t>Scheme</w:t>
      </w:r>
      <w:r w:rsidR="00FF1389" w:rsidRPr="00A36CFE">
        <w:rPr>
          <w:rFonts w:asciiTheme="majorBidi" w:hAnsiTheme="majorBidi" w:cstheme="majorBidi"/>
        </w:rPr>
        <w:t xml:space="preserve"> in promoting international understanding</w:t>
      </w:r>
      <w:r w:rsidRPr="00A36CFE">
        <w:rPr>
          <w:rFonts w:asciiTheme="majorBidi" w:hAnsiTheme="majorBidi" w:cstheme="majorBidi"/>
        </w:rPr>
        <w:t xml:space="preserve"> among International Students in India. </w:t>
      </w:r>
      <w:r w:rsidR="003D351A">
        <w:rPr>
          <w:rFonts w:asciiTheme="majorBidi" w:hAnsiTheme="majorBidi" w:cstheme="majorBidi"/>
        </w:rPr>
        <w:t>Among international students studying in India under the ICCR scholarship</w:t>
      </w:r>
      <w:r w:rsidR="003D351A" w:rsidRPr="007977DF">
        <w:rPr>
          <w:rFonts w:asciiTheme="majorBidi" w:hAnsiTheme="majorBidi" w:cstheme="majorBidi"/>
        </w:rPr>
        <w:t>,</w:t>
      </w:r>
      <w:r w:rsidR="003D351A" w:rsidRPr="007977DF">
        <w:rPr>
          <w:rFonts w:asciiTheme="majorBidi" w:hAnsiTheme="majorBidi" w:cstheme="majorBidi"/>
          <w:spacing w:val="-1"/>
        </w:rPr>
        <w:t xml:space="preserve"> </w:t>
      </w:r>
      <w:r w:rsidR="003D351A" w:rsidRPr="007977DF">
        <w:rPr>
          <w:rFonts w:asciiTheme="majorBidi" w:hAnsiTheme="majorBidi" w:cstheme="majorBidi"/>
        </w:rPr>
        <w:t>the</w:t>
      </w:r>
      <w:r w:rsidR="003D351A" w:rsidRPr="007977DF">
        <w:rPr>
          <w:rFonts w:asciiTheme="majorBidi" w:hAnsiTheme="majorBidi" w:cstheme="majorBidi"/>
          <w:spacing w:val="-2"/>
        </w:rPr>
        <w:t xml:space="preserve"> </w:t>
      </w:r>
      <w:r w:rsidR="003D351A" w:rsidRPr="007977DF">
        <w:rPr>
          <w:rFonts w:asciiTheme="majorBidi" w:hAnsiTheme="majorBidi" w:cstheme="majorBidi"/>
        </w:rPr>
        <w:t>total</w:t>
      </w:r>
      <w:r w:rsidR="003D351A" w:rsidRPr="007977DF">
        <w:rPr>
          <w:rFonts w:asciiTheme="majorBidi" w:hAnsiTheme="majorBidi" w:cstheme="majorBidi"/>
          <w:spacing w:val="-1"/>
        </w:rPr>
        <w:t xml:space="preserve"> </w:t>
      </w:r>
      <w:r w:rsidR="003D351A" w:rsidRPr="007977DF">
        <w:rPr>
          <w:rFonts w:asciiTheme="majorBidi" w:hAnsiTheme="majorBidi" w:cstheme="majorBidi"/>
        </w:rPr>
        <w:t>population</w:t>
      </w:r>
      <w:r w:rsidR="003D351A" w:rsidRPr="007977DF">
        <w:rPr>
          <w:rFonts w:asciiTheme="majorBidi" w:hAnsiTheme="majorBidi" w:cstheme="majorBidi"/>
          <w:spacing w:val="-1"/>
        </w:rPr>
        <w:t xml:space="preserve"> </w:t>
      </w:r>
      <w:r w:rsidR="003D351A" w:rsidRPr="007977DF">
        <w:rPr>
          <w:rFonts w:asciiTheme="majorBidi" w:hAnsiTheme="majorBidi" w:cstheme="majorBidi"/>
        </w:rPr>
        <w:t>was</w:t>
      </w:r>
      <w:r w:rsidR="003D351A" w:rsidRPr="007977DF">
        <w:rPr>
          <w:rFonts w:asciiTheme="majorBidi" w:hAnsiTheme="majorBidi" w:cstheme="majorBidi"/>
          <w:spacing w:val="-4"/>
        </w:rPr>
        <w:t xml:space="preserve"> </w:t>
      </w:r>
      <w:r w:rsidR="003D351A" w:rsidRPr="007977DF">
        <w:rPr>
          <w:rFonts w:asciiTheme="majorBidi" w:hAnsiTheme="majorBidi" w:cstheme="majorBidi"/>
        </w:rPr>
        <w:t>5,449</w:t>
      </w:r>
      <w:r w:rsidR="003D351A">
        <w:rPr>
          <w:rFonts w:asciiTheme="majorBidi" w:hAnsiTheme="majorBidi" w:cstheme="majorBidi"/>
          <w:spacing w:val="-6"/>
        </w:rPr>
        <w:t xml:space="preserve">. </w:t>
      </w:r>
      <w:r w:rsidR="00AC6A5F" w:rsidRPr="007977DF">
        <w:rPr>
          <w:rFonts w:asciiTheme="majorBidi" w:hAnsiTheme="majorBidi" w:cstheme="majorBidi"/>
        </w:rPr>
        <w:t>Using</w:t>
      </w:r>
      <w:r w:rsidR="00AC6A5F" w:rsidRPr="007977DF">
        <w:rPr>
          <w:rFonts w:asciiTheme="majorBidi" w:hAnsiTheme="majorBidi" w:cstheme="majorBidi"/>
          <w:spacing w:val="-2"/>
        </w:rPr>
        <w:t xml:space="preserve"> </w:t>
      </w:r>
      <w:r w:rsidR="00AC6A5F" w:rsidRPr="007977DF">
        <w:rPr>
          <w:rFonts w:asciiTheme="majorBidi" w:hAnsiTheme="majorBidi" w:cstheme="majorBidi"/>
        </w:rPr>
        <w:t xml:space="preserve">Taro Yamane’s formula for </w:t>
      </w:r>
      <w:r w:rsidR="00441B72">
        <w:rPr>
          <w:rFonts w:asciiTheme="majorBidi" w:hAnsiTheme="majorBidi" w:cstheme="majorBidi"/>
        </w:rPr>
        <w:t>sample size, the authors selected 373 International students studying under the ICCR scheme at various universities across different states of India,</w:t>
      </w:r>
      <w:r w:rsidR="003D351A">
        <w:rPr>
          <w:rFonts w:asciiTheme="majorBidi" w:hAnsiTheme="majorBidi" w:cstheme="majorBidi"/>
        </w:rPr>
        <w:t xml:space="preserve"> </w:t>
      </w:r>
      <w:r w:rsidR="003D351A" w:rsidRPr="007977DF">
        <w:rPr>
          <w:rFonts w:asciiTheme="majorBidi" w:hAnsiTheme="majorBidi" w:cstheme="majorBidi"/>
        </w:rPr>
        <w:t>using a</w:t>
      </w:r>
      <w:r w:rsidR="003D351A" w:rsidRPr="007977DF">
        <w:rPr>
          <w:rFonts w:asciiTheme="majorBidi" w:hAnsiTheme="majorBidi" w:cstheme="majorBidi"/>
          <w:spacing w:val="-4"/>
        </w:rPr>
        <w:t xml:space="preserve"> </w:t>
      </w:r>
      <w:r w:rsidR="003D351A" w:rsidRPr="007977DF">
        <w:rPr>
          <w:rFonts w:asciiTheme="majorBidi" w:hAnsiTheme="majorBidi" w:cstheme="majorBidi"/>
        </w:rPr>
        <w:t>random</w:t>
      </w:r>
      <w:r w:rsidR="003D351A" w:rsidRPr="007977DF">
        <w:rPr>
          <w:rFonts w:asciiTheme="majorBidi" w:hAnsiTheme="majorBidi" w:cstheme="majorBidi"/>
          <w:spacing w:val="-1"/>
        </w:rPr>
        <w:t xml:space="preserve"> </w:t>
      </w:r>
      <w:r w:rsidR="003D351A" w:rsidRPr="007977DF">
        <w:rPr>
          <w:rFonts w:asciiTheme="majorBidi" w:hAnsiTheme="majorBidi" w:cstheme="majorBidi"/>
        </w:rPr>
        <w:t>sampling technique.</w:t>
      </w:r>
      <w:r w:rsidR="003D351A" w:rsidRPr="007977DF">
        <w:rPr>
          <w:rFonts w:asciiTheme="majorBidi" w:hAnsiTheme="majorBidi" w:cstheme="majorBidi"/>
          <w:spacing w:val="-6"/>
        </w:rPr>
        <w:t xml:space="preserve"> </w:t>
      </w:r>
      <w:r w:rsidR="003D351A" w:rsidRPr="007977DF">
        <w:rPr>
          <w:rFonts w:asciiTheme="majorBidi" w:hAnsiTheme="majorBidi" w:cstheme="majorBidi"/>
        </w:rPr>
        <w:t xml:space="preserve">The respondents were </w:t>
      </w:r>
      <w:r w:rsidR="003D351A">
        <w:rPr>
          <w:rFonts w:asciiTheme="majorBidi" w:hAnsiTheme="majorBidi" w:cstheme="majorBidi"/>
        </w:rPr>
        <w:t>international students pursuing their undergraduate, postgraduate, and Ph.D. Degrees</w:t>
      </w:r>
      <w:r w:rsidR="003D351A" w:rsidRPr="007977DF">
        <w:rPr>
          <w:rFonts w:asciiTheme="majorBidi" w:hAnsiTheme="majorBidi" w:cstheme="majorBidi"/>
        </w:rPr>
        <w:t>.</w:t>
      </w:r>
    </w:p>
    <w:p w14:paraId="708C170F" w14:textId="14DAC828" w:rsidR="004F3A80" w:rsidRDefault="004F3A80" w:rsidP="00AC6A5F">
      <w:pPr>
        <w:spacing w:line="480" w:lineRule="auto"/>
        <w:ind w:firstLine="720"/>
        <w:jc w:val="both"/>
        <w:rPr>
          <w:rFonts w:asciiTheme="majorBidi" w:hAnsiTheme="majorBidi" w:cstheme="majorBidi"/>
          <w:sz w:val="24"/>
          <w:szCs w:val="24"/>
        </w:rPr>
      </w:pPr>
      <w:r w:rsidRPr="00A36CFE">
        <w:rPr>
          <w:rFonts w:asciiTheme="majorBidi" w:hAnsiTheme="majorBidi" w:cstheme="majorBidi"/>
          <w:sz w:val="24"/>
          <w:szCs w:val="24"/>
        </w:rPr>
        <w:t xml:space="preserve">The </w:t>
      </w:r>
      <w:r w:rsidR="00AC6A5F">
        <w:rPr>
          <w:rFonts w:asciiTheme="majorBidi" w:hAnsiTheme="majorBidi" w:cstheme="majorBidi"/>
          <w:sz w:val="24"/>
          <w:szCs w:val="24"/>
        </w:rPr>
        <w:t>S</w:t>
      </w:r>
      <w:r w:rsidR="00FF1389" w:rsidRPr="00A36CFE">
        <w:rPr>
          <w:rFonts w:asciiTheme="majorBidi" w:hAnsiTheme="majorBidi" w:cstheme="majorBidi"/>
          <w:sz w:val="24"/>
          <w:szCs w:val="24"/>
        </w:rPr>
        <w:t>tructured questionnaire</w:t>
      </w:r>
      <w:r w:rsidR="00AC6A5F" w:rsidRPr="00AC6A5F">
        <w:rPr>
          <w:rFonts w:asciiTheme="majorBidi" w:hAnsiTheme="majorBidi" w:cstheme="majorBidi"/>
          <w:sz w:val="24"/>
          <w:szCs w:val="24"/>
        </w:rPr>
        <w:t xml:space="preserve"> </w:t>
      </w:r>
      <w:r w:rsidR="00AC6A5F">
        <w:rPr>
          <w:rFonts w:asciiTheme="majorBidi" w:hAnsiTheme="majorBidi" w:cstheme="majorBidi"/>
          <w:sz w:val="24"/>
          <w:szCs w:val="24"/>
        </w:rPr>
        <w:t>was</w:t>
      </w:r>
      <w:r w:rsidR="00AC6A5F" w:rsidRPr="00AC6A5F">
        <w:rPr>
          <w:rFonts w:asciiTheme="majorBidi" w:hAnsiTheme="majorBidi" w:cstheme="majorBidi"/>
          <w:sz w:val="24"/>
          <w:szCs w:val="24"/>
        </w:rPr>
        <w:t xml:space="preserve"> used for data collection</w:t>
      </w:r>
      <w:r w:rsidR="00FF1389" w:rsidRPr="00A36CFE">
        <w:rPr>
          <w:rFonts w:asciiTheme="majorBidi" w:hAnsiTheme="majorBidi" w:cstheme="majorBidi"/>
          <w:sz w:val="24"/>
          <w:szCs w:val="24"/>
        </w:rPr>
        <w:t>, which was analyzed using SPSS version 25</w:t>
      </w:r>
      <w:r w:rsidRPr="00A36CFE">
        <w:rPr>
          <w:rFonts w:asciiTheme="majorBidi" w:hAnsiTheme="majorBidi" w:cstheme="majorBidi"/>
          <w:sz w:val="24"/>
          <w:szCs w:val="24"/>
        </w:rPr>
        <w:t xml:space="preserve">. Also, the study employed descriptive, correlation, and regression analysis to analyze </w:t>
      </w:r>
      <w:r w:rsidR="008A1673" w:rsidRPr="00A36CFE">
        <w:rPr>
          <w:rFonts w:asciiTheme="majorBidi" w:hAnsiTheme="majorBidi" w:cstheme="majorBidi"/>
          <w:sz w:val="24"/>
          <w:szCs w:val="24"/>
        </w:rPr>
        <w:t xml:space="preserve">the </w:t>
      </w:r>
      <w:r w:rsidRPr="00A36CFE">
        <w:rPr>
          <w:rFonts w:asciiTheme="majorBidi" w:hAnsiTheme="majorBidi" w:cstheme="majorBidi"/>
          <w:sz w:val="24"/>
          <w:szCs w:val="24"/>
        </w:rPr>
        <w:t>collected data.</w:t>
      </w:r>
    </w:p>
    <w:p w14:paraId="28997E22" w14:textId="77777777" w:rsidR="00441B72" w:rsidRDefault="00441B72" w:rsidP="00AC6A5F">
      <w:pPr>
        <w:spacing w:line="480" w:lineRule="auto"/>
        <w:ind w:firstLine="720"/>
        <w:jc w:val="both"/>
        <w:rPr>
          <w:rFonts w:asciiTheme="majorBidi" w:hAnsiTheme="majorBidi" w:cstheme="majorBidi"/>
          <w:sz w:val="24"/>
          <w:szCs w:val="24"/>
        </w:rPr>
      </w:pPr>
    </w:p>
    <w:p w14:paraId="4B9109B1" w14:textId="77777777" w:rsidR="00441B72" w:rsidRPr="00A36CFE" w:rsidRDefault="00441B72" w:rsidP="00AC6A5F">
      <w:pPr>
        <w:spacing w:line="480" w:lineRule="auto"/>
        <w:ind w:firstLine="720"/>
        <w:jc w:val="both"/>
        <w:rPr>
          <w:rFonts w:asciiTheme="majorBidi" w:hAnsiTheme="majorBidi" w:cstheme="majorBidi"/>
          <w:sz w:val="24"/>
          <w:szCs w:val="24"/>
        </w:rPr>
      </w:pPr>
    </w:p>
    <w:p w14:paraId="495D97BB" w14:textId="77777777" w:rsidR="00767026"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DATA ANALYSIS AND INTERPRETATION:</w:t>
      </w:r>
    </w:p>
    <w:p w14:paraId="645F2342" w14:textId="7B803870" w:rsidR="004F3A80" w:rsidRPr="00A36CFE" w:rsidRDefault="004F3A80" w:rsidP="002759D0">
      <w:pPr>
        <w:pStyle w:val="ListParagraph"/>
        <w:spacing w:line="480" w:lineRule="auto"/>
        <w:ind w:left="1080"/>
        <w:jc w:val="center"/>
        <w:rPr>
          <w:rFonts w:asciiTheme="majorBidi" w:hAnsiTheme="majorBidi" w:cstheme="majorBidi"/>
          <w:b/>
          <w:bCs/>
          <w:sz w:val="24"/>
          <w:szCs w:val="24"/>
        </w:rPr>
      </w:pPr>
      <w:r w:rsidRPr="00A36CFE">
        <w:rPr>
          <w:rFonts w:asciiTheme="majorBidi" w:hAnsiTheme="majorBidi" w:cstheme="majorBidi"/>
          <w:b/>
          <w:bCs/>
          <w:sz w:val="24"/>
          <w:szCs w:val="24"/>
        </w:rPr>
        <w:t xml:space="preserve">Table 1. Descriptive </w:t>
      </w:r>
      <w:r w:rsidR="008A1673" w:rsidRPr="00A36CFE">
        <w:rPr>
          <w:rFonts w:asciiTheme="majorBidi" w:hAnsiTheme="majorBidi" w:cstheme="majorBidi"/>
          <w:b/>
          <w:bCs/>
          <w:sz w:val="24"/>
          <w:szCs w:val="24"/>
        </w:rPr>
        <w:t>Statistics</w:t>
      </w:r>
      <w:r w:rsidRPr="00A36CFE">
        <w:rPr>
          <w:rFonts w:asciiTheme="majorBidi" w:hAnsiTheme="majorBidi" w:cstheme="majorBidi"/>
          <w:b/>
          <w:bCs/>
          <w:sz w:val="24"/>
          <w:szCs w:val="24"/>
        </w:rPr>
        <w:t xml:space="preserve"> of </w:t>
      </w:r>
      <w:r w:rsidR="008A1673" w:rsidRPr="00A36CFE">
        <w:rPr>
          <w:rFonts w:asciiTheme="majorBidi" w:hAnsiTheme="majorBidi" w:cstheme="majorBidi"/>
          <w:b/>
          <w:bCs/>
          <w:sz w:val="24"/>
          <w:szCs w:val="24"/>
        </w:rPr>
        <w:t>Demographics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062"/>
        <w:gridCol w:w="1271"/>
        <w:gridCol w:w="1814"/>
      </w:tblGrid>
      <w:tr w:rsidR="00557349" w:rsidRPr="00A36CFE" w14:paraId="6476EDF9" w14:textId="77777777" w:rsidTr="00717AA8">
        <w:tc>
          <w:tcPr>
            <w:tcW w:w="1595" w:type="pct"/>
            <w:tcBorders>
              <w:top w:val="single" w:sz="4" w:space="0" w:color="auto"/>
              <w:bottom w:val="single" w:sz="4" w:space="0" w:color="auto"/>
            </w:tcBorders>
          </w:tcPr>
          <w:p w14:paraId="30D880F5" w14:textId="05A36EA5"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c>
          <w:tcPr>
            <w:tcW w:w="1696" w:type="pct"/>
            <w:tcBorders>
              <w:top w:val="single" w:sz="4" w:space="0" w:color="auto"/>
              <w:bottom w:val="single" w:sz="4" w:space="0" w:color="auto"/>
            </w:tcBorders>
          </w:tcPr>
          <w:p w14:paraId="7CD7F2A5" w14:textId="53EA2B2A" w:rsidR="00557349" w:rsidRPr="00A36CFE" w:rsidRDefault="00717AA8" w:rsidP="002759D0">
            <w:pPr>
              <w:pStyle w:val="ListParagraph"/>
              <w:spacing w:line="480" w:lineRule="auto"/>
              <w:ind w:left="0"/>
              <w:jc w:val="center"/>
              <w:rPr>
                <w:rFonts w:asciiTheme="majorBidi" w:hAnsiTheme="majorBidi" w:cstheme="majorBidi"/>
                <w:b/>
                <w:bCs/>
                <w:sz w:val="24"/>
                <w:szCs w:val="24"/>
              </w:rPr>
            </w:pPr>
            <w:r w:rsidRPr="00A36CFE">
              <w:rPr>
                <w:rFonts w:asciiTheme="majorBidi" w:hAnsiTheme="majorBidi" w:cstheme="majorBidi"/>
                <w:b/>
                <w:bCs/>
                <w:sz w:val="24"/>
                <w:szCs w:val="24"/>
              </w:rPr>
              <w:t>Descriptive Statistics</w:t>
            </w:r>
          </w:p>
        </w:tc>
        <w:tc>
          <w:tcPr>
            <w:tcW w:w="704" w:type="pct"/>
            <w:tcBorders>
              <w:top w:val="single" w:sz="4" w:space="0" w:color="auto"/>
              <w:bottom w:val="single" w:sz="4" w:space="0" w:color="auto"/>
            </w:tcBorders>
          </w:tcPr>
          <w:p w14:paraId="03849443" w14:textId="162714C0"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c>
          <w:tcPr>
            <w:tcW w:w="1005" w:type="pct"/>
            <w:tcBorders>
              <w:top w:val="single" w:sz="4" w:space="0" w:color="auto"/>
              <w:bottom w:val="single" w:sz="4" w:space="0" w:color="auto"/>
            </w:tcBorders>
          </w:tcPr>
          <w:p w14:paraId="10388C9C" w14:textId="7453D580"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r>
      <w:tr w:rsidR="00557349" w:rsidRPr="00A36CFE" w14:paraId="64157BC4" w14:textId="77777777" w:rsidTr="00717AA8">
        <w:tc>
          <w:tcPr>
            <w:tcW w:w="1595" w:type="pct"/>
            <w:tcBorders>
              <w:top w:val="single" w:sz="4" w:space="0" w:color="auto"/>
            </w:tcBorders>
          </w:tcPr>
          <w:p w14:paraId="4194573A" w14:textId="4F3281D7" w:rsidR="00557349" w:rsidRPr="00A36CFE" w:rsidRDefault="00557349" w:rsidP="00717AA8">
            <w:pPr>
              <w:pStyle w:val="ListParagraph"/>
              <w:spacing w:line="480" w:lineRule="auto"/>
              <w:ind w:left="0"/>
              <w:rPr>
                <w:rFonts w:asciiTheme="majorBidi" w:hAnsiTheme="majorBidi" w:cstheme="majorBidi"/>
                <w:sz w:val="24"/>
                <w:szCs w:val="24"/>
              </w:rPr>
            </w:pPr>
          </w:p>
        </w:tc>
        <w:tc>
          <w:tcPr>
            <w:tcW w:w="1696" w:type="pct"/>
            <w:tcBorders>
              <w:top w:val="single" w:sz="4" w:space="0" w:color="auto"/>
            </w:tcBorders>
          </w:tcPr>
          <w:p w14:paraId="72E329E1" w14:textId="630E7F2B"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N</w:t>
            </w:r>
          </w:p>
        </w:tc>
        <w:tc>
          <w:tcPr>
            <w:tcW w:w="704" w:type="pct"/>
            <w:tcBorders>
              <w:top w:val="single" w:sz="4" w:space="0" w:color="auto"/>
            </w:tcBorders>
          </w:tcPr>
          <w:p w14:paraId="0FCA8677" w14:textId="0D4A09C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Mean</w:t>
            </w:r>
          </w:p>
        </w:tc>
        <w:tc>
          <w:tcPr>
            <w:tcW w:w="1005" w:type="pct"/>
            <w:tcBorders>
              <w:top w:val="single" w:sz="4" w:space="0" w:color="auto"/>
            </w:tcBorders>
          </w:tcPr>
          <w:p w14:paraId="67954218" w14:textId="33D6FA1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Std. Deviation</w:t>
            </w:r>
          </w:p>
        </w:tc>
      </w:tr>
      <w:tr w:rsidR="00557349" w:rsidRPr="00A36CFE" w14:paraId="42366745" w14:textId="77777777" w:rsidTr="00717AA8">
        <w:tc>
          <w:tcPr>
            <w:tcW w:w="1595" w:type="pct"/>
          </w:tcPr>
          <w:p w14:paraId="273A015F" w14:textId="22AE0D9E"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Gender of Respondents</w:t>
            </w:r>
          </w:p>
        </w:tc>
        <w:tc>
          <w:tcPr>
            <w:tcW w:w="1696" w:type="pct"/>
          </w:tcPr>
          <w:p w14:paraId="775353F4" w14:textId="4FDCFEE2"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52C8AB8E" w14:textId="4B483699"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1.3700</w:t>
            </w:r>
          </w:p>
        </w:tc>
        <w:tc>
          <w:tcPr>
            <w:tcW w:w="1005" w:type="pct"/>
          </w:tcPr>
          <w:p w14:paraId="776A406C" w14:textId="7C92ADC4"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.48345</w:t>
            </w:r>
          </w:p>
        </w:tc>
      </w:tr>
      <w:tr w:rsidR="00557349" w:rsidRPr="00A36CFE" w14:paraId="0B6E91A2" w14:textId="77777777" w:rsidTr="00717AA8">
        <w:tc>
          <w:tcPr>
            <w:tcW w:w="1595" w:type="pct"/>
          </w:tcPr>
          <w:p w14:paraId="3C249B9B" w14:textId="6CE89D45"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Age of Respondents</w:t>
            </w:r>
          </w:p>
        </w:tc>
        <w:tc>
          <w:tcPr>
            <w:tcW w:w="1696" w:type="pct"/>
          </w:tcPr>
          <w:p w14:paraId="63726578" w14:textId="4A52F0E3"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36AB9678" w14:textId="14FA482D"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2.0912</w:t>
            </w:r>
          </w:p>
        </w:tc>
        <w:tc>
          <w:tcPr>
            <w:tcW w:w="1005" w:type="pct"/>
          </w:tcPr>
          <w:p w14:paraId="6FB84651" w14:textId="4E1429A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.97675</w:t>
            </w:r>
          </w:p>
        </w:tc>
      </w:tr>
      <w:tr w:rsidR="00557349" w:rsidRPr="00A36CFE" w14:paraId="08B9DA6E" w14:textId="77777777" w:rsidTr="00717AA8">
        <w:tc>
          <w:tcPr>
            <w:tcW w:w="1595" w:type="pct"/>
          </w:tcPr>
          <w:p w14:paraId="2BD59F3D" w14:textId="587C201D"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Country of Respondents</w:t>
            </w:r>
          </w:p>
        </w:tc>
        <w:tc>
          <w:tcPr>
            <w:tcW w:w="1696" w:type="pct"/>
          </w:tcPr>
          <w:p w14:paraId="3D4AA128" w14:textId="7ACFFF1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731545A2" w14:textId="730316B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15.8740</w:t>
            </w:r>
          </w:p>
        </w:tc>
        <w:tc>
          <w:tcPr>
            <w:tcW w:w="1005" w:type="pct"/>
          </w:tcPr>
          <w:p w14:paraId="121D4A58" w14:textId="1552962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15.43083</w:t>
            </w:r>
          </w:p>
        </w:tc>
      </w:tr>
      <w:tr w:rsidR="00557349" w:rsidRPr="00A36CFE" w14:paraId="33ACA559" w14:textId="77777777" w:rsidTr="00717AA8">
        <w:tc>
          <w:tcPr>
            <w:tcW w:w="1595" w:type="pct"/>
          </w:tcPr>
          <w:p w14:paraId="5CFD53E0" w14:textId="4C5732F5"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lastRenderedPageBreak/>
              <w:t>Education of Respondents</w:t>
            </w:r>
          </w:p>
        </w:tc>
        <w:tc>
          <w:tcPr>
            <w:tcW w:w="1696" w:type="pct"/>
          </w:tcPr>
          <w:p w14:paraId="7D878EC4" w14:textId="767B9BCD"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547CDF9A" w14:textId="633EFBE7"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2.1394</w:t>
            </w:r>
          </w:p>
        </w:tc>
        <w:tc>
          <w:tcPr>
            <w:tcW w:w="1005" w:type="pct"/>
          </w:tcPr>
          <w:p w14:paraId="559AEE16" w14:textId="3AB4110B"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.75625</w:t>
            </w:r>
          </w:p>
        </w:tc>
      </w:tr>
      <w:tr w:rsidR="00557349" w:rsidRPr="00A36CFE" w14:paraId="62D76244" w14:textId="77777777" w:rsidTr="00717AA8">
        <w:tc>
          <w:tcPr>
            <w:tcW w:w="1595" w:type="pct"/>
          </w:tcPr>
          <w:p w14:paraId="01501BA1" w14:textId="4A48584D"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Study Year of Respondents</w:t>
            </w:r>
          </w:p>
        </w:tc>
        <w:tc>
          <w:tcPr>
            <w:tcW w:w="1696" w:type="pct"/>
          </w:tcPr>
          <w:p w14:paraId="7940B039" w14:textId="74E6B31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41B57883" w14:textId="01BCEBE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2.2708</w:t>
            </w:r>
          </w:p>
        </w:tc>
        <w:tc>
          <w:tcPr>
            <w:tcW w:w="1005" w:type="pct"/>
          </w:tcPr>
          <w:p w14:paraId="69DD1E11" w14:textId="4701DA87"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.95271</w:t>
            </w:r>
          </w:p>
        </w:tc>
      </w:tr>
      <w:tr w:rsidR="00557349" w:rsidRPr="00A36CFE" w14:paraId="0468B7B5" w14:textId="77777777" w:rsidTr="00717AA8">
        <w:tc>
          <w:tcPr>
            <w:tcW w:w="1595" w:type="pct"/>
          </w:tcPr>
          <w:p w14:paraId="7BE1C0B6" w14:textId="33C7CEF5" w:rsidR="00557349" w:rsidRPr="00A36CFE" w:rsidRDefault="00717AA8"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Duration</w:t>
            </w:r>
            <w:r w:rsidR="00557349" w:rsidRPr="00A36CFE">
              <w:rPr>
                <w:rFonts w:asciiTheme="majorBidi" w:hAnsiTheme="majorBidi" w:cstheme="majorBidi"/>
                <w:sz w:val="24"/>
                <w:szCs w:val="24"/>
              </w:rPr>
              <w:t xml:space="preserve"> </w:t>
            </w:r>
            <w:r w:rsidRPr="00A36CFE">
              <w:rPr>
                <w:rFonts w:asciiTheme="majorBidi" w:hAnsiTheme="majorBidi" w:cstheme="majorBidi"/>
                <w:sz w:val="24"/>
                <w:szCs w:val="24"/>
              </w:rPr>
              <w:t xml:space="preserve">of </w:t>
            </w:r>
            <w:r w:rsidR="00557349" w:rsidRPr="00A36CFE">
              <w:rPr>
                <w:rFonts w:asciiTheme="majorBidi" w:hAnsiTheme="majorBidi" w:cstheme="majorBidi"/>
                <w:sz w:val="24"/>
                <w:szCs w:val="24"/>
              </w:rPr>
              <w:t xml:space="preserve">Study </w:t>
            </w:r>
            <w:r w:rsidRPr="00A36CFE">
              <w:rPr>
                <w:rFonts w:asciiTheme="majorBidi" w:hAnsiTheme="majorBidi" w:cstheme="majorBidi"/>
                <w:sz w:val="24"/>
                <w:szCs w:val="24"/>
              </w:rPr>
              <w:t xml:space="preserve">of </w:t>
            </w:r>
            <w:r w:rsidR="00557349" w:rsidRPr="00A36CFE">
              <w:rPr>
                <w:rFonts w:asciiTheme="majorBidi" w:hAnsiTheme="majorBidi" w:cstheme="majorBidi"/>
                <w:sz w:val="24"/>
                <w:szCs w:val="24"/>
              </w:rPr>
              <w:t>Respondents</w:t>
            </w:r>
          </w:p>
        </w:tc>
        <w:tc>
          <w:tcPr>
            <w:tcW w:w="1696" w:type="pct"/>
          </w:tcPr>
          <w:p w14:paraId="1EAB098B" w14:textId="4571824A"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2299E40D" w14:textId="542EAEE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1.9598</w:t>
            </w:r>
          </w:p>
        </w:tc>
        <w:tc>
          <w:tcPr>
            <w:tcW w:w="1005" w:type="pct"/>
          </w:tcPr>
          <w:p w14:paraId="04CE964D" w14:textId="40524841"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.88049</w:t>
            </w:r>
          </w:p>
        </w:tc>
      </w:tr>
      <w:tr w:rsidR="00557349" w:rsidRPr="00A36CFE" w14:paraId="532AE139" w14:textId="77777777" w:rsidTr="00717AA8">
        <w:tc>
          <w:tcPr>
            <w:tcW w:w="1595" w:type="pct"/>
            <w:tcBorders>
              <w:bottom w:val="single" w:sz="4" w:space="0" w:color="auto"/>
            </w:tcBorders>
          </w:tcPr>
          <w:p w14:paraId="405C42EA" w14:textId="466E0091"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State of Respondents</w:t>
            </w:r>
          </w:p>
        </w:tc>
        <w:tc>
          <w:tcPr>
            <w:tcW w:w="1696" w:type="pct"/>
            <w:tcBorders>
              <w:bottom w:val="single" w:sz="4" w:space="0" w:color="auto"/>
            </w:tcBorders>
          </w:tcPr>
          <w:p w14:paraId="2E7FF2A3" w14:textId="1DF77BBE"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Borders>
              <w:bottom w:val="single" w:sz="4" w:space="0" w:color="auto"/>
            </w:tcBorders>
          </w:tcPr>
          <w:p w14:paraId="7D8C12B4" w14:textId="1C95574E"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3.4638</w:t>
            </w:r>
          </w:p>
        </w:tc>
        <w:tc>
          <w:tcPr>
            <w:tcW w:w="1005" w:type="pct"/>
            <w:tcBorders>
              <w:bottom w:val="single" w:sz="4" w:space="0" w:color="auto"/>
            </w:tcBorders>
          </w:tcPr>
          <w:p w14:paraId="01B68C24" w14:textId="308EDCB2"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2.30984</w:t>
            </w:r>
          </w:p>
        </w:tc>
      </w:tr>
    </w:tbl>
    <w:p w14:paraId="2F0F1EA1" w14:textId="77777777" w:rsidR="004F3A80" w:rsidRPr="00A36CFE" w:rsidRDefault="009D660B" w:rsidP="0039438C">
      <w:pPr>
        <w:spacing w:line="480" w:lineRule="auto"/>
        <w:rPr>
          <w:rFonts w:asciiTheme="majorBidi" w:hAnsiTheme="majorBidi" w:cstheme="majorBidi"/>
          <w:sz w:val="24"/>
          <w:szCs w:val="24"/>
        </w:rPr>
      </w:pPr>
      <w:r w:rsidRPr="00A36CFE">
        <w:rPr>
          <w:rFonts w:asciiTheme="majorBidi" w:hAnsiTheme="majorBidi" w:cstheme="majorBidi"/>
          <w:sz w:val="24"/>
          <w:szCs w:val="24"/>
        </w:rPr>
        <w:t>Source: Computed from primary data</w:t>
      </w:r>
    </w:p>
    <w:p w14:paraId="762DDEFA" w14:textId="77777777" w:rsidR="00753A2D" w:rsidRPr="00753A2D" w:rsidRDefault="00753A2D" w:rsidP="00753A2D">
      <w:pPr>
        <w:spacing w:before="100" w:beforeAutospacing="1" w:after="100" w:afterAutospacing="1" w:line="240" w:lineRule="auto"/>
        <w:jc w:val="both"/>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 xml:space="preserve">The table indicates that, out of the 35 respondents, 26 (74.3%) were male. In terms of age distribution, 34.3% of respondents were between 26 and 30 years. Two respondents (5.7%) were from Iraq, while 8 respondents (22.9%) were enrolled in Master’s degree </w:t>
      </w:r>
      <w:proofErr w:type="spellStart"/>
      <w:r w:rsidRPr="00753A2D">
        <w:rPr>
          <w:rFonts w:ascii="Times New Roman" w:eastAsia="Times New Roman" w:hAnsi="Times New Roman" w:cs="Times New Roman"/>
          <w:sz w:val="24"/>
          <w:szCs w:val="24"/>
        </w:rPr>
        <w:t>programmes</w:t>
      </w:r>
      <w:proofErr w:type="spellEnd"/>
      <w:r w:rsidRPr="00753A2D">
        <w:rPr>
          <w:rFonts w:ascii="Times New Roman" w:eastAsia="Times New Roman" w:hAnsi="Times New Roman" w:cs="Times New Roman"/>
          <w:sz w:val="24"/>
          <w:szCs w:val="24"/>
        </w:rPr>
        <w:t xml:space="preserve"> in India.</w:t>
      </w:r>
    </w:p>
    <w:p w14:paraId="58D02005" w14:textId="77777777" w:rsidR="00753A2D" w:rsidRPr="00753A2D" w:rsidRDefault="00753A2D" w:rsidP="00753A2D">
      <w:pPr>
        <w:spacing w:before="100" w:beforeAutospacing="1" w:after="100" w:afterAutospacing="1" w:line="240" w:lineRule="auto"/>
        <w:jc w:val="both"/>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Regarding their academic progress, 34.3% of the respondents were in the second year of study, and 15 respondents (44.9%) reported a total duration of study in India of three years. Geographically, 3 respondents (8.6%) were studying in Gujarat state. With respect to financial support, 24 respondents (80%) received a monthly stipend ranging between 20,000 and 25,000 INR.</w:t>
      </w:r>
    </w:p>
    <w:tbl>
      <w:tblPr>
        <w:tblStyle w:val="PlainTable2"/>
        <w:tblW w:w="8612" w:type="dxa"/>
        <w:tblBorders>
          <w:top w:val="none" w:sz="0" w:space="0" w:color="auto"/>
          <w:bottom w:val="none" w:sz="0" w:space="0" w:color="auto"/>
        </w:tblBorders>
        <w:tblLayout w:type="fixed"/>
        <w:tblLook w:val="0000" w:firstRow="0" w:lastRow="0" w:firstColumn="0" w:lastColumn="0" w:noHBand="0" w:noVBand="0"/>
      </w:tblPr>
      <w:tblGrid>
        <w:gridCol w:w="3690"/>
        <w:gridCol w:w="1440"/>
        <w:gridCol w:w="1620"/>
        <w:gridCol w:w="1862"/>
      </w:tblGrid>
      <w:tr w:rsidR="002759D0" w:rsidRPr="00A36CFE" w14:paraId="14BB6A57" w14:textId="77777777" w:rsidTr="001C2273">
        <w:trPr>
          <w:cnfStyle w:val="000000100000" w:firstRow="0" w:lastRow="0" w:firstColumn="0" w:lastColumn="0" w:oddVBand="0" w:evenVBand="0" w:oddHBand="1" w:evenHBand="0" w:firstRowFirstColumn="0" w:firstRowLastColumn="0" w:lastRowFirstColumn="0" w:lastRowLastColumn="0"/>
          <w:trHeight w:val="582"/>
        </w:trPr>
        <w:tc>
          <w:tcPr>
            <w:cnfStyle w:val="000010000000" w:firstRow="0" w:lastRow="0" w:firstColumn="0" w:lastColumn="0" w:oddVBand="1" w:evenVBand="0" w:oddHBand="0" w:evenHBand="0" w:firstRowFirstColumn="0" w:firstRowLastColumn="0" w:lastRowFirstColumn="0" w:lastRowLastColumn="0"/>
            <w:tcW w:w="8612" w:type="dxa"/>
            <w:gridSpan w:val="4"/>
            <w:tcBorders>
              <w:top w:val="none" w:sz="0" w:space="0" w:color="auto"/>
              <w:left w:val="none" w:sz="0" w:space="0" w:color="auto"/>
              <w:bottom w:val="single" w:sz="4" w:space="0" w:color="auto"/>
              <w:right w:val="none" w:sz="0" w:space="0" w:color="auto"/>
            </w:tcBorders>
          </w:tcPr>
          <w:p w14:paraId="69EF19BD" w14:textId="0A63DA8D"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t>Table 2. Descriptive Statistics</w:t>
            </w:r>
          </w:p>
        </w:tc>
      </w:tr>
      <w:tr w:rsidR="002759D0" w:rsidRPr="00A36CFE" w14:paraId="1615BC2B" w14:textId="77777777" w:rsidTr="001C2273">
        <w:trPr>
          <w:trHeight w:val="639"/>
        </w:trPr>
        <w:tc>
          <w:tcPr>
            <w:cnfStyle w:val="000010000000" w:firstRow="0" w:lastRow="0" w:firstColumn="0" w:lastColumn="0" w:oddVBand="1" w:evenVBand="0" w:oddHBand="0" w:evenHBand="0" w:firstRowFirstColumn="0" w:firstRowLastColumn="0" w:lastRowFirstColumn="0" w:lastRowLastColumn="0"/>
            <w:tcW w:w="3690" w:type="dxa"/>
            <w:tcBorders>
              <w:top w:val="single" w:sz="4" w:space="0" w:color="auto"/>
              <w:left w:val="none" w:sz="0" w:space="0" w:color="auto"/>
              <w:bottom w:val="single" w:sz="4" w:space="0" w:color="auto"/>
              <w:right w:val="none" w:sz="0" w:space="0" w:color="auto"/>
            </w:tcBorders>
          </w:tcPr>
          <w:p w14:paraId="74EB36B0" w14:textId="77777777" w:rsidR="002759D0" w:rsidRPr="00A36CFE" w:rsidRDefault="002759D0" w:rsidP="001C2273">
            <w:pPr>
              <w:spacing w:line="480" w:lineRule="auto"/>
              <w:jc w:val="center"/>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Items</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auto"/>
              <w:left w:val="none" w:sz="0" w:space="0" w:color="auto"/>
              <w:bottom w:val="single" w:sz="4" w:space="0" w:color="auto"/>
              <w:right w:val="none" w:sz="0" w:space="0" w:color="auto"/>
            </w:tcBorders>
          </w:tcPr>
          <w:p w14:paraId="7E9DE8C8"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N</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left w:val="none" w:sz="0" w:space="0" w:color="auto"/>
              <w:bottom w:val="single" w:sz="4" w:space="0" w:color="auto"/>
              <w:right w:val="none" w:sz="0" w:space="0" w:color="auto"/>
            </w:tcBorders>
          </w:tcPr>
          <w:p w14:paraId="0AF841C3"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Mean</w:t>
            </w:r>
          </w:p>
        </w:tc>
        <w:tc>
          <w:tcPr>
            <w:cnfStyle w:val="000001000000" w:firstRow="0" w:lastRow="0" w:firstColumn="0" w:lastColumn="0" w:oddVBand="0" w:evenVBand="1" w:oddHBand="0" w:evenHBand="0" w:firstRowFirstColumn="0" w:firstRowLastColumn="0" w:lastRowFirstColumn="0" w:lastRowLastColumn="0"/>
            <w:tcW w:w="1862" w:type="dxa"/>
            <w:tcBorders>
              <w:top w:val="single" w:sz="4" w:space="0" w:color="auto"/>
              <w:left w:val="none" w:sz="0" w:space="0" w:color="auto"/>
              <w:bottom w:val="single" w:sz="4" w:space="0" w:color="auto"/>
              <w:right w:val="none" w:sz="0" w:space="0" w:color="auto"/>
            </w:tcBorders>
          </w:tcPr>
          <w:p w14:paraId="70FF881D"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Std. Deviation</w:t>
            </w:r>
          </w:p>
        </w:tc>
      </w:tr>
      <w:tr w:rsidR="00B36F01" w:rsidRPr="00A36CFE" w14:paraId="1366CD4C" w14:textId="77777777" w:rsidTr="001C2273">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3690" w:type="dxa"/>
            <w:tcBorders>
              <w:top w:val="single" w:sz="4" w:space="0" w:color="auto"/>
              <w:left w:val="none" w:sz="0" w:space="0" w:color="auto"/>
              <w:bottom w:val="none" w:sz="0" w:space="0" w:color="auto"/>
              <w:right w:val="none" w:sz="0" w:space="0" w:color="auto"/>
            </w:tcBorders>
          </w:tcPr>
          <w:p w14:paraId="5AE08C5F" w14:textId="02C1FEE8" w:rsidR="00B36F01" w:rsidRPr="00A36CFE" w:rsidRDefault="00B36F01" w:rsidP="00B36F01">
            <w:pPr>
              <w:spacing w:line="480" w:lineRule="auto"/>
              <w:rPr>
                <w:rFonts w:asciiTheme="majorBidi" w:hAnsiTheme="majorBidi" w:cstheme="majorBidi"/>
                <w:color w:val="000000" w:themeColor="text1"/>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Pr>
                <w:rFonts w:asciiTheme="majorBidi" w:hAnsiTheme="majorBidi" w:cstheme="majorBidi"/>
                <w:color w:val="000000" w:themeColor="text1"/>
                <w:sz w:val="24"/>
                <w:szCs w:val="24"/>
              </w:rPr>
              <w:t>Scheme</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auto"/>
              <w:left w:val="none" w:sz="0" w:space="0" w:color="auto"/>
              <w:bottom w:val="none" w:sz="0" w:space="0" w:color="auto"/>
              <w:right w:val="none" w:sz="0" w:space="0" w:color="auto"/>
            </w:tcBorders>
          </w:tcPr>
          <w:p w14:paraId="7375EEAD" w14:textId="47ACA0E3"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373</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left w:val="none" w:sz="0" w:space="0" w:color="auto"/>
              <w:bottom w:val="none" w:sz="0" w:space="0" w:color="auto"/>
              <w:right w:val="none" w:sz="0" w:space="0" w:color="auto"/>
            </w:tcBorders>
          </w:tcPr>
          <w:p w14:paraId="0E525EB5" w14:textId="08526CCC"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4.2247</w:t>
            </w:r>
          </w:p>
        </w:tc>
        <w:tc>
          <w:tcPr>
            <w:cnfStyle w:val="000001000000" w:firstRow="0" w:lastRow="0" w:firstColumn="0" w:lastColumn="0" w:oddVBand="0" w:evenVBand="1" w:oddHBand="0" w:evenHBand="0" w:firstRowFirstColumn="0" w:firstRowLastColumn="0" w:lastRowFirstColumn="0" w:lastRowLastColumn="0"/>
            <w:tcW w:w="1862" w:type="dxa"/>
            <w:tcBorders>
              <w:top w:val="single" w:sz="4" w:space="0" w:color="auto"/>
              <w:left w:val="none" w:sz="0" w:space="0" w:color="auto"/>
              <w:bottom w:val="none" w:sz="0" w:space="0" w:color="auto"/>
              <w:right w:val="none" w:sz="0" w:space="0" w:color="auto"/>
            </w:tcBorders>
          </w:tcPr>
          <w:p w14:paraId="090802F9" w14:textId="5C558B9F"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.70041</w:t>
            </w:r>
          </w:p>
        </w:tc>
      </w:tr>
      <w:tr w:rsidR="00B36F01" w:rsidRPr="00A36CFE" w14:paraId="084AE317" w14:textId="77777777" w:rsidTr="001C2273">
        <w:trPr>
          <w:trHeight w:val="471"/>
        </w:trPr>
        <w:tc>
          <w:tcPr>
            <w:cnfStyle w:val="000010000000" w:firstRow="0" w:lastRow="0" w:firstColumn="0" w:lastColumn="0" w:oddVBand="1" w:evenVBand="0" w:oddHBand="0" w:evenHBand="0" w:firstRowFirstColumn="0" w:firstRowLastColumn="0" w:lastRowFirstColumn="0" w:lastRowLastColumn="0"/>
            <w:tcW w:w="3690" w:type="dxa"/>
            <w:tcBorders>
              <w:left w:val="none" w:sz="0" w:space="0" w:color="auto"/>
              <w:bottom w:val="single" w:sz="4" w:space="0" w:color="auto"/>
              <w:right w:val="none" w:sz="0" w:space="0" w:color="auto"/>
            </w:tcBorders>
          </w:tcPr>
          <w:p w14:paraId="69DE90FB" w14:textId="77777777" w:rsidR="00B36F01" w:rsidRPr="00A36CFE" w:rsidRDefault="00B36F01" w:rsidP="00B36F01">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International Understanding</w:t>
            </w:r>
          </w:p>
        </w:tc>
        <w:tc>
          <w:tcPr>
            <w:cnfStyle w:val="000001000000" w:firstRow="0" w:lastRow="0" w:firstColumn="0" w:lastColumn="0" w:oddVBand="0" w:evenVBand="1" w:oddHBand="0" w:evenHBand="0" w:firstRowFirstColumn="0" w:firstRowLastColumn="0" w:lastRowFirstColumn="0" w:lastRowLastColumn="0"/>
            <w:tcW w:w="1440" w:type="dxa"/>
            <w:tcBorders>
              <w:left w:val="none" w:sz="0" w:space="0" w:color="auto"/>
              <w:bottom w:val="single" w:sz="4" w:space="0" w:color="auto"/>
              <w:right w:val="none" w:sz="0" w:space="0" w:color="auto"/>
            </w:tcBorders>
          </w:tcPr>
          <w:p w14:paraId="1A6CEC1D" w14:textId="4518FFAD"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373</w:t>
            </w:r>
          </w:p>
        </w:tc>
        <w:tc>
          <w:tcPr>
            <w:cnfStyle w:val="000010000000" w:firstRow="0" w:lastRow="0" w:firstColumn="0" w:lastColumn="0" w:oddVBand="1" w:evenVBand="0" w:oddHBand="0" w:evenHBand="0" w:firstRowFirstColumn="0" w:firstRowLastColumn="0" w:lastRowFirstColumn="0" w:lastRowLastColumn="0"/>
            <w:tcW w:w="1620" w:type="dxa"/>
            <w:tcBorders>
              <w:left w:val="none" w:sz="0" w:space="0" w:color="auto"/>
              <w:bottom w:val="single" w:sz="4" w:space="0" w:color="auto"/>
              <w:right w:val="none" w:sz="0" w:space="0" w:color="auto"/>
            </w:tcBorders>
          </w:tcPr>
          <w:p w14:paraId="5FAAE2D5" w14:textId="31AF1DA7"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4.2059</w:t>
            </w:r>
          </w:p>
        </w:tc>
        <w:tc>
          <w:tcPr>
            <w:cnfStyle w:val="000001000000" w:firstRow="0" w:lastRow="0" w:firstColumn="0" w:lastColumn="0" w:oddVBand="0" w:evenVBand="1" w:oddHBand="0" w:evenHBand="0" w:firstRowFirstColumn="0" w:firstRowLastColumn="0" w:lastRowFirstColumn="0" w:lastRowLastColumn="0"/>
            <w:tcW w:w="1862" w:type="dxa"/>
            <w:tcBorders>
              <w:left w:val="none" w:sz="0" w:space="0" w:color="auto"/>
              <w:bottom w:val="single" w:sz="4" w:space="0" w:color="auto"/>
              <w:right w:val="none" w:sz="0" w:space="0" w:color="auto"/>
            </w:tcBorders>
          </w:tcPr>
          <w:p w14:paraId="39CCFE77" w14:textId="00C5230C"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.60523</w:t>
            </w:r>
          </w:p>
        </w:tc>
      </w:tr>
    </w:tbl>
    <w:p w14:paraId="3BF6A440" w14:textId="77777777" w:rsidR="002759D0" w:rsidRPr="00A36CFE" w:rsidRDefault="002759D0" w:rsidP="002759D0">
      <w:pPr>
        <w:autoSpaceDE w:val="0"/>
        <w:autoSpaceDN w:val="0"/>
        <w:adjustRightInd w:val="0"/>
        <w:spacing w:after="0"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Source: Survey Data</w:t>
      </w:r>
    </w:p>
    <w:p w14:paraId="5D8DDE4A" w14:textId="4E78F2F9" w:rsidR="00C9291B" w:rsidRDefault="00A76DBF"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r>
        <w:rPr>
          <w:rFonts w:asciiTheme="majorBidi" w:hAnsiTheme="majorBidi" w:cstheme="majorBidi"/>
          <w:color w:val="000000" w:themeColor="text1"/>
          <w:sz w:val="24"/>
          <w:szCs w:val="24"/>
          <w:lang w:val="en-IN"/>
        </w:rPr>
        <w:t xml:space="preserve">The </w:t>
      </w:r>
      <w:r w:rsidR="00814EC5">
        <w:rPr>
          <w:rFonts w:asciiTheme="majorBidi" w:hAnsiTheme="majorBidi" w:cstheme="majorBidi"/>
          <w:color w:val="000000" w:themeColor="text1"/>
          <w:sz w:val="24"/>
          <w:szCs w:val="24"/>
          <w:lang w:val="en-IN"/>
        </w:rPr>
        <w:t>table above presents</w:t>
      </w:r>
      <w:r w:rsidR="00373884" w:rsidRPr="00373884">
        <w:rPr>
          <w:rFonts w:asciiTheme="majorBidi" w:hAnsiTheme="majorBidi" w:cstheme="majorBidi"/>
          <w:color w:val="000000" w:themeColor="text1"/>
          <w:sz w:val="24"/>
          <w:szCs w:val="24"/>
          <w:lang w:val="en-IN"/>
        </w:rPr>
        <w:t xml:space="preserve"> descriptive statistics for the variables </w:t>
      </w:r>
      <w:r w:rsidR="00373884">
        <w:rPr>
          <w:rFonts w:asciiTheme="majorBidi" w:hAnsiTheme="majorBidi" w:cstheme="majorBidi"/>
          <w:i/>
          <w:iCs/>
          <w:color w:val="000000" w:themeColor="text1"/>
          <w:sz w:val="24"/>
          <w:szCs w:val="24"/>
          <w:lang w:val="en-IN"/>
        </w:rPr>
        <w:t>"Socio-Economic Scheme" and "International Understanding"</w:t>
      </w:r>
      <w:r w:rsidR="00373884" w:rsidRPr="00373884">
        <w:rPr>
          <w:rFonts w:asciiTheme="majorBidi" w:hAnsiTheme="majorBidi" w:cstheme="majorBidi"/>
          <w:color w:val="000000" w:themeColor="text1"/>
          <w:sz w:val="24"/>
          <w:szCs w:val="24"/>
          <w:lang w:val="en-IN"/>
        </w:rPr>
        <w:t xml:space="preserve"> among the 373 respondents. The mean score for the </w:t>
      </w:r>
      <w:r w:rsidR="00373884" w:rsidRPr="00373884">
        <w:rPr>
          <w:rFonts w:asciiTheme="majorBidi" w:hAnsiTheme="majorBidi" w:cstheme="majorBidi"/>
          <w:i/>
          <w:iCs/>
          <w:color w:val="000000" w:themeColor="text1"/>
          <w:sz w:val="24"/>
          <w:szCs w:val="24"/>
          <w:lang w:val="en-IN"/>
        </w:rPr>
        <w:t>Socio-Economic Scheme</w:t>
      </w:r>
      <w:r w:rsidR="00373884" w:rsidRPr="00373884">
        <w:rPr>
          <w:rFonts w:asciiTheme="majorBidi" w:hAnsiTheme="majorBidi" w:cstheme="majorBidi"/>
          <w:color w:val="000000" w:themeColor="text1"/>
          <w:sz w:val="24"/>
          <w:szCs w:val="24"/>
          <w:lang w:val="en-IN"/>
        </w:rPr>
        <w:t xml:space="preserve"> is 4.2247 with a standard deviation of 0.70041, indicating that respondents generally hold a positive perception of socio-economic schemes. The moderately low standard deviation suggests that the responses are fairly consistent, reflecting a common agreement regarding the significance and effectiveness of socio-economic schemes in the context of international programs.</w:t>
      </w:r>
      <w:r>
        <w:rPr>
          <w:rFonts w:asciiTheme="majorBidi" w:hAnsiTheme="majorBidi" w:cstheme="majorBidi"/>
          <w:color w:val="000000" w:themeColor="text1"/>
          <w:sz w:val="24"/>
          <w:szCs w:val="24"/>
          <w:lang w:val="en-IN"/>
        </w:rPr>
        <w:t xml:space="preserve"> </w:t>
      </w:r>
      <w:r w:rsidR="00373884" w:rsidRPr="00373884">
        <w:rPr>
          <w:rFonts w:asciiTheme="majorBidi" w:hAnsiTheme="majorBidi" w:cstheme="majorBidi"/>
          <w:color w:val="000000" w:themeColor="text1"/>
          <w:sz w:val="24"/>
          <w:szCs w:val="24"/>
          <w:lang w:val="en-IN"/>
        </w:rPr>
        <w:t xml:space="preserve">Similarly, the mean score for </w:t>
      </w:r>
      <w:r w:rsidR="00373884" w:rsidRPr="00373884">
        <w:rPr>
          <w:rFonts w:asciiTheme="majorBidi" w:hAnsiTheme="majorBidi" w:cstheme="majorBidi"/>
          <w:i/>
          <w:iCs/>
          <w:color w:val="000000" w:themeColor="text1"/>
          <w:sz w:val="24"/>
          <w:szCs w:val="24"/>
          <w:lang w:val="en-IN"/>
        </w:rPr>
        <w:t>International Understanding</w:t>
      </w:r>
      <w:r w:rsidR="00373884" w:rsidRPr="00373884">
        <w:rPr>
          <w:rFonts w:asciiTheme="majorBidi" w:hAnsiTheme="majorBidi" w:cstheme="majorBidi"/>
          <w:color w:val="000000" w:themeColor="text1"/>
          <w:sz w:val="24"/>
          <w:szCs w:val="24"/>
          <w:lang w:val="en-IN"/>
        </w:rPr>
        <w:t xml:space="preserve"> is 4.2059</w:t>
      </w:r>
      <w:r w:rsidR="00373884">
        <w:rPr>
          <w:rFonts w:asciiTheme="majorBidi" w:hAnsiTheme="majorBidi" w:cstheme="majorBidi"/>
          <w:color w:val="000000" w:themeColor="text1"/>
          <w:sz w:val="24"/>
          <w:szCs w:val="24"/>
          <w:lang w:val="en-IN"/>
        </w:rPr>
        <w:t>, with a standard deviation of 0.60523, indicating</w:t>
      </w:r>
      <w:r w:rsidR="00373884" w:rsidRPr="00373884">
        <w:rPr>
          <w:rFonts w:asciiTheme="majorBidi" w:hAnsiTheme="majorBidi" w:cstheme="majorBidi"/>
          <w:color w:val="000000" w:themeColor="text1"/>
          <w:sz w:val="24"/>
          <w:szCs w:val="24"/>
          <w:lang w:val="en-IN"/>
        </w:rPr>
        <w:t xml:space="preserve"> a positive perception among </w:t>
      </w:r>
      <w:r w:rsidR="00373884" w:rsidRPr="00373884">
        <w:rPr>
          <w:rFonts w:asciiTheme="majorBidi" w:hAnsiTheme="majorBidi" w:cstheme="majorBidi"/>
          <w:color w:val="000000" w:themeColor="text1"/>
          <w:sz w:val="24"/>
          <w:szCs w:val="24"/>
          <w:lang w:val="en-IN"/>
        </w:rPr>
        <w:lastRenderedPageBreak/>
        <w:t>respondents. The slightly lower standard deviation compared to the socio-economic scheme implies that respondents’ views on international understanding are even more consistent.</w:t>
      </w:r>
      <w:r>
        <w:rPr>
          <w:rFonts w:asciiTheme="majorBidi" w:hAnsiTheme="majorBidi" w:cstheme="majorBidi"/>
          <w:color w:val="000000" w:themeColor="text1"/>
          <w:sz w:val="24"/>
          <w:szCs w:val="24"/>
          <w:lang w:val="en-IN"/>
        </w:rPr>
        <w:t xml:space="preserve"> </w:t>
      </w:r>
      <w:r w:rsidR="00373884" w:rsidRPr="00373884">
        <w:rPr>
          <w:rFonts w:asciiTheme="majorBidi" w:hAnsiTheme="majorBidi" w:cstheme="majorBidi"/>
          <w:color w:val="000000" w:themeColor="text1"/>
          <w:sz w:val="24"/>
          <w:szCs w:val="24"/>
          <w:lang w:val="en-IN"/>
        </w:rPr>
        <w:t>The results highlight that both socio-economic schemes and international understanding are perceived positively by international students. This suggests that the socio-economic initiatives are likely contributing effectively to promoting international understanding, as reflected by the high mean scores and relatively low variability in responses. These findings are consistent with previous studies that emphasize the role of structured socio-economic programs in enhancing cross-cultural awareness and fostering mutual understanding among international students.</w:t>
      </w:r>
    </w:p>
    <w:p w14:paraId="6F4C0E05" w14:textId="77777777" w:rsidR="00575EFA" w:rsidRDefault="00575EFA" w:rsidP="00575EFA">
      <w:pPr>
        <w:autoSpaceDE w:val="0"/>
        <w:autoSpaceDN w:val="0"/>
        <w:adjustRightInd w:val="0"/>
        <w:spacing w:after="0" w:line="480" w:lineRule="auto"/>
        <w:jc w:val="both"/>
        <w:rPr>
          <w:rFonts w:asciiTheme="majorBidi" w:hAnsiTheme="majorBidi" w:cstheme="majorBidi"/>
          <w:i/>
          <w:iCs/>
          <w:color w:val="000000" w:themeColor="text1"/>
          <w:sz w:val="24"/>
          <w:szCs w:val="24"/>
          <w:lang w:val="en-IN"/>
        </w:rPr>
      </w:pPr>
      <w:r>
        <w:rPr>
          <w:rFonts w:asciiTheme="majorBidi" w:hAnsiTheme="majorBidi" w:cstheme="majorBidi"/>
          <w:i/>
          <w:iCs/>
          <w:color w:val="000000" w:themeColor="text1"/>
          <w:sz w:val="24"/>
          <w:szCs w:val="24"/>
          <w:lang w:val="en-IN"/>
        </w:rPr>
        <w:t>Pearson Correlation Test:</w:t>
      </w:r>
    </w:p>
    <w:p w14:paraId="14512103" w14:textId="20831F24" w:rsidR="00575EFA" w:rsidRDefault="00575EFA"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r>
        <w:rPr>
          <w:rFonts w:asciiTheme="majorBidi" w:hAnsiTheme="majorBidi" w:cstheme="majorBidi"/>
          <w:color w:val="000000" w:themeColor="text1"/>
          <w:sz w:val="24"/>
          <w:szCs w:val="24"/>
          <w:lang w:val="en-IN"/>
        </w:rPr>
        <w:t xml:space="preserve">The study aimed to establish the relationship between the study variables: socio-economic scheme, and international understanding among international students in India. The Pearson correlation test (correlation coefficient) </w:t>
      </w:r>
      <w:r w:rsidR="00814EC5">
        <w:rPr>
          <w:rFonts w:asciiTheme="majorBidi" w:hAnsiTheme="majorBidi" w:cstheme="majorBidi"/>
          <w:color w:val="000000" w:themeColor="text1"/>
          <w:sz w:val="24"/>
          <w:szCs w:val="24"/>
          <w:lang w:val="en-IN"/>
        </w:rPr>
        <w:t>was used to assess</w:t>
      </w:r>
      <w:r>
        <w:rPr>
          <w:rFonts w:asciiTheme="majorBidi" w:hAnsiTheme="majorBidi" w:cstheme="majorBidi"/>
          <w:color w:val="000000" w:themeColor="text1"/>
          <w:sz w:val="24"/>
          <w:szCs w:val="24"/>
          <w:lang w:val="en-IN"/>
        </w:rPr>
        <w:t xml:space="preserve"> the relationship between variables. It is worth noting that the Pearson correlation (r) tests the relationship between variables and indicates </w:t>
      </w:r>
      <w:r w:rsidR="00814EC5">
        <w:rPr>
          <w:rFonts w:asciiTheme="majorBidi" w:hAnsiTheme="majorBidi" w:cstheme="majorBidi"/>
          <w:color w:val="000000" w:themeColor="text1"/>
          <w:sz w:val="24"/>
          <w:szCs w:val="24"/>
          <w:lang w:val="en-IN"/>
        </w:rPr>
        <w:t>the strength of their mutual association</w:t>
      </w:r>
      <w:r>
        <w:rPr>
          <w:rFonts w:asciiTheme="majorBidi" w:hAnsiTheme="majorBidi" w:cstheme="majorBidi"/>
          <w:color w:val="000000" w:themeColor="text1"/>
          <w:sz w:val="24"/>
          <w:szCs w:val="24"/>
          <w:lang w:val="en-IN"/>
        </w:rPr>
        <w:t>. The table below presents the results.</w:t>
      </w:r>
    </w:p>
    <w:p w14:paraId="726CAD7E" w14:textId="77777777" w:rsidR="00441B72" w:rsidRDefault="00441B72"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p>
    <w:p w14:paraId="58452E77" w14:textId="77777777" w:rsidR="00441B72" w:rsidRPr="00373884" w:rsidRDefault="00441B72"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p>
    <w:tbl>
      <w:tblPr>
        <w:tblStyle w:val="PlainTable2"/>
        <w:tblW w:w="9330" w:type="dxa"/>
        <w:tblBorders>
          <w:top w:val="none" w:sz="0" w:space="0" w:color="auto"/>
          <w:bottom w:val="none" w:sz="0" w:space="0" w:color="auto"/>
        </w:tblBorders>
        <w:tblLayout w:type="fixed"/>
        <w:tblLook w:val="0000" w:firstRow="0" w:lastRow="0" w:firstColumn="0" w:lastColumn="0" w:noHBand="0" w:noVBand="0"/>
      </w:tblPr>
      <w:tblGrid>
        <w:gridCol w:w="719"/>
        <w:gridCol w:w="132"/>
        <w:gridCol w:w="387"/>
        <w:gridCol w:w="964"/>
        <w:gridCol w:w="142"/>
        <w:gridCol w:w="1392"/>
        <w:gridCol w:w="308"/>
        <w:gridCol w:w="8"/>
        <w:gridCol w:w="1191"/>
        <w:gridCol w:w="28"/>
        <w:gridCol w:w="326"/>
        <w:gridCol w:w="697"/>
        <w:gridCol w:w="586"/>
        <w:gridCol w:w="84"/>
        <w:gridCol w:w="1107"/>
        <w:gridCol w:w="74"/>
        <w:gridCol w:w="615"/>
        <w:gridCol w:w="48"/>
        <w:gridCol w:w="276"/>
        <w:gridCol w:w="27"/>
        <w:gridCol w:w="154"/>
        <w:gridCol w:w="65"/>
      </w:tblGrid>
      <w:tr w:rsidR="002759D0" w:rsidRPr="00A36CFE" w14:paraId="3296B7D6" w14:textId="77777777" w:rsidTr="00DC6EF2">
        <w:trPr>
          <w:gridAfter w:val="5"/>
          <w:cnfStyle w:val="000000100000" w:firstRow="0" w:lastRow="0" w:firstColumn="0" w:lastColumn="0" w:oddVBand="0" w:evenVBand="0" w:oddHBand="1" w:evenHBand="0" w:firstRowFirstColumn="0" w:firstRowLastColumn="0" w:lastRowFirstColumn="0" w:lastRowLastColumn="0"/>
          <w:wAfter w:w="569" w:type="dxa"/>
          <w:trHeight w:val="389"/>
        </w:trPr>
        <w:tc>
          <w:tcPr>
            <w:cnfStyle w:val="000010000000" w:firstRow="0" w:lastRow="0" w:firstColumn="0" w:lastColumn="0" w:oddVBand="1" w:evenVBand="0" w:oddHBand="0" w:evenHBand="0" w:firstRowFirstColumn="0" w:firstRowLastColumn="0" w:lastRowFirstColumn="0" w:lastRowLastColumn="0"/>
            <w:tcW w:w="8761" w:type="dxa"/>
            <w:gridSpan w:val="17"/>
            <w:tcBorders>
              <w:top w:val="none" w:sz="0" w:space="0" w:color="auto"/>
              <w:left w:val="none" w:sz="0" w:space="0" w:color="auto"/>
              <w:bottom w:val="none" w:sz="0" w:space="0" w:color="auto"/>
              <w:right w:val="none" w:sz="0" w:space="0" w:color="auto"/>
            </w:tcBorders>
          </w:tcPr>
          <w:p w14:paraId="4D64E44A" w14:textId="540FEB5D"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t>Table 3. Correlation Matrix of the Variables</w:t>
            </w:r>
          </w:p>
        </w:tc>
      </w:tr>
      <w:tr w:rsidR="002759D0" w:rsidRPr="00A36CFE" w14:paraId="4661AA2B" w14:textId="77777777" w:rsidTr="00DC6EF2">
        <w:trPr>
          <w:gridAfter w:val="4"/>
          <w:wAfter w:w="522" w:type="dxa"/>
          <w:trHeight w:val="389"/>
        </w:trPr>
        <w:tc>
          <w:tcPr>
            <w:cnfStyle w:val="000010000000" w:firstRow="0" w:lastRow="0" w:firstColumn="0" w:lastColumn="0" w:oddVBand="1" w:evenVBand="0" w:oddHBand="0" w:evenHBand="0" w:firstRowFirstColumn="0" w:firstRowLastColumn="0" w:lastRowFirstColumn="0" w:lastRowLastColumn="0"/>
            <w:tcW w:w="2344" w:type="dxa"/>
            <w:gridSpan w:val="5"/>
            <w:tcBorders>
              <w:top w:val="single" w:sz="4" w:space="0" w:color="auto"/>
              <w:left w:val="none" w:sz="0" w:space="0" w:color="auto"/>
              <w:bottom w:val="single" w:sz="4" w:space="0" w:color="auto"/>
              <w:right w:val="none" w:sz="0" w:space="0" w:color="auto"/>
            </w:tcBorders>
          </w:tcPr>
          <w:p w14:paraId="5B1762C2"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Items</w:t>
            </w:r>
          </w:p>
        </w:tc>
        <w:tc>
          <w:tcPr>
            <w:cnfStyle w:val="000001000000" w:firstRow="0" w:lastRow="0" w:firstColumn="0" w:lastColumn="0" w:oddVBand="0" w:evenVBand="1" w:oddHBand="0" w:evenHBand="0" w:firstRowFirstColumn="0" w:firstRowLastColumn="0" w:lastRowFirstColumn="0" w:lastRowLastColumn="0"/>
            <w:tcW w:w="3253" w:type="dxa"/>
            <w:gridSpan w:val="6"/>
            <w:tcBorders>
              <w:top w:val="single" w:sz="4" w:space="0" w:color="auto"/>
              <w:left w:val="none" w:sz="0" w:space="0" w:color="auto"/>
              <w:bottom w:val="single" w:sz="4" w:space="0" w:color="auto"/>
              <w:right w:val="none" w:sz="0" w:space="0" w:color="auto"/>
            </w:tcBorders>
          </w:tcPr>
          <w:p w14:paraId="2B349A66" w14:textId="69450B8A" w:rsidR="002759D0" w:rsidRPr="00A36CFE" w:rsidRDefault="00B36F01"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sidR="002759D0" w:rsidRPr="00A36CFE">
              <w:rPr>
                <w:rFonts w:asciiTheme="majorBidi" w:hAnsiTheme="majorBidi" w:cstheme="majorBidi"/>
                <w:color w:val="000000" w:themeColor="text1"/>
                <w:kern w:val="0"/>
                <w:sz w:val="24"/>
                <w:szCs w:val="24"/>
              </w:rPr>
              <w:t>Scheme</w:t>
            </w:r>
          </w:p>
        </w:tc>
        <w:tc>
          <w:tcPr>
            <w:cnfStyle w:val="000010000000" w:firstRow="0" w:lastRow="0" w:firstColumn="0" w:lastColumn="0" w:oddVBand="1" w:evenVBand="0" w:oddHBand="0" w:evenHBand="0" w:firstRowFirstColumn="0" w:firstRowLastColumn="0" w:lastRowFirstColumn="0" w:lastRowLastColumn="0"/>
            <w:tcW w:w="3211" w:type="dxa"/>
            <w:gridSpan w:val="7"/>
            <w:tcBorders>
              <w:top w:val="single" w:sz="4" w:space="0" w:color="auto"/>
              <w:left w:val="none" w:sz="0" w:space="0" w:color="auto"/>
              <w:bottom w:val="single" w:sz="4" w:space="0" w:color="auto"/>
              <w:right w:val="none" w:sz="0" w:space="0" w:color="auto"/>
            </w:tcBorders>
          </w:tcPr>
          <w:p w14:paraId="1C140071"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International Understanding</w:t>
            </w:r>
          </w:p>
        </w:tc>
      </w:tr>
      <w:tr w:rsidR="002759D0" w:rsidRPr="00A36CFE" w14:paraId="3EE41F8E" w14:textId="77777777" w:rsidTr="00DC6EF2">
        <w:trPr>
          <w:gridAfter w:val="4"/>
          <w:cnfStyle w:val="000000100000" w:firstRow="0" w:lastRow="0" w:firstColumn="0" w:lastColumn="0" w:oddVBand="0" w:evenVBand="0" w:oddHBand="1" w:evenHBand="0" w:firstRowFirstColumn="0" w:firstRowLastColumn="0" w:lastRowFirstColumn="0" w:lastRowLastColumn="0"/>
          <w:wAfter w:w="522" w:type="dxa"/>
          <w:trHeight w:val="389"/>
        </w:trPr>
        <w:tc>
          <w:tcPr>
            <w:cnfStyle w:val="000010000000" w:firstRow="0" w:lastRow="0" w:firstColumn="0" w:lastColumn="0" w:oddVBand="1" w:evenVBand="0" w:oddHBand="0" w:evenHBand="0" w:firstRowFirstColumn="0" w:firstRowLastColumn="0" w:lastRowFirstColumn="0" w:lastRowLastColumn="0"/>
            <w:tcW w:w="2344" w:type="dxa"/>
            <w:gridSpan w:val="5"/>
            <w:tcBorders>
              <w:top w:val="single" w:sz="4" w:space="0" w:color="auto"/>
              <w:left w:val="none" w:sz="0" w:space="0" w:color="auto"/>
              <w:bottom w:val="none" w:sz="0" w:space="0" w:color="auto"/>
              <w:right w:val="none" w:sz="0" w:space="0" w:color="auto"/>
            </w:tcBorders>
          </w:tcPr>
          <w:p w14:paraId="2BCA1986" w14:textId="4A875909" w:rsidR="002759D0" w:rsidRPr="00A36CFE" w:rsidRDefault="00B36F01" w:rsidP="002759D0">
            <w:pPr>
              <w:autoSpaceDE w:val="0"/>
              <w:autoSpaceDN w:val="0"/>
              <w:adjustRightInd w:val="0"/>
              <w:spacing w:line="480" w:lineRule="auto"/>
              <w:ind w:left="60" w:right="60"/>
              <w:rPr>
                <w:rFonts w:asciiTheme="majorBidi" w:hAnsiTheme="majorBidi" w:cstheme="majorBidi"/>
                <w:color w:val="000000" w:themeColor="text1"/>
                <w:kern w:val="0"/>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sidR="002759D0" w:rsidRPr="00A36CFE">
              <w:rPr>
                <w:rFonts w:asciiTheme="majorBidi" w:hAnsiTheme="majorBidi" w:cstheme="majorBidi"/>
                <w:color w:val="000000" w:themeColor="text1"/>
                <w:kern w:val="0"/>
                <w:sz w:val="24"/>
                <w:szCs w:val="24"/>
              </w:rPr>
              <w:t>Scheme</w:t>
            </w:r>
          </w:p>
        </w:tc>
        <w:tc>
          <w:tcPr>
            <w:cnfStyle w:val="000001000000" w:firstRow="0" w:lastRow="0" w:firstColumn="0" w:lastColumn="0" w:oddVBand="0" w:evenVBand="1" w:oddHBand="0" w:evenHBand="0" w:firstRowFirstColumn="0" w:firstRowLastColumn="0" w:lastRowFirstColumn="0" w:lastRowLastColumn="0"/>
            <w:tcW w:w="3253" w:type="dxa"/>
            <w:gridSpan w:val="6"/>
            <w:tcBorders>
              <w:top w:val="single" w:sz="4" w:space="0" w:color="auto"/>
              <w:left w:val="none" w:sz="0" w:space="0" w:color="auto"/>
              <w:bottom w:val="none" w:sz="0" w:space="0" w:color="auto"/>
              <w:right w:val="none" w:sz="0" w:space="0" w:color="auto"/>
            </w:tcBorders>
          </w:tcPr>
          <w:p w14:paraId="034204B9"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10000000" w:firstRow="0" w:lastRow="0" w:firstColumn="0" w:lastColumn="0" w:oddVBand="1" w:evenVBand="0" w:oddHBand="0" w:evenHBand="0" w:firstRowFirstColumn="0" w:firstRowLastColumn="0" w:lastRowFirstColumn="0" w:lastRowLastColumn="0"/>
            <w:tcW w:w="3211" w:type="dxa"/>
            <w:gridSpan w:val="7"/>
            <w:tcBorders>
              <w:top w:val="single" w:sz="4" w:space="0" w:color="auto"/>
              <w:left w:val="none" w:sz="0" w:space="0" w:color="auto"/>
              <w:bottom w:val="none" w:sz="0" w:space="0" w:color="auto"/>
              <w:right w:val="none" w:sz="0" w:space="0" w:color="auto"/>
            </w:tcBorders>
          </w:tcPr>
          <w:p w14:paraId="16BBD4EC" w14:textId="111DCE1C"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w:t>
            </w:r>
            <w:r w:rsidR="00B36F01">
              <w:rPr>
                <w:rFonts w:asciiTheme="majorBidi" w:hAnsiTheme="majorBidi" w:cstheme="majorBidi"/>
                <w:color w:val="000000" w:themeColor="text1"/>
                <w:kern w:val="0"/>
                <w:sz w:val="24"/>
                <w:szCs w:val="24"/>
              </w:rPr>
              <w:t>689</w:t>
            </w:r>
            <w:r w:rsidRPr="00A36CFE">
              <w:rPr>
                <w:rFonts w:asciiTheme="majorBidi" w:hAnsiTheme="majorBidi" w:cstheme="majorBidi"/>
                <w:color w:val="000000" w:themeColor="text1"/>
                <w:kern w:val="0"/>
                <w:sz w:val="24"/>
                <w:szCs w:val="24"/>
                <w:vertAlign w:val="superscript"/>
              </w:rPr>
              <w:t>**</w:t>
            </w:r>
          </w:p>
        </w:tc>
      </w:tr>
      <w:tr w:rsidR="002759D0" w:rsidRPr="00A36CFE" w14:paraId="160AA108" w14:textId="77777777" w:rsidTr="00DC6EF2">
        <w:trPr>
          <w:gridAfter w:val="4"/>
          <w:wAfter w:w="522" w:type="dxa"/>
          <w:trHeight w:val="698"/>
        </w:trPr>
        <w:tc>
          <w:tcPr>
            <w:cnfStyle w:val="000010000000" w:firstRow="0" w:lastRow="0" w:firstColumn="0" w:lastColumn="0" w:oddVBand="1" w:evenVBand="0" w:oddHBand="0" w:evenHBand="0" w:firstRowFirstColumn="0" w:firstRowLastColumn="0" w:lastRowFirstColumn="0" w:lastRowLastColumn="0"/>
            <w:tcW w:w="2344" w:type="dxa"/>
            <w:gridSpan w:val="5"/>
            <w:tcBorders>
              <w:left w:val="none" w:sz="0" w:space="0" w:color="auto"/>
              <w:bottom w:val="single" w:sz="4" w:space="0" w:color="auto"/>
              <w:right w:val="none" w:sz="0" w:space="0" w:color="auto"/>
            </w:tcBorders>
          </w:tcPr>
          <w:p w14:paraId="509B4F72" w14:textId="77777777" w:rsidR="002759D0" w:rsidRPr="00A36CFE" w:rsidRDefault="002759D0" w:rsidP="002759D0">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International Understanding</w:t>
            </w:r>
          </w:p>
        </w:tc>
        <w:tc>
          <w:tcPr>
            <w:cnfStyle w:val="000001000000" w:firstRow="0" w:lastRow="0" w:firstColumn="0" w:lastColumn="0" w:oddVBand="0" w:evenVBand="1" w:oddHBand="0" w:evenHBand="0" w:firstRowFirstColumn="0" w:firstRowLastColumn="0" w:lastRowFirstColumn="0" w:lastRowLastColumn="0"/>
            <w:tcW w:w="3253" w:type="dxa"/>
            <w:gridSpan w:val="6"/>
            <w:tcBorders>
              <w:left w:val="none" w:sz="0" w:space="0" w:color="auto"/>
              <w:bottom w:val="single" w:sz="4" w:space="0" w:color="auto"/>
              <w:right w:val="none" w:sz="0" w:space="0" w:color="auto"/>
            </w:tcBorders>
          </w:tcPr>
          <w:p w14:paraId="71439F7A" w14:textId="3CD9FD8E"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w:t>
            </w:r>
            <w:r w:rsidR="00B36F01">
              <w:rPr>
                <w:rFonts w:asciiTheme="majorBidi" w:hAnsiTheme="majorBidi" w:cstheme="majorBidi"/>
                <w:color w:val="000000" w:themeColor="text1"/>
                <w:kern w:val="0"/>
                <w:sz w:val="24"/>
                <w:szCs w:val="24"/>
              </w:rPr>
              <w:t>689</w:t>
            </w:r>
            <w:r w:rsidRPr="00A36CFE">
              <w:rPr>
                <w:rFonts w:asciiTheme="majorBidi" w:hAnsiTheme="majorBidi" w:cstheme="majorBidi"/>
                <w:color w:val="000000" w:themeColor="text1"/>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3211" w:type="dxa"/>
            <w:gridSpan w:val="7"/>
            <w:tcBorders>
              <w:left w:val="none" w:sz="0" w:space="0" w:color="auto"/>
              <w:bottom w:val="single" w:sz="4" w:space="0" w:color="auto"/>
              <w:right w:val="none" w:sz="0" w:space="0" w:color="auto"/>
            </w:tcBorders>
          </w:tcPr>
          <w:p w14:paraId="4A4A0E12"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r>
      <w:tr w:rsidR="002759D0" w:rsidRPr="00A36CFE" w14:paraId="7C30D07C" w14:textId="77777777" w:rsidTr="00DC6EF2">
        <w:trPr>
          <w:gridAfter w:val="5"/>
          <w:cnfStyle w:val="000000100000" w:firstRow="0" w:lastRow="0" w:firstColumn="0" w:lastColumn="0" w:oddVBand="0" w:evenVBand="0" w:oddHBand="1" w:evenHBand="0" w:firstRowFirstColumn="0" w:firstRowLastColumn="0" w:lastRowFirstColumn="0" w:lastRowLastColumn="0"/>
          <w:wAfter w:w="569" w:type="dxa"/>
          <w:trHeight w:val="389"/>
        </w:trPr>
        <w:tc>
          <w:tcPr>
            <w:cnfStyle w:val="000010000000" w:firstRow="0" w:lastRow="0" w:firstColumn="0" w:lastColumn="0" w:oddVBand="1" w:evenVBand="0" w:oddHBand="0" w:evenHBand="0" w:firstRowFirstColumn="0" w:firstRowLastColumn="0" w:lastRowFirstColumn="0" w:lastRowLastColumn="0"/>
            <w:tcW w:w="8761" w:type="dxa"/>
            <w:gridSpan w:val="17"/>
            <w:tcBorders>
              <w:top w:val="none" w:sz="0" w:space="0" w:color="auto"/>
              <w:left w:val="none" w:sz="0" w:space="0" w:color="auto"/>
              <w:bottom w:val="none" w:sz="0" w:space="0" w:color="auto"/>
              <w:right w:val="none" w:sz="0" w:space="0" w:color="auto"/>
            </w:tcBorders>
          </w:tcPr>
          <w:p w14:paraId="30D0773D"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 Correlation is significant at the 0.01 level (2-tailed).</w:t>
            </w:r>
          </w:p>
          <w:p w14:paraId="487B3600"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p>
          <w:p w14:paraId="28CAB5CA" w14:textId="77777777" w:rsidR="002759D0" w:rsidRDefault="002759D0" w:rsidP="002C682E">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0DC221AC" w14:textId="47F83C92" w:rsid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The above table</w:t>
            </w:r>
            <w:r w:rsidR="00373884" w:rsidRPr="00373884">
              <w:rPr>
                <w:rFonts w:asciiTheme="majorBidi" w:hAnsiTheme="majorBidi" w:cstheme="majorBidi"/>
                <w:color w:val="000000" w:themeColor="text1"/>
                <w:sz w:val="24"/>
                <w:szCs w:val="24"/>
              </w:rPr>
              <w:t xml:space="preserve"> presents the correlation matrix between the independent variable</w:t>
            </w:r>
            <w:r w:rsidR="00373884">
              <w:rPr>
                <w:rFonts w:asciiTheme="majorBidi" w:hAnsiTheme="majorBidi" w:cstheme="majorBidi"/>
                <w:color w:val="000000" w:themeColor="text1"/>
                <w:sz w:val="24"/>
                <w:szCs w:val="24"/>
              </w:rPr>
              <w:t>, Socio-Economic Scheme, and the dependent variable, International Understanding,</w:t>
            </w:r>
            <w:r w:rsidR="00373884" w:rsidRPr="00373884">
              <w:rPr>
                <w:rFonts w:asciiTheme="majorBidi" w:hAnsiTheme="majorBidi" w:cstheme="majorBidi"/>
                <w:color w:val="000000" w:themeColor="text1"/>
                <w:sz w:val="24"/>
                <w:szCs w:val="24"/>
              </w:rPr>
              <w:t xml:space="preserve"> among international students in India. The results show a strong positive correlation between the two variables (r = 0.689, p &lt; 0.01). This indicates that higher engagement in socio-economic schemes is associated with higher levels of international understanding. The correlation is statistically significant at the 0.01 level, suggesting that the relationship is reliable and not due to random chance.</w:t>
            </w:r>
            <w:r>
              <w:rPr>
                <w:rFonts w:asciiTheme="majorBidi" w:hAnsiTheme="majorBidi" w:cstheme="majorBidi"/>
                <w:color w:val="000000" w:themeColor="text1"/>
                <w:sz w:val="24"/>
                <w:szCs w:val="24"/>
              </w:rPr>
              <w:t xml:space="preserve"> </w:t>
            </w:r>
            <w:r w:rsidR="00373884" w:rsidRPr="00373884">
              <w:rPr>
                <w:rFonts w:asciiTheme="majorBidi" w:hAnsiTheme="majorBidi" w:cstheme="majorBidi"/>
                <w:color w:val="000000" w:themeColor="text1"/>
                <w:sz w:val="24"/>
                <w:szCs w:val="24"/>
              </w:rPr>
              <w:t xml:space="preserve">These findings </w:t>
            </w:r>
            <w:r w:rsidR="00373884">
              <w:rPr>
                <w:rFonts w:asciiTheme="majorBidi" w:hAnsiTheme="majorBidi" w:cstheme="majorBidi"/>
                <w:color w:val="000000" w:themeColor="text1"/>
                <w:sz w:val="24"/>
                <w:szCs w:val="24"/>
              </w:rPr>
              <w:t>suggest that socio-economic initiatives, such as cultural exchange programs, financial support, and skill development schemes provided by institutions like the ICCR, play a significant role in enhancing international students’ awareness, appreciation, and understanding of diverse</w:t>
            </w:r>
            <w:r w:rsidR="00373884" w:rsidRPr="00373884">
              <w:rPr>
                <w:rFonts w:asciiTheme="majorBidi" w:hAnsiTheme="majorBidi" w:cstheme="majorBidi"/>
                <w:color w:val="000000" w:themeColor="text1"/>
                <w:sz w:val="24"/>
                <w:szCs w:val="24"/>
              </w:rPr>
              <w:t xml:space="preserve"> cultures. Therefore, </w:t>
            </w:r>
            <w:r w:rsidR="00814EC5">
              <w:rPr>
                <w:rFonts w:asciiTheme="majorBidi" w:hAnsiTheme="majorBidi" w:cstheme="majorBidi"/>
                <w:color w:val="000000" w:themeColor="text1"/>
                <w:sz w:val="24"/>
                <w:szCs w:val="24"/>
              </w:rPr>
              <w:t>the effective implementation of such schemes can significantly foster</w:t>
            </w:r>
            <w:r w:rsidR="00373884" w:rsidRPr="00373884">
              <w:rPr>
                <w:rFonts w:asciiTheme="majorBidi" w:hAnsiTheme="majorBidi" w:cstheme="majorBidi"/>
                <w:color w:val="000000" w:themeColor="text1"/>
                <w:sz w:val="24"/>
                <w:szCs w:val="24"/>
              </w:rPr>
              <w:t xml:space="preserve"> cross-cultural understanding and global perspectives among students.</w:t>
            </w:r>
          </w:p>
          <w:p w14:paraId="03A8C240" w14:textId="5D4D20F9" w:rsidR="00E5306D" w:rsidRPr="00E5306D" w:rsidRDefault="00E5306D" w:rsidP="00DC6EF2">
            <w:pPr>
              <w:autoSpaceDE w:val="0"/>
              <w:autoSpaceDN w:val="0"/>
              <w:adjustRightInd w:val="0"/>
              <w:spacing w:line="480" w:lineRule="auto"/>
              <w:jc w:val="both"/>
              <w:rPr>
                <w:rFonts w:asciiTheme="majorBidi" w:hAnsiTheme="majorBidi" w:cstheme="majorBidi"/>
                <w:i/>
                <w:iCs/>
                <w:color w:val="000000" w:themeColor="text1"/>
                <w:sz w:val="24"/>
                <w:szCs w:val="24"/>
              </w:rPr>
            </w:pPr>
            <w:r w:rsidRPr="00E5306D">
              <w:rPr>
                <w:rFonts w:asciiTheme="majorBidi" w:hAnsiTheme="majorBidi" w:cstheme="majorBidi"/>
                <w:i/>
                <w:iCs/>
                <w:color w:val="000000" w:themeColor="text1"/>
                <w:sz w:val="24"/>
                <w:szCs w:val="24"/>
              </w:rPr>
              <w:t>Regression Analysis:</w:t>
            </w:r>
          </w:p>
        </w:tc>
      </w:tr>
      <w:tr w:rsidR="002759D0" w:rsidRPr="00A36CFE" w14:paraId="3FF07303" w14:textId="77777777" w:rsidTr="00DC6EF2">
        <w:tblPrEx>
          <w:tblBorders>
            <w:top w:val="single" w:sz="4" w:space="0" w:color="7F7F7F" w:themeColor="text1" w:themeTint="80"/>
            <w:bottom w:val="single" w:sz="4" w:space="0" w:color="7F7F7F" w:themeColor="text1" w:themeTint="80"/>
          </w:tblBorders>
        </w:tblPrEx>
        <w:trPr>
          <w:gridAfter w:val="2"/>
          <w:wAfter w:w="218" w:type="dxa"/>
          <w:trHeight w:val="366"/>
        </w:trPr>
        <w:tc>
          <w:tcPr>
            <w:cnfStyle w:val="000010000000" w:firstRow="0" w:lastRow="0" w:firstColumn="0" w:lastColumn="0" w:oddVBand="1" w:evenVBand="0" w:oddHBand="0" w:evenHBand="0" w:firstRowFirstColumn="0" w:firstRowLastColumn="0" w:lastRowFirstColumn="0" w:lastRowLastColumn="0"/>
            <w:tcW w:w="9112" w:type="dxa"/>
            <w:gridSpan w:val="20"/>
            <w:tcBorders>
              <w:top w:val="nil"/>
              <w:left w:val="nil"/>
              <w:bottom w:val="nil"/>
              <w:right w:val="nil"/>
            </w:tcBorders>
          </w:tcPr>
          <w:p w14:paraId="635145D2" w14:textId="6DC1D2A3"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lastRenderedPageBreak/>
              <w:t>Table 4. Model Summary</w:t>
            </w:r>
          </w:p>
        </w:tc>
      </w:tr>
      <w:tr w:rsidR="002759D0" w:rsidRPr="00A36CFE" w14:paraId="4DD15EB8" w14:textId="77777777" w:rsidTr="00DC6EF2">
        <w:tblPrEx>
          <w:tblBorders>
            <w:top w:val="single" w:sz="4" w:space="0" w:color="7F7F7F" w:themeColor="text1" w:themeTint="80"/>
            <w:bottom w:val="single" w:sz="4" w:space="0" w:color="7F7F7F" w:themeColor="text1" w:themeTint="80"/>
          </w:tblBorders>
        </w:tblPrEx>
        <w:trPr>
          <w:gridAfter w:val="3"/>
          <w:cnfStyle w:val="000000100000" w:firstRow="0" w:lastRow="0" w:firstColumn="0" w:lastColumn="0" w:oddVBand="0" w:evenVBand="0" w:oddHBand="1" w:evenHBand="0" w:firstRowFirstColumn="0" w:firstRowLastColumn="0" w:lastRowFirstColumn="0" w:lastRowLastColumn="0"/>
          <w:wAfter w:w="245" w:type="dxa"/>
          <w:trHeight w:val="720"/>
        </w:trPr>
        <w:tc>
          <w:tcPr>
            <w:cnfStyle w:val="000010000000" w:firstRow="0" w:lastRow="0" w:firstColumn="0" w:lastColumn="0" w:oddVBand="1" w:evenVBand="0" w:oddHBand="0" w:evenHBand="0" w:firstRowFirstColumn="0" w:firstRowLastColumn="0" w:lastRowFirstColumn="0" w:lastRowLastColumn="0"/>
            <w:tcW w:w="1239" w:type="dxa"/>
            <w:gridSpan w:val="3"/>
            <w:tcBorders>
              <w:top w:val="single" w:sz="4" w:space="0" w:color="auto"/>
              <w:left w:val="nil"/>
              <w:bottom w:val="single" w:sz="4" w:space="0" w:color="auto"/>
              <w:right w:val="nil"/>
            </w:tcBorders>
          </w:tcPr>
          <w:p w14:paraId="06791F3F"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Model</w:t>
            </w:r>
          </w:p>
        </w:tc>
        <w:tc>
          <w:tcPr>
            <w:cnfStyle w:val="000001000000" w:firstRow="0" w:lastRow="0" w:firstColumn="0" w:lastColumn="0" w:oddVBand="0" w:evenVBand="1" w:oddHBand="0" w:evenHBand="0" w:firstRowFirstColumn="0" w:firstRowLastColumn="0" w:lastRowFirstColumn="0" w:lastRowLastColumn="0"/>
            <w:tcW w:w="2806" w:type="dxa"/>
            <w:gridSpan w:val="4"/>
            <w:tcBorders>
              <w:top w:val="single" w:sz="4" w:space="0" w:color="auto"/>
              <w:left w:val="nil"/>
              <w:bottom w:val="single" w:sz="4" w:space="0" w:color="auto"/>
              <w:right w:val="nil"/>
            </w:tcBorders>
          </w:tcPr>
          <w:p w14:paraId="6FB06F9A" w14:textId="77777777" w:rsidR="002759D0" w:rsidRPr="00A36CFE" w:rsidRDefault="002759D0" w:rsidP="001C2273">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w:t>
            </w:r>
          </w:p>
        </w:tc>
        <w:tc>
          <w:tcPr>
            <w:cnfStyle w:val="000010000000" w:firstRow="0" w:lastRow="0" w:firstColumn="0" w:lastColumn="0" w:oddVBand="1" w:evenVBand="0" w:oddHBand="0" w:evenHBand="0" w:firstRowFirstColumn="0" w:firstRowLastColumn="0" w:lastRowFirstColumn="0" w:lastRowLastColumn="0"/>
            <w:tcW w:w="2250" w:type="dxa"/>
            <w:gridSpan w:val="5"/>
            <w:tcBorders>
              <w:top w:val="single" w:sz="4" w:space="0" w:color="auto"/>
              <w:left w:val="nil"/>
              <w:bottom w:val="single" w:sz="4" w:space="0" w:color="auto"/>
              <w:right w:val="nil"/>
            </w:tcBorders>
          </w:tcPr>
          <w:p w14:paraId="5EB65E3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 Square</w:t>
            </w:r>
          </w:p>
        </w:tc>
        <w:tc>
          <w:tcPr>
            <w:cnfStyle w:val="000001000000" w:firstRow="0" w:lastRow="0" w:firstColumn="0" w:lastColumn="0" w:oddVBand="0" w:evenVBand="1" w:oddHBand="0" w:evenHBand="0" w:firstRowFirstColumn="0" w:firstRowLastColumn="0" w:lastRowFirstColumn="0" w:lastRowLastColumn="0"/>
            <w:tcW w:w="2790" w:type="dxa"/>
            <w:gridSpan w:val="7"/>
            <w:tcBorders>
              <w:top w:val="single" w:sz="4" w:space="0" w:color="auto"/>
              <w:left w:val="nil"/>
              <w:bottom w:val="single" w:sz="4" w:space="0" w:color="auto"/>
              <w:right w:val="nil"/>
            </w:tcBorders>
          </w:tcPr>
          <w:p w14:paraId="1549DDDF" w14:textId="77777777" w:rsidR="002759D0" w:rsidRPr="00A36CFE" w:rsidRDefault="002759D0" w:rsidP="001C2273">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Adjusted R Square</w:t>
            </w:r>
          </w:p>
        </w:tc>
      </w:tr>
      <w:tr w:rsidR="00B36F01" w:rsidRPr="00A36CFE" w14:paraId="2D71FBAD" w14:textId="77777777" w:rsidTr="00DC6EF2">
        <w:tblPrEx>
          <w:tblBorders>
            <w:top w:val="single" w:sz="4" w:space="0" w:color="7F7F7F" w:themeColor="text1" w:themeTint="80"/>
            <w:bottom w:val="single" w:sz="4" w:space="0" w:color="7F7F7F" w:themeColor="text1" w:themeTint="80"/>
          </w:tblBorders>
        </w:tblPrEx>
        <w:trPr>
          <w:gridAfter w:val="3"/>
          <w:wAfter w:w="245" w:type="dxa"/>
          <w:trHeight w:val="353"/>
        </w:trPr>
        <w:tc>
          <w:tcPr>
            <w:cnfStyle w:val="000010000000" w:firstRow="0" w:lastRow="0" w:firstColumn="0" w:lastColumn="0" w:oddVBand="1" w:evenVBand="0" w:oddHBand="0" w:evenHBand="0" w:firstRowFirstColumn="0" w:firstRowLastColumn="0" w:lastRowFirstColumn="0" w:lastRowLastColumn="0"/>
            <w:tcW w:w="1239" w:type="dxa"/>
            <w:gridSpan w:val="3"/>
            <w:tcBorders>
              <w:top w:val="single" w:sz="4" w:space="0" w:color="auto"/>
              <w:left w:val="nil"/>
              <w:bottom w:val="single" w:sz="4" w:space="0" w:color="auto"/>
              <w:right w:val="nil"/>
            </w:tcBorders>
          </w:tcPr>
          <w:p w14:paraId="742BA736" w14:textId="77777777" w:rsidR="00B36F01" w:rsidRPr="00B36F01" w:rsidRDefault="00B36F01" w:rsidP="00B36F01">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B36F01">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2806" w:type="dxa"/>
            <w:gridSpan w:val="4"/>
            <w:tcBorders>
              <w:top w:val="single" w:sz="4" w:space="0" w:color="auto"/>
              <w:left w:val="nil"/>
              <w:bottom w:val="single" w:sz="4" w:space="0" w:color="auto"/>
              <w:right w:val="nil"/>
            </w:tcBorders>
          </w:tcPr>
          <w:p w14:paraId="49BAB1CF" w14:textId="2A68F864" w:rsidR="00B36F01" w:rsidRPr="00B36F01" w:rsidRDefault="00B36F01" w:rsidP="00B36F01">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.689a</w:t>
            </w:r>
          </w:p>
        </w:tc>
        <w:tc>
          <w:tcPr>
            <w:cnfStyle w:val="000010000000" w:firstRow="0" w:lastRow="0" w:firstColumn="0" w:lastColumn="0" w:oddVBand="1" w:evenVBand="0" w:oddHBand="0" w:evenHBand="0" w:firstRowFirstColumn="0" w:firstRowLastColumn="0" w:lastRowFirstColumn="0" w:lastRowLastColumn="0"/>
            <w:tcW w:w="2250" w:type="dxa"/>
            <w:gridSpan w:val="5"/>
            <w:tcBorders>
              <w:top w:val="single" w:sz="4" w:space="0" w:color="auto"/>
              <w:left w:val="nil"/>
              <w:bottom w:val="single" w:sz="4" w:space="0" w:color="auto"/>
              <w:right w:val="nil"/>
            </w:tcBorders>
          </w:tcPr>
          <w:p w14:paraId="1A444152" w14:textId="6851867B" w:rsidR="00B36F01" w:rsidRPr="00B36F01" w:rsidRDefault="00B36F01" w:rsidP="00B36F01">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.475</w:t>
            </w:r>
          </w:p>
        </w:tc>
        <w:tc>
          <w:tcPr>
            <w:cnfStyle w:val="000001000000" w:firstRow="0" w:lastRow="0" w:firstColumn="0" w:lastColumn="0" w:oddVBand="0" w:evenVBand="1" w:oddHBand="0" w:evenHBand="0" w:firstRowFirstColumn="0" w:firstRowLastColumn="0" w:lastRowFirstColumn="0" w:lastRowLastColumn="0"/>
            <w:tcW w:w="2790" w:type="dxa"/>
            <w:gridSpan w:val="7"/>
            <w:tcBorders>
              <w:top w:val="single" w:sz="4" w:space="0" w:color="auto"/>
              <w:left w:val="nil"/>
              <w:bottom w:val="single" w:sz="4" w:space="0" w:color="auto"/>
              <w:right w:val="nil"/>
            </w:tcBorders>
          </w:tcPr>
          <w:p w14:paraId="478AA893" w14:textId="318D85C2" w:rsidR="00B36F01" w:rsidRPr="00B36F01" w:rsidRDefault="00B36F01" w:rsidP="00B36F01">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.474</w:t>
            </w:r>
          </w:p>
        </w:tc>
      </w:tr>
      <w:tr w:rsidR="002759D0" w:rsidRPr="00A36CFE" w14:paraId="047AA118" w14:textId="77777777" w:rsidTr="00DC6EF2">
        <w:tblPrEx>
          <w:tblBorders>
            <w:top w:val="single" w:sz="4" w:space="0" w:color="7F7F7F" w:themeColor="text1" w:themeTint="80"/>
            <w:bottom w:val="single" w:sz="4" w:space="0" w:color="7F7F7F" w:themeColor="text1" w:themeTint="80"/>
          </w:tblBorders>
        </w:tblPrEx>
        <w:trPr>
          <w:gridAfter w:val="2"/>
          <w:cnfStyle w:val="000000100000" w:firstRow="0" w:lastRow="0" w:firstColumn="0" w:lastColumn="0" w:oddVBand="0" w:evenVBand="0" w:oddHBand="1" w:evenHBand="0" w:firstRowFirstColumn="0" w:firstRowLastColumn="0" w:lastRowFirstColumn="0" w:lastRowLastColumn="0"/>
          <w:wAfter w:w="218" w:type="dxa"/>
          <w:trHeight w:val="366"/>
        </w:trPr>
        <w:tc>
          <w:tcPr>
            <w:cnfStyle w:val="000010000000" w:firstRow="0" w:lastRow="0" w:firstColumn="0" w:lastColumn="0" w:oddVBand="1" w:evenVBand="0" w:oddHBand="0" w:evenHBand="0" w:firstRowFirstColumn="0" w:firstRowLastColumn="0" w:lastRowFirstColumn="0" w:lastRowLastColumn="0"/>
            <w:tcW w:w="9112" w:type="dxa"/>
            <w:gridSpan w:val="20"/>
            <w:tcBorders>
              <w:top w:val="nil"/>
              <w:left w:val="nil"/>
              <w:bottom w:val="nil"/>
              <w:right w:val="nil"/>
            </w:tcBorders>
          </w:tcPr>
          <w:p w14:paraId="08D0E163" w14:textId="0E52F02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 xml:space="preserve">a. Predictors: (Constant), </w:t>
            </w:r>
            <w:r w:rsidR="00B36F01" w:rsidRPr="00B36F01">
              <w:rPr>
                <w:rFonts w:asciiTheme="majorBidi" w:hAnsiTheme="majorBidi" w:cstheme="majorBidi"/>
                <w:color w:val="000000" w:themeColor="text1"/>
                <w:kern w:val="0"/>
                <w:sz w:val="24"/>
                <w:szCs w:val="24"/>
              </w:rPr>
              <w:t xml:space="preserve">Socio-Economic </w:t>
            </w:r>
            <w:r w:rsidRPr="00A36CFE">
              <w:rPr>
                <w:rFonts w:asciiTheme="majorBidi" w:hAnsiTheme="majorBidi" w:cstheme="majorBidi"/>
                <w:color w:val="000000" w:themeColor="text1"/>
                <w:kern w:val="0"/>
                <w:sz w:val="24"/>
                <w:szCs w:val="24"/>
              </w:rPr>
              <w:t>Scheme</w:t>
            </w:r>
          </w:p>
          <w:p w14:paraId="0DD60B46" w14:textId="77777777" w:rsidR="00B36F01" w:rsidRDefault="002759D0" w:rsidP="003B0441">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76685329" w14:textId="32A7AD59" w:rsidR="00753A2D" w:rsidRPr="00753A2D" w:rsidRDefault="00753A2D" w:rsidP="00753A2D">
            <w:pPr>
              <w:spacing w:before="100" w:beforeAutospacing="1" w:after="100" w:afterAutospacing="1"/>
              <w:rPr>
                <w:rFonts w:ascii="Times New Roman" w:eastAsia="Times New Roman" w:hAnsi="Times New Roman" w:cs="Times New Roman"/>
                <w:sz w:val="24"/>
                <w:szCs w:val="24"/>
              </w:rPr>
            </w:pPr>
            <w:r w:rsidRPr="00753A2D">
              <w:rPr>
                <w:rFonts w:ascii="Times New Roman" w:eastAsia="Times New Roman" w:hAnsi="Times New Roman" w:cs="Times New Roman"/>
                <w:sz w:val="24"/>
                <w:szCs w:val="24"/>
              </w:rPr>
              <w:t>The table above presents the relationship between the socio-economic scheme and international understanding among international students. The correlation coefficient (R) is 0.689,</w:t>
            </w:r>
            <w:bookmarkStart w:id="3" w:name="_GoBack"/>
            <w:bookmarkEnd w:id="3"/>
            <w:r w:rsidRPr="00753A2D">
              <w:rPr>
                <w:rFonts w:ascii="Times New Roman" w:eastAsia="Times New Roman" w:hAnsi="Times New Roman" w:cs="Times New Roman"/>
                <w:sz w:val="24"/>
                <w:szCs w:val="24"/>
              </w:rPr>
              <w:t xml:space="preserve"> indicating a moderate to strong positive relationship between the socio-economic scheme and international understanding. This finding suggests that greater engagement with, or enhancements to, the socio-economic scheme are associated with higher levels of international understanding among students.</w:t>
            </w:r>
            <w:r>
              <w:rPr>
                <w:rFonts w:ascii="Times New Roman" w:eastAsia="Times New Roman" w:hAnsi="Times New Roman" w:cs="Times New Roman"/>
                <w:sz w:val="24"/>
                <w:szCs w:val="24"/>
              </w:rPr>
              <w:t xml:space="preserve"> </w:t>
            </w:r>
            <w:r w:rsidRPr="00753A2D">
              <w:rPr>
                <w:rFonts w:ascii="Times New Roman" w:eastAsia="Times New Roman" w:hAnsi="Times New Roman" w:cs="Times New Roman"/>
                <w:sz w:val="24"/>
                <w:szCs w:val="24"/>
              </w:rPr>
              <w:t>The coefficient of determination (R²) is 0.475, implying that approximately 47.5% of the variance in international understanding can be attributed to the socio-economic scheme. This highlights the substantial, though not exclusive, role of the scheme in shaping students’ cross-cultural awareness and perceptions of India.</w:t>
            </w:r>
          </w:p>
          <w:p w14:paraId="090E4BB2" w14:textId="4F0F6EB8" w:rsidR="00373884" w:rsidRPr="00DC6EF2" w:rsidRDefault="00373884" w:rsidP="00A76DBF">
            <w:pPr>
              <w:autoSpaceDE w:val="0"/>
              <w:autoSpaceDN w:val="0"/>
              <w:adjustRightInd w:val="0"/>
              <w:spacing w:line="480" w:lineRule="auto"/>
              <w:ind w:firstLine="720"/>
              <w:jc w:val="both"/>
              <w:rPr>
                <w:rFonts w:asciiTheme="majorBidi" w:hAnsiTheme="majorBidi" w:cstheme="majorBidi"/>
                <w:color w:val="000000" w:themeColor="text1"/>
                <w:sz w:val="24"/>
                <w:szCs w:val="24"/>
              </w:rPr>
            </w:pPr>
            <w:r w:rsidRPr="00373884">
              <w:rPr>
                <w:rFonts w:asciiTheme="majorBidi" w:hAnsiTheme="majorBidi" w:cstheme="majorBidi"/>
                <w:color w:val="000000" w:themeColor="text1"/>
                <w:sz w:val="24"/>
                <w:szCs w:val="24"/>
              </w:rPr>
              <w:lastRenderedPageBreak/>
              <w:t xml:space="preserve">This demonstrates that the socio-economic scheme plays a substantial role in influencing students’ perceptions and experiences of international understanding. The Adjusted R² </w:t>
            </w:r>
            <w:r>
              <w:rPr>
                <w:rFonts w:asciiTheme="majorBidi" w:hAnsiTheme="majorBidi" w:cstheme="majorBidi"/>
                <w:color w:val="000000" w:themeColor="text1"/>
                <w:sz w:val="24"/>
                <w:szCs w:val="24"/>
              </w:rPr>
              <w:t>value of 0.474 is very close to the R² value, implying that the model is stable and reliable, and the predictor variable makes a significant contribution</w:t>
            </w:r>
            <w:r w:rsidRPr="00373884">
              <w:rPr>
                <w:rFonts w:asciiTheme="majorBidi" w:hAnsiTheme="majorBidi" w:cstheme="majorBidi"/>
                <w:color w:val="000000" w:themeColor="text1"/>
                <w:sz w:val="24"/>
                <w:szCs w:val="24"/>
              </w:rPr>
              <w:t xml:space="preserve"> to explaining the dependent variable.</w:t>
            </w:r>
          </w:p>
        </w:tc>
      </w:tr>
      <w:tr w:rsidR="002759D0" w:rsidRPr="00A36CFE" w14:paraId="69529CA6"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47"/>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nil"/>
              <w:left w:val="nil"/>
              <w:bottom w:val="single" w:sz="4" w:space="0" w:color="auto"/>
              <w:right w:val="nil"/>
            </w:tcBorders>
          </w:tcPr>
          <w:p w14:paraId="049BD54D" w14:textId="45416A4E"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lastRenderedPageBreak/>
              <w:t xml:space="preserve">Table 5. </w:t>
            </w:r>
            <w:proofErr w:type="spellStart"/>
            <w:r w:rsidRPr="00A36CFE">
              <w:rPr>
                <w:rFonts w:asciiTheme="majorBidi" w:hAnsiTheme="majorBidi" w:cstheme="majorBidi"/>
                <w:b/>
                <w:bCs/>
                <w:color w:val="000000" w:themeColor="text1"/>
                <w:kern w:val="0"/>
                <w:sz w:val="24"/>
                <w:szCs w:val="24"/>
              </w:rPr>
              <w:t>ANOVA</w:t>
            </w:r>
            <w:r w:rsidRPr="00A36CFE">
              <w:rPr>
                <w:rFonts w:asciiTheme="majorBidi" w:hAnsiTheme="majorBidi" w:cstheme="majorBidi"/>
                <w:b/>
                <w:bCs/>
                <w:color w:val="000000" w:themeColor="text1"/>
                <w:kern w:val="0"/>
                <w:sz w:val="24"/>
                <w:szCs w:val="24"/>
                <w:vertAlign w:val="superscript"/>
              </w:rPr>
              <w:t>a</w:t>
            </w:r>
            <w:proofErr w:type="spellEnd"/>
          </w:p>
        </w:tc>
      </w:tr>
      <w:tr w:rsidR="002759D0" w:rsidRPr="00A36CFE" w14:paraId="17A473B0"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334"/>
        </w:trPr>
        <w:tc>
          <w:tcPr>
            <w:cnfStyle w:val="000010000000" w:firstRow="0" w:lastRow="0" w:firstColumn="0" w:lastColumn="0" w:oddVBand="1" w:evenVBand="0" w:oddHBand="0" w:evenHBand="0" w:firstRowFirstColumn="0" w:firstRowLastColumn="0" w:lastRowFirstColumn="0" w:lastRowLastColumn="0"/>
            <w:tcW w:w="2345" w:type="dxa"/>
            <w:gridSpan w:val="5"/>
            <w:tcBorders>
              <w:top w:val="single" w:sz="4" w:space="0" w:color="auto"/>
              <w:left w:val="nil"/>
              <w:bottom w:val="single" w:sz="4" w:space="0" w:color="auto"/>
              <w:right w:val="nil"/>
            </w:tcBorders>
          </w:tcPr>
          <w:p w14:paraId="2150768E"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Model</w:t>
            </w:r>
          </w:p>
        </w:tc>
        <w:tc>
          <w:tcPr>
            <w:cnfStyle w:val="000001000000" w:firstRow="0" w:lastRow="0" w:firstColumn="0" w:lastColumn="0" w:oddVBand="0" w:evenVBand="1" w:oddHBand="0" w:evenHBand="0" w:firstRowFirstColumn="0" w:firstRowLastColumn="0" w:lastRowFirstColumn="0" w:lastRowLastColumn="0"/>
            <w:tcW w:w="1708" w:type="dxa"/>
            <w:gridSpan w:val="3"/>
            <w:tcBorders>
              <w:top w:val="single" w:sz="4" w:space="0" w:color="auto"/>
              <w:left w:val="nil"/>
              <w:bottom w:val="single" w:sz="4" w:space="0" w:color="auto"/>
              <w:right w:val="nil"/>
            </w:tcBorders>
          </w:tcPr>
          <w:p w14:paraId="26E0EEC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Sum of Squares</w:t>
            </w:r>
          </w:p>
        </w:tc>
        <w:tc>
          <w:tcPr>
            <w:cnfStyle w:val="000010000000" w:firstRow="0" w:lastRow="0" w:firstColumn="0" w:lastColumn="0" w:oddVBand="1" w:evenVBand="0" w:oddHBand="0" w:evenHBand="0" w:firstRowFirstColumn="0" w:firstRowLastColumn="0" w:lastRowFirstColumn="0" w:lastRowLastColumn="0"/>
            <w:tcW w:w="1191" w:type="dxa"/>
            <w:tcBorders>
              <w:top w:val="single" w:sz="4" w:space="0" w:color="auto"/>
              <w:left w:val="nil"/>
              <w:bottom w:val="single" w:sz="4" w:space="0" w:color="auto"/>
              <w:right w:val="nil"/>
            </w:tcBorders>
          </w:tcPr>
          <w:p w14:paraId="1E35A6F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df</w:t>
            </w:r>
          </w:p>
        </w:tc>
        <w:tc>
          <w:tcPr>
            <w:cnfStyle w:val="000001000000" w:firstRow="0" w:lastRow="0" w:firstColumn="0" w:lastColumn="0" w:oddVBand="0" w:evenVBand="1" w:oddHBand="0" w:evenHBand="0" w:firstRowFirstColumn="0" w:firstRowLastColumn="0" w:lastRowFirstColumn="0" w:lastRowLastColumn="0"/>
            <w:tcW w:w="1637" w:type="dxa"/>
            <w:gridSpan w:val="4"/>
            <w:tcBorders>
              <w:top w:val="single" w:sz="4" w:space="0" w:color="auto"/>
              <w:left w:val="nil"/>
              <w:bottom w:val="single" w:sz="4" w:space="0" w:color="auto"/>
              <w:right w:val="nil"/>
            </w:tcBorders>
          </w:tcPr>
          <w:p w14:paraId="0B53BEB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Mean Square</w:t>
            </w:r>
          </w:p>
        </w:tc>
        <w:tc>
          <w:tcPr>
            <w:cnfStyle w:val="000010000000" w:firstRow="0" w:lastRow="0" w:firstColumn="0" w:lastColumn="0" w:oddVBand="1" w:evenVBand="0" w:oddHBand="0" w:evenHBand="0" w:firstRowFirstColumn="0" w:firstRowLastColumn="0" w:lastRowFirstColumn="0" w:lastRowLastColumn="0"/>
            <w:tcW w:w="1191" w:type="dxa"/>
            <w:gridSpan w:val="2"/>
            <w:tcBorders>
              <w:top w:val="single" w:sz="4" w:space="0" w:color="auto"/>
              <w:left w:val="nil"/>
              <w:bottom w:val="single" w:sz="4" w:space="0" w:color="auto"/>
              <w:right w:val="nil"/>
            </w:tcBorders>
          </w:tcPr>
          <w:p w14:paraId="26C8D3B7"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F</w:t>
            </w:r>
          </w:p>
        </w:tc>
        <w:tc>
          <w:tcPr>
            <w:cnfStyle w:val="000001000000" w:firstRow="0" w:lastRow="0" w:firstColumn="0" w:lastColumn="0" w:oddVBand="0" w:evenVBand="1" w:oddHBand="0" w:evenHBand="0" w:firstRowFirstColumn="0" w:firstRowLastColumn="0" w:lastRowFirstColumn="0" w:lastRowLastColumn="0"/>
            <w:tcW w:w="1194" w:type="dxa"/>
            <w:gridSpan w:val="6"/>
            <w:tcBorders>
              <w:top w:val="single" w:sz="4" w:space="0" w:color="auto"/>
              <w:left w:val="nil"/>
              <w:bottom w:val="single" w:sz="4" w:space="0" w:color="auto"/>
              <w:right w:val="nil"/>
            </w:tcBorders>
          </w:tcPr>
          <w:p w14:paraId="016EEDC6"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Sig.</w:t>
            </w:r>
          </w:p>
        </w:tc>
      </w:tr>
      <w:tr w:rsidR="00B36F01" w:rsidRPr="00A36CFE" w14:paraId="544EE850"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47"/>
        </w:trPr>
        <w:tc>
          <w:tcPr>
            <w:cnfStyle w:val="000010000000" w:firstRow="0" w:lastRow="0" w:firstColumn="0" w:lastColumn="0" w:oddVBand="1" w:evenVBand="0" w:oddHBand="0" w:evenHBand="0" w:firstRowFirstColumn="0" w:firstRowLastColumn="0" w:lastRowFirstColumn="0" w:lastRowLastColumn="0"/>
            <w:tcW w:w="852" w:type="dxa"/>
            <w:gridSpan w:val="2"/>
            <w:vMerge w:val="restart"/>
            <w:tcBorders>
              <w:top w:val="single" w:sz="4" w:space="0" w:color="auto"/>
              <w:left w:val="nil"/>
              <w:bottom w:val="nil"/>
              <w:right w:val="nil"/>
            </w:tcBorders>
          </w:tcPr>
          <w:p w14:paraId="1AF6E79B"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single" w:sz="4" w:space="0" w:color="auto"/>
              <w:left w:val="nil"/>
              <w:bottom w:val="nil"/>
              <w:right w:val="nil"/>
            </w:tcBorders>
          </w:tcPr>
          <w:p w14:paraId="0D1FDAEC"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Regression</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single" w:sz="4" w:space="0" w:color="auto"/>
              <w:left w:val="nil"/>
              <w:bottom w:val="nil"/>
              <w:right w:val="nil"/>
            </w:tcBorders>
          </w:tcPr>
          <w:p w14:paraId="1A1E5502" w14:textId="0D68952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64.753</w:t>
            </w:r>
          </w:p>
        </w:tc>
        <w:tc>
          <w:tcPr>
            <w:cnfStyle w:val="000001000000" w:firstRow="0" w:lastRow="0" w:firstColumn="0" w:lastColumn="0" w:oddVBand="0" w:evenVBand="1" w:oddHBand="0" w:evenHBand="0" w:firstRowFirstColumn="0" w:firstRowLastColumn="0" w:lastRowFirstColumn="0" w:lastRowLastColumn="0"/>
            <w:tcW w:w="1191" w:type="dxa"/>
            <w:tcBorders>
              <w:top w:val="single" w:sz="4" w:space="0" w:color="auto"/>
              <w:left w:val="nil"/>
              <w:bottom w:val="nil"/>
              <w:right w:val="nil"/>
            </w:tcBorders>
          </w:tcPr>
          <w:p w14:paraId="18AFF194" w14:textId="7DF74645"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single" w:sz="4" w:space="0" w:color="auto"/>
              <w:left w:val="nil"/>
              <w:bottom w:val="nil"/>
              <w:right w:val="nil"/>
            </w:tcBorders>
          </w:tcPr>
          <w:p w14:paraId="30D36D4E" w14:textId="17729DAC"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64.753</w:t>
            </w: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single" w:sz="4" w:space="0" w:color="auto"/>
              <w:left w:val="nil"/>
              <w:bottom w:val="nil"/>
              <w:right w:val="nil"/>
            </w:tcBorders>
          </w:tcPr>
          <w:p w14:paraId="3A1523D0" w14:textId="5752D12F"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335.923</w:t>
            </w: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single" w:sz="4" w:space="0" w:color="auto"/>
              <w:left w:val="nil"/>
              <w:bottom w:val="nil"/>
              <w:right w:val="nil"/>
            </w:tcBorders>
          </w:tcPr>
          <w:p w14:paraId="580BB5EB" w14:textId="0CED3DA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.000b</w:t>
            </w:r>
          </w:p>
        </w:tc>
      </w:tr>
      <w:tr w:rsidR="00B36F01" w:rsidRPr="00A36CFE" w14:paraId="26CD56BF"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154"/>
        </w:trPr>
        <w:tc>
          <w:tcPr>
            <w:cnfStyle w:val="000010000000" w:firstRow="0" w:lastRow="0" w:firstColumn="0" w:lastColumn="0" w:oddVBand="1" w:evenVBand="0" w:oddHBand="0" w:evenHBand="0" w:firstRowFirstColumn="0" w:firstRowLastColumn="0" w:lastRowFirstColumn="0" w:lastRowLastColumn="0"/>
            <w:tcW w:w="852" w:type="dxa"/>
            <w:gridSpan w:val="2"/>
            <w:vMerge/>
            <w:tcBorders>
              <w:top w:val="nil"/>
              <w:left w:val="nil"/>
              <w:bottom w:val="nil"/>
              <w:right w:val="nil"/>
            </w:tcBorders>
          </w:tcPr>
          <w:p w14:paraId="72332D23"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nil"/>
              <w:left w:val="nil"/>
              <w:bottom w:val="nil"/>
              <w:right w:val="nil"/>
            </w:tcBorders>
          </w:tcPr>
          <w:p w14:paraId="30577D05"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Residual</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nil"/>
              <w:left w:val="nil"/>
              <w:bottom w:val="nil"/>
              <w:right w:val="nil"/>
            </w:tcBorders>
          </w:tcPr>
          <w:p w14:paraId="2763F279" w14:textId="465663A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71.514</w:t>
            </w:r>
          </w:p>
        </w:tc>
        <w:tc>
          <w:tcPr>
            <w:cnfStyle w:val="000001000000" w:firstRow="0" w:lastRow="0" w:firstColumn="0" w:lastColumn="0" w:oddVBand="0" w:evenVBand="1" w:oddHBand="0" w:evenHBand="0" w:firstRowFirstColumn="0" w:firstRowLastColumn="0" w:lastRowFirstColumn="0" w:lastRowLastColumn="0"/>
            <w:tcW w:w="1191" w:type="dxa"/>
            <w:tcBorders>
              <w:top w:val="nil"/>
              <w:left w:val="nil"/>
              <w:bottom w:val="nil"/>
              <w:right w:val="nil"/>
            </w:tcBorders>
          </w:tcPr>
          <w:p w14:paraId="4059D4A3" w14:textId="646C476E"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371</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nil"/>
              <w:left w:val="nil"/>
              <w:bottom w:val="nil"/>
              <w:right w:val="nil"/>
            </w:tcBorders>
          </w:tcPr>
          <w:p w14:paraId="513F5265" w14:textId="1258E4B7"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.193</w:t>
            </w: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nil"/>
              <w:left w:val="nil"/>
              <w:bottom w:val="nil"/>
              <w:right w:val="nil"/>
            </w:tcBorders>
          </w:tcPr>
          <w:p w14:paraId="0548DD16"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nil"/>
              <w:left w:val="nil"/>
              <w:bottom w:val="nil"/>
              <w:right w:val="nil"/>
            </w:tcBorders>
          </w:tcPr>
          <w:p w14:paraId="57565A26"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r>
      <w:tr w:rsidR="00B36F01" w:rsidRPr="00A36CFE" w14:paraId="4C0F7777"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154"/>
        </w:trPr>
        <w:tc>
          <w:tcPr>
            <w:cnfStyle w:val="000010000000" w:firstRow="0" w:lastRow="0" w:firstColumn="0" w:lastColumn="0" w:oddVBand="1" w:evenVBand="0" w:oddHBand="0" w:evenHBand="0" w:firstRowFirstColumn="0" w:firstRowLastColumn="0" w:lastRowFirstColumn="0" w:lastRowLastColumn="0"/>
            <w:tcW w:w="852" w:type="dxa"/>
            <w:gridSpan w:val="2"/>
            <w:vMerge/>
            <w:tcBorders>
              <w:top w:val="nil"/>
              <w:left w:val="nil"/>
              <w:bottom w:val="single" w:sz="4" w:space="0" w:color="auto"/>
              <w:right w:val="nil"/>
            </w:tcBorders>
          </w:tcPr>
          <w:p w14:paraId="2E85A94A"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nil"/>
              <w:left w:val="nil"/>
              <w:bottom w:val="single" w:sz="4" w:space="0" w:color="auto"/>
              <w:right w:val="nil"/>
            </w:tcBorders>
          </w:tcPr>
          <w:p w14:paraId="58BC55CC"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nil"/>
              <w:left w:val="nil"/>
              <w:bottom w:val="single" w:sz="4" w:space="0" w:color="auto"/>
              <w:right w:val="nil"/>
            </w:tcBorders>
          </w:tcPr>
          <w:p w14:paraId="4C344BC0" w14:textId="143B3020"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136.267</w:t>
            </w:r>
          </w:p>
        </w:tc>
        <w:tc>
          <w:tcPr>
            <w:cnfStyle w:val="000001000000" w:firstRow="0" w:lastRow="0" w:firstColumn="0" w:lastColumn="0" w:oddVBand="0" w:evenVBand="1" w:oddHBand="0" w:evenHBand="0" w:firstRowFirstColumn="0" w:firstRowLastColumn="0" w:lastRowFirstColumn="0" w:lastRowLastColumn="0"/>
            <w:tcW w:w="1191" w:type="dxa"/>
            <w:tcBorders>
              <w:top w:val="nil"/>
              <w:left w:val="nil"/>
              <w:bottom w:val="single" w:sz="4" w:space="0" w:color="auto"/>
              <w:right w:val="nil"/>
            </w:tcBorders>
          </w:tcPr>
          <w:p w14:paraId="0D4ADA06" w14:textId="6CEC9899"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372</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nil"/>
              <w:left w:val="nil"/>
              <w:bottom w:val="single" w:sz="4" w:space="0" w:color="auto"/>
              <w:right w:val="nil"/>
            </w:tcBorders>
          </w:tcPr>
          <w:p w14:paraId="0B9AC06B"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nil"/>
              <w:left w:val="nil"/>
              <w:bottom w:val="single" w:sz="4" w:space="0" w:color="auto"/>
              <w:right w:val="nil"/>
            </w:tcBorders>
          </w:tcPr>
          <w:p w14:paraId="4AD4911A"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nil"/>
              <w:left w:val="nil"/>
              <w:bottom w:val="single" w:sz="4" w:space="0" w:color="auto"/>
              <w:right w:val="nil"/>
            </w:tcBorders>
          </w:tcPr>
          <w:p w14:paraId="57CF702E"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r>
      <w:tr w:rsidR="002759D0" w:rsidRPr="00A36CFE" w14:paraId="717EAB91"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347"/>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single" w:sz="4" w:space="0" w:color="auto"/>
              <w:left w:val="nil"/>
              <w:bottom w:val="nil"/>
              <w:right w:val="nil"/>
            </w:tcBorders>
          </w:tcPr>
          <w:p w14:paraId="0866F982" w14:textId="77777777"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 Dependent Variable: International Understanding</w:t>
            </w:r>
          </w:p>
        </w:tc>
      </w:tr>
      <w:tr w:rsidR="002759D0" w:rsidRPr="00A36CFE" w14:paraId="16DE690C"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34"/>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nil"/>
              <w:left w:val="nil"/>
              <w:bottom w:val="nil"/>
              <w:right w:val="nil"/>
            </w:tcBorders>
          </w:tcPr>
          <w:p w14:paraId="2388D47C" w14:textId="54D7881E"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 xml:space="preserve">b. Predictors: (Constant), </w:t>
            </w:r>
            <w:r w:rsidR="00B36F01" w:rsidRPr="00B36F01">
              <w:rPr>
                <w:rFonts w:asciiTheme="majorBidi" w:hAnsiTheme="majorBidi" w:cstheme="majorBidi"/>
                <w:color w:val="000000" w:themeColor="text1"/>
                <w:kern w:val="0"/>
                <w:sz w:val="24"/>
                <w:szCs w:val="24"/>
              </w:rPr>
              <w:t>Socio-Economic Scheme</w:t>
            </w:r>
          </w:p>
          <w:p w14:paraId="534C67CC" w14:textId="77777777"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p>
          <w:p w14:paraId="3536D347" w14:textId="77777777" w:rsidR="002759D0" w:rsidRDefault="002759D0" w:rsidP="001C2273">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372BAFA5" w14:textId="68839538" w:rsidR="00373884" w:rsidRP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lang w:val="en-US"/>
              </w:rPr>
              <w:t>The table above assesses the overall significance of the regression model predicting international understanding from the socio-economic framework</w:t>
            </w:r>
            <w:r w:rsidR="00373884" w:rsidRPr="00373884">
              <w:rPr>
                <w:rFonts w:asciiTheme="majorBidi" w:hAnsiTheme="majorBidi" w:cstheme="majorBidi"/>
                <w:color w:val="000000" w:themeColor="text1"/>
                <w:kern w:val="0"/>
                <w:sz w:val="24"/>
                <w:szCs w:val="24"/>
                <w:lang w:val="en-US"/>
              </w:rPr>
              <w:t>. The model produced a regression sum of squares of 64.753 with 1 degree of freedom, and a residual sum of squares of 71.514 with 371 degrees of freedom, resulting in a total sum of squares of 136.267. The calculated F-value is 335.923</w:t>
            </w:r>
            <w:r w:rsidR="00814EC5">
              <w:rPr>
                <w:rFonts w:asciiTheme="majorBidi" w:hAnsiTheme="majorBidi" w:cstheme="majorBidi"/>
                <w:color w:val="000000" w:themeColor="text1"/>
                <w:kern w:val="0"/>
                <w:sz w:val="24"/>
                <w:szCs w:val="24"/>
                <w:lang w:val="en-US"/>
              </w:rPr>
              <w:t>, with a significance level (p = 0.000)</w:t>
            </w:r>
            <w:r w:rsidR="00373884" w:rsidRPr="00373884">
              <w:rPr>
                <w:rFonts w:asciiTheme="majorBidi" w:hAnsiTheme="majorBidi" w:cstheme="majorBidi"/>
                <w:color w:val="000000" w:themeColor="text1"/>
                <w:kern w:val="0"/>
                <w:sz w:val="24"/>
                <w:szCs w:val="24"/>
                <w:lang w:val="en-US"/>
              </w:rPr>
              <w:t xml:space="preserve"> well below the standard threshold of 0.05. This indicates that the regression model is statistically significant, meaning the socio-economic scheme is a significant predictor of international understanding among international students. In other words, the variations in international understanding can be reliably explained by the socio-economic scheme, confirming the model’s predictive power.</w:t>
            </w:r>
          </w:p>
          <w:p w14:paraId="2A4792FB" w14:textId="6A981502" w:rsidR="002759D0" w:rsidRPr="00A36CFE" w:rsidRDefault="002759D0" w:rsidP="001C2273">
            <w:pPr>
              <w:autoSpaceDE w:val="0"/>
              <w:autoSpaceDN w:val="0"/>
              <w:adjustRightInd w:val="0"/>
              <w:spacing w:line="480" w:lineRule="auto"/>
              <w:jc w:val="center"/>
              <w:rPr>
                <w:rFonts w:asciiTheme="majorBidi" w:hAnsiTheme="majorBidi" w:cstheme="majorBidi"/>
                <w:b/>
                <w:bCs/>
                <w:color w:val="000000" w:themeColor="text1"/>
                <w:kern w:val="0"/>
                <w:sz w:val="24"/>
                <w:szCs w:val="24"/>
              </w:rPr>
            </w:pPr>
            <w:r w:rsidRPr="00A36CFE">
              <w:rPr>
                <w:rFonts w:ascii="Times New Roman" w:hAnsi="Times New Roman" w:cs="Times New Roman"/>
                <w:b/>
                <w:bCs/>
                <w:sz w:val="24"/>
                <w:szCs w:val="24"/>
              </w:rPr>
              <w:t xml:space="preserve">Table 6. </w:t>
            </w:r>
            <w:proofErr w:type="spellStart"/>
            <w:r w:rsidRPr="00A36CFE">
              <w:rPr>
                <w:rFonts w:ascii="Times New Roman" w:hAnsi="Times New Roman" w:cs="Times New Roman"/>
                <w:b/>
                <w:bCs/>
                <w:sz w:val="24"/>
                <w:szCs w:val="24"/>
              </w:rPr>
              <w:t>Coefficients</w:t>
            </w:r>
            <w:r w:rsidRPr="00A36CFE">
              <w:rPr>
                <w:rFonts w:ascii="Times New Roman" w:hAnsi="Times New Roman" w:cs="Times New Roman"/>
                <w:b/>
                <w:bCs/>
                <w:sz w:val="24"/>
                <w:szCs w:val="24"/>
                <w:vertAlign w:val="superscript"/>
              </w:rPr>
              <w:t>a</w:t>
            </w:r>
            <w:proofErr w:type="spellEnd"/>
          </w:p>
        </w:tc>
      </w:tr>
      <w:tr w:rsidR="002759D0" w:rsidRPr="00A36CFE" w14:paraId="100A4CE1" w14:textId="77777777" w:rsidTr="00E5306D">
        <w:trPr>
          <w:cnfStyle w:val="000000100000" w:firstRow="0" w:lastRow="0" w:firstColumn="0" w:lastColumn="0" w:oddVBand="0" w:evenVBand="0" w:oddHBand="1" w:evenHBand="0" w:firstRowFirstColumn="0" w:firstRowLastColumn="0" w:lastRowFirstColumn="0" w:lastRowLastColumn="0"/>
          <w:trHeight w:val="702"/>
        </w:trPr>
        <w:tc>
          <w:tcPr>
            <w:cnfStyle w:val="000010000000" w:firstRow="0" w:lastRow="0" w:firstColumn="0" w:lastColumn="0" w:oddVBand="1" w:evenVBand="0" w:oddHBand="0" w:evenHBand="0" w:firstRowFirstColumn="0" w:firstRowLastColumn="0" w:lastRowFirstColumn="0" w:lastRowLastColumn="0"/>
            <w:tcW w:w="2203" w:type="dxa"/>
            <w:gridSpan w:val="4"/>
            <w:vMerge w:val="restart"/>
            <w:tcBorders>
              <w:top w:val="single" w:sz="4" w:space="0" w:color="auto"/>
              <w:left w:val="none" w:sz="0" w:space="0" w:color="auto"/>
              <w:bottom w:val="none" w:sz="0" w:space="0" w:color="auto"/>
              <w:right w:val="none" w:sz="0" w:space="0" w:color="auto"/>
            </w:tcBorders>
          </w:tcPr>
          <w:p w14:paraId="193EEB93"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lastRenderedPageBreak/>
              <w:t>Model</w:t>
            </w:r>
          </w:p>
        </w:tc>
        <w:tc>
          <w:tcPr>
            <w:cnfStyle w:val="000001000000" w:firstRow="0" w:lastRow="0" w:firstColumn="0" w:lastColumn="0" w:oddVBand="0" w:evenVBand="1" w:oddHBand="0" w:evenHBand="0" w:firstRowFirstColumn="0" w:firstRowLastColumn="0" w:lastRowFirstColumn="0" w:lastRowLastColumn="0"/>
            <w:tcW w:w="3069" w:type="dxa"/>
            <w:gridSpan w:val="6"/>
            <w:tcBorders>
              <w:top w:val="single" w:sz="4" w:space="0" w:color="auto"/>
              <w:left w:val="none" w:sz="0" w:space="0" w:color="auto"/>
              <w:bottom w:val="none" w:sz="0" w:space="0" w:color="auto"/>
              <w:right w:val="none" w:sz="0" w:space="0" w:color="auto"/>
            </w:tcBorders>
          </w:tcPr>
          <w:p w14:paraId="1DE02FE9"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1693" w:type="dxa"/>
            <w:gridSpan w:val="4"/>
            <w:tcBorders>
              <w:top w:val="single" w:sz="4" w:space="0" w:color="auto"/>
              <w:left w:val="none" w:sz="0" w:space="0" w:color="auto"/>
              <w:bottom w:val="none" w:sz="0" w:space="0" w:color="auto"/>
              <w:right w:val="none" w:sz="0" w:space="0" w:color="auto"/>
            </w:tcBorders>
          </w:tcPr>
          <w:p w14:paraId="3C9AB864"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Standardized Coefficients</w:t>
            </w:r>
          </w:p>
        </w:tc>
        <w:tc>
          <w:tcPr>
            <w:cnfStyle w:val="000001000000" w:firstRow="0" w:lastRow="0" w:firstColumn="0" w:lastColumn="0" w:oddVBand="0" w:evenVBand="1" w:oddHBand="0" w:evenHBand="0" w:firstRowFirstColumn="0" w:firstRowLastColumn="0" w:lastRowFirstColumn="0" w:lastRowLastColumn="0"/>
            <w:tcW w:w="1181" w:type="dxa"/>
            <w:gridSpan w:val="2"/>
            <w:vMerge w:val="restart"/>
            <w:tcBorders>
              <w:top w:val="single" w:sz="4" w:space="0" w:color="auto"/>
              <w:left w:val="none" w:sz="0" w:space="0" w:color="auto"/>
              <w:bottom w:val="none" w:sz="0" w:space="0" w:color="auto"/>
              <w:right w:val="none" w:sz="0" w:space="0" w:color="auto"/>
            </w:tcBorders>
          </w:tcPr>
          <w:p w14:paraId="16A09764"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t</w:t>
            </w:r>
          </w:p>
        </w:tc>
        <w:tc>
          <w:tcPr>
            <w:cnfStyle w:val="000010000000" w:firstRow="0" w:lastRow="0" w:firstColumn="0" w:lastColumn="0" w:oddVBand="1" w:evenVBand="0" w:oddHBand="0" w:evenHBand="0" w:firstRowFirstColumn="0" w:firstRowLastColumn="0" w:lastRowFirstColumn="0" w:lastRowLastColumn="0"/>
            <w:tcW w:w="1184" w:type="dxa"/>
            <w:gridSpan w:val="6"/>
            <w:vMerge w:val="restart"/>
            <w:tcBorders>
              <w:top w:val="single" w:sz="4" w:space="0" w:color="auto"/>
              <w:left w:val="none" w:sz="0" w:space="0" w:color="auto"/>
              <w:bottom w:val="none" w:sz="0" w:space="0" w:color="auto"/>
              <w:right w:val="none" w:sz="0" w:space="0" w:color="auto"/>
            </w:tcBorders>
          </w:tcPr>
          <w:p w14:paraId="29DCA09C"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Sig.</w:t>
            </w:r>
          </w:p>
        </w:tc>
      </w:tr>
      <w:tr w:rsidR="002759D0" w:rsidRPr="00A36CFE" w14:paraId="42B3EE84" w14:textId="77777777" w:rsidTr="00E5306D">
        <w:trPr>
          <w:trHeight w:val="159"/>
        </w:trPr>
        <w:tc>
          <w:tcPr>
            <w:cnfStyle w:val="000010000000" w:firstRow="0" w:lastRow="0" w:firstColumn="0" w:lastColumn="0" w:oddVBand="1" w:evenVBand="0" w:oddHBand="0" w:evenHBand="0" w:firstRowFirstColumn="0" w:firstRowLastColumn="0" w:lastRowFirstColumn="0" w:lastRowLastColumn="0"/>
            <w:tcW w:w="2203" w:type="dxa"/>
            <w:gridSpan w:val="4"/>
            <w:vMerge/>
            <w:tcBorders>
              <w:left w:val="none" w:sz="0" w:space="0" w:color="auto"/>
              <w:right w:val="none" w:sz="0" w:space="0" w:color="auto"/>
            </w:tcBorders>
          </w:tcPr>
          <w:p w14:paraId="7633FCCC"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534" w:type="dxa"/>
            <w:gridSpan w:val="2"/>
            <w:tcBorders>
              <w:left w:val="none" w:sz="0" w:space="0" w:color="auto"/>
              <w:bottom w:val="single" w:sz="4" w:space="0" w:color="auto"/>
              <w:right w:val="none" w:sz="0" w:space="0" w:color="auto"/>
            </w:tcBorders>
          </w:tcPr>
          <w:p w14:paraId="43760CA1"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B</w:t>
            </w:r>
          </w:p>
        </w:tc>
        <w:tc>
          <w:tcPr>
            <w:cnfStyle w:val="000010000000" w:firstRow="0" w:lastRow="0" w:firstColumn="0" w:lastColumn="0" w:oddVBand="1" w:evenVBand="0" w:oddHBand="0" w:evenHBand="0" w:firstRowFirstColumn="0" w:firstRowLastColumn="0" w:lastRowFirstColumn="0" w:lastRowLastColumn="0"/>
            <w:tcW w:w="1535" w:type="dxa"/>
            <w:gridSpan w:val="4"/>
            <w:tcBorders>
              <w:left w:val="none" w:sz="0" w:space="0" w:color="auto"/>
              <w:bottom w:val="single" w:sz="4" w:space="0" w:color="auto"/>
              <w:right w:val="none" w:sz="0" w:space="0" w:color="auto"/>
            </w:tcBorders>
          </w:tcPr>
          <w:p w14:paraId="22CF5355"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Std. Error</w:t>
            </w:r>
          </w:p>
        </w:tc>
        <w:tc>
          <w:tcPr>
            <w:cnfStyle w:val="000001000000" w:firstRow="0" w:lastRow="0" w:firstColumn="0" w:lastColumn="0" w:oddVBand="0" w:evenVBand="1" w:oddHBand="0" w:evenHBand="0" w:firstRowFirstColumn="0" w:firstRowLastColumn="0" w:lastRowFirstColumn="0" w:lastRowLastColumn="0"/>
            <w:tcW w:w="1693" w:type="dxa"/>
            <w:gridSpan w:val="4"/>
            <w:tcBorders>
              <w:left w:val="none" w:sz="0" w:space="0" w:color="auto"/>
              <w:bottom w:val="single" w:sz="4" w:space="0" w:color="auto"/>
              <w:right w:val="none" w:sz="0" w:space="0" w:color="auto"/>
            </w:tcBorders>
          </w:tcPr>
          <w:p w14:paraId="06BCAB5D"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Beta</w:t>
            </w:r>
          </w:p>
        </w:tc>
        <w:tc>
          <w:tcPr>
            <w:cnfStyle w:val="000010000000" w:firstRow="0" w:lastRow="0" w:firstColumn="0" w:lastColumn="0" w:oddVBand="1" w:evenVBand="0" w:oddHBand="0" w:evenHBand="0" w:firstRowFirstColumn="0" w:firstRowLastColumn="0" w:lastRowFirstColumn="0" w:lastRowLastColumn="0"/>
            <w:tcW w:w="1181" w:type="dxa"/>
            <w:gridSpan w:val="2"/>
            <w:vMerge/>
            <w:tcBorders>
              <w:left w:val="none" w:sz="0" w:space="0" w:color="auto"/>
              <w:right w:val="none" w:sz="0" w:space="0" w:color="auto"/>
            </w:tcBorders>
          </w:tcPr>
          <w:p w14:paraId="0F06CD34"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84" w:type="dxa"/>
            <w:gridSpan w:val="6"/>
            <w:vMerge/>
            <w:tcBorders>
              <w:left w:val="none" w:sz="0" w:space="0" w:color="auto"/>
              <w:right w:val="none" w:sz="0" w:space="0" w:color="auto"/>
            </w:tcBorders>
          </w:tcPr>
          <w:p w14:paraId="12FB0322"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r>
      <w:tr w:rsidR="00B36F01" w:rsidRPr="00A36CFE" w14:paraId="08DF5438" w14:textId="77777777" w:rsidTr="00E5306D">
        <w:trPr>
          <w:cnfStyle w:val="000000100000" w:firstRow="0" w:lastRow="0" w:firstColumn="0" w:lastColumn="0" w:oddVBand="0" w:evenVBand="0" w:oddHBand="1"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720" w:type="dxa"/>
            <w:vMerge w:val="restart"/>
            <w:tcBorders>
              <w:top w:val="none" w:sz="0" w:space="0" w:color="auto"/>
              <w:left w:val="none" w:sz="0" w:space="0" w:color="auto"/>
              <w:bottom w:val="single" w:sz="4" w:space="0" w:color="auto"/>
              <w:right w:val="none" w:sz="0" w:space="0" w:color="auto"/>
            </w:tcBorders>
          </w:tcPr>
          <w:p w14:paraId="0BD21C84"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1483" w:type="dxa"/>
            <w:gridSpan w:val="3"/>
            <w:tcBorders>
              <w:top w:val="none" w:sz="0" w:space="0" w:color="auto"/>
              <w:left w:val="none" w:sz="0" w:space="0" w:color="auto"/>
              <w:bottom w:val="none" w:sz="0" w:space="0" w:color="auto"/>
              <w:right w:val="none" w:sz="0" w:space="0" w:color="auto"/>
            </w:tcBorders>
          </w:tcPr>
          <w:p w14:paraId="169CB046"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534" w:type="dxa"/>
            <w:gridSpan w:val="2"/>
            <w:tcBorders>
              <w:top w:val="single" w:sz="4" w:space="0" w:color="auto"/>
              <w:left w:val="none" w:sz="0" w:space="0" w:color="auto"/>
              <w:bottom w:val="none" w:sz="0" w:space="0" w:color="auto"/>
              <w:right w:val="none" w:sz="0" w:space="0" w:color="auto"/>
            </w:tcBorders>
          </w:tcPr>
          <w:p w14:paraId="14232960" w14:textId="33CC70E8"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1.689</w:t>
            </w:r>
          </w:p>
        </w:tc>
        <w:tc>
          <w:tcPr>
            <w:cnfStyle w:val="000001000000" w:firstRow="0" w:lastRow="0" w:firstColumn="0" w:lastColumn="0" w:oddVBand="0" w:evenVBand="1" w:oddHBand="0" w:evenHBand="0" w:firstRowFirstColumn="0" w:firstRowLastColumn="0" w:lastRowFirstColumn="0" w:lastRowLastColumn="0"/>
            <w:tcW w:w="1535" w:type="dxa"/>
            <w:gridSpan w:val="4"/>
            <w:tcBorders>
              <w:top w:val="single" w:sz="4" w:space="0" w:color="auto"/>
              <w:left w:val="none" w:sz="0" w:space="0" w:color="auto"/>
              <w:bottom w:val="none" w:sz="0" w:space="0" w:color="auto"/>
              <w:right w:val="none" w:sz="0" w:space="0" w:color="auto"/>
            </w:tcBorders>
          </w:tcPr>
          <w:p w14:paraId="23F70757" w14:textId="36CC4F85"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.139</w:t>
            </w:r>
          </w:p>
        </w:tc>
        <w:tc>
          <w:tcPr>
            <w:cnfStyle w:val="000010000000" w:firstRow="0" w:lastRow="0" w:firstColumn="0" w:lastColumn="0" w:oddVBand="1" w:evenVBand="0" w:oddHBand="0" w:evenHBand="0" w:firstRowFirstColumn="0" w:firstRowLastColumn="0" w:lastRowFirstColumn="0" w:lastRowLastColumn="0"/>
            <w:tcW w:w="1693" w:type="dxa"/>
            <w:gridSpan w:val="4"/>
            <w:tcBorders>
              <w:top w:val="single" w:sz="4" w:space="0" w:color="auto"/>
              <w:left w:val="none" w:sz="0" w:space="0" w:color="auto"/>
              <w:bottom w:val="none" w:sz="0" w:space="0" w:color="auto"/>
              <w:right w:val="none" w:sz="0" w:space="0" w:color="auto"/>
            </w:tcBorders>
          </w:tcPr>
          <w:p w14:paraId="56E168AD"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81" w:type="dxa"/>
            <w:gridSpan w:val="2"/>
            <w:tcBorders>
              <w:top w:val="none" w:sz="0" w:space="0" w:color="auto"/>
              <w:left w:val="none" w:sz="0" w:space="0" w:color="auto"/>
              <w:bottom w:val="none" w:sz="0" w:space="0" w:color="auto"/>
              <w:right w:val="none" w:sz="0" w:space="0" w:color="auto"/>
            </w:tcBorders>
          </w:tcPr>
          <w:p w14:paraId="2079870C" w14:textId="2231B627"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12.139</w:t>
            </w:r>
          </w:p>
        </w:tc>
        <w:tc>
          <w:tcPr>
            <w:cnfStyle w:val="000010000000" w:firstRow="0" w:lastRow="0" w:firstColumn="0" w:lastColumn="0" w:oddVBand="1" w:evenVBand="0" w:oddHBand="0" w:evenHBand="0" w:firstRowFirstColumn="0" w:firstRowLastColumn="0" w:lastRowFirstColumn="0" w:lastRowLastColumn="0"/>
            <w:tcW w:w="1184" w:type="dxa"/>
            <w:gridSpan w:val="6"/>
            <w:tcBorders>
              <w:top w:val="none" w:sz="0" w:space="0" w:color="auto"/>
              <w:left w:val="none" w:sz="0" w:space="0" w:color="auto"/>
              <w:bottom w:val="none" w:sz="0" w:space="0" w:color="auto"/>
              <w:right w:val="none" w:sz="0" w:space="0" w:color="auto"/>
            </w:tcBorders>
          </w:tcPr>
          <w:p w14:paraId="713E94CC" w14:textId="0A9BD19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w:t>
            </w:r>
          </w:p>
        </w:tc>
      </w:tr>
      <w:tr w:rsidR="00B36F01" w:rsidRPr="00A36CFE" w14:paraId="4BB5A794" w14:textId="77777777" w:rsidTr="00E5306D">
        <w:trPr>
          <w:trHeight w:val="159"/>
        </w:trPr>
        <w:tc>
          <w:tcPr>
            <w:cnfStyle w:val="000010000000" w:firstRow="0" w:lastRow="0" w:firstColumn="0" w:lastColumn="0" w:oddVBand="1" w:evenVBand="0" w:oddHBand="0" w:evenHBand="0" w:firstRowFirstColumn="0" w:firstRowLastColumn="0" w:lastRowFirstColumn="0" w:lastRowLastColumn="0"/>
            <w:tcW w:w="720" w:type="dxa"/>
            <w:vMerge/>
            <w:tcBorders>
              <w:top w:val="single" w:sz="4" w:space="0" w:color="auto"/>
              <w:left w:val="none" w:sz="0" w:space="0" w:color="auto"/>
              <w:bottom w:val="single" w:sz="4" w:space="0" w:color="auto"/>
              <w:right w:val="none" w:sz="0" w:space="0" w:color="auto"/>
            </w:tcBorders>
          </w:tcPr>
          <w:p w14:paraId="7AAE906D"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83" w:type="dxa"/>
            <w:gridSpan w:val="3"/>
            <w:tcBorders>
              <w:left w:val="none" w:sz="0" w:space="0" w:color="auto"/>
              <w:bottom w:val="single" w:sz="4" w:space="0" w:color="auto"/>
              <w:right w:val="none" w:sz="0" w:space="0" w:color="auto"/>
            </w:tcBorders>
          </w:tcPr>
          <w:p w14:paraId="15E7AC9F" w14:textId="7D9DF65B"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B36F01">
              <w:rPr>
                <w:rFonts w:asciiTheme="majorBidi" w:hAnsiTheme="majorBidi" w:cstheme="majorBidi"/>
                <w:color w:val="000000" w:themeColor="text1"/>
                <w:kern w:val="0"/>
                <w:sz w:val="24"/>
                <w:szCs w:val="24"/>
              </w:rPr>
              <w:t>Socio-Economic Scheme</w:t>
            </w:r>
          </w:p>
        </w:tc>
        <w:tc>
          <w:tcPr>
            <w:cnfStyle w:val="000010000000" w:firstRow="0" w:lastRow="0" w:firstColumn="0" w:lastColumn="0" w:oddVBand="1" w:evenVBand="0" w:oddHBand="0" w:evenHBand="0" w:firstRowFirstColumn="0" w:firstRowLastColumn="0" w:lastRowFirstColumn="0" w:lastRowLastColumn="0"/>
            <w:tcW w:w="1534" w:type="dxa"/>
            <w:gridSpan w:val="2"/>
            <w:tcBorders>
              <w:left w:val="none" w:sz="0" w:space="0" w:color="auto"/>
              <w:bottom w:val="single" w:sz="4" w:space="0" w:color="auto"/>
              <w:right w:val="none" w:sz="0" w:space="0" w:color="auto"/>
            </w:tcBorders>
          </w:tcPr>
          <w:p w14:paraId="73D60F86" w14:textId="71FCA47C"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.596</w:t>
            </w:r>
          </w:p>
        </w:tc>
        <w:tc>
          <w:tcPr>
            <w:cnfStyle w:val="000001000000" w:firstRow="0" w:lastRow="0" w:firstColumn="0" w:lastColumn="0" w:oddVBand="0" w:evenVBand="1" w:oddHBand="0" w:evenHBand="0" w:firstRowFirstColumn="0" w:firstRowLastColumn="0" w:lastRowFirstColumn="0" w:lastRowLastColumn="0"/>
            <w:tcW w:w="1535" w:type="dxa"/>
            <w:gridSpan w:val="4"/>
            <w:tcBorders>
              <w:left w:val="none" w:sz="0" w:space="0" w:color="auto"/>
              <w:bottom w:val="single" w:sz="4" w:space="0" w:color="auto"/>
              <w:right w:val="none" w:sz="0" w:space="0" w:color="auto"/>
            </w:tcBorders>
          </w:tcPr>
          <w:p w14:paraId="761E779F" w14:textId="03D3E86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.033</w:t>
            </w:r>
          </w:p>
        </w:tc>
        <w:tc>
          <w:tcPr>
            <w:cnfStyle w:val="000010000000" w:firstRow="0" w:lastRow="0" w:firstColumn="0" w:lastColumn="0" w:oddVBand="1" w:evenVBand="0" w:oddHBand="0" w:evenHBand="0" w:firstRowFirstColumn="0" w:firstRowLastColumn="0" w:lastRowFirstColumn="0" w:lastRowLastColumn="0"/>
            <w:tcW w:w="1693" w:type="dxa"/>
            <w:gridSpan w:val="4"/>
            <w:tcBorders>
              <w:left w:val="none" w:sz="0" w:space="0" w:color="auto"/>
              <w:bottom w:val="single" w:sz="4" w:space="0" w:color="auto"/>
              <w:right w:val="none" w:sz="0" w:space="0" w:color="auto"/>
            </w:tcBorders>
          </w:tcPr>
          <w:p w14:paraId="09DFF6FE" w14:textId="10D98A61"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.689</w:t>
            </w:r>
          </w:p>
        </w:tc>
        <w:tc>
          <w:tcPr>
            <w:cnfStyle w:val="000001000000" w:firstRow="0" w:lastRow="0" w:firstColumn="0" w:lastColumn="0" w:oddVBand="0" w:evenVBand="1" w:oddHBand="0" w:evenHBand="0" w:firstRowFirstColumn="0" w:firstRowLastColumn="0" w:lastRowFirstColumn="0" w:lastRowLastColumn="0"/>
            <w:tcW w:w="1181" w:type="dxa"/>
            <w:gridSpan w:val="2"/>
            <w:tcBorders>
              <w:left w:val="none" w:sz="0" w:space="0" w:color="auto"/>
              <w:bottom w:val="single" w:sz="4" w:space="0" w:color="auto"/>
              <w:right w:val="none" w:sz="0" w:space="0" w:color="auto"/>
            </w:tcBorders>
          </w:tcPr>
          <w:p w14:paraId="701314DC" w14:textId="4CC68B9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18.328</w:t>
            </w:r>
          </w:p>
        </w:tc>
        <w:tc>
          <w:tcPr>
            <w:cnfStyle w:val="000010000000" w:firstRow="0" w:lastRow="0" w:firstColumn="0" w:lastColumn="0" w:oddVBand="1" w:evenVBand="0" w:oddHBand="0" w:evenHBand="0" w:firstRowFirstColumn="0" w:firstRowLastColumn="0" w:lastRowFirstColumn="0" w:lastRowLastColumn="0"/>
            <w:tcW w:w="1184" w:type="dxa"/>
            <w:gridSpan w:val="6"/>
            <w:tcBorders>
              <w:left w:val="none" w:sz="0" w:space="0" w:color="auto"/>
              <w:bottom w:val="single" w:sz="4" w:space="0" w:color="auto"/>
              <w:right w:val="none" w:sz="0" w:space="0" w:color="auto"/>
            </w:tcBorders>
          </w:tcPr>
          <w:p w14:paraId="27142AAB" w14:textId="3EBC93B3"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w:t>
            </w:r>
          </w:p>
        </w:tc>
      </w:tr>
      <w:tr w:rsidR="002759D0" w:rsidRPr="00A36CFE" w14:paraId="35308932" w14:textId="77777777" w:rsidTr="00E5306D">
        <w:trPr>
          <w:cnfStyle w:val="000000100000" w:firstRow="0" w:lastRow="0" w:firstColumn="0" w:lastColumn="0" w:oddVBand="0" w:evenVBand="0" w:oddHBand="1" w:evenHBand="0" w:firstRowFirstColumn="0" w:firstRowLastColumn="0" w:lastRowFirstColumn="0" w:lastRowLastColumn="0"/>
          <w:trHeight w:val="1520"/>
        </w:trPr>
        <w:tc>
          <w:tcPr>
            <w:cnfStyle w:val="000010000000" w:firstRow="0" w:lastRow="0" w:firstColumn="0" w:lastColumn="0" w:oddVBand="1" w:evenVBand="0" w:oddHBand="0" w:evenHBand="0" w:firstRowFirstColumn="0" w:firstRowLastColumn="0" w:lastRowFirstColumn="0" w:lastRowLastColumn="0"/>
            <w:tcW w:w="9330" w:type="dxa"/>
            <w:gridSpan w:val="22"/>
            <w:tcBorders>
              <w:top w:val="none" w:sz="0" w:space="0" w:color="auto"/>
              <w:left w:val="none" w:sz="0" w:space="0" w:color="auto"/>
              <w:bottom w:val="none" w:sz="0" w:space="0" w:color="auto"/>
              <w:right w:val="none" w:sz="0" w:space="0" w:color="auto"/>
            </w:tcBorders>
          </w:tcPr>
          <w:p w14:paraId="12EAC138"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 Dependent Variable: International Understanding</w:t>
            </w:r>
          </w:p>
          <w:p w14:paraId="256FC981" w14:textId="77777777" w:rsidR="00C9291B" w:rsidRDefault="002759D0" w:rsidP="00B36F01">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0D2DE82C" w14:textId="7397A21A" w:rsidR="00373884" w:rsidRP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lang w:val="en-US"/>
              </w:rPr>
              <w:t>The above table</w:t>
            </w:r>
            <w:r w:rsidR="00373884" w:rsidRPr="00373884">
              <w:rPr>
                <w:rFonts w:asciiTheme="majorBidi" w:hAnsiTheme="majorBidi" w:cstheme="majorBidi"/>
                <w:color w:val="000000" w:themeColor="text1"/>
                <w:kern w:val="0"/>
                <w:sz w:val="24"/>
                <w:szCs w:val="24"/>
                <w:lang w:val="en-US"/>
              </w:rPr>
              <w:t xml:space="preserve"> </w:t>
            </w:r>
            <w:r w:rsidR="00DC6EF2">
              <w:rPr>
                <w:rFonts w:asciiTheme="majorBidi" w:hAnsiTheme="majorBidi" w:cstheme="majorBidi"/>
                <w:color w:val="000000" w:themeColor="text1"/>
                <w:kern w:val="0"/>
                <w:sz w:val="24"/>
                <w:szCs w:val="24"/>
                <w:lang w:val="en-US"/>
              </w:rPr>
              <w:t>indicates</w:t>
            </w:r>
            <w:r w:rsidR="00373884" w:rsidRPr="00373884">
              <w:rPr>
                <w:rFonts w:asciiTheme="majorBidi" w:hAnsiTheme="majorBidi" w:cstheme="majorBidi"/>
                <w:color w:val="000000" w:themeColor="text1"/>
                <w:kern w:val="0"/>
                <w:sz w:val="24"/>
                <w:szCs w:val="24"/>
                <w:lang w:val="en-US"/>
              </w:rPr>
              <w:t xml:space="preserve"> that the socio-economic scheme has a significant positive effect on international understanding among international students. The unstandardized coefficient (B = 0.596, p &lt; 0.001) </w:t>
            </w:r>
            <w:r w:rsidR="00DC6EF2">
              <w:rPr>
                <w:rFonts w:asciiTheme="majorBidi" w:hAnsiTheme="majorBidi" w:cstheme="majorBidi"/>
                <w:color w:val="000000" w:themeColor="text1"/>
                <w:kern w:val="0"/>
                <w:sz w:val="24"/>
                <w:szCs w:val="24"/>
                <w:lang w:val="en-US"/>
              </w:rPr>
              <w:t>indicates that for every one-unit increase in the socio-economic scheme, international understanding increases by 0.596 units, holding all other variables</w:t>
            </w:r>
            <w:r w:rsidR="00373884" w:rsidRPr="00373884">
              <w:rPr>
                <w:rFonts w:asciiTheme="majorBidi" w:hAnsiTheme="majorBidi" w:cstheme="majorBidi"/>
                <w:color w:val="000000" w:themeColor="text1"/>
                <w:kern w:val="0"/>
                <w:sz w:val="24"/>
                <w:szCs w:val="24"/>
                <w:lang w:val="en-US"/>
              </w:rPr>
              <w:t xml:space="preserve"> constant. The standardized coefficient (Beta = 0.689) confirms that the socio-economic scheme is a strong predictor of international understanding. The constant (B = 1.689, p &lt; 0.001) represents the expected value of international understanding when the socio-economic scheme is zero. The high t-values for both the constant (12.139) and the socio-economic scheme (18.328) further indicate that these coefficients are statistically significant. Overall, this suggests that ICCR’s socio-economic scheme plays a substantial and meaningful role in enhancing international understanding among students.</w:t>
            </w:r>
          </w:p>
        </w:tc>
      </w:tr>
    </w:tbl>
    <w:p w14:paraId="566E9777" w14:textId="77777777" w:rsidR="00EE50E3" w:rsidRPr="00E5306D" w:rsidRDefault="00EE50E3"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RESULT AND DISCUSSION:</w:t>
      </w:r>
    </w:p>
    <w:p w14:paraId="54A612E4" w14:textId="6417619B" w:rsidR="00DC6EF2" w:rsidRPr="00DC6EF2" w:rsidRDefault="00DC6EF2" w:rsidP="00A76DBF">
      <w:pPr>
        <w:pStyle w:val="NormalWeb"/>
        <w:spacing w:line="480" w:lineRule="auto"/>
        <w:ind w:firstLine="720"/>
        <w:jc w:val="both"/>
      </w:pPr>
      <w:r w:rsidRPr="00DC6EF2">
        <w:t xml:space="preserve">The descriptive statistics of the demographic profile (Table 1) reveal that </w:t>
      </w:r>
      <w:r w:rsidR="00814EC5">
        <w:t>74.3% of the 35 respondents were male, and 34.3% were aged 26-</w:t>
      </w:r>
      <w:r w:rsidRPr="00DC6EF2">
        <w:rPr>
          <w:rStyle w:val="Strong"/>
          <w:b w:val="0"/>
          <w:bCs w:val="0"/>
        </w:rPr>
        <w:t>30 years</w:t>
      </w:r>
      <w:r w:rsidRPr="00DC6EF2">
        <w:rPr>
          <w:b/>
          <w:bCs/>
        </w:rPr>
        <w:t>.</w:t>
      </w:r>
      <w:r w:rsidRPr="00DC6EF2">
        <w:t xml:space="preserve"> Only a small portion, </w:t>
      </w:r>
      <w:r w:rsidRPr="00DC6EF2">
        <w:rPr>
          <w:rStyle w:val="Strong"/>
          <w:b w:val="0"/>
          <w:bCs w:val="0"/>
        </w:rPr>
        <w:t>5.7%</w:t>
      </w:r>
      <w:r w:rsidRPr="00DC6EF2">
        <w:rPr>
          <w:b/>
          <w:bCs/>
        </w:rPr>
        <w:t>,</w:t>
      </w:r>
      <w:r w:rsidRPr="00DC6EF2">
        <w:t xml:space="preserve"> were from Iraq, and </w:t>
      </w:r>
      <w:r w:rsidRPr="00DC6EF2">
        <w:rPr>
          <w:rStyle w:val="Strong"/>
          <w:b w:val="0"/>
          <w:bCs w:val="0"/>
        </w:rPr>
        <w:t>22.9%</w:t>
      </w:r>
      <w:r w:rsidRPr="00DC6EF2">
        <w:t xml:space="preserve"> were enrolled in a Master’s program in India. Regarding the study year, </w:t>
      </w:r>
      <w:r w:rsidRPr="00DC6EF2">
        <w:rPr>
          <w:rStyle w:val="Strong"/>
          <w:b w:val="0"/>
          <w:bCs w:val="0"/>
        </w:rPr>
        <w:t>34.3% of respondents were in their second year</w:t>
      </w:r>
      <w:r w:rsidRPr="00DC6EF2">
        <w:rPr>
          <w:b/>
          <w:bCs/>
        </w:rPr>
        <w:t>,</w:t>
      </w:r>
      <w:r w:rsidRPr="00DC6EF2">
        <w:t xml:space="preserve"> and </w:t>
      </w:r>
      <w:r w:rsidRPr="00DC6EF2">
        <w:rPr>
          <w:rStyle w:val="Strong"/>
          <w:b w:val="0"/>
          <w:bCs w:val="0"/>
        </w:rPr>
        <w:t>44.9% had a study duration of three years</w:t>
      </w:r>
      <w:r w:rsidRPr="00DC6EF2">
        <w:t xml:space="preserve">. </w:t>
      </w:r>
      <w:r w:rsidRPr="00DC6EF2">
        <w:lastRenderedPageBreak/>
        <w:t xml:space="preserve">In terms of geographic distribution, </w:t>
      </w:r>
      <w:r w:rsidRPr="00DC6EF2">
        <w:rPr>
          <w:rStyle w:val="Strong"/>
          <w:b w:val="0"/>
          <w:bCs w:val="0"/>
        </w:rPr>
        <w:t xml:space="preserve">8.6% of respondents were studying in </w:t>
      </w:r>
      <w:r>
        <w:rPr>
          <w:rStyle w:val="Strong"/>
          <w:b w:val="0"/>
          <w:bCs w:val="0"/>
        </w:rPr>
        <w:t>the state of Gujarat</w:t>
      </w:r>
      <w:r w:rsidRPr="00DC6EF2">
        <w:rPr>
          <w:b/>
          <w:bCs/>
        </w:rPr>
        <w:t xml:space="preserve">, </w:t>
      </w:r>
      <w:r w:rsidRPr="00DC6EF2">
        <w:t>and</w:t>
      </w:r>
      <w:r w:rsidRPr="00DC6EF2">
        <w:rPr>
          <w:b/>
          <w:bCs/>
        </w:rPr>
        <w:t xml:space="preserve"> </w:t>
      </w:r>
      <w:r w:rsidRPr="00DC6EF2">
        <w:rPr>
          <w:rStyle w:val="Strong"/>
          <w:b w:val="0"/>
          <w:bCs w:val="0"/>
        </w:rPr>
        <w:t>80% received a monthly stipend between 20,000 and 25,000</w:t>
      </w:r>
      <w:r w:rsidRPr="00DC6EF2">
        <w:rPr>
          <w:b/>
          <w:bCs/>
        </w:rPr>
        <w:t xml:space="preserve">. </w:t>
      </w:r>
      <w:r w:rsidRPr="00DC6EF2">
        <w:t>This demographic profile provides a comprehensive understanding of the international student population involved in the study.</w:t>
      </w:r>
    </w:p>
    <w:p w14:paraId="1B09B073" w14:textId="77777777" w:rsidR="00A76DBF" w:rsidRDefault="00DC6EF2" w:rsidP="00A76DBF">
      <w:pPr>
        <w:pStyle w:val="NormalWeb"/>
        <w:spacing w:line="480" w:lineRule="auto"/>
        <w:ind w:firstLine="720"/>
        <w:jc w:val="both"/>
      </w:pPr>
      <w:r w:rsidRPr="00DC6EF2">
        <w:t xml:space="preserve">The descriptive statistics for the main variables (Table 2) indicate that respondents generally hold </w:t>
      </w:r>
      <w:r w:rsidRPr="00DC6EF2">
        <w:rPr>
          <w:rStyle w:val="Strong"/>
          <w:b w:val="0"/>
          <w:bCs w:val="0"/>
        </w:rPr>
        <w:t>positive perceptions of socio-economic schemes</w:t>
      </w:r>
      <w:r w:rsidRPr="00DC6EF2">
        <w:t xml:space="preserve"> (mean = 4.2247, SD = 0.70041) and </w:t>
      </w:r>
      <w:r w:rsidRPr="00DC6EF2">
        <w:rPr>
          <w:rStyle w:val="Strong"/>
          <w:b w:val="0"/>
          <w:bCs w:val="0"/>
        </w:rPr>
        <w:t>international understanding</w:t>
      </w:r>
      <w:r w:rsidRPr="00DC6EF2">
        <w:t xml:space="preserve"> (mean = 4.2059, SD = 0.60523). The relatively low standard deviations suggest that the responses were fairly consistent, reflecting a shared agreement regarding the importance of socio-economic initiatives and their role in promoting international understanding. These findings imply that socio-economic schemes are perceived as effective mechanisms for fostering cross-cultural awareness among international students.</w:t>
      </w:r>
    </w:p>
    <w:p w14:paraId="0CD3C386" w14:textId="7E0CFCCD" w:rsidR="00A76DBF" w:rsidRDefault="00DC6EF2" w:rsidP="00A76DBF">
      <w:pPr>
        <w:pStyle w:val="NormalWeb"/>
        <w:spacing w:line="480" w:lineRule="auto"/>
        <w:ind w:firstLine="720"/>
        <w:jc w:val="both"/>
      </w:pPr>
      <w:r w:rsidRPr="00DC6EF2">
        <w:t xml:space="preserve">The correlation analysis (Table 3) shows a </w:t>
      </w:r>
      <w:r w:rsidRPr="00DC6EF2">
        <w:rPr>
          <w:rStyle w:val="Strong"/>
          <w:b w:val="0"/>
          <w:bCs w:val="0"/>
        </w:rPr>
        <w:t>strong positive relationship</w:t>
      </w:r>
      <w:r w:rsidRPr="00DC6EF2">
        <w:t xml:space="preserve"> between socio-economic schemes and international understanding </w:t>
      </w:r>
      <w:r w:rsidRPr="00DC6EF2">
        <w:rPr>
          <w:b/>
          <w:bCs/>
        </w:rPr>
        <w:t>(</w:t>
      </w:r>
      <w:r w:rsidRPr="00DC6EF2">
        <w:rPr>
          <w:rStyle w:val="Strong"/>
          <w:b w:val="0"/>
          <w:bCs w:val="0"/>
        </w:rPr>
        <w:t>r = 0.689, p &lt; 0.01</w:t>
      </w:r>
      <w:r w:rsidRPr="00DC6EF2">
        <w:rPr>
          <w:b/>
          <w:bCs/>
        </w:rPr>
        <w:t>).</w:t>
      </w:r>
      <w:r w:rsidRPr="00DC6EF2">
        <w:t xml:space="preserve"> This indicates that </w:t>
      </w:r>
      <w:r w:rsidR="00441B72">
        <w:t>greater engagement in socio-economic schemes is associated with greater international understanding, and the correlation is statistically significant, confirming the reliability of the relationship</w:t>
      </w:r>
      <w:r w:rsidRPr="00DC6EF2">
        <w:t xml:space="preserve">. These results suggest that initiatives such as </w:t>
      </w:r>
      <w:r w:rsidR="00441B72">
        <w:t>ICCR's cultural exchange programs, financial support, and skill development schemes significantly enhance</w:t>
      </w:r>
      <w:r w:rsidRPr="00DC6EF2">
        <w:t xml:space="preserve"> students’ cross-cultural awareness and appreciation of diversity.</w:t>
      </w:r>
    </w:p>
    <w:p w14:paraId="58147C32" w14:textId="77777777" w:rsidR="00A76DBF" w:rsidRDefault="00DC6EF2" w:rsidP="00A76DBF">
      <w:pPr>
        <w:pStyle w:val="NormalWeb"/>
        <w:spacing w:line="480" w:lineRule="auto"/>
        <w:ind w:firstLine="720"/>
        <w:jc w:val="both"/>
      </w:pPr>
      <w:r w:rsidRPr="00DC6EF2">
        <w:t xml:space="preserve">The regression analysis (Tables 4, 5, and 6) further supports these findings. The </w:t>
      </w:r>
      <w:r w:rsidRPr="00DC6EF2">
        <w:rPr>
          <w:rStyle w:val="Strong"/>
          <w:b w:val="0"/>
          <w:bCs w:val="0"/>
        </w:rPr>
        <w:t>model summary</w:t>
      </w:r>
      <w:r w:rsidRPr="00DC6EF2">
        <w:t xml:space="preserve"> (Table 4) shows a correlation coefficient of </w:t>
      </w:r>
      <w:r w:rsidRPr="00DC6EF2">
        <w:rPr>
          <w:rStyle w:val="Strong"/>
          <w:b w:val="0"/>
          <w:bCs w:val="0"/>
        </w:rPr>
        <w:t>R = 0.689</w:t>
      </w:r>
      <w:r w:rsidRPr="00DC6EF2">
        <w:rPr>
          <w:b/>
          <w:bCs/>
        </w:rPr>
        <w:t xml:space="preserve"> </w:t>
      </w:r>
      <w:r w:rsidRPr="00DC6EF2">
        <w:t>and an</w:t>
      </w:r>
      <w:r w:rsidRPr="00DC6EF2">
        <w:rPr>
          <w:b/>
          <w:bCs/>
        </w:rPr>
        <w:t xml:space="preserve"> </w:t>
      </w:r>
      <w:r w:rsidRPr="00DC6EF2">
        <w:rPr>
          <w:rStyle w:val="Strong"/>
          <w:b w:val="0"/>
          <w:bCs w:val="0"/>
        </w:rPr>
        <w:t>R² = 0.475</w:t>
      </w:r>
      <w:r w:rsidRPr="00DC6EF2">
        <w:t xml:space="preserve">, indicating that approximately 47.5% of the variance in international understanding can be explained by the socio-economic scheme. The closeness of the Adjusted R² value (0.474) to R² suggests that the model is stable and reliable. The </w:t>
      </w:r>
      <w:r w:rsidRPr="00DC6EF2">
        <w:rPr>
          <w:rStyle w:val="Strong"/>
          <w:b w:val="0"/>
          <w:bCs w:val="0"/>
        </w:rPr>
        <w:t>ANOVA results</w:t>
      </w:r>
      <w:r w:rsidRPr="00DC6EF2">
        <w:t xml:space="preserve"> (Table 5) reveal that the regression model </w:t>
      </w:r>
      <w:r w:rsidRPr="00DC6EF2">
        <w:lastRenderedPageBreak/>
        <w:t>is statistically significant (</w:t>
      </w:r>
      <w:r w:rsidRPr="00DC6EF2">
        <w:rPr>
          <w:rStyle w:val="Strong"/>
          <w:b w:val="0"/>
          <w:bCs w:val="0"/>
        </w:rPr>
        <w:t>F = 335.923, p &lt; 0.001</w:t>
      </w:r>
      <w:r w:rsidRPr="00DC6EF2">
        <w:t>), confirming that socio-economic schemes are significant predictors of international understanding.</w:t>
      </w:r>
    </w:p>
    <w:p w14:paraId="71E57638" w14:textId="77777777" w:rsidR="00A76DBF" w:rsidRDefault="00DC6EF2" w:rsidP="00A76DBF">
      <w:pPr>
        <w:pStyle w:val="NormalWeb"/>
        <w:spacing w:line="480" w:lineRule="auto"/>
        <w:ind w:firstLine="720"/>
        <w:jc w:val="both"/>
      </w:pPr>
      <w:r w:rsidRPr="00DC6EF2">
        <w:t xml:space="preserve">The </w:t>
      </w:r>
      <w:r w:rsidRPr="00DC6EF2">
        <w:rPr>
          <w:rStyle w:val="Strong"/>
          <w:b w:val="0"/>
          <w:bCs w:val="0"/>
        </w:rPr>
        <w:t>regression coefficients</w:t>
      </w:r>
      <w:r w:rsidRPr="00DC6EF2">
        <w:t xml:space="preserve"> (Table 6) indicate that the socio-economic scheme has a </w:t>
      </w:r>
      <w:r w:rsidRPr="00DC6EF2">
        <w:rPr>
          <w:rStyle w:val="Strong"/>
          <w:b w:val="0"/>
          <w:bCs w:val="0"/>
        </w:rPr>
        <w:t>significant</w:t>
      </w:r>
      <w:r w:rsidRPr="00DC6EF2">
        <w:rPr>
          <w:rStyle w:val="Strong"/>
        </w:rPr>
        <w:t xml:space="preserve"> </w:t>
      </w:r>
      <w:r w:rsidRPr="00DC6EF2">
        <w:rPr>
          <w:rStyle w:val="Strong"/>
          <w:b w:val="0"/>
          <w:bCs w:val="0"/>
        </w:rPr>
        <w:t>positive effect</w:t>
      </w:r>
      <w:r w:rsidRPr="00DC6EF2">
        <w:t xml:space="preserve"> on international understanding (</w:t>
      </w:r>
      <w:r w:rsidRPr="00DC6EF2">
        <w:rPr>
          <w:rStyle w:val="Strong"/>
          <w:b w:val="0"/>
          <w:bCs w:val="0"/>
        </w:rPr>
        <w:t>B = 0.596, Beta = 0.689, t = 18.328, p &lt; 0.001</w:t>
      </w:r>
      <w:r w:rsidRPr="00DC6EF2">
        <w:rPr>
          <w:b/>
          <w:bCs/>
        </w:rPr>
        <w:t>).</w:t>
      </w:r>
      <w:r w:rsidRPr="00DC6EF2">
        <w:t xml:space="preserve"> This implies that for every one-unit increase in the socio-economic scheme, international understanding increases by 0.596 units, holding other factors constant. The constant term </w:t>
      </w:r>
      <w:r w:rsidRPr="00DC6EF2">
        <w:rPr>
          <w:b/>
          <w:bCs/>
        </w:rPr>
        <w:t>(</w:t>
      </w:r>
      <w:r w:rsidRPr="00DC6EF2">
        <w:rPr>
          <w:rStyle w:val="Strong"/>
          <w:b w:val="0"/>
          <w:bCs w:val="0"/>
        </w:rPr>
        <w:t>B = 1.689, t = 12.139, p &lt; 0.001</w:t>
      </w:r>
      <w:r w:rsidRPr="00DC6EF2">
        <w:rPr>
          <w:b/>
          <w:bCs/>
        </w:rPr>
        <w:t>)</w:t>
      </w:r>
      <w:r w:rsidRPr="00DC6EF2">
        <w:t xml:space="preserve"> represents the expected level of international understanding when the socio-economic scheme is zero. These results confirm that ICCR’s socio-economic schemes play a meaningful and substantial role in promoting international understanding among international students.</w:t>
      </w:r>
    </w:p>
    <w:p w14:paraId="64CBAB61" w14:textId="1414F283" w:rsidR="00DC6EF2" w:rsidRPr="00DC6EF2" w:rsidRDefault="00DC6EF2" w:rsidP="00A76DBF">
      <w:pPr>
        <w:pStyle w:val="NormalWeb"/>
        <w:spacing w:line="480" w:lineRule="auto"/>
        <w:ind w:firstLine="720"/>
        <w:jc w:val="both"/>
      </w:pPr>
      <w:r w:rsidRPr="00DC6EF2">
        <w:t xml:space="preserve">In conclusion, the study demonstrates that socio-economic schemes are </w:t>
      </w:r>
      <w:r w:rsidRPr="00DC6EF2">
        <w:rPr>
          <w:rStyle w:val="Strong"/>
          <w:b w:val="0"/>
          <w:bCs w:val="0"/>
        </w:rPr>
        <w:t>crucial in enhancing international understanding</w:t>
      </w:r>
      <w:r w:rsidRPr="00DC6EF2">
        <w:rPr>
          <w:b/>
          <w:bCs/>
        </w:rPr>
        <w:t>.</w:t>
      </w:r>
      <w:r w:rsidRPr="00DC6EF2">
        <w:t xml:space="preserve"> The positive correlation, significant regression results, and consistent perceptions among respondents </w:t>
      </w:r>
      <w:r w:rsidR="00441B72">
        <w:t xml:space="preserve">indicate that such initiatives effectively contribute </w:t>
      </w:r>
      <w:r w:rsidRPr="00DC6EF2">
        <w:t>to intercultural engagement, awareness, and mutual understanding. This underscores the importance of structured socio-economic programs in fostering a supportive environment for international students and promoting global perspectives.</w:t>
      </w:r>
    </w:p>
    <w:p w14:paraId="5120CAB5" w14:textId="77777777" w:rsidR="006E50AE"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CONCLUSION:</w:t>
      </w:r>
    </w:p>
    <w:p w14:paraId="1526ECB1" w14:textId="7E7B1F55" w:rsidR="00DC6EF2" w:rsidRDefault="00DC6EF2" w:rsidP="00A76DBF">
      <w:pPr>
        <w:pStyle w:val="ListParagraph"/>
        <w:spacing w:line="480" w:lineRule="auto"/>
        <w:ind w:left="0" w:firstLine="720"/>
        <w:jc w:val="both"/>
        <w:rPr>
          <w:rFonts w:asciiTheme="majorBidi" w:hAnsiTheme="majorBidi" w:cstheme="majorBidi"/>
          <w:sz w:val="24"/>
          <w:szCs w:val="24"/>
        </w:rPr>
      </w:pPr>
      <w:r w:rsidRPr="00DC6EF2">
        <w:rPr>
          <w:rFonts w:asciiTheme="majorBidi" w:hAnsiTheme="majorBidi" w:cstheme="majorBidi"/>
          <w:sz w:val="24"/>
          <w:szCs w:val="24"/>
        </w:rPr>
        <w:t xml:space="preserve">The study clearly indicates that socio-economic schemes play a significant and positive role in promoting international understanding among international students in India. The descriptive analysis shows that students perceive these schemes positively, and the correlation analysis confirms a strong and statistically significant relationship between socio-economic initiatives and international understanding. Regression analysis further demonstrates that the socio-economic scheme is a strong predictor, explaining nearly 48% of the variance in international understanding. These findings highlight that programs such as cultural exchanges, </w:t>
      </w:r>
      <w:r w:rsidRPr="00DC6EF2">
        <w:rPr>
          <w:rFonts w:asciiTheme="majorBidi" w:hAnsiTheme="majorBidi" w:cstheme="majorBidi"/>
          <w:sz w:val="24"/>
          <w:szCs w:val="24"/>
        </w:rPr>
        <w:lastRenderedPageBreak/>
        <w:t>financial support, and skill development offered by ICCR effectively enhance students’ cross-cultural awareness, appreciation, and engagement. Overall, the study underscores the importance of well-structured socio-economic schemes in fostering intercultural understanding and creating a supportive environment for international students to thrive academically and socially.</w:t>
      </w:r>
    </w:p>
    <w:p w14:paraId="546E0613" w14:textId="1BEBED08" w:rsidR="00F05781" w:rsidRDefault="00F05781" w:rsidP="00A76DBF">
      <w:pPr>
        <w:pStyle w:val="ListParagraph"/>
        <w:spacing w:line="480" w:lineRule="auto"/>
        <w:ind w:left="0" w:firstLine="720"/>
        <w:jc w:val="both"/>
        <w:rPr>
          <w:rFonts w:asciiTheme="majorBidi" w:hAnsiTheme="majorBidi" w:cstheme="majorBidi"/>
          <w:sz w:val="24"/>
          <w:szCs w:val="24"/>
        </w:rPr>
      </w:pPr>
    </w:p>
    <w:p w14:paraId="44F1157C" w14:textId="6FD21E1F" w:rsidR="00F05781" w:rsidRDefault="00F05781" w:rsidP="00A76DBF">
      <w:pPr>
        <w:pStyle w:val="ListParagraph"/>
        <w:spacing w:line="480" w:lineRule="auto"/>
        <w:ind w:left="0" w:firstLine="720"/>
        <w:jc w:val="both"/>
        <w:rPr>
          <w:rFonts w:asciiTheme="majorBidi" w:hAnsiTheme="majorBidi" w:cstheme="majorBidi"/>
          <w:sz w:val="24"/>
          <w:szCs w:val="24"/>
        </w:rPr>
      </w:pPr>
    </w:p>
    <w:p w14:paraId="4B437A03" w14:textId="77777777" w:rsidR="00F05781" w:rsidRPr="00005ED1" w:rsidRDefault="00F05781" w:rsidP="00F05781">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76ACA4C5" w14:textId="77777777" w:rsidR="00F05781" w:rsidRPr="00005ED1" w:rsidRDefault="00F05781" w:rsidP="00F05781">
      <w:pPr>
        <w:pStyle w:val="NoSpacing"/>
        <w:rPr>
          <w:rFonts w:ascii="Arial" w:hAnsi="Arial" w:cs="Arial"/>
          <w:highlight w:val="yellow"/>
        </w:rPr>
      </w:pPr>
    </w:p>
    <w:p w14:paraId="583A180B" w14:textId="77777777" w:rsidR="00F05781" w:rsidRPr="00005ED1" w:rsidRDefault="00F05781" w:rsidP="00F0578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47B94F36" w14:textId="77777777" w:rsidR="00F05781" w:rsidRDefault="00F05781" w:rsidP="00F05781">
      <w:pPr>
        <w:pStyle w:val="NoSpacing"/>
        <w:rPr>
          <w:rFonts w:ascii="Arial" w:hAnsi="Arial" w:cs="Arial"/>
        </w:rPr>
      </w:pPr>
    </w:p>
    <w:p w14:paraId="2B20B611" w14:textId="77777777" w:rsidR="00F05781" w:rsidRDefault="00F05781" w:rsidP="00F05781">
      <w:pPr>
        <w:pStyle w:val="NoSpacing"/>
        <w:rPr>
          <w:rFonts w:ascii="Arial" w:hAnsi="Arial" w:cs="Arial"/>
        </w:rPr>
      </w:pPr>
    </w:p>
    <w:p w14:paraId="20F56FC9" w14:textId="77777777" w:rsidR="00F05781" w:rsidRPr="00005ED1" w:rsidRDefault="00F05781" w:rsidP="00F05781">
      <w:pPr>
        <w:pStyle w:val="NoSpacing"/>
        <w:rPr>
          <w:rFonts w:ascii="Arial" w:hAnsi="Arial" w:cs="Arial"/>
        </w:rPr>
      </w:pPr>
    </w:p>
    <w:p w14:paraId="6ADA7090" w14:textId="77777777" w:rsidR="00F05781" w:rsidRDefault="00F05781" w:rsidP="00A76DBF">
      <w:pPr>
        <w:pStyle w:val="ListParagraph"/>
        <w:spacing w:line="480" w:lineRule="auto"/>
        <w:ind w:left="0" w:firstLine="720"/>
        <w:jc w:val="both"/>
        <w:rPr>
          <w:rFonts w:asciiTheme="majorBidi" w:hAnsiTheme="majorBidi" w:cstheme="majorBidi"/>
          <w:sz w:val="24"/>
          <w:szCs w:val="24"/>
        </w:rPr>
      </w:pPr>
    </w:p>
    <w:p w14:paraId="008F90B6" w14:textId="77777777" w:rsidR="00751501" w:rsidRDefault="00751501" w:rsidP="00A76DBF">
      <w:pPr>
        <w:pStyle w:val="ListParagraph"/>
        <w:spacing w:line="480" w:lineRule="auto"/>
        <w:ind w:left="0" w:firstLine="720"/>
        <w:jc w:val="both"/>
        <w:rPr>
          <w:rFonts w:asciiTheme="majorBidi" w:hAnsiTheme="majorBidi" w:cstheme="majorBidi"/>
          <w:sz w:val="24"/>
          <w:szCs w:val="24"/>
        </w:rPr>
      </w:pPr>
    </w:p>
    <w:p w14:paraId="44093084" w14:textId="77777777" w:rsidR="00751501" w:rsidRDefault="00751501" w:rsidP="00A76DBF">
      <w:pPr>
        <w:pStyle w:val="ListParagraph"/>
        <w:spacing w:line="480" w:lineRule="auto"/>
        <w:ind w:left="0" w:firstLine="720"/>
        <w:jc w:val="both"/>
        <w:rPr>
          <w:rFonts w:asciiTheme="majorBidi" w:hAnsiTheme="majorBidi" w:cstheme="majorBidi"/>
          <w:sz w:val="24"/>
          <w:szCs w:val="24"/>
        </w:rPr>
      </w:pPr>
    </w:p>
    <w:p w14:paraId="502C8A8E" w14:textId="77777777" w:rsidR="00751501" w:rsidRDefault="00751501" w:rsidP="00A76DBF">
      <w:pPr>
        <w:pStyle w:val="ListParagraph"/>
        <w:spacing w:line="480" w:lineRule="auto"/>
        <w:ind w:left="0" w:firstLine="720"/>
        <w:jc w:val="both"/>
        <w:rPr>
          <w:rFonts w:asciiTheme="majorBidi" w:hAnsiTheme="majorBidi" w:cstheme="majorBidi"/>
          <w:sz w:val="24"/>
          <w:szCs w:val="24"/>
        </w:rPr>
      </w:pPr>
    </w:p>
    <w:p w14:paraId="54DE6044" w14:textId="77777777" w:rsidR="00751501" w:rsidRDefault="00751501" w:rsidP="00A76DBF">
      <w:pPr>
        <w:pStyle w:val="ListParagraph"/>
        <w:spacing w:line="480" w:lineRule="auto"/>
        <w:ind w:left="0" w:firstLine="720"/>
        <w:jc w:val="both"/>
        <w:rPr>
          <w:rFonts w:asciiTheme="majorBidi" w:hAnsiTheme="majorBidi" w:cstheme="majorBidi"/>
          <w:sz w:val="24"/>
          <w:szCs w:val="24"/>
        </w:rPr>
      </w:pPr>
    </w:p>
    <w:p w14:paraId="4DD763C5" w14:textId="77777777" w:rsidR="00751501" w:rsidRPr="00DC6EF2" w:rsidRDefault="00751501" w:rsidP="00A76DBF">
      <w:pPr>
        <w:pStyle w:val="ListParagraph"/>
        <w:spacing w:line="480" w:lineRule="auto"/>
        <w:ind w:left="0" w:firstLine="720"/>
        <w:jc w:val="both"/>
        <w:rPr>
          <w:rFonts w:asciiTheme="majorBidi" w:hAnsiTheme="majorBidi" w:cstheme="majorBidi"/>
          <w:sz w:val="24"/>
          <w:szCs w:val="24"/>
        </w:rPr>
      </w:pPr>
    </w:p>
    <w:p w14:paraId="09429C92" w14:textId="12ECDEB2" w:rsidR="00447758" w:rsidRPr="00A36CFE" w:rsidRDefault="006E50AE" w:rsidP="00E5306D">
      <w:pPr>
        <w:spacing w:line="360" w:lineRule="auto"/>
        <w:rPr>
          <w:rFonts w:asciiTheme="majorBidi" w:hAnsiTheme="majorBidi" w:cstheme="majorBidi"/>
          <w:b/>
          <w:bCs/>
          <w:sz w:val="24"/>
          <w:szCs w:val="24"/>
        </w:rPr>
      </w:pPr>
      <w:r w:rsidRPr="00A36CFE">
        <w:rPr>
          <w:rFonts w:asciiTheme="majorBidi" w:hAnsiTheme="majorBidi" w:cstheme="majorBidi"/>
          <w:b/>
          <w:bCs/>
          <w:sz w:val="24"/>
          <w:szCs w:val="24"/>
        </w:rPr>
        <w:t>REFERENCES:</w:t>
      </w:r>
    </w:p>
    <w:p w14:paraId="2EAF7989" w14:textId="1CD63FC2" w:rsidR="00751501" w:rsidRDefault="00751501" w:rsidP="00751501">
      <w:pPr>
        <w:pStyle w:val="FootnoteText"/>
        <w:spacing w:before="240" w:line="360" w:lineRule="auto"/>
        <w:ind w:left="720" w:hanging="720"/>
        <w:jc w:val="both"/>
        <w:rPr>
          <w:rFonts w:asciiTheme="majorBidi" w:hAnsiTheme="majorBidi" w:cstheme="majorBidi"/>
          <w:sz w:val="24"/>
          <w:szCs w:val="24"/>
          <w:lang w:val="en-US"/>
        </w:rPr>
      </w:pPr>
      <w:r w:rsidRPr="00751501">
        <w:rPr>
          <w:rFonts w:asciiTheme="majorBidi" w:hAnsiTheme="majorBidi" w:cstheme="majorBidi"/>
          <w:sz w:val="24"/>
          <w:szCs w:val="24"/>
          <w:lang w:val="en-US"/>
        </w:rPr>
        <w:t>Andrade, M. S. (2006). International students in English-speaking universities: Adjustment factors. Journal of Research in International education, 5(2), 131-154.</w:t>
      </w:r>
      <w:r>
        <w:rPr>
          <w:rFonts w:asciiTheme="majorBidi" w:hAnsiTheme="majorBidi" w:cstheme="majorBidi"/>
          <w:sz w:val="24"/>
          <w:szCs w:val="24"/>
          <w:lang w:val="en-US"/>
        </w:rPr>
        <w:t xml:space="preserve"> </w:t>
      </w:r>
      <w:hyperlink r:id="rId8" w:history="1">
        <w:r w:rsidRPr="00751501">
          <w:rPr>
            <w:rStyle w:val="Hyperlink"/>
            <w:rFonts w:asciiTheme="majorBidi" w:hAnsiTheme="majorBidi" w:cstheme="majorBidi"/>
            <w:sz w:val="24"/>
            <w:szCs w:val="24"/>
            <w:lang w:val="en-US"/>
          </w:rPr>
          <w:t>https://doi.org/10.1177/1475240906065589</w:t>
        </w:r>
      </w:hyperlink>
    </w:p>
    <w:p w14:paraId="47FE33E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701F30">
        <w:rPr>
          <w:rFonts w:asciiTheme="majorBidi" w:hAnsiTheme="majorBidi" w:cstheme="majorBidi"/>
          <w:sz w:val="24"/>
          <w:szCs w:val="24"/>
          <w:lang w:val="en-US"/>
        </w:rPr>
        <w:t>Apanda</w:t>
      </w:r>
      <w:proofErr w:type="spellEnd"/>
      <w:r w:rsidRPr="00701F30">
        <w:rPr>
          <w:rFonts w:asciiTheme="majorBidi" w:hAnsiTheme="majorBidi" w:cstheme="majorBidi"/>
          <w:sz w:val="24"/>
          <w:szCs w:val="24"/>
          <w:lang w:val="en-US"/>
        </w:rPr>
        <w:t>, J. A. (2000). </w:t>
      </w:r>
      <w:r w:rsidRPr="00701F30">
        <w:rPr>
          <w:rFonts w:asciiTheme="majorBidi" w:hAnsiTheme="majorBidi" w:cstheme="majorBidi"/>
          <w:i/>
          <w:iCs/>
          <w:sz w:val="24"/>
          <w:szCs w:val="24"/>
          <w:lang w:val="en-US"/>
        </w:rPr>
        <w:t>Economic impact of international students on a selected United States campus and local community</w:t>
      </w:r>
      <w:r w:rsidRPr="00701F30">
        <w:rPr>
          <w:rFonts w:asciiTheme="majorBidi" w:hAnsiTheme="majorBidi" w:cstheme="majorBidi"/>
          <w:sz w:val="24"/>
          <w:szCs w:val="24"/>
          <w:lang w:val="en-US"/>
        </w:rPr>
        <w:t>. University of South Dakota.</w:t>
      </w:r>
    </w:p>
    <w:p w14:paraId="7D8A5A7B" w14:textId="3FBE0FA7" w:rsidR="00751501" w:rsidRDefault="00A76DBF" w:rsidP="00751501">
      <w:pPr>
        <w:pStyle w:val="FootnoteText"/>
        <w:spacing w:before="240" w:line="360" w:lineRule="auto"/>
        <w:ind w:left="720" w:hanging="720"/>
        <w:jc w:val="both"/>
        <w:rPr>
          <w:rFonts w:asciiTheme="majorBidi" w:hAnsiTheme="majorBidi" w:cstheme="majorBidi"/>
          <w:sz w:val="24"/>
          <w:szCs w:val="24"/>
          <w:lang w:val="en-US"/>
        </w:rPr>
      </w:pPr>
      <w:r w:rsidRPr="00641586">
        <w:rPr>
          <w:rFonts w:asciiTheme="majorBidi" w:hAnsiTheme="majorBidi" w:cstheme="majorBidi"/>
          <w:sz w:val="24"/>
          <w:szCs w:val="24"/>
          <w:lang w:val="en-US"/>
        </w:rPr>
        <w:t>Baker, E. H. (2014). Socioeconomic status, definition. </w:t>
      </w:r>
      <w:r w:rsidRPr="00641586">
        <w:rPr>
          <w:rFonts w:asciiTheme="majorBidi" w:hAnsiTheme="majorBidi" w:cstheme="majorBidi"/>
          <w:i/>
          <w:iCs/>
          <w:sz w:val="24"/>
          <w:szCs w:val="24"/>
          <w:lang w:val="en-US"/>
        </w:rPr>
        <w:t>The Wiley Blackwell encyclopedia of health, illness, behavior, and society</w:t>
      </w:r>
      <w:r w:rsidRPr="00641586">
        <w:rPr>
          <w:rFonts w:asciiTheme="majorBidi" w:hAnsiTheme="majorBidi" w:cstheme="majorBidi"/>
          <w:sz w:val="24"/>
          <w:szCs w:val="24"/>
          <w:lang w:val="en-US"/>
        </w:rPr>
        <w:t>, 2210-2214.</w:t>
      </w:r>
      <w:r w:rsidR="00751501">
        <w:rPr>
          <w:rFonts w:asciiTheme="majorBidi" w:hAnsiTheme="majorBidi" w:cstheme="majorBidi"/>
          <w:sz w:val="24"/>
          <w:szCs w:val="24"/>
          <w:lang w:val="en-US"/>
        </w:rPr>
        <w:t xml:space="preserve"> </w:t>
      </w:r>
      <w:hyperlink r:id="rId9" w:history="1">
        <w:r w:rsidR="00751501" w:rsidRPr="00751501">
          <w:rPr>
            <w:rStyle w:val="Hyperlink"/>
            <w:rFonts w:asciiTheme="majorBidi" w:hAnsiTheme="majorBidi" w:cstheme="majorBidi"/>
            <w:b/>
            <w:bCs/>
            <w:sz w:val="24"/>
            <w:szCs w:val="24"/>
            <w:lang w:val="en-US"/>
          </w:rPr>
          <w:t>https://doi.org/10.1002/9781118410868.wbehibs395.pub2</w:t>
        </w:r>
      </w:hyperlink>
    </w:p>
    <w:p w14:paraId="2EA3BAC5"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1B1092">
        <w:rPr>
          <w:rFonts w:asciiTheme="majorBidi" w:hAnsiTheme="majorBidi" w:cstheme="majorBidi"/>
          <w:sz w:val="24"/>
          <w:szCs w:val="24"/>
          <w:lang w:val="en-US"/>
        </w:rPr>
        <w:lastRenderedPageBreak/>
        <w:t>Barry, J. E. (2006). </w:t>
      </w:r>
      <w:r w:rsidRPr="001B1092">
        <w:rPr>
          <w:rFonts w:asciiTheme="majorBidi" w:hAnsiTheme="majorBidi" w:cstheme="majorBidi"/>
          <w:i/>
          <w:iCs/>
          <w:sz w:val="24"/>
          <w:szCs w:val="24"/>
          <w:lang w:val="en-US"/>
        </w:rPr>
        <w:t>The effect of socio-economic status on academic achievement</w:t>
      </w:r>
      <w:r w:rsidRPr="001B1092">
        <w:rPr>
          <w:rFonts w:asciiTheme="majorBidi" w:hAnsiTheme="majorBidi" w:cstheme="majorBidi"/>
          <w:sz w:val="24"/>
          <w:szCs w:val="24"/>
          <w:lang w:val="en-US"/>
        </w:rPr>
        <w:t> (Doctoral dissertation, Wichita State University, College of Liberal Arts and Sciences, Department of Sociology).</w:t>
      </w:r>
    </w:p>
    <w:p w14:paraId="5A40DBD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701F30">
        <w:rPr>
          <w:rFonts w:asciiTheme="majorBidi" w:hAnsiTheme="majorBidi" w:cstheme="majorBidi"/>
          <w:sz w:val="24"/>
          <w:szCs w:val="24"/>
          <w:lang w:val="en-US"/>
        </w:rPr>
        <w:t>Császár</w:t>
      </w:r>
      <w:proofErr w:type="spellEnd"/>
      <w:r w:rsidRPr="00701F30">
        <w:rPr>
          <w:rFonts w:asciiTheme="majorBidi" w:hAnsiTheme="majorBidi" w:cstheme="majorBidi"/>
          <w:sz w:val="24"/>
          <w:szCs w:val="24"/>
          <w:lang w:val="en-US"/>
        </w:rPr>
        <w:t xml:space="preserve">, Z. M., </w:t>
      </w:r>
      <w:proofErr w:type="spellStart"/>
      <w:r w:rsidRPr="00701F30">
        <w:rPr>
          <w:rFonts w:asciiTheme="majorBidi" w:hAnsiTheme="majorBidi" w:cstheme="majorBidi"/>
          <w:sz w:val="24"/>
          <w:szCs w:val="24"/>
          <w:lang w:val="en-US"/>
        </w:rPr>
        <w:t>Teperics</w:t>
      </w:r>
      <w:proofErr w:type="spellEnd"/>
      <w:r w:rsidRPr="00701F30">
        <w:rPr>
          <w:rFonts w:asciiTheme="majorBidi" w:hAnsiTheme="majorBidi" w:cstheme="majorBidi"/>
          <w:sz w:val="24"/>
          <w:szCs w:val="24"/>
          <w:lang w:val="en-US"/>
        </w:rPr>
        <w:t xml:space="preserve">, K., </w:t>
      </w:r>
      <w:proofErr w:type="spellStart"/>
      <w:r w:rsidRPr="00701F30">
        <w:rPr>
          <w:rFonts w:asciiTheme="majorBidi" w:hAnsiTheme="majorBidi" w:cstheme="majorBidi"/>
          <w:sz w:val="24"/>
          <w:szCs w:val="24"/>
          <w:lang w:val="en-US"/>
        </w:rPr>
        <w:t>Wusching</w:t>
      </w:r>
      <w:proofErr w:type="spellEnd"/>
      <w:r w:rsidRPr="00701F30">
        <w:rPr>
          <w:rFonts w:asciiTheme="majorBidi" w:hAnsiTheme="majorBidi" w:cstheme="majorBidi"/>
          <w:sz w:val="24"/>
          <w:szCs w:val="24"/>
          <w:lang w:val="en-US"/>
        </w:rPr>
        <w:t xml:space="preserve">, T., </w:t>
      </w:r>
      <w:proofErr w:type="spellStart"/>
      <w:r w:rsidRPr="00701F30">
        <w:rPr>
          <w:rFonts w:asciiTheme="majorBidi" w:hAnsiTheme="majorBidi" w:cstheme="majorBidi"/>
          <w:sz w:val="24"/>
          <w:szCs w:val="24"/>
          <w:lang w:val="en-US"/>
        </w:rPr>
        <w:t>Győri</w:t>
      </w:r>
      <w:proofErr w:type="spellEnd"/>
      <w:r w:rsidRPr="00701F30">
        <w:rPr>
          <w:rFonts w:asciiTheme="majorBidi" w:hAnsiTheme="majorBidi" w:cstheme="majorBidi"/>
          <w:sz w:val="24"/>
          <w:szCs w:val="24"/>
          <w:lang w:val="en-US"/>
        </w:rPr>
        <w:t xml:space="preserve">, F., </w:t>
      </w:r>
      <w:proofErr w:type="spellStart"/>
      <w:r w:rsidRPr="00701F30">
        <w:rPr>
          <w:rFonts w:asciiTheme="majorBidi" w:hAnsiTheme="majorBidi" w:cstheme="majorBidi"/>
          <w:sz w:val="24"/>
          <w:szCs w:val="24"/>
          <w:lang w:val="en-US"/>
        </w:rPr>
        <w:t>Alpek</w:t>
      </w:r>
      <w:proofErr w:type="spellEnd"/>
      <w:r w:rsidRPr="00701F30">
        <w:rPr>
          <w:rFonts w:asciiTheme="majorBidi" w:hAnsiTheme="majorBidi" w:cstheme="majorBidi"/>
          <w:sz w:val="24"/>
          <w:szCs w:val="24"/>
          <w:lang w:val="en-US"/>
        </w:rPr>
        <w:t xml:space="preserve">, L., </w:t>
      </w:r>
      <w:proofErr w:type="spellStart"/>
      <w:r w:rsidRPr="00701F30">
        <w:rPr>
          <w:rFonts w:asciiTheme="majorBidi" w:hAnsiTheme="majorBidi" w:cstheme="majorBidi"/>
          <w:sz w:val="24"/>
          <w:szCs w:val="24"/>
          <w:lang w:val="en-US"/>
        </w:rPr>
        <w:t>Czimre</w:t>
      </w:r>
      <w:proofErr w:type="spellEnd"/>
      <w:r w:rsidRPr="00701F30">
        <w:rPr>
          <w:rFonts w:asciiTheme="majorBidi" w:hAnsiTheme="majorBidi" w:cstheme="majorBidi"/>
          <w:sz w:val="24"/>
          <w:szCs w:val="24"/>
          <w:lang w:val="en-US"/>
        </w:rPr>
        <w:t xml:space="preserve">, K., ... &amp; </w:t>
      </w:r>
      <w:proofErr w:type="spellStart"/>
      <w:r w:rsidRPr="00701F30">
        <w:rPr>
          <w:rFonts w:asciiTheme="majorBidi" w:hAnsiTheme="majorBidi" w:cstheme="majorBidi"/>
          <w:sz w:val="24"/>
          <w:szCs w:val="24"/>
          <w:lang w:val="en-US"/>
        </w:rPr>
        <w:t>Koltai</w:t>
      </w:r>
      <w:proofErr w:type="spellEnd"/>
      <w:r w:rsidRPr="00701F30">
        <w:rPr>
          <w:rFonts w:asciiTheme="majorBidi" w:hAnsiTheme="majorBidi" w:cstheme="majorBidi"/>
          <w:sz w:val="24"/>
          <w:szCs w:val="24"/>
          <w:lang w:val="en-US"/>
        </w:rPr>
        <w:t>, A. (2019). The impact of the spending habits of international students on the economy of university cities—Case study: Hungary. In </w:t>
      </w:r>
      <w:r w:rsidRPr="00701F30">
        <w:rPr>
          <w:rFonts w:asciiTheme="majorBidi" w:hAnsiTheme="majorBidi" w:cstheme="majorBidi"/>
          <w:i/>
          <w:iCs/>
          <w:sz w:val="24"/>
          <w:szCs w:val="24"/>
          <w:lang w:val="en-US"/>
        </w:rPr>
        <w:t xml:space="preserve">Interdisciplinary Management Research. Interdisciplinary Management Research XV (IMR) Conference. </w:t>
      </w:r>
      <w:proofErr w:type="spellStart"/>
      <w:r w:rsidRPr="00701F30">
        <w:rPr>
          <w:rFonts w:asciiTheme="majorBidi" w:hAnsiTheme="majorBidi" w:cstheme="majorBidi"/>
          <w:i/>
          <w:iCs/>
          <w:sz w:val="24"/>
          <w:szCs w:val="24"/>
          <w:lang w:val="en-US"/>
        </w:rPr>
        <w:t>Opatija</w:t>
      </w:r>
      <w:proofErr w:type="spellEnd"/>
      <w:r w:rsidRPr="00701F30">
        <w:rPr>
          <w:rFonts w:asciiTheme="majorBidi" w:hAnsiTheme="majorBidi" w:cstheme="majorBidi"/>
          <w:sz w:val="24"/>
          <w:szCs w:val="24"/>
          <w:lang w:val="en-US"/>
        </w:rPr>
        <w:t> (pp. 562-85).</w:t>
      </w:r>
    </w:p>
    <w:p w14:paraId="053E19B4" w14:textId="217A1A86" w:rsidR="00A76DBF" w:rsidRDefault="00A76DBF" w:rsidP="00751501">
      <w:pPr>
        <w:pStyle w:val="FootnoteText"/>
        <w:spacing w:before="240" w:line="360" w:lineRule="auto"/>
        <w:ind w:left="720" w:hanging="720"/>
        <w:jc w:val="both"/>
        <w:rPr>
          <w:rFonts w:asciiTheme="majorBidi" w:hAnsiTheme="majorBidi" w:cstheme="majorBidi"/>
          <w:sz w:val="24"/>
          <w:szCs w:val="24"/>
          <w:lang w:val="en-US"/>
        </w:rPr>
      </w:pPr>
      <w:proofErr w:type="spellStart"/>
      <w:r w:rsidRPr="0060491B">
        <w:rPr>
          <w:rFonts w:asciiTheme="majorBidi" w:hAnsiTheme="majorBidi" w:cstheme="majorBidi"/>
          <w:sz w:val="24"/>
          <w:szCs w:val="24"/>
          <w:lang w:val="en-US"/>
        </w:rPr>
        <w:t>Duffourc</w:t>
      </w:r>
      <w:proofErr w:type="spellEnd"/>
      <w:r w:rsidRPr="0060491B">
        <w:rPr>
          <w:rFonts w:asciiTheme="majorBidi" w:hAnsiTheme="majorBidi" w:cstheme="majorBidi"/>
          <w:sz w:val="24"/>
          <w:szCs w:val="24"/>
          <w:lang w:val="en-US"/>
        </w:rPr>
        <w:t>, D. (2006). State‐funded college scholarships: General definitions and characteristics. </w:t>
      </w:r>
      <w:r w:rsidRPr="0060491B">
        <w:rPr>
          <w:rFonts w:asciiTheme="majorBidi" w:hAnsiTheme="majorBidi" w:cstheme="majorBidi"/>
          <w:i/>
          <w:iCs/>
          <w:sz w:val="24"/>
          <w:szCs w:val="24"/>
          <w:lang w:val="en-US"/>
        </w:rPr>
        <w:t>Review of Policy Research</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23</w:t>
      </w:r>
      <w:r w:rsidRPr="0060491B">
        <w:rPr>
          <w:rFonts w:asciiTheme="majorBidi" w:hAnsiTheme="majorBidi" w:cstheme="majorBidi"/>
          <w:sz w:val="24"/>
          <w:szCs w:val="24"/>
          <w:lang w:val="en-US"/>
        </w:rPr>
        <w:t>(1), 235-248.</w:t>
      </w:r>
      <w:r w:rsidR="00751501">
        <w:rPr>
          <w:rFonts w:asciiTheme="majorBidi" w:hAnsiTheme="majorBidi" w:cstheme="majorBidi"/>
          <w:sz w:val="24"/>
          <w:szCs w:val="24"/>
          <w:lang w:val="en-US"/>
        </w:rPr>
        <w:t xml:space="preserve"> </w:t>
      </w:r>
      <w:hyperlink r:id="rId10" w:history="1">
        <w:r w:rsidR="00751501" w:rsidRPr="00751501">
          <w:rPr>
            <w:rStyle w:val="Hyperlink"/>
            <w:rFonts w:asciiTheme="majorBidi" w:hAnsiTheme="majorBidi" w:cstheme="majorBidi"/>
            <w:b/>
            <w:bCs/>
            <w:sz w:val="24"/>
            <w:szCs w:val="24"/>
            <w:lang w:val="en-US"/>
          </w:rPr>
          <w:t>https://doi.org/10.1111/j.1541-1338.2006.00195.x</w:t>
        </w:r>
      </w:hyperlink>
    </w:p>
    <w:p w14:paraId="3A6CBF05"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701F30">
        <w:rPr>
          <w:rFonts w:asciiTheme="majorBidi" w:hAnsiTheme="majorBidi" w:cstheme="majorBidi"/>
          <w:sz w:val="24"/>
          <w:szCs w:val="24"/>
          <w:lang w:val="en-US"/>
        </w:rPr>
        <w:t>Garrido-</w:t>
      </w:r>
      <w:proofErr w:type="spellStart"/>
      <w:r w:rsidRPr="00701F30">
        <w:rPr>
          <w:rFonts w:asciiTheme="majorBidi" w:hAnsiTheme="majorBidi" w:cstheme="majorBidi"/>
          <w:sz w:val="24"/>
          <w:szCs w:val="24"/>
          <w:lang w:val="en-US"/>
        </w:rPr>
        <w:t>Yserte</w:t>
      </w:r>
      <w:proofErr w:type="spellEnd"/>
      <w:r w:rsidRPr="00701F30">
        <w:rPr>
          <w:rFonts w:asciiTheme="majorBidi" w:hAnsiTheme="majorBidi" w:cstheme="majorBidi"/>
          <w:sz w:val="24"/>
          <w:szCs w:val="24"/>
          <w:lang w:val="en-US"/>
        </w:rPr>
        <w:t>, R., &amp; Gallo-Rivera, M. T. (2010). The impact of the university upon local economy: three methods to estimate demand-side effects. </w:t>
      </w:r>
      <w:r w:rsidRPr="00701F30">
        <w:rPr>
          <w:rFonts w:asciiTheme="majorBidi" w:hAnsiTheme="majorBidi" w:cstheme="majorBidi"/>
          <w:i/>
          <w:iCs/>
          <w:sz w:val="24"/>
          <w:szCs w:val="24"/>
          <w:lang w:val="en-US"/>
        </w:rPr>
        <w:t>The Annals of Regional Science</w:t>
      </w:r>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44</w:t>
      </w:r>
      <w:r w:rsidRPr="00701F30">
        <w:rPr>
          <w:rFonts w:asciiTheme="majorBidi" w:hAnsiTheme="majorBidi" w:cstheme="majorBidi"/>
          <w:sz w:val="24"/>
          <w:szCs w:val="24"/>
          <w:lang w:val="en-US"/>
        </w:rPr>
        <w:t>(1), 39-67.</w:t>
      </w:r>
    </w:p>
    <w:p w14:paraId="78E8F83B"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500CD1">
        <w:rPr>
          <w:rFonts w:asciiTheme="majorBidi" w:hAnsiTheme="majorBidi" w:cstheme="majorBidi"/>
          <w:sz w:val="24"/>
          <w:szCs w:val="24"/>
          <w:lang w:val="en-US"/>
        </w:rPr>
        <w:t>Kang, H. (2013). Reframing cultural diplomacy: international cultural politics of soft power and the creative economy. </w:t>
      </w:r>
      <w:r w:rsidRPr="00500CD1">
        <w:rPr>
          <w:rFonts w:asciiTheme="majorBidi" w:hAnsiTheme="majorBidi" w:cstheme="majorBidi"/>
          <w:i/>
          <w:iCs/>
          <w:sz w:val="24"/>
          <w:szCs w:val="24"/>
          <w:lang w:val="en-US"/>
        </w:rPr>
        <w:t xml:space="preserve">URL: http://www. </w:t>
      </w:r>
      <w:proofErr w:type="spellStart"/>
      <w:r w:rsidRPr="00500CD1">
        <w:rPr>
          <w:rFonts w:asciiTheme="majorBidi" w:hAnsiTheme="majorBidi" w:cstheme="majorBidi"/>
          <w:i/>
          <w:iCs/>
          <w:sz w:val="24"/>
          <w:szCs w:val="24"/>
          <w:lang w:val="en-US"/>
        </w:rPr>
        <w:t>culturaldiplomacy</w:t>
      </w:r>
      <w:proofErr w:type="spellEnd"/>
      <w:r w:rsidRPr="00500CD1">
        <w:rPr>
          <w:rFonts w:asciiTheme="majorBidi" w:hAnsiTheme="majorBidi" w:cstheme="majorBidi"/>
          <w:i/>
          <w:iCs/>
          <w:sz w:val="24"/>
          <w:szCs w:val="24"/>
          <w:lang w:val="en-US"/>
        </w:rPr>
        <w:t>. org/academy/content/pdf/participant-papers/2011-08-loam/Reframing-Cultural-Diplomacy-International-Cultural-Politics-of-Soft-Power-and-the-Creative-Economy-Hyungseok-Kang. pdf</w:t>
      </w:r>
      <w:r w:rsidRPr="00500CD1">
        <w:rPr>
          <w:rFonts w:asciiTheme="majorBidi" w:hAnsiTheme="majorBidi" w:cstheme="majorBidi"/>
          <w:sz w:val="24"/>
          <w:szCs w:val="24"/>
          <w:lang w:val="en-US"/>
        </w:rPr>
        <w:t>.</w:t>
      </w:r>
    </w:p>
    <w:p w14:paraId="1C87F256"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BE027E">
        <w:rPr>
          <w:rFonts w:asciiTheme="majorBidi" w:hAnsiTheme="majorBidi" w:cstheme="majorBidi"/>
          <w:sz w:val="24"/>
          <w:szCs w:val="24"/>
          <w:lang w:val="en-US"/>
        </w:rPr>
        <w:t>Kelly, S. S. (2012). </w:t>
      </w:r>
      <w:r w:rsidRPr="00BE027E">
        <w:rPr>
          <w:rFonts w:asciiTheme="majorBidi" w:hAnsiTheme="majorBidi" w:cstheme="majorBidi"/>
          <w:i/>
          <w:iCs/>
          <w:sz w:val="24"/>
          <w:szCs w:val="24"/>
          <w:lang w:val="en-US"/>
        </w:rPr>
        <w:t>Economic impact of international students attending an institution of higher education in the United States</w:t>
      </w:r>
      <w:r w:rsidRPr="00BE027E">
        <w:rPr>
          <w:rFonts w:asciiTheme="majorBidi" w:hAnsiTheme="majorBidi" w:cstheme="majorBidi"/>
          <w:sz w:val="24"/>
          <w:szCs w:val="24"/>
          <w:lang w:val="en-US"/>
        </w:rPr>
        <w:t>. Louisiana State University and Agricultural &amp; Mechanical College.</w:t>
      </w:r>
    </w:p>
    <w:p w14:paraId="26688D4F"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500CD1">
        <w:rPr>
          <w:rFonts w:asciiTheme="majorBidi" w:hAnsiTheme="majorBidi" w:cstheme="majorBidi"/>
          <w:sz w:val="24"/>
          <w:szCs w:val="24"/>
          <w:lang w:val="en-US"/>
        </w:rPr>
        <w:t>Khalid, T., Maqbool, F., &amp; Javid, M. (2025). Exploring the Impacts of Stipends on Students’ Attendance Rates and Academic Performance. </w:t>
      </w:r>
      <w:r w:rsidRPr="00500CD1">
        <w:rPr>
          <w:rFonts w:asciiTheme="majorBidi" w:hAnsiTheme="majorBidi" w:cstheme="majorBidi"/>
          <w:i/>
          <w:iCs/>
          <w:sz w:val="24"/>
          <w:szCs w:val="24"/>
          <w:lang w:val="en-US"/>
        </w:rPr>
        <w:t>Research Journal for Social Affairs</w:t>
      </w:r>
      <w:r w:rsidRPr="00500CD1">
        <w:rPr>
          <w:rFonts w:asciiTheme="majorBidi" w:hAnsiTheme="majorBidi" w:cstheme="majorBidi"/>
          <w:sz w:val="24"/>
          <w:szCs w:val="24"/>
          <w:lang w:val="en-US"/>
        </w:rPr>
        <w:t>, </w:t>
      </w:r>
      <w:r w:rsidRPr="00500CD1">
        <w:rPr>
          <w:rFonts w:asciiTheme="majorBidi" w:hAnsiTheme="majorBidi" w:cstheme="majorBidi"/>
          <w:i/>
          <w:iCs/>
          <w:sz w:val="24"/>
          <w:szCs w:val="24"/>
          <w:lang w:val="en-US"/>
        </w:rPr>
        <w:t>3</w:t>
      </w:r>
      <w:r w:rsidRPr="00500CD1">
        <w:rPr>
          <w:rFonts w:asciiTheme="majorBidi" w:hAnsiTheme="majorBidi" w:cstheme="majorBidi"/>
          <w:sz w:val="24"/>
          <w:szCs w:val="24"/>
          <w:lang w:val="en-US"/>
        </w:rPr>
        <w:t>(4), 11-16.</w:t>
      </w:r>
    </w:p>
    <w:p w14:paraId="1401CECB"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60491B">
        <w:rPr>
          <w:rFonts w:asciiTheme="majorBidi" w:hAnsiTheme="majorBidi" w:cstheme="majorBidi"/>
          <w:sz w:val="24"/>
          <w:szCs w:val="24"/>
          <w:lang w:val="en-US"/>
        </w:rPr>
        <w:t>Khoso</w:t>
      </w:r>
      <w:proofErr w:type="spellEnd"/>
      <w:r w:rsidRPr="0060491B">
        <w:rPr>
          <w:rFonts w:asciiTheme="majorBidi" w:hAnsiTheme="majorBidi" w:cstheme="majorBidi"/>
          <w:sz w:val="24"/>
          <w:szCs w:val="24"/>
          <w:lang w:val="en-US"/>
        </w:rPr>
        <w:t xml:space="preserve">, A. A., </w:t>
      </w:r>
      <w:proofErr w:type="spellStart"/>
      <w:r w:rsidRPr="0060491B">
        <w:rPr>
          <w:rFonts w:asciiTheme="majorBidi" w:hAnsiTheme="majorBidi" w:cstheme="majorBidi"/>
          <w:sz w:val="24"/>
          <w:szCs w:val="24"/>
          <w:lang w:val="en-US"/>
        </w:rPr>
        <w:t>Awais</w:t>
      </w:r>
      <w:proofErr w:type="spellEnd"/>
      <w:r w:rsidRPr="0060491B">
        <w:rPr>
          <w:rFonts w:asciiTheme="majorBidi" w:hAnsiTheme="majorBidi" w:cstheme="majorBidi"/>
          <w:sz w:val="24"/>
          <w:szCs w:val="24"/>
          <w:lang w:val="en-US"/>
        </w:rPr>
        <w:t>, E., &amp; Umair, M. (2024). The Role of Scholarships and Financial Aids in Enhancing Access to International Education: Opportunities and Challenges. </w:t>
      </w:r>
      <w:r w:rsidRPr="0060491B">
        <w:rPr>
          <w:rFonts w:asciiTheme="majorBidi" w:hAnsiTheme="majorBidi" w:cstheme="majorBidi"/>
          <w:i/>
          <w:iCs/>
          <w:sz w:val="24"/>
          <w:szCs w:val="24"/>
          <w:lang w:val="en-US"/>
        </w:rPr>
        <w:t>International Research Journal of Management and Social Sciences</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5</w:t>
      </w:r>
      <w:r w:rsidRPr="0060491B">
        <w:rPr>
          <w:rFonts w:asciiTheme="majorBidi" w:hAnsiTheme="majorBidi" w:cstheme="majorBidi"/>
          <w:sz w:val="24"/>
          <w:szCs w:val="24"/>
          <w:lang w:val="en-US"/>
        </w:rPr>
        <w:t>(4), 1-17.</w:t>
      </w:r>
    </w:p>
    <w:p w14:paraId="2466F2FA"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DE16E8">
        <w:rPr>
          <w:rFonts w:asciiTheme="majorBidi" w:hAnsiTheme="majorBidi" w:cstheme="majorBidi"/>
          <w:sz w:val="24"/>
          <w:szCs w:val="24"/>
          <w:lang w:val="en-US"/>
        </w:rPr>
        <w:lastRenderedPageBreak/>
        <w:t>Levent</w:t>
      </w:r>
      <w:proofErr w:type="spellEnd"/>
      <w:r w:rsidRPr="00DE16E8">
        <w:rPr>
          <w:rFonts w:asciiTheme="majorBidi" w:hAnsiTheme="majorBidi" w:cstheme="majorBidi"/>
          <w:sz w:val="24"/>
          <w:szCs w:val="24"/>
          <w:lang w:val="en-US"/>
        </w:rPr>
        <w:t>, F. (2016). The economic impacts of international student mobility in the globalization process. </w:t>
      </w:r>
      <w:r w:rsidRPr="00DE16E8">
        <w:rPr>
          <w:rFonts w:asciiTheme="majorBidi" w:hAnsiTheme="majorBidi" w:cstheme="majorBidi"/>
          <w:i/>
          <w:iCs/>
          <w:sz w:val="24"/>
          <w:szCs w:val="24"/>
          <w:lang w:val="en-US"/>
        </w:rPr>
        <w:t>Journal of Human Sciences</w:t>
      </w:r>
      <w:r w:rsidRPr="00DE16E8">
        <w:rPr>
          <w:rFonts w:asciiTheme="majorBidi" w:hAnsiTheme="majorBidi" w:cstheme="majorBidi"/>
          <w:sz w:val="24"/>
          <w:szCs w:val="24"/>
          <w:lang w:val="en-US"/>
        </w:rPr>
        <w:t>, </w:t>
      </w:r>
      <w:r w:rsidRPr="00DE16E8">
        <w:rPr>
          <w:rFonts w:asciiTheme="majorBidi" w:hAnsiTheme="majorBidi" w:cstheme="majorBidi"/>
          <w:i/>
          <w:iCs/>
          <w:sz w:val="24"/>
          <w:szCs w:val="24"/>
          <w:lang w:val="en-US"/>
        </w:rPr>
        <w:t>13</w:t>
      </w:r>
      <w:r w:rsidRPr="00DE16E8">
        <w:rPr>
          <w:rFonts w:asciiTheme="majorBidi" w:hAnsiTheme="majorBidi" w:cstheme="majorBidi"/>
          <w:sz w:val="24"/>
          <w:szCs w:val="24"/>
          <w:lang w:val="en-US"/>
        </w:rPr>
        <w:t>(3), 3853-3870.</w:t>
      </w:r>
    </w:p>
    <w:p w14:paraId="1C84214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DE16E8">
        <w:rPr>
          <w:rFonts w:asciiTheme="majorBidi" w:hAnsiTheme="majorBidi" w:cstheme="majorBidi"/>
          <w:sz w:val="24"/>
          <w:szCs w:val="24"/>
          <w:lang w:val="en-US"/>
        </w:rPr>
        <w:t>Nestorenko</w:t>
      </w:r>
      <w:proofErr w:type="spellEnd"/>
      <w:r w:rsidRPr="00DE16E8">
        <w:rPr>
          <w:rFonts w:asciiTheme="majorBidi" w:hAnsiTheme="majorBidi" w:cstheme="majorBidi"/>
          <w:sz w:val="24"/>
          <w:szCs w:val="24"/>
          <w:lang w:val="en-US"/>
        </w:rPr>
        <w:t xml:space="preserve">, T., </w:t>
      </w:r>
      <w:proofErr w:type="spellStart"/>
      <w:r w:rsidRPr="00DE16E8">
        <w:rPr>
          <w:rFonts w:asciiTheme="majorBidi" w:hAnsiTheme="majorBidi" w:cstheme="majorBidi"/>
          <w:sz w:val="24"/>
          <w:szCs w:val="24"/>
          <w:lang w:val="en-US"/>
        </w:rPr>
        <w:t>Dubrovina</w:t>
      </w:r>
      <w:proofErr w:type="spellEnd"/>
      <w:r w:rsidRPr="00DE16E8">
        <w:rPr>
          <w:rFonts w:asciiTheme="majorBidi" w:hAnsiTheme="majorBidi" w:cstheme="majorBidi"/>
          <w:sz w:val="24"/>
          <w:szCs w:val="24"/>
          <w:lang w:val="en-US"/>
        </w:rPr>
        <w:t xml:space="preserve">, N., &amp; </w:t>
      </w:r>
      <w:proofErr w:type="spellStart"/>
      <w:r w:rsidRPr="00DE16E8">
        <w:rPr>
          <w:rFonts w:asciiTheme="majorBidi" w:hAnsiTheme="majorBidi" w:cstheme="majorBidi"/>
          <w:sz w:val="24"/>
          <w:szCs w:val="24"/>
          <w:lang w:val="en-US"/>
        </w:rPr>
        <w:t>Péliová</w:t>
      </w:r>
      <w:proofErr w:type="spellEnd"/>
      <w:r w:rsidRPr="00DE16E8">
        <w:rPr>
          <w:rFonts w:asciiTheme="majorBidi" w:hAnsiTheme="majorBidi" w:cstheme="majorBidi"/>
          <w:sz w:val="24"/>
          <w:szCs w:val="24"/>
          <w:lang w:val="en-US"/>
        </w:rPr>
        <w:t>, J. (2016). Local Economic Impact of Domestic and International Students: Case of University of Economics in Bratislava. </w:t>
      </w:r>
      <w:r w:rsidRPr="00DE16E8">
        <w:rPr>
          <w:rFonts w:asciiTheme="majorBidi" w:hAnsiTheme="majorBidi" w:cstheme="majorBidi"/>
          <w:i/>
          <w:iCs/>
          <w:sz w:val="24"/>
          <w:szCs w:val="24"/>
          <w:lang w:val="en-US"/>
        </w:rPr>
        <w:t>European Financial Systems</w:t>
      </w:r>
      <w:r w:rsidRPr="00DE16E8">
        <w:rPr>
          <w:rFonts w:asciiTheme="majorBidi" w:hAnsiTheme="majorBidi" w:cstheme="majorBidi"/>
          <w:sz w:val="24"/>
          <w:szCs w:val="24"/>
          <w:lang w:val="en-US"/>
        </w:rPr>
        <w:t>, 496-501.</w:t>
      </w:r>
    </w:p>
    <w:p w14:paraId="13FCC2E9"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BC3257">
        <w:rPr>
          <w:rFonts w:asciiTheme="majorBidi" w:hAnsiTheme="majorBidi" w:cstheme="majorBidi"/>
          <w:sz w:val="24"/>
          <w:szCs w:val="24"/>
          <w:lang w:val="en-US"/>
        </w:rPr>
        <w:t>Omeje</w:t>
      </w:r>
      <w:proofErr w:type="spellEnd"/>
      <w:r w:rsidRPr="00BC3257">
        <w:rPr>
          <w:rFonts w:asciiTheme="majorBidi" w:hAnsiTheme="majorBidi" w:cstheme="majorBidi"/>
          <w:sz w:val="24"/>
          <w:szCs w:val="24"/>
          <w:lang w:val="en-US"/>
        </w:rPr>
        <w:t xml:space="preserve">, A. N., &amp; </w:t>
      </w:r>
      <w:proofErr w:type="spellStart"/>
      <w:r w:rsidRPr="00BC3257">
        <w:rPr>
          <w:rFonts w:asciiTheme="majorBidi" w:hAnsiTheme="majorBidi" w:cstheme="majorBidi"/>
          <w:sz w:val="24"/>
          <w:szCs w:val="24"/>
          <w:lang w:val="en-US"/>
        </w:rPr>
        <w:t>Abugu</w:t>
      </w:r>
      <w:proofErr w:type="spellEnd"/>
      <w:r w:rsidRPr="00BC3257">
        <w:rPr>
          <w:rFonts w:asciiTheme="majorBidi" w:hAnsiTheme="majorBidi" w:cstheme="majorBidi"/>
          <w:sz w:val="24"/>
          <w:szCs w:val="24"/>
          <w:lang w:val="en-US"/>
        </w:rPr>
        <w:t>, S. O. (2015). The impact of scholarships on students’ academic performance: A case of tertiary institutions in Enugu State, Nigeria. </w:t>
      </w:r>
      <w:r w:rsidRPr="00BC3257">
        <w:rPr>
          <w:rFonts w:asciiTheme="majorBidi" w:hAnsiTheme="majorBidi" w:cstheme="majorBidi"/>
          <w:i/>
          <w:iCs/>
          <w:sz w:val="24"/>
          <w:szCs w:val="24"/>
          <w:lang w:val="en-US"/>
        </w:rPr>
        <w:t>Bulletin of Business and Economics (BBE)</w:t>
      </w:r>
      <w:r w:rsidRPr="00BC3257">
        <w:rPr>
          <w:rFonts w:asciiTheme="majorBidi" w:hAnsiTheme="majorBidi" w:cstheme="majorBidi"/>
          <w:sz w:val="24"/>
          <w:szCs w:val="24"/>
          <w:lang w:val="en-US"/>
        </w:rPr>
        <w:t>, </w:t>
      </w:r>
      <w:r w:rsidRPr="00BC3257">
        <w:rPr>
          <w:rFonts w:asciiTheme="majorBidi" w:hAnsiTheme="majorBidi" w:cstheme="majorBidi"/>
          <w:i/>
          <w:iCs/>
          <w:sz w:val="24"/>
          <w:szCs w:val="24"/>
          <w:lang w:val="en-US"/>
        </w:rPr>
        <w:t>4</w:t>
      </w:r>
      <w:r w:rsidRPr="00BC3257">
        <w:rPr>
          <w:rFonts w:asciiTheme="majorBidi" w:hAnsiTheme="majorBidi" w:cstheme="majorBidi"/>
          <w:sz w:val="24"/>
          <w:szCs w:val="24"/>
          <w:lang w:val="en-US"/>
        </w:rPr>
        <w:t>(2), 93-104.</w:t>
      </w:r>
    </w:p>
    <w:p w14:paraId="6D6E8EA4" w14:textId="50ABD6D7" w:rsidR="00441B72" w:rsidRDefault="00A76DBF" w:rsidP="00441B72">
      <w:pPr>
        <w:pStyle w:val="FootnoteText"/>
        <w:spacing w:before="240" w:line="360" w:lineRule="auto"/>
        <w:ind w:left="720" w:hanging="720"/>
        <w:rPr>
          <w:rFonts w:asciiTheme="majorBidi" w:hAnsiTheme="majorBidi" w:cstheme="majorBidi"/>
          <w:sz w:val="24"/>
          <w:szCs w:val="24"/>
          <w:lang w:val="en-US"/>
        </w:rPr>
      </w:pPr>
      <w:r w:rsidRPr="0060491B">
        <w:rPr>
          <w:rFonts w:asciiTheme="majorBidi" w:hAnsiTheme="majorBidi" w:cstheme="majorBidi"/>
          <w:sz w:val="24"/>
          <w:szCs w:val="24"/>
          <w:lang w:val="en-US"/>
        </w:rPr>
        <w:t xml:space="preserve">Schultz, L. D., &amp; </w:t>
      </w:r>
      <w:proofErr w:type="spellStart"/>
      <w:r w:rsidRPr="0060491B">
        <w:rPr>
          <w:rFonts w:asciiTheme="majorBidi" w:hAnsiTheme="majorBidi" w:cstheme="majorBidi"/>
          <w:sz w:val="24"/>
          <w:szCs w:val="24"/>
          <w:lang w:val="en-US"/>
        </w:rPr>
        <w:t>VanDeHey</w:t>
      </w:r>
      <w:proofErr w:type="spellEnd"/>
      <w:r w:rsidRPr="0060491B">
        <w:rPr>
          <w:rFonts w:asciiTheme="majorBidi" w:hAnsiTheme="majorBidi" w:cstheme="majorBidi"/>
          <w:sz w:val="24"/>
          <w:szCs w:val="24"/>
          <w:lang w:val="en-US"/>
        </w:rPr>
        <w:t>, J. A. (2012). A comparison of stipends, health insurance, and tuition remission policies at fisheries and wildlife graduate programs throughout the United States. </w:t>
      </w:r>
      <w:r w:rsidRPr="0060491B">
        <w:rPr>
          <w:rFonts w:asciiTheme="majorBidi" w:hAnsiTheme="majorBidi" w:cstheme="majorBidi"/>
          <w:i/>
          <w:iCs/>
          <w:sz w:val="24"/>
          <w:szCs w:val="24"/>
          <w:lang w:val="en-US"/>
        </w:rPr>
        <w:t>Fisheries</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37</w:t>
      </w:r>
      <w:r w:rsidRPr="0060491B">
        <w:rPr>
          <w:rFonts w:asciiTheme="majorBidi" w:hAnsiTheme="majorBidi" w:cstheme="majorBidi"/>
          <w:sz w:val="24"/>
          <w:szCs w:val="24"/>
          <w:lang w:val="en-US"/>
        </w:rPr>
        <w:t>(6), 257-263.</w:t>
      </w:r>
      <w:r w:rsidR="00441B72">
        <w:rPr>
          <w:rFonts w:asciiTheme="majorBidi" w:hAnsiTheme="majorBidi" w:cstheme="majorBidi"/>
          <w:sz w:val="24"/>
          <w:szCs w:val="24"/>
          <w:lang w:val="en-US"/>
        </w:rPr>
        <w:t xml:space="preserve"> </w:t>
      </w:r>
      <w:hyperlink r:id="rId11" w:history="1">
        <w:r w:rsidR="00441B72" w:rsidRPr="00200B4A">
          <w:rPr>
            <w:rStyle w:val="Hyperlink"/>
            <w:rFonts w:asciiTheme="majorBidi" w:hAnsiTheme="majorBidi" w:cstheme="majorBidi"/>
            <w:sz w:val="24"/>
            <w:szCs w:val="24"/>
            <w:lang w:val="en-US"/>
          </w:rPr>
          <w:t>https://doi.org/10.1080/03632415.2012.687259</w:t>
        </w:r>
      </w:hyperlink>
    </w:p>
    <w:p w14:paraId="19D3342A"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rPr>
      </w:pPr>
      <w:r w:rsidRPr="00500CD1">
        <w:rPr>
          <w:rFonts w:asciiTheme="majorBidi" w:hAnsiTheme="majorBidi" w:cstheme="majorBidi"/>
          <w:sz w:val="24"/>
          <w:szCs w:val="24"/>
          <w:lang w:val="en-US"/>
        </w:rPr>
        <w:t>Shri Suraj Kumar</w:t>
      </w:r>
      <w:r>
        <w:rPr>
          <w:rFonts w:asciiTheme="majorBidi" w:hAnsiTheme="majorBidi" w:cstheme="majorBidi"/>
          <w:sz w:val="24"/>
          <w:szCs w:val="24"/>
          <w:lang w:val="en-US"/>
        </w:rPr>
        <w:t xml:space="preserve"> (2025) </w:t>
      </w:r>
      <w:hyperlink r:id="rId12" w:history="1">
        <w:r w:rsidRPr="006015B7">
          <w:rPr>
            <w:rStyle w:val="Hyperlink"/>
            <w:rFonts w:asciiTheme="majorBidi" w:hAnsiTheme="majorBidi" w:cstheme="majorBidi"/>
            <w:sz w:val="24"/>
            <w:szCs w:val="24"/>
          </w:rPr>
          <w:t>https://iccr.gov.in/home</w:t>
        </w:r>
      </w:hyperlink>
    </w:p>
    <w:p w14:paraId="5684FF94" w14:textId="26E95677" w:rsidR="00A76DBF" w:rsidRDefault="00A76DBF" w:rsidP="00441B72">
      <w:pPr>
        <w:pStyle w:val="FootnoteText"/>
        <w:spacing w:before="240" w:line="360" w:lineRule="auto"/>
        <w:ind w:left="720" w:hanging="720"/>
        <w:jc w:val="both"/>
        <w:rPr>
          <w:rFonts w:asciiTheme="majorBidi" w:hAnsiTheme="majorBidi" w:cstheme="majorBidi"/>
          <w:sz w:val="24"/>
          <w:szCs w:val="24"/>
          <w:lang w:val="en-US"/>
        </w:rPr>
      </w:pPr>
      <w:r w:rsidRPr="00701F30">
        <w:rPr>
          <w:rFonts w:asciiTheme="majorBidi" w:hAnsiTheme="majorBidi" w:cstheme="majorBidi"/>
          <w:sz w:val="24"/>
          <w:szCs w:val="24"/>
          <w:lang w:val="en-US"/>
        </w:rPr>
        <w:t xml:space="preserve">Snowball, J. D., &amp; </w:t>
      </w:r>
      <w:proofErr w:type="spellStart"/>
      <w:r w:rsidRPr="00701F30">
        <w:rPr>
          <w:rFonts w:asciiTheme="majorBidi" w:hAnsiTheme="majorBidi" w:cstheme="majorBidi"/>
          <w:sz w:val="24"/>
          <w:szCs w:val="24"/>
          <w:lang w:val="en-US"/>
        </w:rPr>
        <w:t>Antrobus</w:t>
      </w:r>
      <w:proofErr w:type="spellEnd"/>
      <w:r w:rsidRPr="00701F30">
        <w:rPr>
          <w:rFonts w:asciiTheme="majorBidi" w:hAnsiTheme="majorBidi" w:cstheme="majorBidi"/>
          <w:sz w:val="24"/>
          <w:szCs w:val="24"/>
          <w:lang w:val="en-US"/>
        </w:rPr>
        <w:t xml:space="preserve">, G. G. (2006). Is economic impact a good way of justifying the inclusion of foreign students at local </w:t>
      </w:r>
      <w:proofErr w:type="gramStart"/>
      <w:r w:rsidRPr="00701F30">
        <w:rPr>
          <w:rFonts w:asciiTheme="majorBidi" w:hAnsiTheme="majorBidi" w:cstheme="majorBidi"/>
          <w:sz w:val="24"/>
          <w:szCs w:val="24"/>
          <w:lang w:val="en-US"/>
        </w:rPr>
        <w:t>universities?.</w:t>
      </w:r>
      <w:proofErr w:type="gramEnd"/>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South African Journal of Higher Education</w:t>
      </w:r>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20</w:t>
      </w:r>
      <w:r w:rsidRPr="00701F30">
        <w:rPr>
          <w:rFonts w:asciiTheme="majorBidi" w:hAnsiTheme="majorBidi" w:cstheme="majorBidi"/>
          <w:sz w:val="24"/>
          <w:szCs w:val="24"/>
          <w:lang w:val="en-US"/>
        </w:rPr>
        <w:t>(3), 168-181.</w:t>
      </w:r>
      <w:r w:rsidR="00441B72">
        <w:rPr>
          <w:rFonts w:asciiTheme="majorBidi" w:hAnsiTheme="majorBidi" w:cstheme="majorBidi"/>
          <w:sz w:val="24"/>
          <w:szCs w:val="24"/>
          <w:lang w:val="en-US"/>
        </w:rPr>
        <w:t xml:space="preserve"> </w:t>
      </w:r>
      <w:hyperlink r:id="rId13" w:history="1">
        <w:r w:rsidR="00441B72" w:rsidRPr="00441B72">
          <w:rPr>
            <w:rStyle w:val="Hyperlink"/>
            <w:rFonts w:asciiTheme="majorBidi" w:hAnsiTheme="majorBidi" w:cstheme="majorBidi"/>
            <w:sz w:val="24"/>
            <w:szCs w:val="24"/>
            <w:lang w:val="en-US"/>
          </w:rPr>
          <w:t>https://hdl.handle.net/10520/EJC37246</w:t>
        </w:r>
      </w:hyperlink>
    </w:p>
    <w:p w14:paraId="474DC62E" w14:textId="6E9637BA" w:rsidR="00A76DBF" w:rsidRDefault="00A76DBF" w:rsidP="00441B72">
      <w:pPr>
        <w:pStyle w:val="FootnoteText"/>
        <w:spacing w:before="240" w:line="360" w:lineRule="auto"/>
        <w:ind w:left="720" w:hanging="720"/>
        <w:jc w:val="both"/>
        <w:rPr>
          <w:rFonts w:asciiTheme="majorBidi" w:hAnsiTheme="majorBidi" w:cstheme="majorBidi"/>
          <w:sz w:val="24"/>
          <w:szCs w:val="24"/>
          <w:lang w:val="en-US"/>
        </w:rPr>
      </w:pPr>
      <w:proofErr w:type="spellStart"/>
      <w:r w:rsidRPr="00641586">
        <w:rPr>
          <w:rFonts w:asciiTheme="majorBidi" w:hAnsiTheme="majorBidi" w:cstheme="majorBidi"/>
          <w:sz w:val="24"/>
          <w:szCs w:val="24"/>
          <w:lang w:val="en-US"/>
        </w:rPr>
        <w:t>Suna</w:t>
      </w:r>
      <w:proofErr w:type="spellEnd"/>
      <w:r w:rsidRPr="00641586">
        <w:rPr>
          <w:rFonts w:asciiTheme="majorBidi" w:hAnsiTheme="majorBidi" w:cstheme="majorBidi"/>
          <w:sz w:val="24"/>
          <w:szCs w:val="24"/>
          <w:lang w:val="en-US"/>
        </w:rPr>
        <w:t xml:space="preserve">, H. E., </w:t>
      </w:r>
      <w:proofErr w:type="spellStart"/>
      <w:r w:rsidRPr="00641586">
        <w:rPr>
          <w:rFonts w:asciiTheme="majorBidi" w:hAnsiTheme="majorBidi" w:cstheme="majorBidi"/>
          <w:sz w:val="24"/>
          <w:szCs w:val="24"/>
          <w:lang w:val="en-US"/>
        </w:rPr>
        <w:t>Tanberkan</w:t>
      </w:r>
      <w:proofErr w:type="spellEnd"/>
      <w:r w:rsidRPr="00641586">
        <w:rPr>
          <w:rFonts w:asciiTheme="majorBidi" w:hAnsiTheme="majorBidi" w:cstheme="majorBidi"/>
          <w:sz w:val="24"/>
          <w:szCs w:val="24"/>
          <w:lang w:val="en-US"/>
        </w:rPr>
        <w:t xml:space="preserve">, H., </w:t>
      </w:r>
      <w:proofErr w:type="spellStart"/>
      <w:r w:rsidRPr="00641586">
        <w:rPr>
          <w:rFonts w:asciiTheme="majorBidi" w:hAnsiTheme="majorBidi" w:cstheme="majorBidi"/>
          <w:sz w:val="24"/>
          <w:szCs w:val="24"/>
          <w:lang w:val="en-US"/>
        </w:rPr>
        <w:t>Gür</w:t>
      </w:r>
      <w:proofErr w:type="spellEnd"/>
      <w:r w:rsidRPr="00641586">
        <w:rPr>
          <w:rFonts w:asciiTheme="majorBidi" w:hAnsiTheme="majorBidi" w:cstheme="majorBidi"/>
          <w:sz w:val="24"/>
          <w:szCs w:val="24"/>
          <w:lang w:val="en-US"/>
        </w:rPr>
        <w:t xml:space="preserve">, B., Perc, M., &amp; </w:t>
      </w:r>
      <w:proofErr w:type="spellStart"/>
      <w:r w:rsidRPr="00641586">
        <w:rPr>
          <w:rFonts w:asciiTheme="majorBidi" w:hAnsiTheme="majorBidi" w:cstheme="majorBidi"/>
          <w:sz w:val="24"/>
          <w:szCs w:val="24"/>
          <w:lang w:val="en-US"/>
        </w:rPr>
        <w:t>Özer</w:t>
      </w:r>
      <w:proofErr w:type="spellEnd"/>
      <w:r w:rsidRPr="00641586">
        <w:rPr>
          <w:rFonts w:asciiTheme="majorBidi" w:hAnsiTheme="majorBidi" w:cstheme="majorBidi"/>
          <w:sz w:val="24"/>
          <w:szCs w:val="24"/>
          <w:lang w:val="en-US"/>
        </w:rPr>
        <w:t>, M. (2020). Socioeconomic status and school type as predictors of academic achievement. </w:t>
      </w:r>
      <w:r w:rsidRPr="00641586">
        <w:rPr>
          <w:rFonts w:asciiTheme="majorBidi" w:hAnsiTheme="majorBidi" w:cstheme="majorBidi"/>
          <w:i/>
          <w:iCs/>
          <w:sz w:val="24"/>
          <w:szCs w:val="24"/>
          <w:lang w:val="en-US"/>
        </w:rPr>
        <w:t>Journal of Economy Culture and Society</w:t>
      </w:r>
      <w:r w:rsidRPr="00641586">
        <w:rPr>
          <w:rFonts w:asciiTheme="majorBidi" w:hAnsiTheme="majorBidi" w:cstheme="majorBidi"/>
          <w:sz w:val="24"/>
          <w:szCs w:val="24"/>
          <w:lang w:val="en-US"/>
        </w:rPr>
        <w:t>, (61), 41-64.</w:t>
      </w:r>
      <w:r w:rsidR="00441B72">
        <w:rPr>
          <w:rFonts w:asciiTheme="majorBidi" w:hAnsiTheme="majorBidi" w:cstheme="majorBidi"/>
          <w:sz w:val="24"/>
          <w:szCs w:val="24"/>
          <w:lang w:val="en-US"/>
        </w:rPr>
        <w:t xml:space="preserve"> </w:t>
      </w:r>
      <w:hyperlink r:id="rId14" w:history="1">
        <w:r w:rsidR="00441B72" w:rsidRPr="00441B72">
          <w:rPr>
            <w:rStyle w:val="Hyperlink"/>
            <w:rFonts w:asciiTheme="majorBidi" w:hAnsiTheme="majorBidi" w:cstheme="majorBidi"/>
            <w:sz w:val="24"/>
            <w:szCs w:val="24"/>
            <w:lang w:val="en-US"/>
          </w:rPr>
          <w:t>https://doi.org/10.26650/JECS2020-0034</w:t>
        </w:r>
      </w:hyperlink>
    </w:p>
    <w:p w14:paraId="0DB89E64" w14:textId="50E2FEF9" w:rsidR="00A76DBF" w:rsidRDefault="00A76DBF" w:rsidP="00441B72">
      <w:pPr>
        <w:pStyle w:val="FootnoteText"/>
        <w:spacing w:before="240" w:line="360" w:lineRule="auto"/>
        <w:ind w:left="720" w:hanging="720"/>
        <w:jc w:val="both"/>
        <w:rPr>
          <w:rStyle w:val="Hyperlink"/>
          <w:rFonts w:asciiTheme="majorBidi" w:hAnsiTheme="majorBidi" w:cstheme="majorBidi"/>
          <w:sz w:val="24"/>
          <w:szCs w:val="24"/>
          <w:lang w:val="en-US"/>
        </w:rPr>
      </w:pPr>
      <w:r w:rsidRPr="00DE16E8">
        <w:rPr>
          <w:rFonts w:asciiTheme="majorBidi" w:hAnsiTheme="majorBidi" w:cstheme="majorBidi"/>
          <w:sz w:val="24"/>
          <w:szCs w:val="24"/>
          <w:lang w:val="en-US"/>
        </w:rPr>
        <w:t>Yao, L. J., &amp; Bai, Y. (2008). The sustainability of economic and cultural impacts of international students to regional Australia: The case of Bendigo. </w:t>
      </w:r>
      <w:proofErr w:type="spellStart"/>
      <w:r w:rsidRPr="00DE16E8">
        <w:rPr>
          <w:rFonts w:asciiTheme="majorBidi" w:hAnsiTheme="majorBidi" w:cstheme="majorBidi"/>
          <w:i/>
          <w:iCs/>
          <w:sz w:val="24"/>
          <w:szCs w:val="24"/>
          <w:lang w:val="en-US"/>
        </w:rPr>
        <w:t>Humanomics</w:t>
      </w:r>
      <w:proofErr w:type="spellEnd"/>
      <w:r w:rsidRPr="00DE16E8">
        <w:rPr>
          <w:rFonts w:asciiTheme="majorBidi" w:hAnsiTheme="majorBidi" w:cstheme="majorBidi"/>
          <w:sz w:val="24"/>
          <w:szCs w:val="24"/>
          <w:lang w:val="en-US"/>
        </w:rPr>
        <w:t>, </w:t>
      </w:r>
      <w:r w:rsidRPr="00DE16E8">
        <w:rPr>
          <w:rFonts w:asciiTheme="majorBidi" w:hAnsiTheme="majorBidi" w:cstheme="majorBidi"/>
          <w:i/>
          <w:iCs/>
          <w:sz w:val="24"/>
          <w:szCs w:val="24"/>
          <w:lang w:val="en-US"/>
        </w:rPr>
        <w:t>24</w:t>
      </w:r>
      <w:r w:rsidRPr="00DE16E8">
        <w:rPr>
          <w:rFonts w:asciiTheme="majorBidi" w:hAnsiTheme="majorBidi" w:cstheme="majorBidi"/>
          <w:sz w:val="24"/>
          <w:szCs w:val="24"/>
          <w:lang w:val="en-US"/>
        </w:rPr>
        <w:t>(4), 250-262.</w:t>
      </w:r>
      <w:r w:rsidR="00441B72">
        <w:rPr>
          <w:rFonts w:asciiTheme="majorBidi" w:hAnsiTheme="majorBidi" w:cstheme="majorBidi"/>
          <w:sz w:val="24"/>
          <w:szCs w:val="24"/>
          <w:lang w:val="en-US"/>
        </w:rPr>
        <w:t xml:space="preserve"> </w:t>
      </w:r>
      <w:hyperlink r:id="rId15" w:tgtFrame="_blank" w:history="1">
        <w:r w:rsidR="00441B72" w:rsidRPr="00441B72">
          <w:rPr>
            <w:rStyle w:val="Hyperlink"/>
            <w:rFonts w:asciiTheme="majorBidi" w:hAnsiTheme="majorBidi" w:cstheme="majorBidi"/>
            <w:sz w:val="24"/>
            <w:szCs w:val="24"/>
            <w:lang w:val="en-US"/>
          </w:rPr>
          <w:t>https://doi.org/10.1108/08288660810917132</w:t>
        </w:r>
      </w:hyperlink>
    </w:p>
    <w:p w14:paraId="2F5C7804" w14:textId="236E7C63" w:rsidR="00C47338" w:rsidRDefault="00C47338" w:rsidP="00C47338">
      <w:pPr>
        <w:pStyle w:val="FootnoteText"/>
        <w:spacing w:before="240" w:line="360" w:lineRule="auto"/>
        <w:ind w:left="720" w:hanging="720"/>
        <w:jc w:val="both"/>
        <w:rPr>
          <w:rFonts w:asciiTheme="majorBidi" w:hAnsiTheme="majorBidi" w:cstheme="majorBidi"/>
          <w:sz w:val="24"/>
          <w:szCs w:val="24"/>
          <w:lang w:val="en-US"/>
        </w:rPr>
      </w:pPr>
      <w:r w:rsidRPr="00C47338">
        <w:rPr>
          <w:rFonts w:asciiTheme="majorBidi" w:hAnsiTheme="majorBidi" w:cstheme="majorBidi"/>
          <w:sz w:val="24"/>
          <w:szCs w:val="24"/>
          <w:lang w:val="en-US"/>
        </w:rPr>
        <w:t xml:space="preserve">Sayed </w:t>
      </w:r>
      <w:r>
        <w:rPr>
          <w:rFonts w:asciiTheme="majorBidi" w:hAnsiTheme="majorBidi" w:cstheme="majorBidi"/>
          <w:sz w:val="24"/>
          <w:szCs w:val="24"/>
          <w:lang w:val="en-US"/>
        </w:rPr>
        <w:t xml:space="preserve">Anwar </w:t>
      </w:r>
      <w:proofErr w:type="spellStart"/>
      <w:r>
        <w:rPr>
          <w:rFonts w:asciiTheme="majorBidi" w:hAnsiTheme="majorBidi" w:cstheme="majorBidi"/>
          <w:sz w:val="24"/>
          <w:szCs w:val="24"/>
          <w:lang w:val="en-US"/>
        </w:rPr>
        <w:t>Hussaini</w:t>
      </w:r>
      <w:proofErr w:type="spellEnd"/>
      <w:r>
        <w:rPr>
          <w:rFonts w:asciiTheme="majorBidi" w:hAnsiTheme="majorBidi" w:cstheme="majorBidi"/>
          <w:sz w:val="24"/>
          <w:szCs w:val="24"/>
          <w:lang w:val="en-US"/>
        </w:rPr>
        <w:t xml:space="preserve">, Dr. Joseph PD. </w:t>
      </w:r>
      <w:r w:rsidRPr="00C47338">
        <w:rPr>
          <w:rFonts w:asciiTheme="majorBidi" w:hAnsiTheme="majorBidi" w:cstheme="majorBidi"/>
          <w:sz w:val="24"/>
          <w:szCs w:val="24"/>
          <w:lang w:val="en-US"/>
        </w:rPr>
        <w:t>Role of Indian Council for Cultural Relatio</w:t>
      </w:r>
      <w:r>
        <w:rPr>
          <w:rFonts w:asciiTheme="majorBidi" w:hAnsiTheme="majorBidi" w:cstheme="majorBidi"/>
          <w:sz w:val="24"/>
          <w:szCs w:val="24"/>
          <w:lang w:val="en-US"/>
        </w:rPr>
        <w:t xml:space="preserve">ns (ICCR) Music and Yoga Scheme </w:t>
      </w:r>
      <w:r w:rsidRPr="00C47338">
        <w:rPr>
          <w:rFonts w:asciiTheme="majorBidi" w:hAnsiTheme="majorBidi" w:cstheme="majorBidi"/>
          <w:sz w:val="24"/>
          <w:szCs w:val="24"/>
          <w:lang w:val="en-US"/>
        </w:rPr>
        <w:t>in Promoting International Understandi</w:t>
      </w:r>
      <w:r>
        <w:rPr>
          <w:rFonts w:asciiTheme="majorBidi" w:hAnsiTheme="majorBidi" w:cstheme="majorBidi"/>
          <w:sz w:val="24"/>
          <w:szCs w:val="24"/>
          <w:lang w:val="en-US"/>
        </w:rPr>
        <w:t xml:space="preserve">ng: A Study Among International </w:t>
      </w:r>
      <w:r w:rsidRPr="00C47338">
        <w:rPr>
          <w:rFonts w:asciiTheme="majorBidi" w:hAnsiTheme="majorBidi" w:cstheme="majorBidi"/>
          <w:sz w:val="24"/>
          <w:szCs w:val="24"/>
          <w:lang w:val="en-US"/>
        </w:rPr>
        <w:t>Students in India</w:t>
      </w:r>
      <w:r>
        <w:rPr>
          <w:rFonts w:asciiTheme="majorBidi" w:hAnsiTheme="majorBidi" w:cstheme="majorBidi"/>
          <w:sz w:val="24"/>
          <w:szCs w:val="24"/>
          <w:lang w:val="en-US"/>
        </w:rPr>
        <w:t xml:space="preserve">, </w:t>
      </w:r>
      <w:r w:rsidRPr="00C47338">
        <w:rPr>
          <w:rFonts w:asciiTheme="majorBidi" w:hAnsiTheme="majorBidi" w:cstheme="majorBidi"/>
          <w:sz w:val="24"/>
          <w:szCs w:val="24"/>
          <w:lang w:val="en-US"/>
        </w:rPr>
        <w:t>Int. j. adv. multidisc. res. stud. 2026; 6(1):910-914</w:t>
      </w:r>
    </w:p>
    <w:p w14:paraId="60A6A6D3" w14:textId="66D62B9B" w:rsidR="00CC2ED8" w:rsidRDefault="00CC2ED8" w:rsidP="00C47338">
      <w:pPr>
        <w:pStyle w:val="FootnoteText"/>
        <w:spacing w:before="240" w:line="360" w:lineRule="auto"/>
        <w:ind w:left="720" w:hanging="720"/>
        <w:jc w:val="both"/>
        <w:rPr>
          <w:rFonts w:asciiTheme="majorBidi" w:hAnsiTheme="majorBidi" w:cstheme="majorBidi"/>
          <w:sz w:val="24"/>
          <w:szCs w:val="24"/>
          <w:lang w:val="en-US"/>
        </w:rPr>
      </w:pPr>
      <w:proofErr w:type="spellStart"/>
      <w:r w:rsidRPr="00CC2ED8">
        <w:rPr>
          <w:rFonts w:asciiTheme="majorBidi" w:hAnsiTheme="majorBidi" w:cstheme="majorBidi"/>
          <w:sz w:val="24"/>
          <w:szCs w:val="24"/>
          <w:lang w:val="en-US"/>
        </w:rPr>
        <w:t>Hussaini</w:t>
      </w:r>
      <w:proofErr w:type="spellEnd"/>
      <w:r w:rsidRPr="00CC2ED8">
        <w:rPr>
          <w:rFonts w:asciiTheme="majorBidi" w:hAnsiTheme="majorBidi" w:cstheme="majorBidi"/>
          <w:sz w:val="24"/>
          <w:szCs w:val="24"/>
          <w:lang w:val="en-US"/>
        </w:rPr>
        <w:t xml:space="preserve">, S. A., &amp; Joseph, P. D. Role of Indian Council for Cultural Relations (ICCR) Cultural Scheme in Promoting International Understanding: A Study among International </w:t>
      </w:r>
      <w:r w:rsidRPr="00CC2ED8">
        <w:rPr>
          <w:rFonts w:asciiTheme="majorBidi" w:hAnsiTheme="majorBidi" w:cstheme="majorBidi"/>
          <w:sz w:val="24"/>
          <w:szCs w:val="24"/>
          <w:lang w:val="en-US"/>
        </w:rPr>
        <w:lastRenderedPageBreak/>
        <w:t>Students in India.</w:t>
      </w:r>
      <w:r w:rsidRPr="00CC2ED8">
        <w:t xml:space="preserve"> </w:t>
      </w:r>
      <w:r w:rsidRPr="00CC2ED8">
        <w:rPr>
          <w:rFonts w:asciiTheme="majorBidi" w:hAnsiTheme="majorBidi" w:cstheme="majorBidi"/>
          <w:sz w:val="24"/>
          <w:szCs w:val="24"/>
          <w:lang w:val="en-US"/>
        </w:rPr>
        <w:t>International Journal of Science and Management Studies (IJSMS)</w:t>
      </w:r>
      <w:r>
        <w:rPr>
          <w:rFonts w:asciiTheme="majorBidi" w:hAnsiTheme="majorBidi" w:cstheme="majorBidi"/>
          <w:sz w:val="24"/>
          <w:szCs w:val="24"/>
          <w:lang w:val="en-US"/>
        </w:rPr>
        <w:t xml:space="preserve">. </w:t>
      </w:r>
      <w:r w:rsidRPr="00CC2ED8">
        <w:rPr>
          <w:rFonts w:asciiTheme="majorBidi" w:hAnsiTheme="majorBidi" w:cstheme="majorBidi"/>
          <w:sz w:val="24"/>
          <w:szCs w:val="24"/>
          <w:lang w:val="en-US"/>
        </w:rPr>
        <w:t>2025</w:t>
      </w:r>
      <w:r>
        <w:rPr>
          <w:rFonts w:asciiTheme="majorBidi" w:hAnsiTheme="majorBidi" w:cstheme="majorBidi"/>
          <w:sz w:val="24"/>
          <w:szCs w:val="24"/>
          <w:lang w:val="en-US"/>
        </w:rPr>
        <w:t>; 8 (6): 347-353</w:t>
      </w:r>
    </w:p>
    <w:p w14:paraId="21B293CC" w14:textId="77777777" w:rsidR="00641586" w:rsidRPr="00A36CFE" w:rsidRDefault="00641586" w:rsidP="00641586">
      <w:pPr>
        <w:pStyle w:val="FootnoteText"/>
        <w:spacing w:before="240" w:line="360" w:lineRule="auto"/>
        <w:ind w:left="1080" w:hanging="720"/>
        <w:jc w:val="both"/>
        <w:rPr>
          <w:rFonts w:asciiTheme="majorBidi" w:hAnsiTheme="majorBidi" w:cstheme="majorBidi"/>
          <w:sz w:val="24"/>
          <w:szCs w:val="24"/>
        </w:rPr>
      </w:pPr>
    </w:p>
    <w:sectPr w:rsidR="00641586" w:rsidRPr="00A36CFE" w:rsidSect="0040242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8CDA" w14:textId="77777777" w:rsidR="00400D74" w:rsidRDefault="00400D74" w:rsidP="00192CF6">
      <w:pPr>
        <w:spacing w:after="0" w:line="240" w:lineRule="auto"/>
      </w:pPr>
      <w:r>
        <w:separator/>
      </w:r>
    </w:p>
  </w:endnote>
  <w:endnote w:type="continuationSeparator" w:id="0">
    <w:p w14:paraId="32017B9A" w14:textId="77777777" w:rsidR="00400D74" w:rsidRDefault="00400D74" w:rsidP="0019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E23B" w14:textId="77777777" w:rsidR="00192CF6" w:rsidRDefault="0019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D830" w14:textId="77777777" w:rsidR="00192CF6" w:rsidRDefault="0019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E9D9" w14:textId="77777777" w:rsidR="00192CF6" w:rsidRDefault="00192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50A7" w14:textId="77777777" w:rsidR="00400D74" w:rsidRDefault="00400D74" w:rsidP="00192CF6">
      <w:pPr>
        <w:spacing w:after="0" w:line="240" w:lineRule="auto"/>
      </w:pPr>
      <w:r>
        <w:separator/>
      </w:r>
    </w:p>
  </w:footnote>
  <w:footnote w:type="continuationSeparator" w:id="0">
    <w:p w14:paraId="70AE9F27" w14:textId="77777777" w:rsidR="00400D74" w:rsidRDefault="00400D74" w:rsidP="0019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5B93" w14:textId="7B880CE2" w:rsidR="00192CF6" w:rsidRDefault="00753A2D">
    <w:pPr>
      <w:pStyle w:val="Header"/>
    </w:pPr>
    <w:r>
      <w:rPr>
        <w:noProof/>
      </w:rPr>
      <w:pict w14:anchorId="1310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C894" w14:textId="0BCD3643" w:rsidR="00192CF6" w:rsidRDefault="00753A2D">
    <w:pPr>
      <w:pStyle w:val="Header"/>
    </w:pPr>
    <w:r>
      <w:rPr>
        <w:noProof/>
      </w:rPr>
      <w:pict w14:anchorId="05CFB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7426" w14:textId="61F93C0B" w:rsidR="00192CF6" w:rsidRDefault="00753A2D">
    <w:pPr>
      <w:pStyle w:val="Header"/>
    </w:pPr>
    <w:r>
      <w:rPr>
        <w:noProof/>
      </w:rPr>
      <w:pict w14:anchorId="044B9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7E8"/>
    <w:multiLevelType w:val="hybridMultilevel"/>
    <w:tmpl w:val="BDA63422"/>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E79B0"/>
    <w:multiLevelType w:val="hybridMultilevel"/>
    <w:tmpl w:val="9F7CCD46"/>
    <w:lvl w:ilvl="0" w:tplc="810C392C">
      <w:start w:val="1"/>
      <w:numFmt w:val="upperRoman"/>
      <w:lvlText w:val="%1."/>
      <w:lvlJc w:val="left"/>
      <w:pPr>
        <w:ind w:left="99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6"/>
    <w:rsid w:val="00026C38"/>
    <w:rsid w:val="00036528"/>
    <w:rsid w:val="00037C9B"/>
    <w:rsid w:val="00050DC0"/>
    <w:rsid w:val="000A59B3"/>
    <w:rsid w:val="000B5071"/>
    <w:rsid w:val="000C1C1B"/>
    <w:rsid w:val="000E6959"/>
    <w:rsid w:val="001035FD"/>
    <w:rsid w:val="0012313B"/>
    <w:rsid w:val="00136444"/>
    <w:rsid w:val="001545A5"/>
    <w:rsid w:val="00192CF6"/>
    <w:rsid w:val="001958F4"/>
    <w:rsid w:val="001B1092"/>
    <w:rsid w:val="001B776C"/>
    <w:rsid w:val="0020505A"/>
    <w:rsid w:val="00210986"/>
    <w:rsid w:val="00214378"/>
    <w:rsid w:val="00220923"/>
    <w:rsid w:val="002458C4"/>
    <w:rsid w:val="0027192F"/>
    <w:rsid w:val="002759D0"/>
    <w:rsid w:val="002829C1"/>
    <w:rsid w:val="00297931"/>
    <w:rsid w:val="002A0988"/>
    <w:rsid w:val="002C682E"/>
    <w:rsid w:val="002F20D4"/>
    <w:rsid w:val="003154AF"/>
    <w:rsid w:val="003326A0"/>
    <w:rsid w:val="0037222E"/>
    <w:rsid w:val="00373884"/>
    <w:rsid w:val="00376C0E"/>
    <w:rsid w:val="0039438C"/>
    <w:rsid w:val="003B0441"/>
    <w:rsid w:val="003D351A"/>
    <w:rsid w:val="003E2AA4"/>
    <w:rsid w:val="00400D74"/>
    <w:rsid w:val="0040242A"/>
    <w:rsid w:val="0041325F"/>
    <w:rsid w:val="00430008"/>
    <w:rsid w:val="004304F2"/>
    <w:rsid w:val="00441B72"/>
    <w:rsid w:val="00447758"/>
    <w:rsid w:val="0048067B"/>
    <w:rsid w:val="00484597"/>
    <w:rsid w:val="004A4991"/>
    <w:rsid w:val="004F3A80"/>
    <w:rsid w:val="00500CD1"/>
    <w:rsid w:val="00522B5B"/>
    <w:rsid w:val="005467B7"/>
    <w:rsid w:val="00557349"/>
    <w:rsid w:val="00575EFA"/>
    <w:rsid w:val="00584F66"/>
    <w:rsid w:val="005A37B6"/>
    <w:rsid w:val="005B122D"/>
    <w:rsid w:val="005B3C0A"/>
    <w:rsid w:val="005C5282"/>
    <w:rsid w:val="0060491B"/>
    <w:rsid w:val="00604FAD"/>
    <w:rsid w:val="00641586"/>
    <w:rsid w:val="00652100"/>
    <w:rsid w:val="006633E7"/>
    <w:rsid w:val="00665D00"/>
    <w:rsid w:val="00672D93"/>
    <w:rsid w:val="00681816"/>
    <w:rsid w:val="006D1C03"/>
    <w:rsid w:val="006E50AE"/>
    <w:rsid w:val="006E5297"/>
    <w:rsid w:val="006E7011"/>
    <w:rsid w:val="00701F30"/>
    <w:rsid w:val="007111F9"/>
    <w:rsid w:val="007127C5"/>
    <w:rsid w:val="00717AA8"/>
    <w:rsid w:val="00732F88"/>
    <w:rsid w:val="00751501"/>
    <w:rsid w:val="00753A2D"/>
    <w:rsid w:val="007546AF"/>
    <w:rsid w:val="00767026"/>
    <w:rsid w:val="007A50DA"/>
    <w:rsid w:val="007F6ACA"/>
    <w:rsid w:val="00814EC5"/>
    <w:rsid w:val="00816D1B"/>
    <w:rsid w:val="00830E31"/>
    <w:rsid w:val="008520BB"/>
    <w:rsid w:val="00856FB8"/>
    <w:rsid w:val="008643EF"/>
    <w:rsid w:val="00870BD6"/>
    <w:rsid w:val="008A1673"/>
    <w:rsid w:val="008C3A8C"/>
    <w:rsid w:val="008D1C13"/>
    <w:rsid w:val="008F487F"/>
    <w:rsid w:val="00911F99"/>
    <w:rsid w:val="00915357"/>
    <w:rsid w:val="009238BB"/>
    <w:rsid w:val="00974AFE"/>
    <w:rsid w:val="009C5E87"/>
    <w:rsid w:val="009D660B"/>
    <w:rsid w:val="009F4FC5"/>
    <w:rsid w:val="00A0546E"/>
    <w:rsid w:val="00A1569C"/>
    <w:rsid w:val="00A3138A"/>
    <w:rsid w:val="00A36CFE"/>
    <w:rsid w:val="00A556EA"/>
    <w:rsid w:val="00A76DBF"/>
    <w:rsid w:val="00AC6A5F"/>
    <w:rsid w:val="00B0273A"/>
    <w:rsid w:val="00B36F01"/>
    <w:rsid w:val="00B414A9"/>
    <w:rsid w:val="00B421E8"/>
    <w:rsid w:val="00B428EC"/>
    <w:rsid w:val="00B461B1"/>
    <w:rsid w:val="00BB1C98"/>
    <w:rsid w:val="00BB2EB2"/>
    <w:rsid w:val="00BC3257"/>
    <w:rsid w:val="00BE027E"/>
    <w:rsid w:val="00BE3D98"/>
    <w:rsid w:val="00C265BF"/>
    <w:rsid w:val="00C46029"/>
    <w:rsid w:val="00C47338"/>
    <w:rsid w:val="00C64A04"/>
    <w:rsid w:val="00C75CC1"/>
    <w:rsid w:val="00C86791"/>
    <w:rsid w:val="00C9291B"/>
    <w:rsid w:val="00CC2ED8"/>
    <w:rsid w:val="00DB66FB"/>
    <w:rsid w:val="00DC0730"/>
    <w:rsid w:val="00DC6EF2"/>
    <w:rsid w:val="00DE16E8"/>
    <w:rsid w:val="00E16234"/>
    <w:rsid w:val="00E32AF1"/>
    <w:rsid w:val="00E37977"/>
    <w:rsid w:val="00E46798"/>
    <w:rsid w:val="00E5306D"/>
    <w:rsid w:val="00E650C2"/>
    <w:rsid w:val="00E913B2"/>
    <w:rsid w:val="00E95856"/>
    <w:rsid w:val="00EA08A6"/>
    <w:rsid w:val="00ED5E36"/>
    <w:rsid w:val="00EE21D9"/>
    <w:rsid w:val="00EE50E3"/>
    <w:rsid w:val="00EF5E0F"/>
    <w:rsid w:val="00F05781"/>
    <w:rsid w:val="00F21A80"/>
    <w:rsid w:val="00F32045"/>
    <w:rsid w:val="00F610E9"/>
    <w:rsid w:val="00F67E72"/>
    <w:rsid w:val="00F70667"/>
    <w:rsid w:val="00FA388D"/>
    <w:rsid w:val="00FB4879"/>
    <w:rsid w:val="00FD6BF9"/>
    <w:rsid w:val="00FF1389"/>
    <w:rsid w:val="00FF6AFD"/>
    <w:rsid w:val="00FF6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234"/>
  </w:style>
  <w:style w:type="paragraph" w:styleId="Heading3">
    <w:name w:val="heading 3"/>
    <w:basedOn w:val="Normal"/>
    <w:link w:val="Heading3Char"/>
    <w:uiPriority w:val="9"/>
    <w:qFormat/>
    <w:rsid w:val="00A1569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11F9"/>
    <w:pPr>
      <w:ind w:left="720"/>
      <w:contextualSpacing/>
    </w:pPr>
  </w:style>
  <w:style w:type="character" w:styleId="Hyperlink">
    <w:name w:val="Hyperlink"/>
    <w:basedOn w:val="DefaultParagraphFont"/>
    <w:uiPriority w:val="99"/>
    <w:unhideWhenUsed/>
    <w:rsid w:val="00A0546E"/>
    <w:rPr>
      <w:color w:val="0563C1" w:themeColor="hyperlink"/>
      <w:u w:val="single"/>
    </w:rPr>
  </w:style>
  <w:style w:type="paragraph" w:styleId="Bibliography">
    <w:name w:val="Bibliography"/>
    <w:basedOn w:val="Normal"/>
    <w:next w:val="Normal"/>
    <w:uiPriority w:val="37"/>
    <w:unhideWhenUsed/>
    <w:rsid w:val="00A0546E"/>
    <w:rPr>
      <w:lang w:val="en-GB"/>
    </w:rPr>
  </w:style>
  <w:style w:type="paragraph" w:styleId="FootnoteText">
    <w:name w:val="footnote text"/>
    <w:basedOn w:val="Normal"/>
    <w:link w:val="FootnoteTextChar"/>
    <w:uiPriority w:val="99"/>
    <w:unhideWhenUsed/>
    <w:rsid w:val="00E3797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7977"/>
    <w:rPr>
      <w:sz w:val="20"/>
      <w:szCs w:val="20"/>
      <w:lang w:val="en-GB"/>
    </w:rPr>
  </w:style>
  <w:style w:type="table" w:styleId="TableGrid">
    <w:name w:val="Table Grid"/>
    <w:basedOn w:val="TableNormal"/>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E21D9"/>
    <w:rPr>
      <w:i/>
      <w:iCs/>
    </w:rPr>
  </w:style>
  <w:style w:type="table" w:styleId="LightShading-Accent1">
    <w:name w:val="Light Shading Accent 1"/>
    <w:basedOn w:val="TableNormal"/>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759D0"/>
    <w:pPr>
      <w:spacing w:after="0" w:line="240" w:lineRule="auto"/>
    </w:pPr>
    <w:rPr>
      <w:kern w:val="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035F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035FD"/>
    <w:rPr>
      <w:b/>
      <w:bCs/>
    </w:rPr>
  </w:style>
  <w:style w:type="character" w:customStyle="1" w:styleId="Heading3Char">
    <w:name w:val="Heading 3 Char"/>
    <w:basedOn w:val="DefaultParagraphFont"/>
    <w:link w:val="Heading3"/>
    <w:uiPriority w:val="9"/>
    <w:rsid w:val="00A1569C"/>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A1569C"/>
    <w:rPr>
      <w:i/>
      <w:iCs/>
    </w:rPr>
  </w:style>
  <w:style w:type="character" w:customStyle="1" w:styleId="UnresolvedMention1">
    <w:name w:val="Unresolved Mention1"/>
    <w:basedOn w:val="DefaultParagraphFont"/>
    <w:uiPriority w:val="99"/>
    <w:semiHidden/>
    <w:unhideWhenUsed/>
    <w:rsid w:val="00500CD1"/>
    <w:rPr>
      <w:color w:val="605E5C"/>
      <w:shd w:val="clear" w:color="auto" w:fill="E1DFDD"/>
    </w:rPr>
  </w:style>
  <w:style w:type="paragraph" w:styleId="Header">
    <w:name w:val="header"/>
    <w:basedOn w:val="Normal"/>
    <w:link w:val="HeaderChar"/>
    <w:uiPriority w:val="99"/>
    <w:unhideWhenUsed/>
    <w:rsid w:val="0019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F6"/>
  </w:style>
  <w:style w:type="paragraph" w:styleId="Footer">
    <w:name w:val="footer"/>
    <w:basedOn w:val="Normal"/>
    <w:link w:val="FooterChar"/>
    <w:uiPriority w:val="99"/>
    <w:unhideWhenUsed/>
    <w:rsid w:val="0019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F6"/>
  </w:style>
  <w:style w:type="paragraph" w:styleId="NoSpacing">
    <w:name w:val="No Spacing"/>
    <w:uiPriority w:val="1"/>
    <w:qFormat/>
    <w:rsid w:val="00F05781"/>
    <w:pPr>
      <w:spacing w:after="0" w:line="240" w:lineRule="auto"/>
    </w:pPr>
    <w:rPr>
      <w:kern w:val="2"/>
      <w14:ligatures w14:val="standardContextual"/>
    </w:rPr>
  </w:style>
  <w:style w:type="paragraph" w:styleId="BodyText">
    <w:name w:val="Body Text"/>
    <w:basedOn w:val="Normal"/>
    <w:link w:val="BodyTextChar"/>
    <w:uiPriority w:val="1"/>
    <w:qFormat/>
    <w:rsid w:val="003D351A"/>
    <w:pPr>
      <w:widowControl w:val="0"/>
      <w:autoSpaceDE w:val="0"/>
      <w:autoSpaceDN w:val="0"/>
      <w:spacing w:after="0" w:line="240" w:lineRule="auto"/>
      <w:ind w:left="2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D35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73784">
      <w:bodyDiv w:val="1"/>
      <w:marLeft w:val="0"/>
      <w:marRight w:val="0"/>
      <w:marTop w:val="0"/>
      <w:marBottom w:val="0"/>
      <w:divBdr>
        <w:top w:val="none" w:sz="0" w:space="0" w:color="auto"/>
        <w:left w:val="none" w:sz="0" w:space="0" w:color="auto"/>
        <w:bottom w:val="none" w:sz="0" w:space="0" w:color="auto"/>
        <w:right w:val="none" w:sz="0" w:space="0" w:color="auto"/>
      </w:divBdr>
    </w:div>
    <w:div w:id="454368592">
      <w:bodyDiv w:val="1"/>
      <w:marLeft w:val="0"/>
      <w:marRight w:val="0"/>
      <w:marTop w:val="0"/>
      <w:marBottom w:val="0"/>
      <w:divBdr>
        <w:top w:val="none" w:sz="0" w:space="0" w:color="auto"/>
        <w:left w:val="none" w:sz="0" w:space="0" w:color="auto"/>
        <w:bottom w:val="none" w:sz="0" w:space="0" w:color="auto"/>
        <w:right w:val="none" w:sz="0" w:space="0" w:color="auto"/>
      </w:divBdr>
    </w:div>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942960015">
      <w:bodyDiv w:val="1"/>
      <w:marLeft w:val="0"/>
      <w:marRight w:val="0"/>
      <w:marTop w:val="0"/>
      <w:marBottom w:val="0"/>
      <w:divBdr>
        <w:top w:val="none" w:sz="0" w:space="0" w:color="auto"/>
        <w:left w:val="none" w:sz="0" w:space="0" w:color="auto"/>
        <w:bottom w:val="none" w:sz="0" w:space="0" w:color="auto"/>
        <w:right w:val="none" w:sz="0" w:space="0" w:color="auto"/>
      </w:divBdr>
    </w:div>
    <w:div w:id="1333529216">
      <w:bodyDiv w:val="1"/>
      <w:marLeft w:val="0"/>
      <w:marRight w:val="0"/>
      <w:marTop w:val="0"/>
      <w:marBottom w:val="0"/>
      <w:divBdr>
        <w:top w:val="none" w:sz="0" w:space="0" w:color="auto"/>
        <w:left w:val="none" w:sz="0" w:space="0" w:color="auto"/>
        <w:bottom w:val="none" w:sz="0" w:space="0" w:color="auto"/>
        <w:right w:val="none" w:sz="0" w:space="0" w:color="auto"/>
      </w:divBdr>
    </w:div>
    <w:div w:id="1668753243">
      <w:bodyDiv w:val="1"/>
      <w:marLeft w:val="0"/>
      <w:marRight w:val="0"/>
      <w:marTop w:val="0"/>
      <w:marBottom w:val="0"/>
      <w:divBdr>
        <w:top w:val="none" w:sz="0" w:space="0" w:color="auto"/>
        <w:left w:val="none" w:sz="0" w:space="0" w:color="auto"/>
        <w:bottom w:val="none" w:sz="0" w:space="0" w:color="auto"/>
        <w:right w:val="none" w:sz="0" w:space="0" w:color="auto"/>
      </w:divBdr>
    </w:div>
    <w:div w:id="168423515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 w:id="18711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75240906065589" TargetMode="External"/><Relationship Id="rId13" Type="http://schemas.openxmlformats.org/officeDocument/2006/relationships/hyperlink" Target="https://hdl.handle.net/10520/EJC3724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ccr.gov.in/ho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32415.2012.687259" TargetMode="External"/><Relationship Id="rId5" Type="http://schemas.openxmlformats.org/officeDocument/2006/relationships/webSettings" Target="webSettings.xml"/><Relationship Id="rId15" Type="http://schemas.openxmlformats.org/officeDocument/2006/relationships/hyperlink" Target="https://doi.org/10.1108/08288660810917132" TargetMode="External"/><Relationship Id="rId23" Type="http://schemas.openxmlformats.org/officeDocument/2006/relationships/theme" Target="theme/theme1.xml"/><Relationship Id="rId10" Type="http://schemas.openxmlformats.org/officeDocument/2006/relationships/hyperlink" Target="https://doi.org/10.1111/j.1541-1338.2006.00195.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2/9781118410868.wbehibs395.pub2" TargetMode="External"/><Relationship Id="rId14" Type="http://schemas.openxmlformats.org/officeDocument/2006/relationships/hyperlink" Target="https://doi.org/10.26650/JECS2020-00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D02472C7-9EEE-4EDD-808C-8001161A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19</Pages>
  <Words>4422</Words>
  <Characters>29440</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SDI PC New 16</cp:lastModifiedBy>
  <cp:revision>29</cp:revision>
  <dcterms:created xsi:type="dcterms:W3CDTF">2025-11-29T09:57:00Z</dcterms:created>
  <dcterms:modified xsi:type="dcterms:W3CDTF">2026-02-27T09:34:00Z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