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3612" w:rsidRDefault="006505ED">
      <w:pPr>
        <w:pStyle w:val="Title"/>
      </w:pPr>
      <w:bookmarkStart w:id="0" w:name="_GoBack"/>
      <w:bookmarkEnd w:id="0"/>
      <w:r>
        <w:t xml:space="preserve">AI-Powered Nutrition Insight System </w:t>
      </w:r>
    </w:p>
    <w:p w:rsidR="001F3612" w:rsidRDefault="006505ED">
      <w:pPr>
        <w:pStyle w:val="Title"/>
      </w:pPr>
      <w:r>
        <w:t xml:space="preserve">Using RAG and </w:t>
      </w:r>
      <w:proofErr w:type="spellStart"/>
      <w:r>
        <w:t>Groq</w:t>
      </w:r>
      <w:proofErr w:type="spellEnd"/>
      <w:r>
        <w:t xml:space="preserve"> LLM</w:t>
      </w:r>
    </w:p>
    <w:p w:rsidR="001F3612" w:rsidRDefault="001F3612">
      <w:pPr>
        <w:rPr>
          <w:sz w:val="18"/>
          <w:szCs w:val="18"/>
        </w:rPr>
      </w:pPr>
    </w:p>
    <w:p w:rsidR="001F3612" w:rsidRDefault="001F3612">
      <w:pPr>
        <w:rPr>
          <w:sz w:val="18"/>
          <w:szCs w:val="18"/>
        </w:rPr>
      </w:pPr>
    </w:p>
    <w:p w:rsidR="001F3612" w:rsidRDefault="006505ED">
      <w:pPr>
        <w:ind w:firstLineChars="1400" w:firstLine="2800"/>
        <w:jc w:val="both"/>
        <w:rPr>
          <w:rFonts w:ascii="Times New Roman" w:hAnsi="Times New Roman"/>
          <w:vertAlign w:val="superscript"/>
          <w:lang w:val="en-US"/>
        </w:rPr>
        <w:sectPr w:rsidR="001F3612">
          <w:footerReference w:type="first" r:id="rId8"/>
          <w:pgSz w:w="11906" w:h="16838"/>
          <w:pgMar w:top="540" w:right="893" w:bottom="1440" w:left="893" w:header="720" w:footer="720" w:gutter="0"/>
          <w:pgNumType w:start="1"/>
          <w:cols w:space="720"/>
          <w:titlePg/>
        </w:sectPr>
      </w:pPr>
      <w:r>
        <w:rPr>
          <w:rFonts w:ascii="Times New Roman" w:hAnsi="Times New Roman"/>
          <w:vertAlign w:val="superscript"/>
          <w:lang w:val="en-US"/>
        </w:rPr>
        <w:t xml:space="preserve"> </w:t>
      </w:r>
    </w:p>
    <w:p w:rsidR="001F3612" w:rsidRDefault="006505ED">
      <w:r>
        <w:t xml:space="preserve">                                </w:t>
      </w:r>
    </w:p>
    <w:p w:rsidR="001F3612" w:rsidRDefault="001F3612"/>
    <w:p w:rsidR="001F3612" w:rsidRDefault="001F3612"/>
    <w:p w:rsidR="001F3612" w:rsidRDefault="006505ED">
      <w:pPr>
        <w:sectPr w:rsidR="001F3612">
          <w:type w:val="continuous"/>
          <w:pgSz w:w="11906" w:h="16838"/>
          <w:pgMar w:top="450" w:right="893" w:bottom="1440" w:left="893" w:header="720" w:footer="720" w:gutter="0"/>
          <w:cols w:num="3" w:space="720" w:equalWidth="0">
            <w:col w:w="2893" w:space="720"/>
            <w:col w:w="2893" w:space="720"/>
            <w:col w:w="2893"/>
          </w:cols>
        </w:sectPr>
      </w:pPr>
      <w:r>
        <w:br w:type="column"/>
      </w:r>
    </w:p>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200"/>
        <w:ind w:firstLine="272"/>
        <w:jc w:val="both"/>
        <w:rPr>
          <w:b/>
          <w:bCs/>
          <w:sz w:val="18"/>
          <w:szCs w:val="18"/>
        </w:rPr>
      </w:pPr>
      <w:r>
        <w:rPr>
          <w:b/>
          <w:bCs/>
          <w:i/>
          <w:iCs/>
          <w:color w:val="000000"/>
          <w:sz w:val="18"/>
          <w:szCs w:val="18"/>
        </w:rPr>
        <w:t>Abstract</w:t>
      </w:r>
      <w:r>
        <w:rPr>
          <w:b/>
          <w:bCs/>
          <w:color w:val="000000"/>
          <w:sz w:val="18"/>
          <w:szCs w:val="18"/>
        </w:rPr>
        <w:t xml:space="preserve">— </w:t>
      </w:r>
      <w:r>
        <w:rPr>
          <w:b/>
          <w:bCs/>
          <w:sz w:val="18"/>
          <w:szCs w:val="18"/>
        </w:rPr>
        <w:t xml:space="preserve">Maintaining a healthy lifestyle requires proper nutrition awareness, but people frequently find it difficult to decipher food labels, comprehend ingredient compositions, and meaningfully assess nutritional value. The accuracy of traditional nutrition apps is limited when handling a variety of food items, handwritten labels, or blurry images because they rely on static databases and keyword-based matching. In order to overcome these obstacles, we suggest an AI-Powered Nutrition Insight System that combines an image-to-text pipeline, </w:t>
      </w:r>
      <w:proofErr w:type="spellStart"/>
      <w:r>
        <w:rPr>
          <w:b/>
          <w:bCs/>
          <w:sz w:val="18"/>
          <w:szCs w:val="18"/>
        </w:rPr>
        <w:t>Groq</w:t>
      </w:r>
      <w:proofErr w:type="spellEnd"/>
      <w:r>
        <w:rPr>
          <w:b/>
          <w:bCs/>
          <w:sz w:val="18"/>
          <w:szCs w:val="18"/>
        </w:rPr>
        <w:t xml:space="preserve">-accelerated LLM inference, and Retrieval-Augmented Generation (RAG). The system uses multimodal models to extract nutritional text from images, embeds that text into vector representations, and uses a RAG module in conjunction with </w:t>
      </w:r>
      <w:proofErr w:type="spellStart"/>
      <w:r>
        <w:rPr>
          <w:b/>
          <w:bCs/>
          <w:sz w:val="18"/>
          <w:szCs w:val="18"/>
        </w:rPr>
        <w:t>RapidFuzz</w:t>
      </w:r>
      <w:proofErr w:type="spellEnd"/>
      <w:r>
        <w:rPr>
          <w:b/>
          <w:bCs/>
          <w:sz w:val="18"/>
          <w:szCs w:val="18"/>
        </w:rPr>
        <w:t xml:space="preserve">-based similarity matching to retrieve precise nutrition insights. The system was evaluated using a diverse set of food label images and textual dietary inputs to assess retrieval accuracy, response latency, and contextual reasoning performance. Experimental evaluation demonstrates significant improvements in retrieval precision and response time compared to baseline keyword-based search techniques. The </w:t>
      </w:r>
      <w:proofErr w:type="spellStart"/>
      <w:r>
        <w:rPr>
          <w:b/>
          <w:bCs/>
          <w:sz w:val="18"/>
          <w:szCs w:val="18"/>
        </w:rPr>
        <w:t>Groq</w:t>
      </w:r>
      <w:proofErr w:type="spellEnd"/>
      <w:r>
        <w:rPr>
          <w:b/>
          <w:bCs/>
          <w:sz w:val="18"/>
          <w:szCs w:val="18"/>
        </w:rPr>
        <w:t>-accelerated inference pipeline further enables low-latency responses, supporting near real-time nutrition analysis and interactive user guidance. Compared to baseline search techniques, experimental evaluation shows big improvements in speed, accuracy, and contextual reasoning. The proposed system therefore provides an efficient, scalable, and context-aware framework for automated nutrition analysis, enabling users to better understand dietary information and make informed food choices.</w:t>
      </w:r>
    </w:p>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ind w:firstLine="274"/>
        <w:jc w:val="both"/>
        <w:rPr>
          <w:b/>
          <w:bCs/>
          <w:i/>
          <w:iCs/>
          <w:color w:val="000000"/>
          <w:sz w:val="18"/>
          <w:szCs w:val="18"/>
        </w:rPr>
      </w:pPr>
      <w:r>
        <w:rPr>
          <w:b/>
          <w:bCs/>
          <w:i/>
          <w:iCs/>
          <w:color w:val="000000"/>
          <w:sz w:val="18"/>
          <w:szCs w:val="18"/>
        </w:rPr>
        <w:t>Keywords— Nutrition</w:t>
      </w:r>
      <w:r>
        <w:rPr>
          <w:b/>
          <w:bCs/>
          <w:i/>
          <w:iCs/>
          <w:color w:val="000000"/>
          <w:sz w:val="18"/>
          <w:szCs w:val="18"/>
        </w:rPr>
        <w:tab/>
        <w:t>Analysis,</w:t>
      </w:r>
      <w:r>
        <w:rPr>
          <w:b/>
          <w:bCs/>
          <w:i/>
          <w:iCs/>
          <w:color w:val="000000"/>
          <w:sz w:val="18"/>
          <w:szCs w:val="18"/>
        </w:rPr>
        <w:tab/>
        <w:t>RAG,</w:t>
      </w:r>
      <w:r>
        <w:rPr>
          <w:b/>
          <w:bCs/>
          <w:i/>
          <w:iCs/>
          <w:color w:val="000000"/>
          <w:sz w:val="18"/>
          <w:szCs w:val="18"/>
        </w:rPr>
        <w:tab/>
      </w:r>
      <w:proofErr w:type="spellStart"/>
      <w:r>
        <w:rPr>
          <w:b/>
          <w:bCs/>
          <w:i/>
          <w:iCs/>
          <w:color w:val="000000"/>
          <w:sz w:val="18"/>
          <w:szCs w:val="18"/>
        </w:rPr>
        <w:t>Groq</w:t>
      </w:r>
      <w:proofErr w:type="spellEnd"/>
      <w:r>
        <w:rPr>
          <w:b/>
          <w:bCs/>
          <w:i/>
          <w:iCs/>
          <w:color w:val="000000"/>
          <w:sz w:val="18"/>
          <w:szCs w:val="18"/>
        </w:rPr>
        <w:tab/>
        <w:t>LLM, Multimodal AI, Rapid Fuzz Matching, Dietary Insights</w:t>
      </w:r>
    </w:p>
    <w:p w:rsidR="001F3612" w:rsidRDefault="006505ED">
      <w:pPr>
        <w:pStyle w:val="Heading1"/>
        <w:numPr>
          <w:ilvl w:val="0"/>
          <w:numId w:val="1"/>
        </w:numPr>
        <w:spacing w:after="107"/>
      </w:pPr>
      <w:r>
        <w:t>Introduction</w:t>
      </w:r>
    </w:p>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280"/>
        <w:jc w:val="both"/>
      </w:pPr>
      <w:r>
        <w:rPr>
          <w:color w:val="000000"/>
        </w:rPr>
        <w:t xml:space="preserve">Nutrition plays a vital role in human health, affecting physical abilities, cognitive performance, disease prevention, and overall quality of life. As awareness of healthy eating has increased, interest in tracking dietary habits has also grown; however, many individuals still struggle to comprehend nutritional information. Food labels frequently contain complex tables, small print, technical terminology, and inconsistent formats, making manual interpretation difficult and error-prone. Most existing nutrition analysis tools rely on static food databases, barcode scanning, or manual data entry. While these approaches are effective for standardized packaged foods, they perform poorly in real-world scenarios involving unclear or handwritten labels, homemade dishes, culturally specific food items, or free-text meal descriptions, thereby limiting personalization and accuracy when users seek actionable dietary guidance </w:t>
      </w:r>
      <w:r>
        <w:rPr>
          <w:color w:val="000000"/>
        </w:rPr>
        <w:t xml:space="preserve">[2], [3]. </w:t>
      </w:r>
      <w:r>
        <w:t>Retrieval-Augmented Generation (RAG) has emerged as a robust framework that grounds model outputs in external knowledge sources, significantly improving factual accuracy and reducing hallucinations in knowledge-intensive applications [1], [4], [16], [17].</w:t>
      </w:r>
    </w:p>
    <w:p w:rsidR="001F3612" w:rsidRDefault="006505ED">
      <w:pPr>
        <w:pBdr>
          <w:top w:val="none" w:sz="0" w:space="0" w:color="000000"/>
          <w:left w:val="none" w:sz="0" w:space="0" w:color="000000"/>
          <w:bottom w:val="none" w:sz="0" w:space="0" w:color="000000"/>
          <w:right w:val="none" w:sz="0" w:space="0" w:color="000000"/>
          <w:between w:val="none" w:sz="0" w:space="0" w:color="000000"/>
        </w:pBdr>
        <w:spacing w:before="280"/>
        <w:jc w:val="both"/>
        <w:rPr>
          <w:color w:val="000000"/>
        </w:rPr>
      </w:pPr>
      <w:r>
        <w:rPr>
          <w:color w:val="000000"/>
        </w:rPr>
        <w:t>Recent advances in large language models (LLMs) have demonstrated strong capabilities in understanding natural language, reasoning over unstructured data, and generating context-aware responses [5], [6]. At the same time, Retrieval-Augmented Generation (RAG) has emerged as a robust framework that grounds model outputs in external knowledge sources, significantly improving factual accuracy and reducing hallucinations in knowledge-intensive applications [1], [4], [16]. Together, these developments provide a strong foundation for intelligent nutrition analysis systems that combine language understanding with evidence-based reasoning.</w:t>
      </w:r>
    </w:p>
    <w:p w:rsidR="001F3612" w:rsidRDefault="006505ED">
      <w:pPr>
        <w:pBdr>
          <w:top w:val="none" w:sz="0" w:space="0" w:color="000000"/>
          <w:left w:val="none" w:sz="0" w:space="0" w:color="000000"/>
          <w:bottom w:val="none" w:sz="0" w:space="0" w:color="000000"/>
          <w:right w:val="none" w:sz="0" w:space="0" w:color="000000"/>
          <w:between w:val="none" w:sz="0" w:space="0" w:color="000000"/>
        </w:pBdr>
        <w:spacing w:before="38"/>
        <w:jc w:val="both"/>
        <w:rPr>
          <w:color w:val="000000"/>
        </w:rPr>
      </w:pPr>
      <w:r>
        <w:rPr>
          <w:color w:val="000000"/>
        </w:rPr>
        <w:t xml:space="preserve">Several studies have explored LLM-driven conversational platforms for nutrition and dietary guidance. </w:t>
      </w:r>
      <w:proofErr w:type="spellStart"/>
      <w:r>
        <w:rPr>
          <w:color w:val="000000"/>
        </w:rPr>
        <w:t>ChatDiet</w:t>
      </w:r>
      <w:proofErr w:type="spellEnd"/>
      <w:r>
        <w:rPr>
          <w:color w:val="000000"/>
        </w:rPr>
        <w:t xml:space="preserve"> employs an LLM-augmented framework to deliver personalized food recommendations through natural language interaction, highlighting the effectiveness of conversational interfaces in dietary support [2]. Similarly, RAG-based agents for personalized fitness and dietary guidance have demonstrated improved adaptability, accuracy, and user trust by integrating retrieval mechanisms with generative models [3].</w:t>
      </w:r>
    </w:p>
    <w:p w:rsidR="001F3612" w:rsidRDefault="006505ED">
      <w:pPr>
        <w:pBdr>
          <w:top w:val="none" w:sz="0" w:space="0" w:color="000000"/>
          <w:left w:val="none" w:sz="0" w:space="0" w:color="000000"/>
          <w:bottom w:val="none" w:sz="0" w:space="0" w:color="000000"/>
          <w:right w:val="none" w:sz="0" w:space="0" w:color="000000"/>
          <w:between w:val="none" w:sz="0" w:space="0" w:color="000000"/>
        </w:pBdr>
        <w:spacing w:before="55"/>
        <w:jc w:val="both"/>
        <w:rPr>
          <w:color w:val="000000"/>
        </w:rPr>
      </w:pPr>
      <w:r>
        <w:rPr>
          <w:color w:val="000000"/>
        </w:rPr>
        <w:t xml:space="preserve">In parallel, advances in multimodal learning have enabled models to jointly process textual and visual inputs, facilitating the extraction of meaningful information from food labels and images [8], [9]. Scalable similarity search techniques and vector databases such as FAISS support efficient retrieval over large nutritional knowledge bases [11]. Furthermore, improvements in efficient LLM serving infrastructures have reduced inference latency, enabling real-time and interactive user experiences [12]. Recent studies have also explored the use of large language models and multimodal AI for automated dietary assessment. For example, </w:t>
      </w:r>
      <w:proofErr w:type="gramStart"/>
      <w:r>
        <w:rPr>
          <w:color w:val="000000"/>
        </w:rPr>
        <w:t>Lo</w:t>
      </w:r>
      <w:proofErr w:type="gramEnd"/>
      <w:r>
        <w:rPr>
          <w:color w:val="000000"/>
        </w:rPr>
        <w:t xml:space="preserve"> et al. [19] analyzed the potential of multimodal </w:t>
      </w:r>
      <w:proofErr w:type="spellStart"/>
      <w:r>
        <w:rPr>
          <w:color w:val="000000"/>
        </w:rPr>
        <w:t>ChatGPT</w:t>
      </w:r>
      <w:proofErr w:type="spellEnd"/>
      <w:r>
        <w:rPr>
          <w:color w:val="000000"/>
        </w:rPr>
        <w:t xml:space="preserve"> models for dietary assessment tasks, highlighting their ability to interpret food descriptions and images. Similarly, </w:t>
      </w:r>
      <w:proofErr w:type="spellStart"/>
      <w:r>
        <w:rPr>
          <w:color w:val="000000"/>
        </w:rPr>
        <w:t>Chotwanvirat</w:t>
      </w:r>
      <w:proofErr w:type="spellEnd"/>
      <w:r>
        <w:rPr>
          <w:color w:val="000000"/>
        </w:rPr>
        <w:t xml:space="preserve"> et al. [20] developed an AI-based Thai food dietary assessment system and demonstrated its effectiveness for automated nutrition estimation. More recent work such as DietAI24 [21] proposes a multimodal LLM framework for comprehensive nutrition estimation from food images and textual descriptions. Additionally, recent </w:t>
      </w:r>
      <w:r>
        <w:rPr>
          <w:color w:val="000000"/>
        </w:rPr>
        <w:lastRenderedPageBreak/>
        <w:t>surveys have emphasized the importance of Retrieval-Augmented Generation (RAG) for improving factual accuracy in healthcare applications [22].</w:t>
      </w:r>
    </w:p>
    <w:p w:rsidR="001F3612" w:rsidRDefault="006505ED">
      <w:pPr>
        <w:pBdr>
          <w:top w:val="none" w:sz="0" w:space="0" w:color="000000"/>
          <w:left w:val="none" w:sz="0" w:space="0" w:color="000000"/>
          <w:bottom w:val="none" w:sz="0" w:space="0" w:color="000000"/>
          <w:right w:val="none" w:sz="0" w:space="0" w:color="000000"/>
          <w:between w:val="none" w:sz="0" w:space="0" w:color="000000"/>
        </w:pBdr>
        <w:spacing w:before="31" w:after="280"/>
        <w:jc w:val="both"/>
        <w:rPr>
          <w:color w:val="000000"/>
        </w:rPr>
      </w:pPr>
      <w:r>
        <w:rPr>
          <w:color w:val="000000"/>
        </w:rPr>
        <w:t xml:space="preserve">Motivated by these developments, this paper presents an </w:t>
      </w:r>
      <w:r>
        <w:rPr>
          <w:b/>
          <w:bCs/>
          <w:color w:val="000000"/>
        </w:rPr>
        <w:t>AI-Powered Nutrition Insight System</w:t>
      </w:r>
      <w:r>
        <w:rPr>
          <w:color w:val="000000"/>
        </w:rPr>
        <w:t xml:space="preserve"> that integrates multimodal image-to-text processing, hybrid LLM-based meal analysis, fuzzy similarity matching, and Retrieval-Augmented Generation accelerated using </w:t>
      </w:r>
      <w:proofErr w:type="spellStart"/>
      <w:r>
        <w:rPr>
          <w:color w:val="000000"/>
        </w:rPr>
        <w:t>Groq</w:t>
      </w:r>
      <w:proofErr w:type="spellEnd"/>
      <w:r>
        <w:rPr>
          <w:color w:val="000000"/>
        </w:rPr>
        <w:t>-based inference. The proposed system aims to accurately interpret both structured and unstructured dietary inputs, normalize food items across linguistic variations, and generate reliable nutritional insights grounded in authoritative dietary guidelines such as those provided by the Indian Council of Medical Research (ICMR) [10].</w:t>
      </w:r>
    </w:p>
    <w:p w:rsidR="001F3612" w:rsidRDefault="002D1C34">
      <w:pPr>
        <w:pStyle w:val="Heading1"/>
        <w:numPr>
          <w:ilvl w:val="0"/>
          <w:numId w:val="1"/>
        </w:numPr>
      </w:pPr>
      <w:r>
        <w:t>MATERIALS AND METHOD</w:t>
      </w:r>
    </w:p>
    <w:p w:rsidR="001F3612" w:rsidRDefault="006505ED">
      <w:pPr>
        <w:pBdr>
          <w:top w:val="none" w:sz="0" w:space="0" w:color="000000"/>
          <w:left w:val="none" w:sz="0" w:space="0" w:color="000000"/>
          <w:bottom w:val="none" w:sz="0" w:space="0" w:color="000000"/>
          <w:right w:val="none" w:sz="0" w:space="0" w:color="000000"/>
          <w:between w:val="none" w:sz="0" w:space="0" w:color="000000"/>
        </w:pBdr>
        <w:tabs>
          <w:tab w:val="left" w:pos="1539"/>
        </w:tabs>
        <w:jc w:val="both"/>
        <w:rPr>
          <w:color w:val="000000"/>
        </w:rPr>
      </w:pPr>
      <w:r>
        <w:rPr>
          <w:color w:val="000000"/>
        </w:rPr>
        <w:t xml:space="preserve">The AI-Powered Nutrition Insight System is built as a complete, end-to-end solution that tackles the practical challenges involved in analyzing nutritional information in everyday situations. Rather than relying on a single technique, the system brings together advanced artificial intelligence, multimodal data processing, and high-speed inference to deliver accurate and context-aware dietary insights. Its architecture is organized into four core stages: dataset collection, multimodal image interpretation, semantic vector embeddings combined with </w:t>
      </w:r>
      <w:proofErr w:type="spellStart"/>
      <w:r>
        <w:rPr>
          <w:color w:val="000000"/>
        </w:rPr>
        <w:t>RapidFuzz</w:t>
      </w:r>
      <w:proofErr w:type="spellEnd"/>
      <w:r>
        <w:rPr>
          <w:color w:val="000000"/>
        </w:rPr>
        <w:t xml:space="preserve"> similarity matching, and nutrition insight generation powered by Retrieval-</w:t>
      </w:r>
    </w:p>
    <w:p w:rsidR="001F3612" w:rsidRDefault="006505ED">
      <w:pPr>
        <w:pBdr>
          <w:top w:val="none" w:sz="0" w:space="0" w:color="000000"/>
          <w:left w:val="none" w:sz="0" w:space="0" w:color="000000"/>
          <w:bottom w:val="none" w:sz="0" w:space="0" w:color="000000"/>
          <w:right w:val="none" w:sz="0" w:space="0" w:color="000000"/>
          <w:between w:val="none" w:sz="0" w:space="0" w:color="000000"/>
        </w:pBdr>
        <w:tabs>
          <w:tab w:val="left" w:pos="1539"/>
        </w:tabs>
        <w:jc w:val="both"/>
        <w:rPr>
          <w:color w:val="000000"/>
        </w:rPr>
      </w:pPr>
      <w:r>
        <w:rPr>
          <w:color w:val="000000"/>
        </w:rPr>
        <w:t>Augmented Generation. Each stage contributes to the overall accuracy, robustness, and scalability of the system, ensuring reliable performance across a wide range of real-world inputs.</w:t>
      </w:r>
    </w:p>
    <w:p w:rsidR="001F3612" w:rsidRDefault="001F3612">
      <w:pPr>
        <w:pBdr>
          <w:top w:val="none" w:sz="0" w:space="0" w:color="000000"/>
          <w:left w:val="none" w:sz="0" w:space="0" w:color="000000"/>
          <w:bottom w:val="none" w:sz="0" w:space="0" w:color="000000"/>
          <w:right w:val="none" w:sz="0" w:space="0" w:color="000000"/>
          <w:between w:val="none" w:sz="0" w:space="0" w:color="000000"/>
        </w:pBdr>
        <w:tabs>
          <w:tab w:val="left" w:pos="1539"/>
        </w:tabs>
        <w:jc w:val="left"/>
        <w:rPr>
          <w:color w:val="000000"/>
        </w:rPr>
      </w:pPr>
    </w:p>
    <w:p w:rsidR="001F3612" w:rsidRDefault="006505ED">
      <w:pPr>
        <w:pStyle w:val="Heading2"/>
        <w:numPr>
          <w:ilvl w:val="1"/>
          <w:numId w:val="1"/>
        </w:numPr>
      </w:pPr>
      <w:r>
        <w:t>Dataset Preparation</w:t>
      </w:r>
    </w:p>
    <w:p w:rsidR="001F3612" w:rsidRDefault="006505ED">
      <w:pPr>
        <w:tabs>
          <w:tab w:val="left" w:pos="288"/>
        </w:tabs>
        <w:spacing w:after="120"/>
        <w:ind w:firstLine="289"/>
        <w:jc w:val="both"/>
      </w:pPr>
      <w:r>
        <w:t xml:space="preserve">The proposed system uses multiple datasets for meal parsing, nutrition calculation, and knowledge retrieval. Nutritional data was obtained from the </w:t>
      </w:r>
      <w:r>
        <w:rPr>
          <w:b/>
          <w:bCs/>
        </w:rPr>
        <w:t>USDA Food Data Central</w:t>
      </w:r>
      <w:r>
        <w:t xml:space="preserve"> and </w:t>
      </w:r>
      <w:r>
        <w:rPr>
          <w:b/>
          <w:bCs/>
        </w:rPr>
        <w:t>Indian Food Composition Tables (ICMR)</w:t>
      </w:r>
      <w:r>
        <w:t xml:space="preserve">, which provide information such as calories, protein, carbohydrates, fats, and sodium for various food items. The datasets were preprocessed by removing duplicates and standardizing food names. For evaluation, a dataset of </w:t>
      </w:r>
      <w:r>
        <w:rPr>
          <w:b/>
          <w:bCs/>
        </w:rPr>
        <w:t>350 meal descriptions</w:t>
      </w:r>
      <w:r>
        <w:t xml:space="preserve"> was collected from recipe websites and dietary logs, including meals like “two chapatis with sabzi” and “grilled chicken with rice.” Additionally, Additionally, dietary guideline documents from the World Health Organization (WHO) and the Indian Council of Medical Research (ICMR) were used as authoritative knowledge sources for the RAG module [10], [18]. were used for the RAG module, where the text was divided into smaller sections, converted into embeddings, and stored in a </w:t>
      </w:r>
      <w:r>
        <w:rPr>
          <w:b/>
          <w:bCs/>
        </w:rPr>
        <w:t>FAISS vector database</w:t>
      </w:r>
      <w:r>
        <w:t xml:space="preserve"> for efficient retrieval.</w:t>
      </w:r>
    </w:p>
    <w:p w:rsidR="001F3612" w:rsidRDefault="006505ED">
      <w:pPr>
        <w:pStyle w:val="Heading2"/>
        <w:numPr>
          <w:ilvl w:val="1"/>
          <w:numId w:val="1"/>
        </w:numPr>
      </w:pPr>
      <w:r>
        <w:t>Multimodal Meal Parsing Using LLM</w:t>
      </w:r>
    </w:p>
    <w:p w:rsidR="001F3612" w:rsidRDefault="006505ED">
      <w:pPr>
        <w:tabs>
          <w:tab w:val="left" w:pos="288"/>
        </w:tabs>
        <w:spacing w:after="120"/>
        <w:ind w:firstLine="289"/>
        <w:jc w:val="both"/>
      </w:pPr>
      <w:r>
        <w:t xml:space="preserve">To understand free-form meal descriptions such as “2 chapatis, 1 cup rice, 1 banana,” the system uses a high-performance large language model accessed through the </w:t>
      </w:r>
      <w:proofErr w:type="spellStart"/>
      <w:r>
        <w:t>Groq</w:t>
      </w:r>
      <w:proofErr w:type="spellEnd"/>
      <w:r>
        <w:t xml:space="preserve"> </w:t>
      </w:r>
      <w:proofErr w:type="spellStart"/>
      <w:r>
        <w:t>ChatGroq</w:t>
      </w:r>
      <w:proofErr w:type="spellEnd"/>
      <w:r>
        <w:t xml:space="preserve"> API. The model processes natural-</w:t>
      </w:r>
      <w:r>
        <w:t xml:space="preserve">language input and converts it into a structured JSON format that includes the food item, quantity, unit (when mentioned), and the corresponding text segment from the original </w:t>
      </w:r>
      <w:proofErr w:type="spellStart"/>
      <w:proofErr w:type="gramStart"/>
      <w:r>
        <w:t>input.This</w:t>
      </w:r>
      <w:proofErr w:type="spellEnd"/>
      <w:proofErr w:type="gramEnd"/>
      <w:r>
        <w:t xml:space="preserve"> structured representation allows subsequent components of the system to easily interpret and process the data. To maintain reliability, a rule-based parsing mechanism is used as a backup whenever the LLM output is incomplete or unavailable. By combining both approaches, the system remains robust and performs well even when user inputs are unclear or inconsistent.           </w:t>
      </w:r>
    </w:p>
    <w:p w:rsidR="001F3612" w:rsidRDefault="006505ED">
      <w:pPr>
        <w:pStyle w:val="Heading2"/>
        <w:numPr>
          <w:ilvl w:val="1"/>
          <w:numId w:val="1"/>
        </w:numPr>
      </w:pPr>
      <w:r>
        <w:t xml:space="preserve">Fuzzy-Similarity Matching and Normalization </w:t>
      </w:r>
    </w:p>
    <w:p w:rsidR="001F3612" w:rsidRDefault="006505ED">
      <w:pPr>
        <w:ind w:firstLine="300"/>
        <w:jc w:val="both"/>
      </w:pPr>
      <w:r>
        <w:t xml:space="preserve">After the meal items are extracted, each food name is compared with entries in the nutrition database using </w:t>
      </w:r>
      <w:proofErr w:type="spellStart"/>
      <w:r>
        <w:t>RapidFuzz’s</w:t>
      </w:r>
      <w:proofErr w:type="spellEnd"/>
      <w:r>
        <w:t xml:space="preserve"> </w:t>
      </w:r>
      <w:proofErr w:type="spellStart"/>
      <w:r>
        <w:t>WRatio</w:t>
      </w:r>
      <w:proofErr w:type="spellEnd"/>
      <w:r>
        <w:t>, a reliable and accurate string similarity measure. This approach helps handle variations in spelling, regional terms, and commonly used synonyms, such as mapping “roti” to “chapati” or “chawal” to “rice.”</w:t>
      </w:r>
    </w:p>
    <w:p w:rsidR="001F3612" w:rsidRDefault="006505ED">
      <w:pPr>
        <w:jc w:val="both"/>
      </w:pPr>
      <w:r>
        <w:t>By applying fuzzy matching, the system minimizes errors in linking food items to their correct nutritional information, leading to more accurate dietary calculations. In cases where no close match is found, the system smoothly switches to predefined average calorie values to ensure uninterrupted and dependable output.</w:t>
      </w:r>
    </w:p>
    <w:p w:rsidR="001F3612" w:rsidRDefault="006505ED">
      <w:pPr>
        <w:pStyle w:val="Heading2"/>
        <w:numPr>
          <w:ilvl w:val="1"/>
          <w:numId w:val="1"/>
        </w:numPr>
      </w:pPr>
      <w:r>
        <w:t>Nutrient Computation Engine</w:t>
      </w:r>
    </w:p>
    <w:p w:rsidR="001F3612" w:rsidRDefault="006505ED">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For each standardized food item, the system retrieves the corresponding caloric and macronutrient data from the nutritional dataset in fig1. The computation engine then aggregates these values to estimate the overall nutritional intake, including total energy expressed in kilocalories, protein, carbohydrates, fat measured in grams, and sodium content measured in milligrams. This process enables the generation of a comprehensive nutritional summary for the analyzed food items.</w:t>
      </w:r>
    </w:p>
    <w:p w:rsidR="001F3612" w:rsidRDefault="001F3612">
      <w:pPr>
        <w:pBdr>
          <w:top w:val="none" w:sz="0" w:space="0" w:color="000000"/>
          <w:left w:val="none" w:sz="0" w:space="0" w:color="000000"/>
          <w:bottom w:val="none" w:sz="0" w:space="0" w:color="000000"/>
          <w:right w:val="none" w:sz="0" w:space="0" w:color="000000"/>
          <w:between w:val="none" w:sz="0" w:space="0" w:color="000000"/>
        </w:pBdr>
        <w:jc w:val="both"/>
      </w:pPr>
    </w:p>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jc w:val="both"/>
        <w:rPr>
          <w:color w:val="000000"/>
        </w:rPr>
      </w:pPr>
      <w:r>
        <w:rPr>
          <w:noProof/>
        </w:rPr>
        <w:drawing>
          <wp:anchor distT="0" distB="0" distL="0" distR="0" simplePos="0" relativeHeight="251657216" behindDoc="0" locked="0" layoutInCell="1" allowOverlap="1">
            <wp:simplePos x="0" y="0"/>
            <wp:positionH relativeFrom="column">
              <wp:posOffset>21590</wp:posOffset>
            </wp:positionH>
            <wp:positionV relativeFrom="paragraph">
              <wp:posOffset>0</wp:posOffset>
            </wp:positionV>
            <wp:extent cx="3064510" cy="2048510"/>
            <wp:effectExtent l="0" t="0" r="0" b="0"/>
            <wp:wrapTopAndBottom/>
            <wp:docPr id="4" name="image1.jpg"/>
            <wp:cNvGraphicFramePr/>
            <a:graphic xmlns:a="http://schemas.openxmlformats.org/drawingml/2006/main">
              <a:graphicData uri="http://schemas.openxmlformats.org/drawingml/2006/picture">
                <pic:pic xmlns:pic="http://schemas.openxmlformats.org/drawingml/2006/picture">
                  <pic:nvPicPr>
                    <pic:cNvPr id="4" name="image1.jpg"/>
                    <pic:cNvPicPr preferRelativeResize="0"/>
                  </pic:nvPicPr>
                  <pic:blipFill>
                    <a:blip r:embed="rId9"/>
                    <a:srcRect/>
                    <a:stretch>
                      <a:fillRect/>
                    </a:stretch>
                  </pic:blipFill>
                  <pic:spPr>
                    <a:xfrm>
                      <a:off x="0" y="0"/>
                      <a:ext cx="3064510" cy="2048510"/>
                    </a:xfrm>
                    <a:prstGeom prst="rect">
                      <a:avLst/>
                    </a:prstGeom>
                  </pic:spPr>
                </pic:pic>
              </a:graphicData>
            </a:graphic>
          </wp:anchor>
        </w:drawing>
      </w:r>
    </w:p>
    <w:p w:rsidR="001F3612" w:rsidRDefault="006505ED">
      <w:pPr>
        <w:spacing w:line="228" w:lineRule="auto"/>
        <w:ind w:right="369"/>
        <w:jc w:val="both"/>
        <w:rPr>
          <w:sz w:val="16"/>
          <w:szCs w:val="16"/>
        </w:rPr>
      </w:pPr>
      <w:r>
        <w:rPr>
          <w:sz w:val="16"/>
          <w:szCs w:val="16"/>
        </w:rPr>
        <w:t>Fig. 1. Overview of the Retrieval-Augmented Generation (RAG) pipeline showing document ingestion, chunking, embedding generation, context retrieval from vector database, and final response generation via LLM.</w:t>
      </w:r>
    </w:p>
    <w:p w:rsidR="001F3612" w:rsidRDefault="001F3612">
      <w:pPr>
        <w:spacing w:line="228" w:lineRule="auto"/>
        <w:ind w:right="369"/>
        <w:jc w:val="both"/>
      </w:pPr>
    </w:p>
    <w:p w:rsidR="001F3612" w:rsidRDefault="006505ED">
      <w:pPr>
        <w:pStyle w:val="Heading2"/>
        <w:numPr>
          <w:ilvl w:val="1"/>
          <w:numId w:val="1"/>
        </w:numPr>
      </w:pPr>
      <w:r>
        <w:t>RAG-Based Nutritional Insight Generation</w:t>
      </w:r>
    </w:p>
    <w:p w:rsidR="001F3612" w:rsidRDefault="006505ED">
      <w:pPr>
        <w:ind w:firstLine="300"/>
        <w:jc w:val="both"/>
      </w:pPr>
      <w:r>
        <w:t xml:space="preserve">To provide informed and health-oriented dietary feedback, the system adopts a Retrieval-Augmented </w:t>
      </w:r>
      <w:r>
        <w:lastRenderedPageBreak/>
        <w:t>Generation (RAG) framework. Authoritative nutrition guideline documents, including recommendations from the World Health Organization (WHO), ICMR standards, and food labeling regulations, are first converted into text and segmented into smaller passages. These passages are then embedded using a transformer-based embedding model and stored in a FAISS vector database for efficient retrieval.</w:t>
      </w:r>
    </w:p>
    <w:p w:rsidR="001F3612" w:rsidRDefault="006505ED">
      <w:pPr>
        <w:jc w:val="both"/>
      </w:pPr>
      <w:r>
        <w:t>When a user submits a query such as “Is my sodium intake too high today?”, the system identifies the most relevant guideline excerpts and generates a response using a large language model that is grounded in the retrieved evidence. This combined retrieval and generation approach ensures that the nutritional insights are transparent, reliable, and consistent with established medical and dietary guidelines.</w:t>
      </w:r>
    </w:p>
    <w:p w:rsidR="001F3612" w:rsidRDefault="006505ED">
      <w:pPr>
        <w:pStyle w:val="Heading2"/>
        <w:numPr>
          <w:ilvl w:val="1"/>
          <w:numId w:val="1"/>
        </w:numPr>
      </w:pPr>
      <w:r>
        <w:t>System Advantages</w:t>
      </w:r>
    </w:p>
    <w:p w:rsidR="001F3612" w:rsidRDefault="006505ED">
      <w:pPr>
        <w:ind w:firstLine="300"/>
        <w:jc w:val="both"/>
      </w:pPr>
      <w:r>
        <w:t>The proposed system demonstrates multiple strengths that enhance its reliability and usability. It is designed to remain robust when handling ambiguous, incomplete, or informal user inputs, ensuring consistent performance across varied input styles. Real-time fuzzy matching techniques enable accurate identification of food items despite linguistic differences or spelling variations. In addition, the system delivers reliable and credible insights by integrating evidence-based nutritional guidelines. Its modular and scalable architecture further supports seamless expansion, allowing the system to accommodate larger datasets and incorporate additional nutrient parameters with minimal modification.</w:t>
      </w:r>
    </w:p>
    <w:p w:rsidR="001F3612" w:rsidRDefault="006505ED">
      <w:pPr>
        <w:pStyle w:val="Heading1"/>
        <w:numPr>
          <w:ilvl w:val="0"/>
          <w:numId w:val="1"/>
        </w:numPr>
      </w:pPr>
      <w:r>
        <w:t>Results And Discussion</w:t>
      </w:r>
    </w:p>
    <w:p w:rsidR="001F3612" w:rsidRDefault="006505ED">
      <w:pPr>
        <w:ind w:firstLine="300"/>
        <w:jc w:val="both"/>
      </w:pPr>
      <w:r>
        <w:t>This section discusses the experimental assessment of the proposed Nutrition RAG Assistant. The evaluation is structured around four major aspects: (</w:t>
      </w:r>
      <w:proofErr w:type="spellStart"/>
      <w:r>
        <w:t>i</w:t>
      </w:r>
      <w:proofErr w:type="spellEnd"/>
      <w:r>
        <w:t xml:space="preserve">) the accuracy of meal description parsing, (ii) the effectiveness of the fuzzy matching mechanism, (iii) the precision of nutritional value </w:t>
      </w:r>
    </w:p>
    <w:p w:rsidR="001F3612" w:rsidRDefault="006505ED">
      <w:pPr>
        <w:jc w:val="both"/>
      </w:pPr>
      <w:r>
        <w:t xml:space="preserve">estimation, and (iv) the reliability of responses generated for health-related queries using the RAG framework. To ensure </w:t>
      </w:r>
    </w:p>
    <w:p w:rsidR="001F3612" w:rsidRDefault="006505ED">
      <w:pPr>
        <w:jc w:val="both"/>
      </w:pPr>
      <w:r>
        <w:t>robustness and generalizability, experiments were carried out on a heterogeneous dataset comprising both Indian and Western food descriptions.</w:t>
      </w:r>
    </w:p>
    <w:p w:rsidR="001F3612" w:rsidRDefault="006505ED">
      <w:pPr>
        <w:pStyle w:val="Heading2"/>
        <w:numPr>
          <w:ilvl w:val="1"/>
          <w:numId w:val="1"/>
        </w:numPr>
      </w:pPr>
      <w:r>
        <w:t>Meal Parsing and Accuracy</w:t>
      </w:r>
    </w:p>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ind w:firstLine="288"/>
        <w:jc w:val="left"/>
        <w:rPr>
          <w:color w:val="000000"/>
        </w:rPr>
      </w:pPr>
      <w:r>
        <w:rPr>
          <w:color w:val="000000"/>
        </w:rPr>
        <w:t xml:space="preserve">The meal parsing capability of the system was evaluated using a set of 50 diverse meal descriptions. Three parsing strategies were examined: a </w:t>
      </w:r>
      <w:proofErr w:type="spellStart"/>
      <w:r>
        <w:rPr>
          <w:color w:val="000000"/>
        </w:rPr>
        <w:t>Groq</w:t>
      </w:r>
      <w:proofErr w:type="spellEnd"/>
      <w:r>
        <w:rPr>
          <w:color w:val="000000"/>
        </w:rPr>
        <w:t xml:space="preserve"> LLM–based parser, a rule-based parser, and a hybrid approach that integrates both </w:t>
      </w:r>
      <w:proofErr w:type="spellStart"/>
      <w:proofErr w:type="gramStart"/>
      <w:r>
        <w:rPr>
          <w:color w:val="000000"/>
        </w:rPr>
        <w:t>methods.The</w:t>
      </w:r>
      <w:proofErr w:type="spellEnd"/>
      <w:proofErr w:type="gramEnd"/>
      <w:r>
        <w:rPr>
          <w:color w:val="000000"/>
        </w:rPr>
        <w:t xml:space="preserve"> </w:t>
      </w:r>
      <w:proofErr w:type="spellStart"/>
      <w:r>
        <w:rPr>
          <w:color w:val="000000"/>
        </w:rPr>
        <w:t>Groq</w:t>
      </w:r>
      <w:proofErr w:type="spellEnd"/>
      <w:r>
        <w:rPr>
          <w:color w:val="000000"/>
        </w:rPr>
        <w:t xml:space="preserve"> LLM–based parser achieved a correct extraction rate of 68%, demonstrating its ability to understand contextual and natural language inputs. In contrast, the rule-based parser attained an accuracy of 54%, primarily due to its limited handling of linguistic variability and contextual cues. The hybrid approach, which invokes rule-based parsing only when the LLM output is incomplete or improperly structured, significantly improved </w:t>
      </w:r>
      <w:r>
        <w:rPr>
          <w:color w:val="000000"/>
        </w:rPr>
        <w:t xml:space="preserve">performance, achieving an accuracy of 92%. These findings suggest that combining probabilistic LLM reasoning with deterministic parsing rules substantially enhances system robustness and minimizes complete extraction failures. </w:t>
      </w:r>
    </w:p>
    <w:tbl>
      <w:tblPr>
        <w:tblStyle w:val="Style17"/>
        <w:tblW w:w="4702"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3"/>
        <w:gridCol w:w="2359"/>
      </w:tblGrid>
      <w:tr w:rsidR="001F3612">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rPr>
                <w:color w:val="000000"/>
              </w:rPr>
            </w:pPr>
            <w:r>
              <w:rPr>
                <w:color w:val="000000"/>
              </w:rPr>
              <w:t>Parsing Method</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rPr>
                <w:color w:val="000000"/>
              </w:rPr>
            </w:pPr>
            <w:proofErr w:type="gramStart"/>
            <w:r>
              <w:rPr>
                <w:color w:val="000000"/>
              </w:rPr>
              <w:t>Accuracy(</w:t>
            </w:r>
            <w:proofErr w:type="gramEnd"/>
            <w:r>
              <w:rPr>
                <w:color w:val="000000"/>
              </w:rPr>
              <w:t>%)</w:t>
            </w:r>
          </w:p>
        </w:tc>
      </w:tr>
      <w:tr w:rsidR="001F3612">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rPr>
                <w:color w:val="000000"/>
              </w:rPr>
            </w:pPr>
            <w:r>
              <w:rPr>
                <w:color w:val="000000"/>
              </w:rPr>
              <w:t>Rule-Based Parsing</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rPr>
                <w:color w:val="000000"/>
              </w:rPr>
            </w:pPr>
            <w:r>
              <w:rPr>
                <w:color w:val="000000"/>
              </w:rPr>
              <w:t>54</w:t>
            </w:r>
          </w:p>
        </w:tc>
      </w:tr>
      <w:tr w:rsidR="001F3612">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jc w:val="left"/>
              <w:rPr>
                <w:color w:val="000000"/>
              </w:rPr>
            </w:pPr>
            <w:r>
              <w:rPr>
                <w:color w:val="000000"/>
              </w:rPr>
              <w:t xml:space="preserve">LLM-Based Parsing </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rPr>
                <w:color w:val="000000"/>
              </w:rPr>
            </w:pPr>
            <w:r>
              <w:rPr>
                <w:color w:val="000000"/>
              </w:rPr>
              <w:t>68</w:t>
            </w:r>
          </w:p>
        </w:tc>
      </w:tr>
      <w:tr w:rsidR="001F3612">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jc w:val="left"/>
              <w:rPr>
                <w:color w:val="000000"/>
              </w:rPr>
            </w:pPr>
            <w:proofErr w:type="gramStart"/>
            <w:r>
              <w:rPr>
                <w:color w:val="000000"/>
              </w:rPr>
              <w:t>Hybrid(</w:t>
            </w:r>
            <w:proofErr w:type="gramEnd"/>
            <w:r>
              <w:rPr>
                <w:color w:val="000000"/>
              </w:rPr>
              <w:t>LLM + rule based)</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rPr>
                <w:color w:val="000000"/>
              </w:rPr>
            </w:pPr>
            <w:r>
              <w:rPr>
                <w:color w:val="000000"/>
              </w:rPr>
              <w:t>92</w:t>
            </w:r>
          </w:p>
        </w:tc>
      </w:tr>
    </w:tbl>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ind w:firstLine="288"/>
        <w:jc w:val="left"/>
        <w:rPr>
          <w:color w:val="000000"/>
        </w:rPr>
      </w:pPr>
      <w:r>
        <w:rPr>
          <w:color w:val="000000"/>
        </w:rPr>
        <w:t xml:space="preserve">Table </w:t>
      </w:r>
      <w:r w:rsidR="00B07214">
        <w:rPr>
          <w:color w:val="000000"/>
        </w:rPr>
        <w:t>1</w:t>
      </w:r>
      <w:r>
        <w:rPr>
          <w:color w:val="000000"/>
        </w:rPr>
        <w:t>. Meal Parsing Accuracy Comparison</w:t>
      </w:r>
    </w:p>
    <w:p w:rsidR="001F3612" w:rsidRDefault="006505ED">
      <w:pPr>
        <w:pStyle w:val="Heading2"/>
        <w:numPr>
          <w:ilvl w:val="1"/>
          <w:numId w:val="1"/>
        </w:numPr>
      </w:pPr>
      <w:r>
        <w:t xml:space="preserve">Fuzzy Matching Performance </w:t>
      </w:r>
    </w:p>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ind w:firstLine="288"/>
        <w:jc w:val="both"/>
        <w:rPr>
          <w:color w:val="000000"/>
        </w:rPr>
      </w:pPr>
      <w:r>
        <w:rPr>
          <w:color w:val="000000"/>
        </w:rPr>
        <w:t xml:space="preserve">Fuzzy matching was implemented using </w:t>
      </w:r>
      <w:proofErr w:type="spellStart"/>
      <w:r>
        <w:rPr>
          <w:color w:val="000000"/>
        </w:rPr>
        <w:t>RapidFuzz</w:t>
      </w:r>
      <w:proofErr w:type="spellEnd"/>
      <w:r>
        <w:rPr>
          <w:color w:val="000000"/>
        </w:rPr>
        <w:t xml:space="preserve"> to map parsed food items to corresponding USDA nutritional records. Experimental results showed that well-defined food items (e.g., banana, masala </w:t>
      </w:r>
      <w:proofErr w:type="spellStart"/>
      <w:r>
        <w:rPr>
          <w:color w:val="000000"/>
        </w:rPr>
        <w:t>dosa</w:t>
      </w:r>
      <w:proofErr w:type="spellEnd"/>
      <w:r>
        <w:rPr>
          <w:color w:val="000000"/>
        </w:rPr>
        <w:t xml:space="preserve">) achieved a high matching precision of approximately 95%. In contrast, more generic food terms (e.g., rice, bread) exhibited lower accuracy levels, ranging between 70% and 80%, due to inherent ambiguity in their nutritional </w:t>
      </w:r>
      <w:proofErr w:type="spellStart"/>
      <w:proofErr w:type="gramStart"/>
      <w:r>
        <w:rPr>
          <w:color w:val="000000"/>
        </w:rPr>
        <w:t>variations.To</w:t>
      </w:r>
      <w:proofErr w:type="spellEnd"/>
      <w:proofErr w:type="gramEnd"/>
      <w:r>
        <w:rPr>
          <w:color w:val="000000"/>
        </w:rPr>
        <w:t xml:space="preserve"> mitigate this limitation, the system incorporates a user confirmation step for each matched item. With this human-in-the-loop validation mechanism, the effective matching accuracy reached 100%. This outcome highlights that fuzzy matching techniques perform most reliably when augmented with user verification.</w:t>
      </w:r>
    </w:p>
    <w:tbl>
      <w:tblPr>
        <w:tblStyle w:val="Style18"/>
        <w:tblW w:w="4702"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1"/>
        <w:gridCol w:w="1666"/>
        <w:gridCol w:w="1525"/>
      </w:tblGrid>
      <w:tr w:rsidR="001F3612">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rPr>
                <w:color w:val="000000"/>
              </w:rPr>
            </w:pPr>
            <w:r>
              <w:rPr>
                <w:color w:val="000000"/>
              </w:rPr>
              <w:t>User Input Item</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rPr>
                <w:color w:val="000000"/>
              </w:rPr>
            </w:pPr>
            <w:r>
              <w:rPr>
                <w:color w:val="000000"/>
              </w:rPr>
              <w:t>Matched Database Item</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rPr>
                <w:color w:val="000000"/>
              </w:rPr>
            </w:pPr>
            <w:r>
              <w:rPr>
                <w:color w:val="000000"/>
              </w:rPr>
              <w:t>Similarity Score (%)</w:t>
            </w:r>
          </w:p>
        </w:tc>
      </w:tr>
      <w:tr w:rsidR="001F3612">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rPr>
                <w:color w:val="000000"/>
              </w:rPr>
            </w:pPr>
            <w:r>
              <w:rPr>
                <w:color w:val="000000"/>
              </w:rPr>
              <w:t>Banana</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rPr>
                <w:color w:val="000000"/>
              </w:rPr>
            </w:pPr>
            <w:r>
              <w:rPr>
                <w:color w:val="000000"/>
              </w:rPr>
              <w:t>Banana</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rPr>
                <w:color w:val="000000"/>
              </w:rPr>
            </w:pPr>
            <w:r>
              <w:rPr>
                <w:color w:val="000000"/>
              </w:rPr>
              <w:t>100</w:t>
            </w:r>
          </w:p>
        </w:tc>
      </w:tr>
      <w:tr w:rsidR="001F3612">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rPr>
                <w:color w:val="000000"/>
              </w:rPr>
            </w:pPr>
            <w:r>
              <w:rPr>
                <w:color w:val="000000"/>
              </w:rPr>
              <w:t xml:space="preserve">Masala </w:t>
            </w:r>
            <w:proofErr w:type="spellStart"/>
            <w:r>
              <w:rPr>
                <w:color w:val="000000"/>
              </w:rPr>
              <w:t>Dosa</w:t>
            </w:r>
            <w:proofErr w:type="spellEnd"/>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rPr>
                <w:color w:val="000000"/>
              </w:rPr>
            </w:pPr>
            <w:r>
              <w:rPr>
                <w:color w:val="000000"/>
              </w:rPr>
              <w:t xml:space="preserve">Masala </w:t>
            </w:r>
            <w:proofErr w:type="spellStart"/>
            <w:r>
              <w:rPr>
                <w:color w:val="000000"/>
              </w:rPr>
              <w:t>Dosa</w:t>
            </w:r>
            <w:proofErr w:type="spellEnd"/>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rPr>
                <w:color w:val="000000"/>
              </w:rPr>
            </w:pPr>
            <w:r>
              <w:rPr>
                <w:color w:val="000000"/>
              </w:rPr>
              <w:t>95</w:t>
            </w:r>
          </w:p>
        </w:tc>
      </w:tr>
      <w:tr w:rsidR="001F3612">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rPr>
                <w:color w:val="000000"/>
              </w:rPr>
            </w:pPr>
            <w:r>
              <w:rPr>
                <w:color w:val="000000"/>
              </w:rPr>
              <w:t>Rice</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rPr>
                <w:color w:val="000000"/>
              </w:rPr>
            </w:pPr>
            <w:r>
              <w:rPr>
                <w:color w:val="000000"/>
              </w:rPr>
              <w:t>Rice (Generic)</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rPr>
                <w:color w:val="000000"/>
              </w:rPr>
            </w:pPr>
            <w:r>
              <w:rPr>
                <w:color w:val="000000"/>
              </w:rPr>
              <w:t>75</w:t>
            </w:r>
          </w:p>
        </w:tc>
      </w:tr>
      <w:tr w:rsidR="001F3612">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rPr>
                <w:color w:val="000000"/>
              </w:rPr>
            </w:pPr>
            <w:r>
              <w:rPr>
                <w:color w:val="000000"/>
              </w:rPr>
              <w:t>Bread</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rPr>
                <w:color w:val="000000"/>
              </w:rPr>
            </w:pPr>
            <w:r>
              <w:rPr>
                <w:color w:val="000000"/>
              </w:rPr>
              <w:t>Bread</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rPr>
                <w:color w:val="000000"/>
              </w:rPr>
            </w:pPr>
            <w:r>
              <w:rPr>
                <w:color w:val="000000"/>
              </w:rPr>
              <w:t>78</w:t>
            </w:r>
          </w:p>
        </w:tc>
      </w:tr>
    </w:tbl>
    <w:p w:rsidR="001F3612" w:rsidRDefault="006505ED">
      <w:pPr>
        <w:pBdr>
          <w:top w:val="none" w:sz="0" w:space="0" w:color="000000"/>
          <w:left w:val="none" w:sz="0" w:space="0" w:color="000000"/>
          <w:bottom w:val="none" w:sz="0" w:space="0" w:color="000000"/>
          <w:right w:val="none" w:sz="0" w:space="0" w:color="000000"/>
          <w:between w:val="none" w:sz="0" w:space="0" w:color="000000"/>
        </w:pBdr>
        <w:spacing w:after="120"/>
        <w:ind w:firstLine="288"/>
        <w:jc w:val="both"/>
        <w:rPr>
          <w:color w:val="000000"/>
        </w:rPr>
      </w:pPr>
      <w:r>
        <w:rPr>
          <w:color w:val="000000"/>
        </w:rPr>
        <w:t xml:space="preserve">Table </w:t>
      </w:r>
      <w:r w:rsidR="00B07214">
        <w:rPr>
          <w:color w:val="000000"/>
        </w:rPr>
        <w:t>2</w:t>
      </w:r>
      <w:r>
        <w:rPr>
          <w:color w:val="000000"/>
        </w:rPr>
        <w:t>. Food Item Matching Using Fuzzy Similarity</w:t>
      </w:r>
    </w:p>
    <w:p w:rsidR="001F3612" w:rsidRDefault="006505ED">
      <w:pPr>
        <w:pStyle w:val="Heading2"/>
        <w:numPr>
          <w:ilvl w:val="1"/>
          <w:numId w:val="1"/>
        </w:numPr>
      </w:pPr>
      <w:r>
        <w:t>Nutrition Estimation Accuracy</w:t>
      </w:r>
    </w:p>
    <w:p w:rsidR="001F3612" w:rsidRDefault="006505ED">
      <w:pPr>
        <w:ind w:firstLine="300"/>
        <w:jc w:val="both"/>
      </w:pPr>
      <w:r>
        <w:t>The nutritional estimates generated by the system were compared against established reference values to assess accuracy. Across all evaluated meals, calorie estimation errors ranged between 4% and 7%, while protein estimation errors were observed in the range of 5% to 8%. Increased variability was noted for loosely specified inputs, such as “one bowl of sabzi.” However, the use of default portion-based calorie estimates helped prevent substantial underestimation.</w:t>
      </w:r>
    </w:p>
    <w:p w:rsidR="001F3612" w:rsidRDefault="006505ED">
      <w:pPr>
        <w:jc w:val="both"/>
      </w:pPr>
      <w:r>
        <w:t>Overall, the observed accuracy indicates that the proposed system is well suited for lifestyle-oriented dietary monitoring and guidance, although it is not intended for clinical or medical-grade nutritional assessment.</w:t>
      </w:r>
    </w:p>
    <w:p w:rsidR="001F3612" w:rsidRDefault="001F3612">
      <w:pPr>
        <w:spacing w:before="1"/>
        <w:jc w:val="left"/>
      </w:pPr>
    </w:p>
    <w:p w:rsidR="001F3612" w:rsidRDefault="006505ED">
      <w:pPr>
        <w:pStyle w:val="Heading2"/>
        <w:numPr>
          <w:ilvl w:val="1"/>
          <w:numId w:val="1"/>
        </w:numPr>
      </w:pPr>
      <w:r>
        <w:lastRenderedPageBreak/>
        <w:t>RAG-Enhanced Question Reliability</w:t>
      </w:r>
    </w:p>
    <w:p w:rsidR="001F3612" w:rsidRDefault="006505ED">
      <w:pPr>
        <w:ind w:firstLine="300"/>
        <w:jc w:val="both"/>
      </w:pPr>
      <w:r>
        <w:t>The reliability of system-generated responses was evaluated using twenty health-related questions under two experimental settings: LLM-only response generation and retrieval-augmented generation (RAG) supported by dietary guideline documents indexed using FAISS. This comparison was designed to measure the impact of external knowledge grounding on response accuracy.</w:t>
      </w:r>
    </w:p>
    <w:p w:rsidR="001F3612" w:rsidRDefault="006505ED">
      <w:pPr>
        <w:jc w:val="both"/>
      </w:pPr>
      <w:r>
        <w:t>The introduction of the RAG framework resulted in substantial improvements across all evaluated categories. The correctness of sodium-related dietary recommendations increased from 50% under LLM-only generation to 95% with RAG integration. Similarly, the accuracy of guidance related to weight management improved from 60% to 92%. For diabetes-specific nutritional advice, response correctness rose markedly from 40% to 90%. Additionally, overall adherence to established nutrition guidelines increased from 55% to 96</w:t>
      </w:r>
      <w:proofErr w:type="gramStart"/>
      <w:r>
        <w:t>%.These</w:t>
      </w:r>
      <w:proofErr w:type="gramEnd"/>
      <w:r>
        <w:t xml:space="preserve"> results demonstrate that incorporating retrieval-based context significantly enhances the factual reliability of generated responses. By grounding outputs in validated dietary references, the RAG framework effectively reduces hallucinations and ensures closer alignment with accepted nutritional guidelines, thereby improving the trustworthiness of health-related recommendations.</w:t>
      </w:r>
    </w:p>
    <w:p w:rsidR="001F3612" w:rsidRDefault="001F3612">
      <w:pPr>
        <w:jc w:val="both"/>
      </w:pPr>
    </w:p>
    <w:tbl>
      <w:tblPr>
        <w:tblStyle w:val="Style19"/>
        <w:tblW w:w="4779"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8"/>
        <w:gridCol w:w="1716"/>
        <w:gridCol w:w="1505"/>
      </w:tblGrid>
      <w:tr w:rsidR="001F3612">
        <w:trPr>
          <w:trHeight w:val="514"/>
        </w:trPr>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r>
              <w:t>Query Type</w:t>
            </w:r>
          </w:p>
        </w:tc>
        <w:tc>
          <w:tcPr>
            <w:tcW w:w="1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r>
              <w:t>LLM-Only Accuracy (%)</w:t>
            </w:r>
          </w:p>
        </w:tc>
        <w:tc>
          <w:tcPr>
            <w:tcW w:w="1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r>
              <w:t xml:space="preserve">RAG-Based </w:t>
            </w:r>
            <w:proofErr w:type="gramStart"/>
            <w:r>
              <w:t>Accuracy(</w:t>
            </w:r>
            <w:proofErr w:type="gramEnd"/>
            <w:r>
              <w:t>%)</w:t>
            </w:r>
          </w:p>
        </w:tc>
      </w:tr>
      <w:tr w:rsidR="001F3612">
        <w:trPr>
          <w:trHeight w:val="374"/>
        </w:trPr>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r>
              <w:t>Sodium</w:t>
            </w:r>
          </w:p>
        </w:tc>
        <w:tc>
          <w:tcPr>
            <w:tcW w:w="1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r>
              <w:t>50</w:t>
            </w:r>
          </w:p>
        </w:tc>
        <w:tc>
          <w:tcPr>
            <w:tcW w:w="1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r>
              <w:t>95</w:t>
            </w:r>
          </w:p>
        </w:tc>
      </w:tr>
      <w:tr w:rsidR="001F3612">
        <w:trPr>
          <w:trHeight w:val="374"/>
        </w:trPr>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r>
              <w:t>Weight</w:t>
            </w:r>
          </w:p>
        </w:tc>
        <w:tc>
          <w:tcPr>
            <w:tcW w:w="1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r>
              <w:t>60</w:t>
            </w:r>
          </w:p>
        </w:tc>
        <w:tc>
          <w:tcPr>
            <w:tcW w:w="1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r>
              <w:t>92</w:t>
            </w:r>
          </w:p>
        </w:tc>
      </w:tr>
      <w:tr w:rsidR="001F3612">
        <w:trPr>
          <w:trHeight w:val="374"/>
        </w:trPr>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r>
              <w:t>Diabetes</w:t>
            </w:r>
          </w:p>
        </w:tc>
        <w:tc>
          <w:tcPr>
            <w:tcW w:w="1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r>
              <w:t>40</w:t>
            </w:r>
          </w:p>
        </w:tc>
        <w:tc>
          <w:tcPr>
            <w:tcW w:w="1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r>
              <w:t>90</w:t>
            </w:r>
          </w:p>
        </w:tc>
      </w:tr>
      <w:tr w:rsidR="001F3612">
        <w:trPr>
          <w:trHeight w:val="279"/>
        </w:trPr>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r>
              <w:t>Guideline</w:t>
            </w:r>
          </w:p>
        </w:tc>
        <w:tc>
          <w:tcPr>
            <w:tcW w:w="1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r>
              <w:t>55</w:t>
            </w:r>
          </w:p>
        </w:tc>
        <w:tc>
          <w:tcPr>
            <w:tcW w:w="1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r>
              <w:t>96</w:t>
            </w:r>
          </w:p>
        </w:tc>
      </w:tr>
    </w:tbl>
    <w:p w:rsidR="001F3612" w:rsidRDefault="006505ED">
      <w:r>
        <w:t xml:space="preserve">Table </w:t>
      </w:r>
      <w:r w:rsidR="00B07214">
        <w:t>3</w:t>
      </w:r>
      <w:r>
        <w:t>. RAG vs LLM-Only Response Accuracy</w:t>
      </w:r>
    </w:p>
    <w:p w:rsidR="001F3612" w:rsidRDefault="006505ED">
      <w:pPr>
        <w:pStyle w:val="Heading2"/>
        <w:numPr>
          <w:ilvl w:val="1"/>
          <w:numId w:val="1"/>
        </w:numPr>
      </w:pPr>
      <w:r>
        <w:t xml:space="preserve">System </w:t>
      </w:r>
      <w:proofErr w:type="gramStart"/>
      <w:r>
        <w:t>Performance(</w:t>
      </w:r>
      <w:proofErr w:type="gramEnd"/>
      <w:r>
        <w:t>Latency)</w:t>
      </w:r>
    </w:p>
    <w:p w:rsidR="001F3612" w:rsidRDefault="006505ED">
      <w:pPr>
        <w:ind w:firstLine="300"/>
        <w:jc w:val="both"/>
      </w:pPr>
      <w:r>
        <w:t>The computational efficiency of the proposed system was evaluated by measuring the latency of its individual processing modules. Meal parsing operations required between 0.2 and 0.4 seconds per input, while fuzzy matching and nutritional value computation were completed in under 0.1 seconds. The complete RAG pipeline, which includes document retrieval and response generation, exhibited an execution time ranging from 0.6 to 1.2 seconds. These results indicate that the system maintains low end-to-end latency, demonstrating its suitability for real-time user interaction in practical deployment scenarios.</w:t>
      </w:r>
    </w:p>
    <w:p w:rsidR="001F3612" w:rsidRDefault="001F3612">
      <w:pPr>
        <w:ind w:firstLine="300"/>
        <w:jc w:val="both"/>
      </w:pPr>
    </w:p>
    <w:p w:rsidR="001F3612" w:rsidRDefault="001F3612">
      <w:pPr>
        <w:ind w:firstLine="300"/>
        <w:jc w:val="both"/>
      </w:pPr>
    </w:p>
    <w:tbl>
      <w:tblPr>
        <w:tblStyle w:val="Style20"/>
        <w:tblW w:w="4752" w:type="dxa"/>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4"/>
        <w:gridCol w:w="2358"/>
      </w:tblGrid>
      <w:tr w:rsidR="001F3612">
        <w:trPr>
          <w:trHeight w:val="319"/>
        </w:trPr>
        <w:tc>
          <w:tcPr>
            <w:tcW w:w="2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jc w:val="both"/>
            </w:pPr>
            <w:r>
              <w:t>System Component</w:t>
            </w:r>
          </w:p>
        </w:tc>
        <w:tc>
          <w:tcPr>
            <w:tcW w:w="2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jc w:val="both"/>
            </w:pPr>
            <w:r>
              <w:t>Execution Time (Seconds)</w:t>
            </w:r>
          </w:p>
        </w:tc>
      </w:tr>
      <w:tr w:rsidR="001F3612">
        <w:trPr>
          <w:trHeight w:val="319"/>
        </w:trPr>
        <w:tc>
          <w:tcPr>
            <w:tcW w:w="2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jc w:val="both"/>
            </w:pPr>
            <w:r>
              <w:t xml:space="preserve">Meal Parsing </w:t>
            </w:r>
          </w:p>
        </w:tc>
        <w:tc>
          <w:tcPr>
            <w:tcW w:w="2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jc w:val="both"/>
            </w:pPr>
            <w:r>
              <w:t xml:space="preserve">0.2 - 0.4 </w:t>
            </w:r>
          </w:p>
        </w:tc>
      </w:tr>
      <w:tr w:rsidR="001F3612">
        <w:trPr>
          <w:trHeight w:val="319"/>
        </w:trPr>
        <w:tc>
          <w:tcPr>
            <w:tcW w:w="2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jc w:val="both"/>
            </w:pPr>
            <w:r>
              <w:t xml:space="preserve">Fuzzy + Nutrition </w:t>
            </w:r>
          </w:p>
        </w:tc>
        <w:tc>
          <w:tcPr>
            <w:tcW w:w="2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jc w:val="both"/>
            </w:pPr>
            <w:r>
              <w:t>&lt;0.1</w:t>
            </w:r>
          </w:p>
        </w:tc>
      </w:tr>
      <w:tr w:rsidR="001F3612">
        <w:trPr>
          <w:trHeight w:val="319"/>
        </w:trPr>
        <w:tc>
          <w:tcPr>
            <w:tcW w:w="2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jc w:val="both"/>
            </w:pPr>
            <w:r>
              <w:t xml:space="preserve">RAG + Generation </w:t>
            </w:r>
          </w:p>
        </w:tc>
        <w:tc>
          <w:tcPr>
            <w:tcW w:w="2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jc w:val="both"/>
            </w:pPr>
            <w:r>
              <w:t xml:space="preserve">0.6 </w:t>
            </w:r>
            <w:proofErr w:type="gramStart"/>
            <w:r>
              <w:t>-  1</w:t>
            </w:r>
            <w:proofErr w:type="gramEnd"/>
            <w:r>
              <w:t>.2</w:t>
            </w:r>
          </w:p>
        </w:tc>
      </w:tr>
      <w:tr w:rsidR="001F3612">
        <w:trPr>
          <w:trHeight w:val="342"/>
        </w:trPr>
        <w:tc>
          <w:tcPr>
            <w:tcW w:w="2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jc w:val="both"/>
            </w:pPr>
            <w:r>
              <w:t xml:space="preserve">End-to-End pipeline </w:t>
            </w:r>
          </w:p>
        </w:tc>
        <w:tc>
          <w:tcPr>
            <w:tcW w:w="2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3612" w:rsidRDefault="006505ED">
            <w:pPr>
              <w:jc w:val="both"/>
            </w:pPr>
            <w:r>
              <w:t>&lt;1.5</w:t>
            </w:r>
          </w:p>
        </w:tc>
      </w:tr>
    </w:tbl>
    <w:p w:rsidR="001F3612" w:rsidRDefault="006505ED">
      <w:pPr>
        <w:ind w:firstLine="300"/>
        <w:jc w:val="both"/>
      </w:pPr>
      <w:r>
        <w:t xml:space="preserve">Table </w:t>
      </w:r>
      <w:r w:rsidR="00B07214">
        <w:t>4</w:t>
      </w:r>
      <w:r>
        <w:t>. System Latency Analysis</w:t>
      </w:r>
    </w:p>
    <w:p w:rsidR="001F3612" w:rsidRDefault="006505ED">
      <w:pPr>
        <w:pStyle w:val="Heading2"/>
        <w:numPr>
          <w:ilvl w:val="1"/>
          <w:numId w:val="1"/>
        </w:numPr>
      </w:pPr>
      <w:r>
        <w:t>Overall Summary</w:t>
      </w:r>
    </w:p>
    <w:p w:rsidR="001F3612" w:rsidRDefault="006505ED">
      <w:pPr>
        <w:ind w:firstLine="300"/>
        <w:jc w:val="both"/>
        <w:rPr>
          <w:rFonts w:ascii="Calibri" w:eastAsia="Calibri" w:hAnsi="Calibri" w:cs="Calibri"/>
          <w:sz w:val="19"/>
          <w:szCs w:val="19"/>
        </w:rPr>
      </w:pPr>
      <w:r>
        <w:t>The experimental findings collectively demonstrate the effectiveness of the proposed Nutrition RAG Assistant. The hybrid meal parsing strategy significantly outperforms both standalone LLM-based and rule-based approaches, achieving superior extraction reliability. The integration of fuzzy matching with user confirmation ensures near-perfect alignment between parsed food items and nutritional database entries. Nutritional estimations remain within acceptable error margins for everyday dietary monitoring and lifestyle applications. Furthermore, the incorporation of retrieval-augmented generation markedly improves the accuracy and consistency of health-related responses, reinforcing the system’s ability to deliver reliable and contextually grounded nutritional guidance.</w:t>
      </w:r>
    </w:p>
    <w:p w:rsidR="001F3612" w:rsidRDefault="006505ED">
      <w:pPr>
        <w:pStyle w:val="Heading2"/>
        <w:numPr>
          <w:ilvl w:val="1"/>
          <w:numId w:val="1"/>
        </w:numPr>
      </w:pPr>
      <w:r>
        <w:t>Evaluation Metrics</w:t>
      </w:r>
    </w:p>
    <w:p w:rsidR="001F3612" w:rsidRDefault="006505ED">
      <w:pPr>
        <w:ind w:firstLine="300"/>
        <w:jc w:val="both"/>
      </w:pPr>
      <w:r>
        <w:t>To quantitatively assess the performance of the proposed system, a set of task-specific evaluation metrics was employed. The effectiveness of meal parsing was measured using accuracy, precision, recall, and F1-score by comparing the system-extracted food entities with manually annotated ground-truth labels. Fuzzy matching performance was evaluated based on the correctness of mapping parsed food names to entries in the nutritional database. Additionally, the quality of responses generated using the RAG framework was assessed by measuring answer correctness against authoritative dietary guidelines. Collectively, these metrics offer a comprehensive measure of the system’s reliability and robustness across its core components.</w:t>
      </w:r>
    </w:p>
    <w:p w:rsidR="001F3612" w:rsidRDefault="006505ED">
      <w:pPr>
        <w:jc w:val="both"/>
      </w:pPr>
      <w:r>
        <w:t>The evaluation metrics are defined as follows:</w:t>
      </w:r>
    </w:p>
    <w:p w:rsidR="001F3612" w:rsidRDefault="006505ED">
      <w:pPr>
        <w:jc w:val="both"/>
      </w:pPr>
      <w:r>
        <w:t>Precision = TP / TP + FP</w:t>
      </w:r>
    </w:p>
    <w:p w:rsidR="001F3612" w:rsidRDefault="006505ED">
      <w:pPr>
        <w:jc w:val="both"/>
      </w:pPr>
      <w:r>
        <w:t>Recall = TP / TP + FN</w:t>
      </w:r>
    </w:p>
    <w:p w:rsidR="001F3612" w:rsidRDefault="006505ED">
      <w:pPr>
        <w:jc w:val="both"/>
      </w:pPr>
      <w:r>
        <w:t xml:space="preserve">F1-score = 2*(Precision * Recall) / (Precision + Recall) </w:t>
      </w:r>
    </w:p>
    <w:p w:rsidR="001F3612" w:rsidRDefault="006505ED">
      <w:pPr>
        <w:jc w:val="both"/>
      </w:pPr>
      <w:r>
        <w:t>Where</w:t>
      </w:r>
    </w:p>
    <w:p w:rsidR="001F3612" w:rsidRDefault="006505ED">
      <w:pPr>
        <w:jc w:val="both"/>
      </w:pPr>
      <w:r>
        <w:t>TP denotes True positive,</w:t>
      </w:r>
    </w:p>
    <w:p w:rsidR="001F3612" w:rsidRDefault="006505ED">
      <w:pPr>
        <w:jc w:val="both"/>
      </w:pPr>
      <w:r>
        <w:t>TN denotes true negative,</w:t>
      </w:r>
    </w:p>
    <w:p w:rsidR="001F3612" w:rsidRDefault="006505ED">
      <w:pPr>
        <w:jc w:val="both"/>
      </w:pPr>
      <w:r>
        <w:t>FP denotes false positive and,</w:t>
      </w:r>
    </w:p>
    <w:p w:rsidR="001F3612" w:rsidRDefault="006505ED">
      <w:pPr>
        <w:jc w:val="both"/>
      </w:pPr>
      <w:r>
        <w:t>FN denotes false negatives, respectively.</w:t>
      </w:r>
    </w:p>
    <w:p w:rsidR="001F3612" w:rsidRDefault="006505ED">
      <w:pPr>
        <w:jc w:val="both"/>
      </w:pPr>
      <w:r>
        <w:t xml:space="preserve">Experimental observations indicate that the system maintains efficient response times while delivering accurate outputs. Overall, the results validate the effectiveness of integrating large language models, fuzzy matching techniques, rule-based fallback mechanisms, and retrieval-augmented generation to develop a robust, </w:t>
      </w:r>
      <w:r>
        <w:lastRenderedPageBreak/>
        <w:t>accurate, and practical nutrition assistance system suitable for real-world applications.</w:t>
      </w:r>
      <w:r>
        <w:rPr>
          <w:noProof/>
        </w:rPr>
        <w:drawing>
          <wp:anchor distT="0" distB="0" distL="0" distR="0" simplePos="0" relativeHeight="251658240" behindDoc="0" locked="0" layoutInCell="1" allowOverlap="1">
            <wp:simplePos x="0" y="0"/>
            <wp:positionH relativeFrom="column">
              <wp:posOffset>508000</wp:posOffset>
            </wp:positionH>
            <wp:positionV relativeFrom="paragraph">
              <wp:posOffset>1250950</wp:posOffset>
            </wp:positionV>
            <wp:extent cx="1475105" cy="1409065"/>
            <wp:effectExtent l="0" t="0" r="0" b="0"/>
            <wp:wrapTopAndBottom/>
            <wp:docPr id="3" name="image2.jpg"/>
            <wp:cNvGraphicFramePr/>
            <a:graphic xmlns:a="http://schemas.openxmlformats.org/drawingml/2006/main">
              <a:graphicData uri="http://schemas.openxmlformats.org/drawingml/2006/picture">
                <pic:pic xmlns:pic="http://schemas.openxmlformats.org/drawingml/2006/picture">
                  <pic:nvPicPr>
                    <pic:cNvPr id="3" name="image2.jpg"/>
                    <pic:cNvPicPr preferRelativeResize="0"/>
                  </pic:nvPicPr>
                  <pic:blipFill>
                    <a:blip r:embed="rId10"/>
                    <a:srcRect/>
                    <a:stretch>
                      <a:fillRect/>
                    </a:stretch>
                  </pic:blipFill>
                  <pic:spPr>
                    <a:xfrm>
                      <a:off x="0" y="0"/>
                      <a:ext cx="1475105" cy="1409065"/>
                    </a:xfrm>
                    <a:prstGeom prst="rect">
                      <a:avLst/>
                    </a:prstGeom>
                  </pic:spPr>
                </pic:pic>
              </a:graphicData>
            </a:graphic>
          </wp:anchor>
        </w:drawing>
      </w:r>
    </w:p>
    <w:p w:rsidR="001F3612" w:rsidRDefault="001F3612">
      <w:pPr>
        <w:jc w:val="both"/>
      </w:pPr>
    </w:p>
    <w:p w:rsidR="001F3612" w:rsidRDefault="001F3612">
      <w:pPr>
        <w:jc w:val="both"/>
      </w:pPr>
    </w:p>
    <w:p w:rsidR="001F3612" w:rsidRDefault="006505ED">
      <w:pPr>
        <w:jc w:val="both"/>
        <w:rPr>
          <w:sz w:val="16"/>
          <w:szCs w:val="16"/>
        </w:rPr>
      </w:pPr>
      <w:bookmarkStart w:id="1" w:name="_heading=h.of0w8zkdbic3" w:colFirst="0" w:colLast="0"/>
      <w:bookmarkEnd w:id="1"/>
      <w:r>
        <w:rPr>
          <w:sz w:val="16"/>
          <w:szCs w:val="16"/>
        </w:rPr>
        <w:t>Fig. 2. Percentage distribution of macro-nutrients (protein, carbohydrates, and fat) derived from the estimated nutrition values.</w:t>
      </w:r>
    </w:p>
    <w:p w:rsidR="001F3612" w:rsidRDefault="001F3612">
      <w:pPr>
        <w:jc w:val="left"/>
        <w:rPr>
          <w:sz w:val="16"/>
          <w:szCs w:val="16"/>
        </w:rPr>
      </w:pPr>
    </w:p>
    <w:p w:rsidR="001F3612" w:rsidRDefault="006505ED">
      <w:pPr>
        <w:pStyle w:val="Heading2"/>
        <w:numPr>
          <w:ilvl w:val="1"/>
          <w:numId w:val="1"/>
        </w:numPr>
      </w:pPr>
      <w:r>
        <w:t>Discussion</w:t>
      </w:r>
    </w:p>
    <w:p w:rsidR="001F3612" w:rsidRDefault="006505ED">
      <w:pPr>
        <w:jc w:val="both"/>
      </w:pPr>
      <w:r>
        <w:t xml:space="preserve">The proposed Nutrition RAG Assistant represents an integrated system that combines large language </w:t>
      </w:r>
      <w:proofErr w:type="gramStart"/>
      <w:r>
        <w:t>model based</w:t>
      </w:r>
      <w:proofErr w:type="gramEnd"/>
      <w:r>
        <w:t xml:space="preserve"> meal parsing, fuzzy matching, a structured CSV driven nutritional computation pipeline, and a FAISS powered retrieval augmented generation module. This framework illustrates how advanced language models, when combined with structured nutritional datasets and domain specific retrieval mechanisms, can deliver meaningful and actionable dietary </w:t>
      </w:r>
      <w:proofErr w:type="spellStart"/>
      <w:proofErr w:type="gramStart"/>
      <w:r>
        <w:t>insights.One</w:t>
      </w:r>
      <w:proofErr w:type="spellEnd"/>
      <w:proofErr w:type="gramEnd"/>
      <w:r>
        <w:t xml:space="preserve"> important observation during the development process was that relying solely on large language models for meal parsing is insufficient when dealing with complex, informal, or culturally diverse food descriptions. Inputs such as “two chapatis with sabzi” or “one plate of mixed rice” were frequently extracted incompletely or associated with inaccurate portion measurements. To address this challenge, a hybrid parsing strategy was adopted. The </w:t>
      </w:r>
      <w:proofErr w:type="spellStart"/>
      <w:r>
        <w:t>Groq</w:t>
      </w:r>
      <w:proofErr w:type="spellEnd"/>
      <w:r>
        <w:t xml:space="preserve"> hosted </w:t>
      </w:r>
      <w:proofErr w:type="spellStart"/>
      <w:r>
        <w:t>LLaMA</w:t>
      </w:r>
      <w:proofErr w:type="spellEnd"/>
      <w:r>
        <w:t xml:space="preserve"> 3.1 model served as the primary parser due to its contextual understanding capabilities, while a deterministic </w:t>
      </w:r>
      <w:proofErr w:type="gramStart"/>
      <w:r>
        <w:t>rule based</w:t>
      </w:r>
      <w:proofErr w:type="gramEnd"/>
      <w:r>
        <w:t xml:space="preserve"> parser was used as a fallback. This fallback mechanism was triggered when the model produced malformed outputs or failed to extract information with adequate confidence, thereby improving overall parsing </w:t>
      </w:r>
      <w:proofErr w:type="spellStart"/>
      <w:proofErr w:type="gramStart"/>
      <w:r>
        <w:t>reliability.Fuzzy</w:t>
      </w:r>
      <w:proofErr w:type="spellEnd"/>
      <w:proofErr w:type="gramEnd"/>
      <w:r>
        <w:t xml:space="preserve"> matching implemented using </w:t>
      </w:r>
      <w:proofErr w:type="spellStart"/>
      <w:r>
        <w:t>RapidFuzz</w:t>
      </w:r>
      <w:proofErr w:type="spellEnd"/>
      <w:r>
        <w:t xml:space="preserve"> demonstrated strong performance in mapping user provided food items to entries in the USDA nutritional database. However, the accuracy of matching was closely tied to the specificity of the food descriptions. General terms such as “rice” or “bread” often resulted in multiple plausible matches, whereas more specific items such as “banana” consistently produced accurate results. Allowing users to confirm selections from the top ranked matches substantially reduced incorrect mappings and improved the reliability of nutritional </w:t>
      </w:r>
      <w:proofErr w:type="spellStart"/>
      <w:proofErr w:type="gramStart"/>
      <w:r>
        <w:t>calculations.The</w:t>
      </w:r>
      <w:proofErr w:type="spellEnd"/>
      <w:proofErr w:type="gramEnd"/>
      <w:r>
        <w:t xml:space="preserve"> evaluation of the retrieval augmented generation component highlighted a critical insight. Language models tend to generate inaccurate or unsupported health recommendations when responses are not grounded in authoritative reference material. By incorporating FAISS based document retrieval with curated dietary guideline documents, the system was able to provide evidence supported nutritional advice, including </w:t>
      </w:r>
      <w:r>
        <w:t xml:space="preserve">recommendations related to sodium intake and macronutrient distribution. The results further indicate that lightweight embedding models such as </w:t>
      </w:r>
      <w:proofErr w:type="spellStart"/>
      <w:r>
        <w:t>MiniLM</w:t>
      </w:r>
      <w:proofErr w:type="spellEnd"/>
      <w:r>
        <w:t xml:space="preserve"> L6 v2 are sufficient for retrieval tasks involving structured nutrition related </w:t>
      </w:r>
      <w:proofErr w:type="spellStart"/>
      <w:proofErr w:type="gramStart"/>
      <w:r>
        <w:t>documents.Overall</w:t>
      </w:r>
      <w:proofErr w:type="spellEnd"/>
      <w:proofErr w:type="gramEnd"/>
      <w:r>
        <w:t xml:space="preserve">, the hybrid system design combining language model based reasoning, rule based safeguards, fuzzy matching, and retrieval augmented generation proved essential for building a dependable nutrition assistance platform. Approaches relying exclusively on language models showed inconsistent performance, particularly for Indian meal descriptions, culturally specific foods, and variable portion measurements. The layered architecture improved robustness and interpretability while maintaining computational efficiency, making the system well suited for practical </w:t>
      </w:r>
      <w:proofErr w:type="gramStart"/>
      <w:r>
        <w:t>real world</w:t>
      </w:r>
      <w:proofErr w:type="gramEnd"/>
      <w:r>
        <w:t xml:space="preserve"> applications.</w:t>
      </w:r>
    </w:p>
    <w:p w:rsidR="001F3612" w:rsidRDefault="001F3612">
      <w:pPr>
        <w:pBdr>
          <w:top w:val="none" w:sz="0" w:space="0" w:color="000000"/>
          <w:left w:val="none" w:sz="0" w:space="0" w:color="000000"/>
          <w:bottom w:val="none" w:sz="0" w:space="0" w:color="000000"/>
          <w:right w:val="none" w:sz="0" w:space="0" w:color="000000"/>
          <w:between w:val="none" w:sz="0" w:space="0" w:color="000000"/>
        </w:pBdr>
        <w:spacing w:after="120"/>
        <w:jc w:val="both"/>
        <w:rPr>
          <w:color w:val="000000"/>
        </w:rPr>
      </w:pPr>
    </w:p>
    <w:p w:rsidR="001F3612" w:rsidRDefault="006505ED">
      <w:pPr>
        <w:pStyle w:val="Heading1"/>
        <w:numPr>
          <w:ilvl w:val="0"/>
          <w:numId w:val="1"/>
        </w:numPr>
      </w:pPr>
      <w:r>
        <w:t>Conclusion</w:t>
      </w:r>
    </w:p>
    <w:p w:rsidR="001F3612" w:rsidRDefault="006505ED">
      <w:pPr>
        <w:pBdr>
          <w:top w:val="none" w:sz="0" w:space="0" w:color="000000"/>
          <w:left w:val="none" w:sz="0" w:space="0" w:color="000000"/>
          <w:bottom w:val="none" w:sz="0" w:space="0" w:color="000000"/>
          <w:right w:val="none" w:sz="0" w:space="0" w:color="000000"/>
          <w:between w:val="none" w:sz="0" w:space="0" w:color="000000"/>
        </w:pBdr>
        <w:tabs>
          <w:tab w:val="left" w:pos="288"/>
        </w:tabs>
        <w:spacing w:after="120" w:line="228" w:lineRule="auto"/>
        <w:ind w:firstLine="288"/>
        <w:jc w:val="both"/>
        <w:rPr>
          <w:color w:val="000000"/>
        </w:rPr>
      </w:pPr>
      <w:r>
        <w:rPr>
          <w:color w:val="000000"/>
        </w:rPr>
        <w:t xml:space="preserve">This paper presented an AI Powered Nutrition Insight System that leverages Retrieval Augmented Generation and </w:t>
      </w:r>
      <w:proofErr w:type="spellStart"/>
      <w:r>
        <w:rPr>
          <w:color w:val="000000"/>
        </w:rPr>
        <w:t>Groq</w:t>
      </w:r>
      <w:proofErr w:type="spellEnd"/>
      <w:r>
        <w:rPr>
          <w:color w:val="000000"/>
        </w:rPr>
        <w:t xml:space="preserve"> accelerated Large Language Models to address key limitations of existing nutrition analysis solutions. By integrating multimodal image to text processing, hybrid meal parsing, fuzzy similarity matching, and guideline grounded response generation, the proposed system delivers accurate, context aware, and reliable nutritional insights from both structured and unstructured </w:t>
      </w:r>
      <w:proofErr w:type="spellStart"/>
      <w:proofErr w:type="gramStart"/>
      <w:r>
        <w:rPr>
          <w:color w:val="000000"/>
        </w:rPr>
        <w:t>inputs.Experimental</w:t>
      </w:r>
      <w:proofErr w:type="spellEnd"/>
      <w:proofErr w:type="gramEnd"/>
      <w:r>
        <w:rPr>
          <w:color w:val="000000"/>
        </w:rPr>
        <w:t xml:space="preserve"> evaluation demonstrated that the hybrid parsing strategy significantly improves extraction accuracy over standalone LLM and rule based approaches, particularly for culturally diverse meal descriptions. The integration of </w:t>
      </w:r>
      <w:proofErr w:type="spellStart"/>
      <w:r>
        <w:rPr>
          <w:color w:val="000000"/>
        </w:rPr>
        <w:t>RapidFuzz</w:t>
      </w:r>
      <w:proofErr w:type="spellEnd"/>
      <w:r>
        <w:rPr>
          <w:color w:val="000000"/>
        </w:rPr>
        <w:t xml:space="preserve"> based fuzzy matching, combined with user confirmation, ensured precise mapping between food items and nutritional databases. Nutrient estimation errors remained within acceptable bounds for lifestyle oriented dietary guidance, while the RAG framework substantially enhanced the correctness and trustworthiness of health related recommendations by grounding responses in authoritative dietary </w:t>
      </w:r>
      <w:proofErr w:type="spellStart"/>
      <w:proofErr w:type="gramStart"/>
      <w:r>
        <w:rPr>
          <w:color w:val="000000"/>
        </w:rPr>
        <w:t>guidelines.In</w:t>
      </w:r>
      <w:proofErr w:type="spellEnd"/>
      <w:proofErr w:type="gramEnd"/>
      <w:r>
        <w:rPr>
          <w:color w:val="000000"/>
        </w:rPr>
        <w:t xml:space="preserve"> addition to accuracy, the system achieved low end to end latency through </w:t>
      </w:r>
      <w:proofErr w:type="spellStart"/>
      <w:r>
        <w:rPr>
          <w:color w:val="000000"/>
        </w:rPr>
        <w:t>Groq</w:t>
      </w:r>
      <w:proofErr w:type="spellEnd"/>
      <w:r>
        <w:rPr>
          <w:color w:val="000000"/>
        </w:rPr>
        <w:t xml:space="preserve"> accelerated inference and optimized computation pipelines, making it suitable for real time and interactive applications. The modular architecture further supports scalability, interpretability, and ease of extension to new datasets, dietary standards, and deployment </w:t>
      </w:r>
      <w:proofErr w:type="spellStart"/>
      <w:proofErr w:type="gramStart"/>
      <w:r>
        <w:rPr>
          <w:color w:val="000000"/>
        </w:rPr>
        <w:t>environments.Overall</w:t>
      </w:r>
      <w:proofErr w:type="spellEnd"/>
      <w:proofErr w:type="gramEnd"/>
      <w:r>
        <w:rPr>
          <w:color w:val="000000"/>
        </w:rPr>
        <w:t>, the proposed Nutrition Insight System demonstrates that combining Large Language Models with structured data pipelines, fuzzy matching, and retrieval based grounding offers a practical and effective solution for intelligent nutrition analysis. This work highlights the potential of AI driven systems to support informed dietary decision making and lays a strong foundation for future advancements in personalized and accessible nutrition technology.</w:t>
      </w:r>
    </w:p>
    <w:p w:rsidR="00D539CF" w:rsidRDefault="00D539CF" w:rsidP="00D539CF">
      <w:pPr>
        <w:rPr>
          <w:highlight w:val="yellow"/>
          <w:lang w:val="en-US"/>
        </w:rPr>
      </w:pPr>
      <w:r>
        <w:rPr>
          <w:highlight w:val="yellow"/>
        </w:rPr>
        <w:t>Disclaimer (Artificial intelligence)</w:t>
      </w:r>
    </w:p>
    <w:p w:rsidR="00D539CF" w:rsidRDefault="00D539CF" w:rsidP="00D539CF">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D539CF" w:rsidRDefault="00D539CF">
      <w:pPr>
        <w:pBdr>
          <w:top w:val="none" w:sz="0" w:space="0" w:color="000000"/>
          <w:left w:val="none" w:sz="0" w:space="0" w:color="000000"/>
          <w:bottom w:val="none" w:sz="0" w:space="0" w:color="000000"/>
          <w:right w:val="none" w:sz="0" w:space="0" w:color="000000"/>
          <w:between w:val="none" w:sz="0" w:space="0" w:color="000000"/>
        </w:pBdr>
        <w:tabs>
          <w:tab w:val="left" w:pos="288"/>
        </w:tabs>
        <w:spacing w:after="120" w:line="228" w:lineRule="auto"/>
        <w:ind w:firstLine="288"/>
        <w:jc w:val="both"/>
        <w:rPr>
          <w:color w:val="000000"/>
        </w:rPr>
      </w:pPr>
    </w:p>
    <w:p w:rsidR="001F3612" w:rsidRDefault="006505ED">
      <w:pPr>
        <w:pStyle w:val="Heading5"/>
      </w:pPr>
      <w:r>
        <w:lastRenderedPageBreak/>
        <w:t>References</w:t>
      </w:r>
    </w:p>
    <w:p w:rsidR="001F3612" w:rsidRDefault="006505ED">
      <w:pPr>
        <w:spacing w:before="240" w:after="240"/>
        <w:jc w:val="both"/>
      </w:pPr>
      <w:r>
        <w:t xml:space="preserve">[1] M. Arslan, H. Ghanem, S. Munawar, and C. Cruz, “A survey on RAG with LLMs,” </w:t>
      </w:r>
      <w:r>
        <w:rPr>
          <w:i/>
          <w:iCs/>
        </w:rPr>
        <w:t>Procedia Computer Science</w:t>
      </w:r>
      <w:r>
        <w:t>, vol. 246, pp. 3781–3790, 2024.</w:t>
      </w:r>
    </w:p>
    <w:p w:rsidR="001F3612" w:rsidRDefault="006505ED">
      <w:pPr>
        <w:spacing w:before="240" w:after="240"/>
        <w:jc w:val="both"/>
      </w:pPr>
      <w:r>
        <w:t xml:space="preserve">[2] Z. Yang, E. </w:t>
      </w:r>
      <w:proofErr w:type="spellStart"/>
      <w:r>
        <w:t>Khatibi</w:t>
      </w:r>
      <w:proofErr w:type="spellEnd"/>
      <w:r>
        <w:t xml:space="preserve">, N. Nagesh, M. </w:t>
      </w:r>
      <w:proofErr w:type="spellStart"/>
      <w:r>
        <w:t>Abbasian</w:t>
      </w:r>
      <w:proofErr w:type="spellEnd"/>
      <w:r>
        <w:t xml:space="preserve">, I. </w:t>
      </w:r>
      <w:proofErr w:type="spellStart"/>
      <w:r>
        <w:t>Azimi</w:t>
      </w:r>
      <w:proofErr w:type="spellEnd"/>
      <w:r>
        <w:t xml:space="preserve">, R. Jain, and A. M. </w:t>
      </w:r>
      <w:proofErr w:type="spellStart"/>
      <w:r>
        <w:t>Rahmani</w:t>
      </w:r>
      <w:proofErr w:type="spellEnd"/>
      <w:r>
        <w:t>, “</w:t>
      </w:r>
      <w:proofErr w:type="spellStart"/>
      <w:r>
        <w:t>ChatDiet</w:t>
      </w:r>
      <w:proofErr w:type="spellEnd"/>
      <w:r>
        <w:t xml:space="preserve">: Empowering personalized nutrition-oriented food recommender chatbots through an LLM-augmented framework,” </w:t>
      </w:r>
      <w:r>
        <w:rPr>
          <w:i/>
          <w:iCs/>
        </w:rPr>
        <w:t>Smart Health</w:t>
      </w:r>
      <w:r>
        <w:t>, vol. 32, p. 100465, 2024.</w:t>
      </w:r>
    </w:p>
    <w:p w:rsidR="001F3612" w:rsidRDefault="006505ED">
      <w:pPr>
        <w:spacing w:before="240" w:after="240"/>
        <w:jc w:val="both"/>
      </w:pPr>
      <w:r>
        <w:t xml:space="preserve">[3] M. S. </w:t>
      </w:r>
      <w:proofErr w:type="spellStart"/>
      <w:r>
        <w:t>Pyae</w:t>
      </w:r>
      <w:proofErr w:type="spellEnd"/>
      <w:r>
        <w:t xml:space="preserve">, S. S. </w:t>
      </w:r>
      <w:proofErr w:type="spellStart"/>
      <w:r>
        <w:t>Phyo</w:t>
      </w:r>
      <w:proofErr w:type="spellEnd"/>
      <w:r>
        <w:t xml:space="preserve">, S. T. M. M. Kyaw, T. S. Lin, and N. </w:t>
      </w:r>
      <w:proofErr w:type="spellStart"/>
      <w:r>
        <w:t>Chondamrongkul</w:t>
      </w:r>
      <w:proofErr w:type="spellEnd"/>
      <w:r>
        <w:t xml:space="preserve">, “Developing a RAG agent for personalized fitness and dietary guidance,” in </w:t>
      </w:r>
      <w:r>
        <w:rPr>
          <w:i/>
          <w:iCs/>
        </w:rPr>
        <w:t>Proc. Joint Int. Conf. Digital Arts, Media and Technology with ECTI Northern Section Conf.</w:t>
      </w:r>
      <w:r>
        <w:t>, IEEE, 2025, pp. 600–605.</w:t>
      </w:r>
    </w:p>
    <w:p w:rsidR="001F3612" w:rsidRDefault="006505ED">
      <w:pPr>
        <w:spacing w:before="240" w:after="240"/>
        <w:jc w:val="both"/>
      </w:pPr>
      <w:r>
        <w:t xml:space="preserve">[4] P. Lewis </w:t>
      </w:r>
      <w:r>
        <w:rPr>
          <w:i/>
          <w:iCs/>
        </w:rPr>
        <w:t>et al.</w:t>
      </w:r>
      <w:r>
        <w:t xml:space="preserve">, “Retrieval-Augmented Generation for Knowledge-Intensive NLP Tasks,” </w:t>
      </w:r>
      <w:r>
        <w:rPr>
          <w:i/>
          <w:iCs/>
        </w:rPr>
        <w:t>Advances in Neural Information Processing Systems (</w:t>
      </w:r>
      <w:proofErr w:type="spellStart"/>
      <w:r>
        <w:rPr>
          <w:i/>
          <w:iCs/>
        </w:rPr>
        <w:t>NeurIPS</w:t>
      </w:r>
      <w:proofErr w:type="spellEnd"/>
      <w:r>
        <w:rPr>
          <w:i/>
          <w:iCs/>
        </w:rPr>
        <w:t>)</w:t>
      </w:r>
      <w:r>
        <w:t>, vol. 33, pp. 9459–9474, 2020.</w:t>
      </w:r>
    </w:p>
    <w:p w:rsidR="001F3612" w:rsidRDefault="006505ED">
      <w:pPr>
        <w:spacing w:before="240" w:after="240"/>
        <w:jc w:val="both"/>
      </w:pPr>
      <w:r>
        <w:t xml:space="preserve">[5] J. Devlin, M.-W. Chang, K. Lee, and K. Toutanova, “BERT: Pre-training of Deep Bidirectional Transformers for Language Understanding,” in </w:t>
      </w:r>
      <w:r>
        <w:rPr>
          <w:i/>
          <w:iCs/>
        </w:rPr>
        <w:t>Proc. NAACL-HLT</w:t>
      </w:r>
      <w:r>
        <w:t>, 2019, pp. 4171–4186.</w:t>
      </w:r>
    </w:p>
    <w:p w:rsidR="001F3612" w:rsidRDefault="006505ED">
      <w:pPr>
        <w:spacing w:before="240" w:after="240"/>
        <w:jc w:val="both"/>
      </w:pPr>
      <w:r>
        <w:t xml:space="preserve">[6] T. Brown </w:t>
      </w:r>
      <w:r>
        <w:rPr>
          <w:i/>
          <w:iCs/>
        </w:rPr>
        <w:t>et al.</w:t>
      </w:r>
      <w:r>
        <w:t xml:space="preserve">, “Language Models Are Few-Shot Learners,” </w:t>
      </w:r>
      <w:r>
        <w:rPr>
          <w:i/>
          <w:iCs/>
        </w:rPr>
        <w:t>Advances in Neural Information Processing Systems (</w:t>
      </w:r>
      <w:proofErr w:type="spellStart"/>
      <w:r>
        <w:rPr>
          <w:i/>
          <w:iCs/>
        </w:rPr>
        <w:t>NeurIPS</w:t>
      </w:r>
      <w:proofErr w:type="spellEnd"/>
      <w:r>
        <w:rPr>
          <w:i/>
          <w:iCs/>
        </w:rPr>
        <w:t>)</w:t>
      </w:r>
      <w:r>
        <w:t>, vol. 33, pp. 1877–1901, 2020.</w:t>
      </w:r>
    </w:p>
    <w:p w:rsidR="001F3612" w:rsidRDefault="006505ED">
      <w:pPr>
        <w:spacing w:before="240" w:after="240"/>
        <w:jc w:val="both"/>
      </w:pPr>
      <w:r>
        <w:t xml:space="preserve">[7] T. Gao, X. Fisch, and D. Chen, “Making Pre-trained Language Models Better Few-Shot Learners,” in </w:t>
      </w:r>
      <w:r>
        <w:rPr>
          <w:i/>
          <w:iCs/>
        </w:rPr>
        <w:t>Proc. 59th Annual Meeting of the Association for Computational Linguistics (ACL)</w:t>
      </w:r>
      <w:r>
        <w:t>, 2021, pp. 3816–3830.</w:t>
      </w:r>
    </w:p>
    <w:p w:rsidR="001F3612" w:rsidRDefault="006505ED">
      <w:pPr>
        <w:spacing w:before="240" w:after="240"/>
        <w:jc w:val="both"/>
      </w:pPr>
      <w:r>
        <w:t xml:space="preserve">[8] A. Radford </w:t>
      </w:r>
      <w:r>
        <w:rPr>
          <w:i/>
          <w:iCs/>
        </w:rPr>
        <w:t>et al.</w:t>
      </w:r>
      <w:r>
        <w:t xml:space="preserve">, “Learning Transferable Visual Models </w:t>
      </w:r>
      <w:proofErr w:type="gramStart"/>
      <w:r>
        <w:t>From</w:t>
      </w:r>
      <w:proofErr w:type="gramEnd"/>
      <w:r>
        <w:t xml:space="preserve"> Natural Language Supervision,” in </w:t>
      </w:r>
      <w:r>
        <w:rPr>
          <w:i/>
          <w:iCs/>
        </w:rPr>
        <w:t>Proc. 38th International Conference on Machine Learning (ICML)</w:t>
      </w:r>
      <w:r>
        <w:t>, 2021, pp. 8748–8763.</w:t>
      </w:r>
    </w:p>
    <w:p w:rsidR="001F3612" w:rsidRDefault="006505ED">
      <w:pPr>
        <w:spacing w:before="240" w:after="240"/>
        <w:jc w:val="both"/>
      </w:pPr>
      <w:r>
        <w:t xml:space="preserve">[9] Y. </w:t>
      </w:r>
      <w:proofErr w:type="spellStart"/>
      <w:r>
        <w:t>Alayrac</w:t>
      </w:r>
      <w:proofErr w:type="spellEnd"/>
      <w:r>
        <w:t xml:space="preserve"> </w:t>
      </w:r>
      <w:r>
        <w:rPr>
          <w:i/>
          <w:iCs/>
        </w:rPr>
        <w:t>et al.</w:t>
      </w:r>
      <w:r>
        <w:t xml:space="preserve">, “Flamingo: A Visual Language Model for Few-Shot Learning,” </w:t>
      </w:r>
      <w:r>
        <w:rPr>
          <w:i/>
          <w:iCs/>
        </w:rPr>
        <w:t>Advances in Neural Information Processing Systems (</w:t>
      </w:r>
      <w:proofErr w:type="spellStart"/>
      <w:r>
        <w:rPr>
          <w:i/>
          <w:iCs/>
        </w:rPr>
        <w:t>NeurIPS</w:t>
      </w:r>
      <w:proofErr w:type="spellEnd"/>
      <w:r>
        <w:rPr>
          <w:i/>
          <w:iCs/>
        </w:rPr>
        <w:t>)</w:t>
      </w:r>
      <w:r>
        <w:t>, vol. 35, pp. 23716–23736, 2022.</w:t>
      </w:r>
    </w:p>
    <w:p w:rsidR="001F3612" w:rsidRDefault="006505ED">
      <w:pPr>
        <w:spacing w:before="240" w:after="240"/>
        <w:jc w:val="both"/>
      </w:pPr>
      <w:r>
        <w:t xml:space="preserve">[10] Indian Council of Medical Research (ICMR), </w:t>
      </w:r>
      <w:r>
        <w:rPr>
          <w:i/>
          <w:iCs/>
        </w:rPr>
        <w:t>Dietary Guidelines for Indians</w:t>
      </w:r>
      <w:r>
        <w:t>. Hyderabad, India: National Institute of Nutrition, 2020.</w:t>
      </w:r>
    </w:p>
    <w:p w:rsidR="001F3612" w:rsidRDefault="006505ED">
      <w:pPr>
        <w:spacing w:before="240" w:after="240"/>
        <w:jc w:val="both"/>
      </w:pPr>
      <w:r>
        <w:t xml:space="preserve">[11] J. Johnson, M. </w:t>
      </w:r>
      <w:proofErr w:type="spellStart"/>
      <w:r>
        <w:t>Douze</w:t>
      </w:r>
      <w:proofErr w:type="spellEnd"/>
      <w:r>
        <w:t xml:space="preserve">, and H. </w:t>
      </w:r>
      <w:proofErr w:type="spellStart"/>
      <w:r>
        <w:t>Jégou</w:t>
      </w:r>
      <w:proofErr w:type="spellEnd"/>
      <w:r>
        <w:t xml:space="preserve">, “Billion-Scale Similarity Search with GPUs,” </w:t>
      </w:r>
      <w:r>
        <w:rPr>
          <w:i/>
          <w:iCs/>
        </w:rPr>
        <w:t>IEEE Transactions on Big Data</w:t>
      </w:r>
      <w:r>
        <w:t>, vol. 7, no. 3, pp. 535–547, 2019.</w:t>
      </w:r>
    </w:p>
    <w:p w:rsidR="001F3612" w:rsidRDefault="006505ED">
      <w:pPr>
        <w:spacing w:before="240" w:after="240"/>
        <w:jc w:val="both"/>
      </w:pPr>
      <w:r>
        <w:t xml:space="preserve">[12] S. Kwon </w:t>
      </w:r>
      <w:r>
        <w:rPr>
          <w:i/>
          <w:iCs/>
        </w:rPr>
        <w:t>et al.</w:t>
      </w:r>
      <w:r>
        <w:t xml:space="preserve">, “Efficient Serving of Large Language Models,” in </w:t>
      </w:r>
      <w:r>
        <w:rPr>
          <w:i/>
          <w:iCs/>
        </w:rPr>
        <w:t>Proc. 6th Conf. Machine Learning and Systems (</w:t>
      </w:r>
      <w:proofErr w:type="spellStart"/>
      <w:r>
        <w:rPr>
          <w:i/>
          <w:iCs/>
        </w:rPr>
        <w:t>MLSys</w:t>
      </w:r>
      <w:proofErr w:type="spellEnd"/>
      <w:r>
        <w:rPr>
          <w:i/>
          <w:iCs/>
        </w:rPr>
        <w:t>)</w:t>
      </w:r>
      <w:r>
        <w:t>, 2023.</w:t>
      </w:r>
    </w:p>
    <w:p w:rsidR="001F3612" w:rsidRDefault="006505ED">
      <w:pPr>
        <w:spacing w:before="240" w:after="240"/>
        <w:jc w:val="both"/>
      </w:pPr>
      <w:r>
        <w:t xml:space="preserve">[13] C. </w:t>
      </w:r>
      <w:proofErr w:type="spellStart"/>
      <w:r>
        <w:t>Fedus</w:t>
      </w:r>
      <w:proofErr w:type="spellEnd"/>
      <w:r>
        <w:t xml:space="preserve"> </w:t>
      </w:r>
      <w:r>
        <w:rPr>
          <w:i/>
          <w:iCs/>
        </w:rPr>
        <w:t>et al.</w:t>
      </w:r>
      <w:r>
        <w:t xml:space="preserve">, “Switch Transformers: Scaling to Trillion Parameter Models with Simple and Efficient Sparsity,” </w:t>
      </w:r>
      <w:r>
        <w:rPr>
          <w:i/>
          <w:iCs/>
        </w:rPr>
        <w:t>Journal of Machine Learning Research</w:t>
      </w:r>
      <w:r>
        <w:t>, vol. 23, no. 120, pp. 1–39, 2022.</w:t>
      </w:r>
    </w:p>
    <w:p w:rsidR="001F3612" w:rsidRDefault="006505ED">
      <w:pPr>
        <w:spacing w:before="240" w:after="240"/>
        <w:jc w:val="both"/>
      </w:pPr>
      <w:r>
        <w:t xml:space="preserve">[14] N. Reimers and I. </w:t>
      </w:r>
      <w:proofErr w:type="spellStart"/>
      <w:r>
        <w:t>Gurevych</w:t>
      </w:r>
      <w:proofErr w:type="spellEnd"/>
      <w:r>
        <w:t xml:space="preserve">, “Sentence-BERT: Sentence Embeddings Using Siamese BERT-Networks,” in </w:t>
      </w:r>
      <w:r>
        <w:rPr>
          <w:i/>
          <w:iCs/>
        </w:rPr>
        <w:t>Proc. Conf. Empirical Methods in Natural Language Processing (EMNLP)</w:t>
      </w:r>
      <w:r>
        <w:t>, 2019, pp. 3982–3992.</w:t>
      </w:r>
    </w:p>
    <w:p w:rsidR="001F3612" w:rsidRDefault="006505ED">
      <w:pPr>
        <w:spacing w:before="240" w:after="240"/>
        <w:jc w:val="both"/>
      </w:pPr>
      <w:r>
        <w:t xml:space="preserve">[15] A. </w:t>
      </w:r>
      <w:proofErr w:type="spellStart"/>
      <w:r>
        <w:t>Holzinger</w:t>
      </w:r>
      <w:proofErr w:type="spellEnd"/>
      <w:r>
        <w:t xml:space="preserve">, “Interactive Machine Learning for Health Informatics,” </w:t>
      </w:r>
      <w:r>
        <w:rPr>
          <w:i/>
          <w:iCs/>
        </w:rPr>
        <w:t>Artificial Intelligence in Medicine</w:t>
      </w:r>
      <w:r>
        <w:t>, vol. 90, pp. 1–3, 2018.</w:t>
      </w:r>
    </w:p>
    <w:p w:rsidR="001F3612" w:rsidRDefault="006505ED">
      <w:pPr>
        <w:spacing w:before="240" w:after="240"/>
        <w:jc w:val="both"/>
      </w:pPr>
      <w:r>
        <w:t xml:space="preserve">[16] H. Shuster, J. Packer, and A. Smith, “Retrieval Augmented Generation Reduces Hallucinations in Large Language Models,” in </w:t>
      </w:r>
      <w:r>
        <w:rPr>
          <w:i/>
          <w:iCs/>
        </w:rPr>
        <w:t>Proc. 61st Annual Meeting of the Association for Computational Linguistics (ACL)</w:t>
      </w:r>
      <w:r>
        <w:t>, 2023, pp. 1551–1564.</w:t>
      </w:r>
    </w:p>
    <w:p w:rsidR="001F3612" w:rsidRDefault="006505ED">
      <w:pPr>
        <w:spacing w:before="240" w:after="240"/>
        <w:jc w:val="both"/>
      </w:pPr>
      <w:r>
        <w:t xml:space="preserve">[17] Y. Gao </w:t>
      </w:r>
      <w:r>
        <w:rPr>
          <w:i/>
          <w:iCs/>
        </w:rPr>
        <w:t>et al.</w:t>
      </w:r>
      <w:r>
        <w:t xml:space="preserve">, “Retrieval-Augmented Generation for Large Language Models: A Survey,” </w:t>
      </w:r>
      <w:r>
        <w:rPr>
          <w:i/>
          <w:iCs/>
        </w:rPr>
        <w:t>IEEE Transactions on Knowledge and Data Engineering</w:t>
      </w:r>
      <w:r>
        <w:t>, 2024.</w:t>
      </w:r>
    </w:p>
    <w:p w:rsidR="001F3612" w:rsidRDefault="006505ED">
      <w:pPr>
        <w:spacing w:before="240" w:after="240"/>
        <w:jc w:val="both"/>
      </w:pPr>
      <w:r>
        <w:t>[18] World Health Organization, “Healthy Diet Fact Sheet,” World Health Organization, 2023.</w:t>
      </w:r>
    </w:p>
    <w:p w:rsidR="001F3612" w:rsidRDefault="006505ED">
      <w:pPr>
        <w:spacing w:before="240" w:after="240"/>
        <w:jc w:val="both"/>
      </w:pPr>
      <w:r>
        <w:t xml:space="preserve">[19] F. P. W. Lo </w:t>
      </w:r>
      <w:r>
        <w:rPr>
          <w:i/>
          <w:iCs/>
        </w:rPr>
        <w:t>et al.</w:t>
      </w:r>
      <w:r>
        <w:t xml:space="preserve">, “Dietary Assessment </w:t>
      </w:r>
      <w:proofErr w:type="gramStart"/>
      <w:r>
        <w:t>With</w:t>
      </w:r>
      <w:proofErr w:type="gramEnd"/>
      <w:r>
        <w:t xml:space="preserve"> Multimodal </w:t>
      </w:r>
      <w:proofErr w:type="spellStart"/>
      <w:r>
        <w:t>ChatGPT</w:t>
      </w:r>
      <w:proofErr w:type="spellEnd"/>
      <w:r>
        <w:t>: A Systematic Analysis,” 2024.</w:t>
      </w:r>
    </w:p>
    <w:p w:rsidR="001F3612" w:rsidRDefault="006505ED">
      <w:pPr>
        <w:spacing w:before="240" w:after="240"/>
        <w:jc w:val="both"/>
      </w:pPr>
      <w:r>
        <w:t xml:space="preserve">[20] P. </w:t>
      </w:r>
      <w:proofErr w:type="spellStart"/>
      <w:r>
        <w:t>Chotwanvirat</w:t>
      </w:r>
      <w:proofErr w:type="spellEnd"/>
      <w:r>
        <w:t xml:space="preserve"> </w:t>
      </w:r>
      <w:r>
        <w:rPr>
          <w:i/>
          <w:iCs/>
        </w:rPr>
        <w:t>et al.</w:t>
      </w:r>
      <w:r>
        <w:t>, “Automated Artificial Intelligence-Based Thai Food Dietary Assessment System: Development and Validation,” 2024.</w:t>
      </w:r>
    </w:p>
    <w:p w:rsidR="001F3612" w:rsidRDefault="006505ED">
      <w:pPr>
        <w:spacing w:before="240" w:after="240"/>
        <w:jc w:val="both"/>
      </w:pPr>
      <w:r>
        <w:t xml:space="preserve">[21] Z. Yan </w:t>
      </w:r>
      <w:r>
        <w:rPr>
          <w:i/>
          <w:iCs/>
        </w:rPr>
        <w:t>et al.</w:t>
      </w:r>
      <w:r>
        <w:t>, “DietAI24: A Framework for Comprehensive Nutrition Estimation Using Multimodal Large Language Models,” 2025.</w:t>
      </w:r>
    </w:p>
    <w:p w:rsidR="001F3612" w:rsidRDefault="006505ED">
      <w:pPr>
        <w:spacing w:before="240" w:after="240"/>
        <w:jc w:val="both"/>
      </w:pPr>
      <w:r>
        <w:t xml:space="preserve">[22] L. </w:t>
      </w:r>
      <w:proofErr w:type="spellStart"/>
      <w:r>
        <w:t>Amugongo</w:t>
      </w:r>
      <w:proofErr w:type="spellEnd"/>
      <w:r>
        <w:t xml:space="preserve"> </w:t>
      </w:r>
      <w:r>
        <w:rPr>
          <w:i/>
          <w:iCs/>
        </w:rPr>
        <w:t>et al.</w:t>
      </w:r>
      <w:r>
        <w:t>, “Retrieval-Augmented Generation for Large Language Models in Healthcare: A Systematic Review,” 2025.</w:t>
      </w:r>
    </w:p>
    <w:p w:rsidR="001F3612" w:rsidRDefault="001F3612">
      <w:pPr>
        <w:spacing w:before="240" w:after="240"/>
        <w:jc w:val="both"/>
      </w:pPr>
    </w:p>
    <w:p w:rsidR="001F3612" w:rsidRDefault="001F3612">
      <w:pPr>
        <w:spacing w:before="240" w:after="240"/>
        <w:jc w:val="both"/>
      </w:pPr>
    </w:p>
    <w:p w:rsidR="001F3612" w:rsidRDefault="001F3612">
      <w:pPr>
        <w:jc w:val="both"/>
      </w:pPr>
    </w:p>
    <w:p w:rsidR="001F3612" w:rsidRDefault="001F3612">
      <w:pPr>
        <w:ind w:firstLine="300"/>
        <w:jc w:val="both"/>
      </w:pPr>
    </w:p>
    <w:p w:rsidR="001F3612" w:rsidRDefault="001F3612">
      <w:pPr>
        <w:jc w:val="both"/>
      </w:pPr>
    </w:p>
    <w:p w:rsidR="001F3612" w:rsidRDefault="006505ED">
      <w:pPr>
        <w:ind w:firstLine="400"/>
        <w:jc w:val="both"/>
        <w:rPr>
          <w:color w:val="000000"/>
        </w:rPr>
      </w:pPr>
      <w:r>
        <w:rPr>
          <w:color w:val="000000"/>
        </w:rPr>
        <w:t xml:space="preserve">                                                                     </w:t>
      </w:r>
    </w:p>
    <w:sectPr w:rsidR="001F3612">
      <w:type w:val="continuous"/>
      <w:pgSz w:w="11906" w:h="16838"/>
      <w:pgMar w:top="1080" w:right="907" w:bottom="1440" w:left="907" w:header="720" w:footer="720" w:gutter="0"/>
      <w:cols w:num="2" w:space="720" w:equalWidth="0">
        <w:col w:w="4865" w:space="360"/>
        <w:col w:w="486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79E6" w:rsidRDefault="004C79E6">
      <w:r>
        <w:separator/>
      </w:r>
    </w:p>
  </w:endnote>
  <w:endnote w:type="continuationSeparator" w:id="0">
    <w:p w:rsidR="004C79E6" w:rsidRDefault="004C7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8472052-78A1-453C-B489-3599C85BA2FA}"/>
    <w:embedBold r:id="rId2" w:fontKey="{E62C60EB-37A1-42C8-B8D6-9F4246D0F405}"/>
    <w:embedItalic r:id="rId3" w:fontKey="{9B285423-E194-4198-B493-4C74464BB383}"/>
    <w:embedBoldItalic r:id="rId4" w:fontKey="{B96CCA16-A153-4E3B-8673-FE496F987CD1}"/>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5" w:fontKey="{5C5A74FC-1C3F-4F2B-9EF6-77CF109F11FD}"/>
  </w:font>
  <w:font w:name="Calibri">
    <w:panose1 w:val="020F0502020204030204"/>
    <w:charset w:val="00"/>
    <w:family w:val="swiss"/>
    <w:pitch w:val="variable"/>
    <w:sig w:usb0="E4002EFF" w:usb1="C200247B" w:usb2="00000009" w:usb3="00000000" w:csb0="000001FF" w:csb1="00000000"/>
    <w:embedRegular r:id="rId6" w:fontKey="{C4314326-3C52-400C-A6D6-5068B4A2BC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3612" w:rsidRDefault="001F3612">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jc w:val="lef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79E6" w:rsidRDefault="004C79E6">
      <w:r>
        <w:separator/>
      </w:r>
    </w:p>
  </w:footnote>
  <w:footnote w:type="continuationSeparator" w:id="0">
    <w:p w:rsidR="004C79E6" w:rsidRDefault="004C79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208E"/>
    <w:multiLevelType w:val="multilevel"/>
    <w:tmpl w:val="0053208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bCs w:val="0"/>
        <w:i/>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bCs w:val="0"/>
        <w:i/>
        <w:iCs/>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bCs w:val="0"/>
        <w:i/>
        <w:iCs/>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3tzQwNzUwNDAzMzRR0lEKTi0uzszPAykwqgUAtm97/CwAAAA="/>
  </w:docVars>
  <w:rsids>
    <w:rsidRoot w:val="001F3612"/>
    <w:rsid w:val="001F3612"/>
    <w:rsid w:val="002D1C34"/>
    <w:rsid w:val="004C79E6"/>
    <w:rsid w:val="004F66E8"/>
    <w:rsid w:val="006505ED"/>
    <w:rsid w:val="00B07214"/>
    <w:rsid w:val="00C21190"/>
    <w:rsid w:val="00D539CF"/>
    <w:rsid w:val="41457537"/>
    <w:rsid w:val="6BD65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3E39EBA"/>
  <w15:docId w15:val="{5BE04BC4-711E-43CB-8641-B77F4BF53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jc w:val="center"/>
    </w:pPr>
    <w:rPr>
      <w:lang w:val="en"/>
    </w:rPr>
  </w:style>
  <w:style w:type="paragraph" w:styleId="Heading1">
    <w:name w:val="heading 1"/>
    <w:basedOn w:val="Normal"/>
    <w:next w:val="Normal"/>
    <w:qFormat/>
    <w:pPr>
      <w:keepNext/>
      <w:keepLines/>
      <w:tabs>
        <w:tab w:val="left" w:pos="216"/>
      </w:tabs>
      <w:spacing w:before="160" w:after="80"/>
      <w:outlineLvl w:val="0"/>
    </w:pPr>
    <w:rPr>
      <w:smallCaps/>
    </w:rPr>
  </w:style>
  <w:style w:type="paragraph" w:styleId="Heading2">
    <w:name w:val="heading 2"/>
    <w:basedOn w:val="Normal"/>
    <w:next w:val="Normal"/>
    <w:qFormat/>
    <w:pPr>
      <w:keepNext/>
      <w:keepLines/>
      <w:tabs>
        <w:tab w:val="left" w:pos="288"/>
      </w:tabs>
      <w:spacing w:before="120" w:after="60"/>
      <w:ind w:left="288" w:hanging="288"/>
      <w:jc w:val="left"/>
      <w:outlineLvl w:val="1"/>
    </w:pPr>
    <w:rPr>
      <w:i/>
      <w:iCs/>
    </w:rPr>
  </w:style>
  <w:style w:type="paragraph" w:styleId="Heading3">
    <w:name w:val="heading 3"/>
    <w:basedOn w:val="Normal"/>
    <w:next w:val="Normal"/>
    <w:qFormat/>
    <w:pPr>
      <w:ind w:firstLine="288"/>
      <w:jc w:val="both"/>
      <w:outlineLvl w:val="2"/>
    </w:pPr>
    <w:rPr>
      <w:i/>
      <w:iCs/>
    </w:rPr>
  </w:style>
  <w:style w:type="paragraph" w:styleId="Heading4">
    <w:name w:val="heading 4"/>
    <w:basedOn w:val="Normal"/>
    <w:next w:val="Normal"/>
    <w:qFormat/>
    <w:pPr>
      <w:tabs>
        <w:tab w:val="left" w:pos="720"/>
      </w:tabs>
      <w:spacing w:before="40" w:after="40"/>
      <w:ind w:firstLine="504"/>
      <w:jc w:val="both"/>
      <w:outlineLvl w:val="3"/>
    </w:pPr>
    <w:rPr>
      <w:i/>
      <w:iCs/>
    </w:rPr>
  </w:style>
  <w:style w:type="paragraph" w:styleId="Heading5">
    <w:name w:val="heading 5"/>
    <w:basedOn w:val="Normal"/>
    <w:next w:val="Normal"/>
    <w:qFormat/>
    <w:pPr>
      <w:tabs>
        <w:tab w:val="left" w:pos="360"/>
      </w:tabs>
      <w:spacing w:before="160" w:after="80"/>
      <w:outlineLvl w:val="4"/>
    </w:pPr>
    <w:rPr>
      <w:smallCaps/>
    </w:rPr>
  </w:style>
  <w:style w:type="paragraph" w:styleId="Heading6">
    <w:name w:val="heading 6"/>
    <w:basedOn w:val="Normal"/>
    <w:next w:val="Normal"/>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qFormat/>
    <w:rPr>
      <w:color w:val="0000FF"/>
      <w:u w:val="single"/>
    </w:rPr>
  </w:style>
  <w:style w:type="paragraph" w:styleId="Subtitle">
    <w:name w:val="Subtitle"/>
    <w:basedOn w:val="Normal"/>
    <w:next w:val="Normal"/>
    <w:qFormat/>
    <w:pPr>
      <w:keepNext/>
      <w:keepLines/>
      <w:spacing w:before="360" w:after="80"/>
    </w:pPr>
    <w:rPr>
      <w:rFonts w:ascii="Georgia" w:eastAsia="Georgia" w:hAnsi="Georgia" w:cs="Georgia"/>
      <w:i/>
      <w:iCs/>
      <w:color w:val="666666"/>
      <w:sz w:val="48"/>
      <w:szCs w:val="48"/>
    </w:rPr>
  </w:style>
  <w:style w:type="paragraph" w:styleId="Title">
    <w:name w:val="Title"/>
    <w:basedOn w:val="Normal"/>
    <w:next w:val="Normal"/>
    <w:qFormat/>
    <w:pPr>
      <w:spacing w:before="60"/>
      <w:ind w:left="3636" w:hanging="3341"/>
    </w:pPr>
    <w:rPr>
      <w:sz w:val="48"/>
      <w:szCs w:val="48"/>
    </w:rPr>
  </w:style>
  <w:style w:type="table" w:customStyle="1" w:styleId="TableNormal0">
    <w:name w:val="TableNormal"/>
    <w:qFormat/>
    <w:tblPr>
      <w:tblCellMar>
        <w:top w:w="100" w:type="dxa"/>
        <w:left w:w="100" w:type="dxa"/>
        <w:bottom w:w="100" w:type="dxa"/>
        <w:right w:w="100" w:type="dxa"/>
      </w:tblCellMar>
    </w:tblPr>
  </w:style>
  <w:style w:type="table" w:customStyle="1" w:styleId="Style12">
    <w:name w:val="_Style 12"/>
    <w:basedOn w:val="TableNormal0"/>
    <w:qFormat/>
    <w:tblPr>
      <w:tblCellMar>
        <w:top w:w="0" w:type="dxa"/>
        <w:left w:w="108" w:type="dxa"/>
        <w:bottom w:w="0" w:type="dxa"/>
        <w:right w:w="108" w:type="dxa"/>
      </w:tblCellMar>
    </w:tblPr>
  </w:style>
  <w:style w:type="table" w:customStyle="1" w:styleId="Style13">
    <w:name w:val="_Style 13"/>
    <w:basedOn w:val="TableNormal0"/>
    <w:qFormat/>
    <w:tblPr>
      <w:tblCellMar>
        <w:top w:w="0" w:type="dxa"/>
        <w:left w:w="108" w:type="dxa"/>
        <w:bottom w:w="0" w:type="dxa"/>
        <w:right w:w="108" w:type="dxa"/>
      </w:tblCellMar>
    </w:tblPr>
  </w:style>
  <w:style w:type="table" w:customStyle="1" w:styleId="Style14">
    <w:name w:val="_Style 14"/>
    <w:basedOn w:val="TableNormal0"/>
    <w:qFormat/>
    <w:tblPr>
      <w:tblCellMar>
        <w:top w:w="0" w:type="dxa"/>
        <w:left w:w="108" w:type="dxa"/>
        <w:bottom w:w="0" w:type="dxa"/>
        <w:right w:w="108" w:type="dxa"/>
      </w:tblCellMar>
    </w:tblPr>
  </w:style>
  <w:style w:type="table" w:customStyle="1" w:styleId="Style15">
    <w:name w:val="_Style 15"/>
    <w:basedOn w:val="TableNormal0"/>
    <w:qFormat/>
    <w:tblPr>
      <w:tblCellMar>
        <w:top w:w="0" w:type="dxa"/>
        <w:left w:w="108" w:type="dxa"/>
        <w:bottom w:w="0" w:type="dxa"/>
        <w:right w:w="108" w:type="dxa"/>
      </w:tblCellMar>
    </w:tblPr>
  </w:style>
  <w:style w:type="table" w:customStyle="1" w:styleId="Style17">
    <w:name w:val="_Style 17"/>
    <w:basedOn w:val="TableNormal0"/>
    <w:qFormat/>
    <w:tblPr>
      <w:tblCellMar>
        <w:top w:w="0" w:type="dxa"/>
        <w:left w:w="108" w:type="dxa"/>
        <w:bottom w:w="0" w:type="dxa"/>
        <w:right w:w="108" w:type="dxa"/>
      </w:tblCellMar>
    </w:tblPr>
  </w:style>
  <w:style w:type="table" w:customStyle="1" w:styleId="Style18">
    <w:name w:val="_Style 18"/>
    <w:basedOn w:val="TableNormal0"/>
    <w:qFormat/>
    <w:tblPr>
      <w:tblCellMar>
        <w:top w:w="0" w:type="dxa"/>
        <w:left w:w="108" w:type="dxa"/>
        <w:bottom w:w="0" w:type="dxa"/>
        <w:right w:w="108" w:type="dxa"/>
      </w:tblCellMar>
    </w:tblPr>
  </w:style>
  <w:style w:type="table" w:customStyle="1" w:styleId="Style19">
    <w:name w:val="_Style 19"/>
    <w:basedOn w:val="TableNormal0"/>
    <w:qFormat/>
    <w:tblPr>
      <w:tblCellMar>
        <w:top w:w="0" w:type="dxa"/>
        <w:left w:w="108" w:type="dxa"/>
        <w:bottom w:w="0" w:type="dxa"/>
        <w:right w:w="108" w:type="dxa"/>
      </w:tblCellMar>
    </w:tblPr>
  </w:style>
  <w:style w:type="table" w:customStyle="1" w:styleId="Style20">
    <w:name w:val="_Style 20"/>
    <w:basedOn w:val="TableNormal0"/>
    <w:qFormat/>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243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QDfIHgktiQjOiWeKHSTDneDoXg==">CgMxLjAyDmgub2Ywdzh6a2RiaWMzOAByITF5OVhhUmpIUHFtUWVCaFByc05PeWt6YXBqOXZxbm9Jag==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4321</Words>
  <Characters>24632</Characters>
  <Application>Microsoft Office Word</Application>
  <DocSecurity>0</DocSecurity>
  <Lines>205</Lines>
  <Paragraphs>57</Paragraphs>
  <ScaleCrop>false</ScaleCrop>
  <Company/>
  <LinksUpToDate>false</LinksUpToDate>
  <CharactersWithSpaces>28896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KIIT</dc:creator>
  <cp:lastModifiedBy>SDI 1020</cp:lastModifiedBy>
  <cp:revision>11</cp:revision>
  <dcterms:created xsi:type="dcterms:W3CDTF">2026-03-10T11:38:00Z</dcterms:created>
  <dcterms:modified xsi:type="dcterms:W3CDTF">2026-03-13T11:13:00Z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CBA193E986EA4A909AFD82C1EFA4D62B_12</vt:lpwstr>
  </property>
  <property fmtid="{D5CDD505-2E9C-101B-9397-08002B2CF9AE}" pid="4" name="16">
    <vt:lpwstr>16</vt:lpwstr>
  </property>
</Properties>
</file>