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DD981" w14:textId="1E27CA9B" w:rsidR="00780E71" w:rsidRDefault="00722F52">
      <w:pPr>
        <w:pStyle w:val="Title"/>
      </w:pPr>
      <w:r>
        <w:t>AI-Powered</w:t>
      </w:r>
      <w:r>
        <w:rPr>
          <w:spacing w:val="-8"/>
        </w:rPr>
        <w:t xml:space="preserve"> </w:t>
      </w:r>
      <w:r>
        <w:t>Nutrition</w:t>
      </w:r>
      <w:r>
        <w:rPr>
          <w:spacing w:val="-8"/>
        </w:rPr>
        <w:t xml:space="preserve"> </w:t>
      </w:r>
      <w:r>
        <w:t>Insight</w:t>
      </w:r>
      <w:r>
        <w:rPr>
          <w:spacing w:val="-8"/>
        </w:rPr>
        <w:t xml:space="preserve"> </w:t>
      </w:r>
      <w:r>
        <w:t>System</w:t>
      </w:r>
      <w:r>
        <w:rPr>
          <w:spacing w:val="-8"/>
        </w:rPr>
        <w:t xml:space="preserve"> </w:t>
      </w:r>
      <w:r>
        <w:t>Using</w:t>
      </w:r>
      <w:r>
        <w:rPr>
          <w:spacing w:val="-8"/>
        </w:rPr>
        <w:t xml:space="preserve"> </w:t>
      </w:r>
      <w:r>
        <w:t xml:space="preserve">RAG and </w:t>
      </w:r>
      <w:proofErr w:type="spellStart"/>
      <w:r>
        <w:t>Groq</w:t>
      </w:r>
      <w:proofErr w:type="spellEnd"/>
      <w:r>
        <w:t xml:space="preserve"> LLM</w:t>
      </w:r>
    </w:p>
    <w:p w14:paraId="3D3DE80E" w14:textId="77777777" w:rsidR="00780E71" w:rsidRDefault="00780E71">
      <w:pPr>
        <w:pStyle w:val="Title"/>
        <w:ind w:left="0" w:firstLine="0"/>
        <w:jc w:val="both"/>
      </w:pPr>
    </w:p>
    <w:p w14:paraId="705F042C" w14:textId="77777777" w:rsidR="005A0250" w:rsidRDefault="005A0250"/>
    <w:p w14:paraId="080EB78D" w14:textId="604C7630" w:rsidR="00885FC2" w:rsidRDefault="00885FC2">
      <w:pPr>
        <w:sectPr w:rsidR="00885FC2">
          <w:headerReference w:type="even" r:id="rId8"/>
          <w:headerReference w:type="default" r:id="rId9"/>
          <w:footerReference w:type="even" r:id="rId10"/>
          <w:footerReference w:type="default" r:id="rId11"/>
          <w:headerReference w:type="first" r:id="rId12"/>
          <w:footerReference w:type="first" r:id="rId13"/>
          <w:pgSz w:w="11906" w:h="16838"/>
          <w:pgMar w:top="540" w:right="893" w:bottom="1440" w:left="893" w:header="720" w:footer="720" w:gutter="0"/>
          <w:cols w:space="720"/>
          <w:titlePg/>
          <w:docGrid w:linePitch="360"/>
        </w:sectPr>
      </w:pPr>
      <w:bookmarkStart w:id="0" w:name="_GoBack"/>
      <w:bookmarkEnd w:id="0"/>
    </w:p>
    <w:p w14:paraId="37A4534C" w14:textId="77777777" w:rsidR="00780E71" w:rsidRDefault="00780E71">
      <w:pPr>
        <w:jc w:val="distribute"/>
        <w:sectPr w:rsidR="00780E71">
          <w:type w:val="continuous"/>
          <w:pgSz w:w="11906" w:h="16838"/>
          <w:pgMar w:top="450" w:right="893" w:bottom="1440" w:left="893" w:header="720" w:footer="720" w:gutter="0"/>
          <w:cols w:num="3" w:space="720"/>
          <w:docGrid w:linePitch="360"/>
        </w:sectPr>
      </w:pPr>
    </w:p>
    <w:p w14:paraId="361C517E" w14:textId="77777777" w:rsidR="00780E71" w:rsidRDefault="00722F52">
      <w:pPr>
        <w:pStyle w:val="Abstract"/>
        <w:rPr>
          <w:i/>
          <w:iCs/>
        </w:rPr>
      </w:pPr>
      <w:r>
        <w:rPr>
          <w:i/>
          <w:iCs/>
        </w:rPr>
        <w:t>Abstract</w:t>
      </w:r>
      <w:r>
        <w:t>— Maintaining a healthy lifestyle requires proper nutrition awareness, but people frequently find it difficult to decipher food labels, comprehend ingredient compositions, and meaningfully assess nutritional value</w:t>
      </w:r>
      <w:r>
        <w:t>.</w:t>
      </w:r>
      <w:r>
        <w:rPr>
          <w:spacing w:val="40"/>
        </w:rPr>
        <w:t xml:space="preserve"> </w:t>
      </w:r>
      <w:r>
        <w:t>The accuracy of traditional</w:t>
      </w:r>
      <w:r>
        <w:rPr>
          <w:spacing w:val="-4"/>
        </w:rPr>
        <w:t xml:space="preserve"> </w:t>
      </w:r>
      <w:r>
        <w:t>nutrition</w:t>
      </w:r>
      <w:r>
        <w:rPr>
          <w:spacing w:val="-4"/>
        </w:rPr>
        <w:t xml:space="preserve"> </w:t>
      </w:r>
      <w:r>
        <w:t>apps</w:t>
      </w:r>
      <w:r>
        <w:rPr>
          <w:spacing w:val="-4"/>
        </w:rPr>
        <w:t xml:space="preserve"> </w:t>
      </w:r>
      <w:r>
        <w:t>is</w:t>
      </w:r>
      <w:r>
        <w:rPr>
          <w:spacing w:val="-4"/>
        </w:rPr>
        <w:t xml:space="preserve"> </w:t>
      </w:r>
      <w:r>
        <w:t>limited</w:t>
      </w:r>
      <w:r>
        <w:rPr>
          <w:spacing w:val="-4"/>
        </w:rPr>
        <w:t xml:space="preserve"> </w:t>
      </w:r>
      <w:r>
        <w:t>when</w:t>
      </w:r>
      <w:r>
        <w:rPr>
          <w:spacing w:val="-4"/>
        </w:rPr>
        <w:t xml:space="preserve"> </w:t>
      </w:r>
      <w:r>
        <w:t>handling a variety of food items, handwritten labels, or blurry images because they rely on static databases and keyword-based matching.</w:t>
      </w:r>
      <w:r>
        <w:rPr>
          <w:spacing w:val="40"/>
        </w:rPr>
        <w:t xml:space="preserve"> </w:t>
      </w:r>
      <w:r>
        <w:t>In order to</w:t>
      </w:r>
      <w:r>
        <w:rPr>
          <w:spacing w:val="-3"/>
        </w:rPr>
        <w:t xml:space="preserve"> </w:t>
      </w:r>
      <w:r>
        <w:t>overcome</w:t>
      </w:r>
      <w:r>
        <w:rPr>
          <w:spacing w:val="-3"/>
        </w:rPr>
        <w:t xml:space="preserve"> </w:t>
      </w:r>
      <w:r>
        <w:t>these</w:t>
      </w:r>
      <w:r>
        <w:rPr>
          <w:spacing w:val="-3"/>
        </w:rPr>
        <w:t xml:space="preserve"> </w:t>
      </w:r>
      <w:r>
        <w:t>obstacles,</w:t>
      </w:r>
      <w:r>
        <w:rPr>
          <w:spacing w:val="-3"/>
        </w:rPr>
        <w:t xml:space="preserve"> </w:t>
      </w:r>
      <w:r>
        <w:t>we</w:t>
      </w:r>
      <w:r>
        <w:rPr>
          <w:spacing w:val="-3"/>
        </w:rPr>
        <w:t xml:space="preserve"> </w:t>
      </w:r>
      <w:r>
        <w:t>suggest</w:t>
      </w:r>
      <w:r>
        <w:rPr>
          <w:spacing w:val="-3"/>
        </w:rPr>
        <w:t xml:space="preserve"> </w:t>
      </w:r>
      <w:r>
        <w:t xml:space="preserve">an </w:t>
      </w:r>
      <w:r>
        <w:t>AI-Powered</w:t>
      </w:r>
      <w:r>
        <w:rPr>
          <w:spacing w:val="40"/>
        </w:rPr>
        <w:t xml:space="preserve"> </w:t>
      </w:r>
      <w:r>
        <w:t>Nutrition</w:t>
      </w:r>
      <w:r>
        <w:rPr>
          <w:spacing w:val="40"/>
        </w:rPr>
        <w:t xml:space="preserve"> </w:t>
      </w:r>
      <w:r>
        <w:t>Insight</w:t>
      </w:r>
      <w:r>
        <w:rPr>
          <w:spacing w:val="40"/>
        </w:rPr>
        <w:t xml:space="preserve"> </w:t>
      </w:r>
      <w:r>
        <w:t>System</w:t>
      </w:r>
      <w:r>
        <w:rPr>
          <w:spacing w:val="40"/>
        </w:rPr>
        <w:t xml:space="preserve"> </w:t>
      </w:r>
      <w:r>
        <w:t>that</w:t>
      </w:r>
      <w:r>
        <w:rPr>
          <w:spacing w:val="40"/>
        </w:rPr>
        <w:t xml:space="preserve"> </w:t>
      </w:r>
      <w:r>
        <w:t>combines</w:t>
      </w:r>
      <w:r>
        <w:rPr>
          <w:spacing w:val="40"/>
        </w:rPr>
        <w:t xml:space="preserve"> </w:t>
      </w:r>
      <w:r>
        <w:t xml:space="preserve">an image-to-text pipeline, </w:t>
      </w:r>
      <w:proofErr w:type="spellStart"/>
      <w:r>
        <w:t>Groq</w:t>
      </w:r>
      <w:proofErr w:type="spellEnd"/>
      <w:r>
        <w:t>-accelerated LLM inference, and Retrieval-Augmented Generation (RAG).</w:t>
      </w:r>
      <w:r>
        <w:rPr>
          <w:spacing w:val="40"/>
        </w:rPr>
        <w:t xml:space="preserve"> </w:t>
      </w:r>
      <w:r>
        <w:t>The system uses multimodal models to extract nutritional text from images, embeds that text into vector r</w:t>
      </w:r>
      <w:r>
        <w:t xml:space="preserve">epresentations, and uses a RAG module in conjunction with </w:t>
      </w:r>
      <w:proofErr w:type="spellStart"/>
      <w:r>
        <w:t>RapidFuzz</w:t>
      </w:r>
      <w:proofErr w:type="spellEnd"/>
      <w:r>
        <w:t xml:space="preserve">-based similarity matching to retrieve precise nutrition </w:t>
      </w:r>
      <w:proofErr w:type="spellStart"/>
      <w:proofErr w:type="gramStart"/>
      <w:r>
        <w:t>insights.Compared</w:t>
      </w:r>
      <w:proofErr w:type="spellEnd"/>
      <w:proofErr w:type="gramEnd"/>
      <w:r>
        <w:t xml:space="preserve"> to baseline search techniques, experimental evaluation shows big improvements in speed, accuracy, and contextual r</w:t>
      </w:r>
      <w:r>
        <w:t>easoning. The proposed system is a quick, scalable, and smart way to learn about food, look at nutrition, and help people make</w:t>
      </w:r>
      <w:r>
        <w:rPr>
          <w:spacing w:val="40"/>
        </w:rPr>
        <w:t xml:space="preserve"> </w:t>
      </w:r>
      <w:r>
        <w:t>smart choices about what to eat.</w:t>
      </w:r>
    </w:p>
    <w:p w14:paraId="776F222A" w14:textId="77777777" w:rsidR="00780E71" w:rsidRDefault="00722F52">
      <w:pPr>
        <w:pStyle w:val="Keywords"/>
      </w:pPr>
      <w:r>
        <w:t xml:space="preserve">Keywords— </w:t>
      </w:r>
      <w:r>
        <w:rPr>
          <w:spacing w:val="-2"/>
        </w:rPr>
        <w:t>Nutrition</w:t>
      </w:r>
      <w:r>
        <w:tab/>
      </w:r>
      <w:r>
        <w:rPr>
          <w:spacing w:val="-2"/>
        </w:rPr>
        <w:t>Analysis,</w:t>
      </w:r>
      <w:r>
        <w:tab/>
      </w:r>
      <w:r>
        <w:rPr>
          <w:spacing w:val="-4"/>
        </w:rPr>
        <w:t>RAG,</w:t>
      </w:r>
      <w:r>
        <w:tab/>
      </w:r>
      <w:proofErr w:type="spellStart"/>
      <w:r>
        <w:rPr>
          <w:spacing w:val="-4"/>
        </w:rPr>
        <w:t>Groq</w:t>
      </w:r>
      <w:proofErr w:type="spellEnd"/>
      <w:r>
        <w:tab/>
      </w:r>
      <w:r>
        <w:rPr>
          <w:spacing w:val="-4"/>
        </w:rPr>
        <w:t xml:space="preserve">LLM, </w:t>
      </w:r>
      <w:r>
        <w:t xml:space="preserve">Multimodal AI, </w:t>
      </w:r>
      <w:proofErr w:type="spellStart"/>
      <w:r>
        <w:t>RapidFuzz</w:t>
      </w:r>
      <w:proofErr w:type="spellEnd"/>
      <w:r>
        <w:t xml:space="preserve"> Matching, Dietary Insights</w:t>
      </w:r>
    </w:p>
    <w:p w14:paraId="7D7EABD3" w14:textId="77777777" w:rsidR="00780E71" w:rsidRDefault="00722F52">
      <w:pPr>
        <w:pStyle w:val="Heading1"/>
        <w:spacing w:after="107"/>
      </w:pPr>
      <w:r>
        <w:t>Introduction</w:t>
      </w:r>
    </w:p>
    <w:p w14:paraId="7F92C68B" w14:textId="77777777" w:rsidR="00780E71" w:rsidRDefault="00722F52">
      <w:pPr>
        <w:pStyle w:val="NormalWeb"/>
        <w:spacing w:beforeAutospacing="0"/>
        <w:jc w:val="both"/>
        <w:rPr>
          <w:sz w:val="20"/>
          <w:szCs w:val="20"/>
        </w:rPr>
      </w:pPr>
      <w:r>
        <w:rPr>
          <w:sz w:val="20"/>
          <w:szCs w:val="20"/>
        </w:rPr>
        <w:t>Nutrition plays a vital role in human health, affecting physical abilities, cognitive performance, disease prevention, and overall quality of life. As awareness of healthy eating has increased, interest in tracking dietary habits has also gro</w:t>
      </w:r>
      <w:r>
        <w:rPr>
          <w:sz w:val="20"/>
          <w:szCs w:val="20"/>
        </w:rPr>
        <w:t>wn; however, many individuals still struggle to comprehend nutritional information. Food labels frequently contain complex tables, small print, technical terminology, and inconsistent formats, making manual interpretation difficult and error-prone. Most ex</w:t>
      </w:r>
      <w:r>
        <w:rPr>
          <w:sz w:val="20"/>
          <w:szCs w:val="20"/>
        </w:rPr>
        <w:t>isting nutrition analysis tools rely on static food databases, barcode scanning, or manual data entry. While these approaches are effective for standardized packaged foods, they perform poorly in real-world scenarios involving unclear or handwritten labels</w:t>
      </w:r>
      <w:r>
        <w:rPr>
          <w:sz w:val="20"/>
          <w:szCs w:val="20"/>
        </w:rPr>
        <w:t>, homemade dishes, culturally specific food items, or free-text meal descriptions, thereby limiting personalization and accuracy when users seek actionable dietary guidance [2], [3].</w:t>
      </w:r>
    </w:p>
    <w:p w14:paraId="3CD7BD4E" w14:textId="77777777" w:rsidR="00780E71" w:rsidRDefault="00722F52">
      <w:pPr>
        <w:pStyle w:val="NormalWeb"/>
        <w:spacing w:afterAutospacing="0"/>
        <w:jc w:val="both"/>
        <w:rPr>
          <w:sz w:val="20"/>
          <w:szCs w:val="20"/>
        </w:rPr>
      </w:pPr>
      <w:r>
        <w:rPr>
          <w:sz w:val="20"/>
          <w:szCs w:val="20"/>
        </w:rPr>
        <w:t xml:space="preserve">Recent advances in large language models (LLMs) have demonstrated strong </w:t>
      </w:r>
      <w:r>
        <w:rPr>
          <w:sz w:val="20"/>
          <w:szCs w:val="20"/>
        </w:rPr>
        <w:t>capabilities in understanding natural language, reasoning over unstructured data, and generating context-aware responses [5], [6]. At the same time, Retrieval-Augmented Generation (RAG) has emerged as a robust framework that grounds model outputs in extern</w:t>
      </w:r>
      <w:r>
        <w:rPr>
          <w:sz w:val="20"/>
          <w:szCs w:val="20"/>
        </w:rPr>
        <w:t xml:space="preserve">al knowledge sources, significantly improving factual accuracy and reducing hallucinations in knowledge-intensive applications [1], [4], [16]. Together, these developments provide a strong foundation for intelligent nutrition analysis systems that combine </w:t>
      </w:r>
      <w:r>
        <w:rPr>
          <w:sz w:val="20"/>
          <w:szCs w:val="20"/>
        </w:rPr>
        <w:t>language understanding with evidence-based reasoning.</w:t>
      </w:r>
    </w:p>
    <w:p w14:paraId="3B862816" w14:textId="77777777" w:rsidR="00780E71" w:rsidRDefault="00722F52">
      <w:pPr>
        <w:pStyle w:val="NormalWeb"/>
        <w:spacing w:beforeLines="16" w:before="38" w:beforeAutospacing="0" w:afterAutospacing="0"/>
        <w:jc w:val="both"/>
        <w:rPr>
          <w:sz w:val="20"/>
          <w:szCs w:val="20"/>
        </w:rPr>
      </w:pPr>
      <w:r>
        <w:rPr>
          <w:sz w:val="20"/>
          <w:szCs w:val="20"/>
        </w:rPr>
        <w:t xml:space="preserve">Several studies have explored LLM-driven conversational platforms for nutrition and dietary guidance. </w:t>
      </w:r>
      <w:proofErr w:type="spellStart"/>
      <w:r>
        <w:rPr>
          <w:sz w:val="20"/>
          <w:szCs w:val="20"/>
        </w:rPr>
        <w:t>ChatDiet</w:t>
      </w:r>
      <w:proofErr w:type="spellEnd"/>
      <w:r>
        <w:rPr>
          <w:sz w:val="20"/>
          <w:szCs w:val="20"/>
        </w:rPr>
        <w:t xml:space="preserve"> employs an LLM-augmented framework to deliver personalized food recommendations through natural language interaction, highlighting the effectiveness of conversational interfaces in dietary support [2]. Similarly, RAG-based agents for personalized fitness </w:t>
      </w:r>
      <w:r>
        <w:rPr>
          <w:sz w:val="20"/>
          <w:szCs w:val="20"/>
        </w:rPr>
        <w:t>and dietary guidance have demonstrated improved adaptability, accuracy, and user trust by integrating retrieval mechanisms with generative models [3].</w:t>
      </w:r>
    </w:p>
    <w:p w14:paraId="24BCAA29" w14:textId="77777777" w:rsidR="00780E71" w:rsidRDefault="00722F52">
      <w:pPr>
        <w:pStyle w:val="NormalWeb"/>
        <w:spacing w:beforeLines="23" w:before="55" w:beforeAutospacing="0" w:afterAutospacing="0"/>
        <w:jc w:val="both"/>
        <w:rPr>
          <w:sz w:val="20"/>
          <w:szCs w:val="20"/>
        </w:rPr>
      </w:pPr>
      <w:r>
        <w:rPr>
          <w:sz w:val="20"/>
          <w:szCs w:val="20"/>
        </w:rPr>
        <w:t>In parallel, advances in multimodal learning have enabled models to jointly process textual and visual in</w:t>
      </w:r>
      <w:r>
        <w:rPr>
          <w:sz w:val="20"/>
          <w:szCs w:val="20"/>
        </w:rPr>
        <w:t>puts, facilitating the extraction of meaningful information from food labels and images [8], [9]. Scalable similarity search techniques and vector databases such as FAISS support efficient retrieval over large nutritional knowledge bases [11]. Furthermore,</w:t>
      </w:r>
      <w:r>
        <w:rPr>
          <w:sz w:val="20"/>
          <w:szCs w:val="20"/>
        </w:rPr>
        <w:t xml:space="preserve"> improvements in efficient LLM serving infrastructures have reduced inference latency, enabling real-time and interactive user experiences [12].</w:t>
      </w:r>
    </w:p>
    <w:p w14:paraId="74D8BC63" w14:textId="77777777" w:rsidR="00780E71" w:rsidRDefault="00722F52">
      <w:pPr>
        <w:pStyle w:val="NormalWeb"/>
        <w:spacing w:beforeLines="13" w:before="31" w:beforeAutospacing="0"/>
        <w:jc w:val="both"/>
        <w:rPr>
          <w:sz w:val="20"/>
          <w:szCs w:val="20"/>
        </w:rPr>
      </w:pPr>
      <w:r>
        <w:rPr>
          <w:sz w:val="20"/>
          <w:szCs w:val="20"/>
        </w:rPr>
        <w:t xml:space="preserve">Motivated by these developments, this paper presents an </w:t>
      </w:r>
      <w:r>
        <w:rPr>
          <w:rStyle w:val="Strong"/>
          <w:sz w:val="20"/>
          <w:szCs w:val="20"/>
        </w:rPr>
        <w:t>AI-Powered Nutrition Insight System</w:t>
      </w:r>
      <w:r>
        <w:rPr>
          <w:sz w:val="20"/>
          <w:szCs w:val="20"/>
        </w:rPr>
        <w:t xml:space="preserve"> that integrates mul</w:t>
      </w:r>
      <w:r>
        <w:rPr>
          <w:sz w:val="20"/>
          <w:szCs w:val="20"/>
        </w:rPr>
        <w:t xml:space="preserve">timodal image-to-text processing, hybrid LLM-based meal analysis, fuzzy similarity matching, and Retrieval-Augmented Generation accelerated using </w:t>
      </w:r>
      <w:proofErr w:type="spellStart"/>
      <w:r>
        <w:rPr>
          <w:sz w:val="20"/>
          <w:szCs w:val="20"/>
        </w:rPr>
        <w:t>Groq</w:t>
      </w:r>
      <w:proofErr w:type="spellEnd"/>
      <w:r>
        <w:rPr>
          <w:sz w:val="20"/>
          <w:szCs w:val="20"/>
        </w:rPr>
        <w:t>-based inference. The proposed system aims to accurately interpret both structured and unstructured dietar</w:t>
      </w:r>
      <w:r>
        <w:rPr>
          <w:sz w:val="20"/>
          <w:szCs w:val="20"/>
        </w:rPr>
        <w:t>y inputs, normalize food items across linguistic variations, and generate reliable nutritional insights grounded in authoritative dietary guidelines such as those provided by the Indian Council of Medical Research (ICMR) [10].</w:t>
      </w:r>
    </w:p>
    <w:p w14:paraId="39C00578" w14:textId="77777777" w:rsidR="00780E71" w:rsidRDefault="00722F52">
      <w:pPr>
        <w:pStyle w:val="Heading1"/>
      </w:pPr>
      <w:r>
        <w:t>PROPOSED SOLUTION</w:t>
      </w:r>
    </w:p>
    <w:p w14:paraId="169EAED4" w14:textId="77777777" w:rsidR="00780E71" w:rsidRDefault="00722F52">
      <w:pPr>
        <w:pStyle w:val="ListParagraph"/>
        <w:tabs>
          <w:tab w:val="left" w:pos="1539"/>
        </w:tabs>
        <w:ind w:left="0" w:firstLine="0"/>
        <w:jc w:val="both"/>
        <w:rPr>
          <w:rFonts w:ascii="Times New Roman"/>
          <w:spacing w:val="-2"/>
        </w:rPr>
      </w:pPr>
      <w:r>
        <w:rPr>
          <w:rFonts w:ascii="Times New Roman"/>
          <w:spacing w:val="-2"/>
        </w:rPr>
        <w:t>The AI-Powe</w:t>
      </w:r>
      <w:r>
        <w:rPr>
          <w:rFonts w:ascii="Times New Roman"/>
          <w:spacing w:val="-2"/>
        </w:rPr>
        <w:t>red Nutrition Insight System is built as a complete, end-to-end solution that tackles the practical challenges involved in analyzing nutritional information in everyday situations. Rather than relying on a single technique, the system brings together advan</w:t>
      </w:r>
      <w:r>
        <w:rPr>
          <w:rFonts w:ascii="Times New Roman"/>
          <w:spacing w:val="-2"/>
        </w:rPr>
        <w:t>ced artificial intelligence, multimodal data processing, and high-speed inference to deliver accurate and context-aware dietary insights. Its architecture is organized into four core stages: dataset collection, multimodal image interpretation, semantic vec</w:t>
      </w:r>
      <w:r>
        <w:rPr>
          <w:rFonts w:ascii="Times New Roman"/>
          <w:spacing w:val="-2"/>
        </w:rPr>
        <w:t xml:space="preserve">tor embeddings combined with </w:t>
      </w:r>
      <w:proofErr w:type="spellStart"/>
      <w:r>
        <w:rPr>
          <w:rFonts w:ascii="Times New Roman"/>
          <w:spacing w:val="-2"/>
        </w:rPr>
        <w:t>RapidFuzz</w:t>
      </w:r>
      <w:proofErr w:type="spellEnd"/>
      <w:r>
        <w:rPr>
          <w:rFonts w:ascii="Times New Roman"/>
          <w:spacing w:val="-2"/>
        </w:rPr>
        <w:t xml:space="preserve"> similarity matching, and nutrition insight generation powered by Retrieval-</w:t>
      </w:r>
    </w:p>
    <w:p w14:paraId="60A5B383" w14:textId="77777777" w:rsidR="00780E71" w:rsidRDefault="00722F52">
      <w:pPr>
        <w:pStyle w:val="ListParagraph"/>
        <w:tabs>
          <w:tab w:val="left" w:pos="1539"/>
        </w:tabs>
        <w:ind w:left="0" w:firstLine="0"/>
        <w:jc w:val="both"/>
        <w:rPr>
          <w:rFonts w:ascii="Times New Roman"/>
          <w:spacing w:val="-2"/>
        </w:rPr>
      </w:pPr>
      <w:r>
        <w:rPr>
          <w:rFonts w:ascii="Times New Roman"/>
          <w:spacing w:val="-2"/>
        </w:rPr>
        <w:t>Augmented Generation. Each stage contributes to the overall accuracy, robustness, and scalability of the system, ensuring reliable performanc</w:t>
      </w:r>
      <w:r>
        <w:rPr>
          <w:rFonts w:ascii="Times New Roman"/>
          <w:spacing w:val="-2"/>
        </w:rPr>
        <w:t>e across a wide range of real-world inputs.</w:t>
      </w:r>
    </w:p>
    <w:p w14:paraId="4FE480C8" w14:textId="77777777" w:rsidR="00780E71" w:rsidRDefault="00780E71">
      <w:pPr>
        <w:pStyle w:val="ListParagraph"/>
        <w:tabs>
          <w:tab w:val="left" w:pos="1539"/>
        </w:tabs>
        <w:ind w:left="0" w:firstLine="0"/>
        <w:jc w:val="left"/>
        <w:rPr>
          <w:rFonts w:ascii="Times New Roman"/>
          <w:spacing w:val="-2"/>
        </w:rPr>
      </w:pPr>
    </w:p>
    <w:p w14:paraId="0C2D4A7B" w14:textId="77777777" w:rsidR="00780E71" w:rsidRDefault="00722F52">
      <w:pPr>
        <w:pStyle w:val="Heading2"/>
      </w:pPr>
      <w:r>
        <w:lastRenderedPageBreak/>
        <w:t>Dataset Preparation</w:t>
      </w:r>
    </w:p>
    <w:p w14:paraId="408F11A6" w14:textId="77777777" w:rsidR="00780E71" w:rsidRDefault="00722F52">
      <w:pPr>
        <w:tabs>
          <w:tab w:val="left" w:pos="288"/>
        </w:tabs>
        <w:spacing w:after="120" w:line="19" w:lineRule="atLeast"/>
        <w:ind w:firstLine="289"/>
        <w:jc w:val="both"/>
      </w:pPr>
      <w:r>
        <w:rPr>
          <w:noProof/>
        </w:rPr>
        <w:drawing>
          <wp:anchor distT="0" distB="0" distL="0" distR="0" simplePos="0" relativeHeight="251659264" behindDoc="1" locked="0" layoutInCell="1" allowOverlap="1" wp14:anchorId="3DEF6AE9" wp14:editId="24E54DE7">
            <wp:simplePos x="0" y="0"/>
            <wp:positionH relativeFrom="page">
              <wp:posOffset>583565</wp:posOffset>
            </wp:positionH>
            <wp:positionV relativeFrom="paragraph">
              <wp:posOffset>1917065</wp:posOffset>
            </wp:positionV>
            <wp:extent cx="3020060" cy="2580640"/>
            <wp:effectExtent l="0" t="0" r="2540" b="10160"/>
            <wp:wrapTopAndBottom/>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4" cstate="print"/>
                    <a:stretch>
                      <a:fillRect/>
                    </a:stretch>
                  </pic:blipFill>
                  <pic:spPr>
                    <a:xfrm>
                      <a:off x="0" y="0"/>
                      <a:ext cx="3020060" cy="2580640"/>
                    </a:xfrm>
                    <a:prstGeom prst="rect">
                      <a:avLst/>
                    </a:prstGeom>
                  </pic:spPr>
                </pic:pic>
              </a:graphicData>
            </a:graphic>
          </wp:anchor>
        </w:drawing>
      </w:r>
      <w:r>
        <w:t xml:space="preserve">The experiments were carried out using the PANDA resized training dataset (512 × 512), sourced from Kaggle [10]. This dataset includes high-quality histopathology images of prostate cancer, </w:t>
      </w:r>
      <w:r>
        <w:t>each accompanied by detailed pixel-level segmentation masks. All images were resized to a uniform resolution of 512 × 512 pixels and normalized to ensure stable and efficient model training. The dataset was divided into training, validation, and testing se</w:t>
      </w:r>
      <w:r>
        <w:t>ts using an 80:10:10 split. To improve the model’s ability to generalize and to minimize overfitting, data augmentation techniques such as image rotation, flipping, and contrast enhancement were applied.</w:t>
      </w:r>
    </w:p>
    <w:p w14:paraId="4BA4D34A" w14:textId="77777777" w:rsidR="00780E71" w:rsidRDefault="00722F52">
      <w:pPr>
        <w:tabs>
          <w:tab w:val="left" w:pos="288"/>
        </w:tabs>
        <w:spacing w:after="120" w:line="19" w:lineRule="atLeast"/>
        <w:ind w:firstLine="289"/>
        <w:jc w:val="both"/>
      </w:pPr>
      <w:r>
        <w:br/>
      </w:r>
      <w:r>
        <w:rPr>
          <w:sz w:val="16"/>
        </w:rPr>
        <w:t>Fig. 1. Overview of the Retrieval-Augmented Generat</w:t>
      </w:r>
      <w:r>
        <w:rPr>
          <w:sz w:val="16"/>
        </w:rPr>
        <w:t>ion (RAG)</w:t>
      </w:r>
      <w:r>
        <w:rPr>
          <w:spacing w:val="40"/>
          <w:sz w:val="16"/>
        </w:rPr>
        <w:t xml:space="preserve"> </w:t>
      </w:r>
      <w:r>
        <w:rPr>
          <w:sz w:val="16"/>
        </w:rPr>
        <w:t>pipeline showing document ingestion, chunking, embedding generation,</w:t>
      </w:r>
      <w:r>
        <w:rPr>
          <w:spacing w:val="40"/>
          <w:sz w:val="16"/>
        </w:rPr>
        <w:t xml:space="preserve"> </w:t>
      </w:r>
      <w:r>
        <w:rPr>
          <w:sz w:val="16"/>
        </w:rPr>
        <w:t>context retrieval from vector database, and final response generation via</w:t>
      </w:r>
      <w:r>
        <w:rPr>
          <w:spacing w:val="40"/>
          <w:sz w:val="16"/>
        </w:rPr>
        <w:t xml:space="preserve"> </w:t>
      </w:r>
      <w:r>
        <w:rPr>
          <w:spacing w:val="-4"/>
          <w:sz w:val="16"/>
        </w:rPr>
        <w:t>LLM</w:t>
      </w:r>
    </w:p>
    <w:p w14:paraId="0D4A8A63" w14:textId="77777777" w:rsidR="00780E71" w:rsidRDefault="00722F52">
      <w:pPr>
        <w:pStyle w:val="Heading2"/>
      </w:pPr>
      <w:r>
        <w:t>Multimodal Meal Parsing Using LLM</w:t>
      </w:r>
    </w:p>
    <w:p w14:paraId="7FABBCE5" w14:textId="77777777" w:rsidR="00780E71" w:rsidRDefault="00722F52">
      <w:pPr>
        <w:tabs>
          <w:tab w:val="left" w:pos="288"/>
        </w:tabs>
        <w:spacing w:after="120" w:line="19" w:lineRule="atLeast"/>
        <w:ind w:firstLine="289"/>
        <w:jc w:val="both"/>
        <w:rPr>
          <w:lang w:eastAsia="zh-CN"/>
        </w:rPr>
      </w:pPr>
      <w:r>
        <w:rPr>
          <w:lang w:eastAsia="zh-CN"/>
        </w:rPr>
        <w:t xml:space="preserve">To understand free-form meal descriptions such as “2 chapatis, 1 cup rice, 1 banana,” the system uses a high-performance large language model accessed through the </w:t>
      </w:r>
      <w:proofErr w:type="spellStart"/>
      <w:r>
        <w:rPr>
          <w:lang w:eastAsia="zh-CN"/>
        </w:rPr>
        <w:t>Groq</w:t>
      </w:r>
      <w:proofErr w:type="spellEnd"/>
      <w:r>
        <w:rPr>
          <w:lang w:eastAsia="zh-CN"/>
        </w:rPr>
        <w:t xml:space="preserve"> </w:t>
      </w:r>
      <w:proofErr w:type="spellStart"/>
      <w:r>
        <w:rPr>
          <w:lang w:eastAsia="zh-CN"/>
        </w:rPr>
        <w:t>ChatGroq</w:t>
      </w:r>
      <w:proofErr w:type="spellEnd"/>
      <w:r>
        <w:rPr>
          <w:lang w:eastAsia="zh-CN"/>
        </w:rPr>
        <w:t xml:space="preserve"> API. The model processes natural-language input and converts it into a structur</w:t>
      </w:r>
      <w:r>
        <w:rPr>
          <w:lang w:eastAsia="zh-CN"/>
        </w:rPr>
        <w:t xml:space="preserve">ed JSON format that includes the food item, quantity, unit (when mentioned), and the corresponding text segment from the original </w:t>
      </w:r>
      <w:proofErr w:type="spellStart"/>
      <w:proofErr w:type="gramStart"/>
      <w:r>
        <w:rPr>
          <w:lang w:eastAsia="zh-CN"/>
        </w:rPr>
        <w:t>input.This</w:t>
      </w:r>
      <w:proofErr w:type="spellEnd"/>
      <w:proofErr w:type="gramEnd"/>
      <w:r>
        <w:rPr>
          <w:lang w:eastAsia="zh-CN"/>
        </w:rPr>
        <w:t xml:space="preserve"> structured representation allows subsequent components of the system to easily interpret and process the data. To m</w:t>
      </w:r>
      <w:r>
        <w:rPr>
          <w:lang w:eastAsia="zh-CN"/>
        </w:rPr>
        <w:t xml:space="preserve">aintain reliability, a rule-based parsing mechanism is used as a backup whenever the LLM output is incomplete or unavailable. By combining both approaches, the system remains robust and performs well even when user inputs are unclear or inconsistent.      </w:t>
      </w:r>
      <w:r>
        <w:rPr>
          <w:lang w:eastAsia="zh-CN"/>
        </w:rPr>
        <w:t xml:space="preserve">     </w:t>
      </w:r>
    </w:p>
    <w:p w14:paraId="7A7AA196" w14:textId="77777777" w:rsidR="00780E71" w:rsidRDefault="00722F52">
      <w:pPr>
        <w:pStyle w:val="Heading2"/>
        <w:rPr>
          <w:lang w:eastAsia="zh-CN"/>
        </w:rPr>
      </w:pPr>
      <w:r>
        <w:rPr>
          <w:lang w:eastAsia="zh-CN"/>
        </w:rPr>
        <w:t xml:space="preserve">Fuzzy-Similarity Matching and Normalization </w:t>
      </w:r>
    </w:p>
    <w:p w14:paraId="4D95F632" w14:textId="77777777" w:rsidR="00780E71" w:rsidRDefault="00722F52">
      <w:pPr>
        <w:ind w:firstLineChars="150" w:firstLine="300"/>
        <w:jc w:val="both"/>
        <w:rPr>
          <w:lang w:eastAsia="zh-CN"/>
        </w:rPr>
      </w:pPr>
      <w:r>
        <w:rPr>
          <w:lang w:eastAsia="zh-CN"/>
        </w:rPr>
        <w:t xml:space="preserve">After the meal items are extracted, each food name is compared with entries in the nutrition database using </w:t>
      </w:r>
      <w:proofErr w:type="spellStart"/>
      <w:r>
        <w:rPr>
          <w:lang w:eastAsia="zh-CN"/>
        </w:rPr>
        <w:t>RapidFuzz’s</w:t>
      </w:r>
      <w:proofErr w:type="spellEnd"/>
      <w:r>
        <w:rPr>
          <w:lang w:eastAsia="zh-CN"/>
        </w:rPr>
        <w:t xml:space="preserve"> </w:t>
      </w:r>
      <w:proofErr w:type="spellStart"/>
      <w:r>
        <w:rPr>
          <w:lang w:eastAsia="zh-CN"/>
        </w:rPr>
        <w:t>WRatio</w:t>
      </w:r>
      <w:proofErr w:type="spellEnd"/>
      <w:r>
        <w:rPr>
          <w:lang w:eastAsia="zh-CN"/>
        </w:rPr>
        <w:t>, a reliable and accurate string similarity measure. This approach helps handle</w:t>
      </w:r>
      <w:r>
        <w:rPr>
          <w:lang w:eastAsia="zh-CN"/>
        </w:rPr>
        <w:t xml:space="preserve"> variations in spelling, regional terms, and commonly used synonyms, such as mapping “roti” to “chapati” or “chawal” to “rice.”</w:t>
      </w:r>
    </w:p>
    <w:p w14:paraId="0D12BC00" w14:textId="77777777" w:rsidR="00780E71" w:rsidRDefault="00722F52">
      <w:pPr>
        <w:jc w:val="both"/>
        <w:rPr>
          <w:lang w:eastAsia="zh-CN"/>
        </w:rPr>
      </w:pPr>
      <w:r>
        <w:rPr>
          <w:lang w:eastAsia="zh-CN"/>
        </w:rPr>
        <w:t xml:space="preserve">By applying fuzzy matching, the system minimizes errors in linking food items to their correct nutritional information, leading </w:t>
      </w:r>
      <w:r>
        <w:rPr>
          <w:lang w:eastAsia="zh-CN"/>
        </w:rPr>
        <w:t xml:space="preserve">to more accurate dietary calculations. In cases where </w:t>
      </w:r>
      <w:r>
        <w:rPr>
          <w:lang w:eastAsia="zh-CN"/>
        </w:rPr>
        <w:t>no close match is found, the system smoothly switches to predefined average calorie values to ensure uninterrupted and dependable output.</w:t>
      </w:r>
    </w:p>
    <w:p w14:paraId="22C30BB1" w14:textId="77777777" w:rsidR="00780E71" w:rsidRDefault="00722F52">
      <w:pPr>
        <w:pStyle w:val="Heading2"/>
      </w:pPr>
      <w:r>
        <w:t>Nutrient Computation Engine</w:t>
      </w:r>
    </w:p>
    <w:p w14:paraId="2FA447EA" w14:textId="77777777" w:rsidR="00780E71" w:rsidRDefault="00722F52">
      <w:pPr>
        <w:pStyle w:val="NormalWeb"/>
        <w:spacing w:beforeAutospacing="0" w:afterAutospacing="0"/>
        <w:jc w:val="both"/>
        <w:rPr>
          <w:lang w:eastAsia="en-US"/>
        </w:rPr>
      </w:pPr>
      <w:r>
        <w:rPr>
          <w:rFonts w:hAnsi="Cambria Math"/>
          <w:sz w:val="20"/>
          <w:szCs w:val="20"/>
        </w:rPr>
        <w:t>For each standardized food item, the</w:t>
      </w:r>
      <w:r>
        <w:rPr>
          <w:rFonts w:hAnsi="Cambria Math"/>
          <w:sz w:val="20"/>
          <w:szCs w:val="20"/>
        </w:rPr>
        <w:t xml:space="preserve"> system retrieves the corresponding caloric and macronutrient data from the nutritional dataset in fig1. The computation engine then aggregates these values to estimate the overall nutritional intake, including total energy expressed in kilocalories, prote</w:t>
      </w:r>
      <w:r>
        <w:rPr>
          <w:rFonts w:hAnsi="Cambria Math"/>
          <w:sz w:val="20"/>
          <w:szCs w:val="20"/>
        </w:rPr>
        <w:t>in, carbohydrates, fat measured in grams, and sodium content measured in milligrams. This process enables the generation of a comprehensive nutritional summary for the analyzed food items.</w:t>
      </w:r>
    </w:p>
    <w:p w14:paraId="4C67A1D7" w14:textId="77777777" w:rsidR="00780E71" w:rsidRDefault="00722F52">
      <w:pPr>
        <w:pStyle w:val="Heading2"/>
        <w:rPr>
          <w:lang w:eastAsia="zh-CN"/>
        </w:rPr>
      </w:pPr>
      <w:r>
        <w:rPr>
          <w:lang w:eastAsia="zh-CN"/>
        </w:rPr>
        <w:t>RAG-Based Nutritional Insight Generation</w:t>
      </w:r>
    </w:p>
    <w:p w14:paraId="3EB89A09" w14:textId="77777777" w:rsidR="00780E71" w:rsidRDefault="00722F52">
      <w:pPr>
        <w:ind w:firstLineChars="150" w:firstLine="300"/>
        <w:jc w:val="both"/>
        <w:rPr>
          <w:lang w:eastAsia="zh-CN"/>
        </w:rPr>
      </w:pPr>
      <w:r>
        <w:rPr>
          <w:lang w:eastAsia="zh-CN"/>
        </w:rPr>
        <w:t>To provide informed and he</w:t>
      </w:r>
      <w:r>
        <w:rPr>
          <w:lang w:eastAsia="zh-CN"/>
        </w:rPr>
        <w:t>alth-oriented dietary feedback, the system adopts a Retrieval-Augmented Generation (RAG) framework. Authoritative nutrition guideline documents, including recommendations from the World Health Organization (WHO), ICMR standards, and food labeling regulatio</w:t>
      </w:r>
      <w:r>
        <w:rPr>
          <w:lang w:eastAsia="zh-CN"/>
        </w:rPr>
        <w:t>ns, are first converted into text and segmented into smaller passages. These passages are then embedded using a transformer-based embedding model and stored in a FAISS vector database for efficient retrieval.</w:t>
      </w:r>
    </w:p>
    <w:p w14:paraId="4AFA1872" w14:textId="77777777" w:rsidR="00780E71" w:rsidRDefault="00722F52">
      <w:pPr>
        <w:jc w:val="both"/>
      </w:pPr>
      <w:r>
        <w:rPr>
          <w:lang w:eastAsia="zh-CN"/>
        </w:rPr>
        <w:t>When a user submits a query such as “Is my sodi</w:t>
      </w:r>
      <w:r>
        <w:rPr>
          <w:lang w:eastAsia="zh-CN"/>
        </w:rPr>
        <w:t>um intake too high today?”, the system identifies the most relevant guideline excerpts and generates a response using a large language model that is grounded in the retrieved evidence. This combined retrieval and generation approach ensures that the nutrit</w:t>
      </w:r>
      <w:r>
        <w:rPr>
          <w:lang w:eastAsia="zh-CN"/>
        </w:rPr>
        <w:t>ional insights are transparent, reliable, and consistent with established medical and dietary guidelines.</w:t>
      </w:r>
    </w:p>
    <w:p w14:paraId="7788AAB2" w14:textId="77777777" w:rsidR="00780E71" w:rsidRDefault="00722F52">
      <w:pPr>
        <w:pStyle w:val="Heading2"/>
        <w:rPr>
          <w:lang w:eastAsia="zh-CN"/>
        </w:rPr>
      </w:pPr>
      <w:r>
        <w:rPr>
          <w:lang w:eastAsia="zh-CN"/>
        </w:rPr>
        <w:t>System Advantages</w:t>
      </w:r>
    </w:p>
    <w:p w14:paraId="51097456" w14:textId="77777777" w:rsidR="00780E71" w:rsidRDefault="00722F52">
      <w:pPr>
        <w:ind w:firstLineChars="150" w:firstLine="300"/>
        <w:jc w:val="both"/>
      </w:pPr>
      <w:r>
        <w:rPr>
          <w:lang w:eastAsia="zh-CN"/>
        </w:rPr>
        <w:t>The proposed system demonstrates multiple strengths that enhance its reliability and usability. It is designed to remain robust when</w:t>
      </w:r>
      <w:r>
        <w:rPr>
          <w:lang w:eastAsia="zh-CN"/>
        </w:rPr>
        <w:t xml:space="preserve"> handling ambiguous, incomplete, or informal user inputs, ensuring consistent performance across varied input styles. Real-time fuzzy matching techniques enable accurate identification of food items despite linguistic differences or spelling variations. In</w:t>
      </w:r>
      <w:r>
        <w:rPr>
          <w:lang w:eastAsia="zh-CN"/>
        </w:rPr>
        <w:t xml:space="preserve"> addition, the system delivers reliable and credible insights by integrating evidence-based nutritional guidelines. Its modular and scalable architecture further supports seamless expansion, allowing the system to accommodate larger datasets and incorporat</w:t>
      </w:r>
      <w:r>
        <w:rPr>
          <w:lang w:eastAsia="zh-CN"/>
        </w:rPr>
        <w:t>e additional nutrient parameters with minimal modification.</w:t>
      </w:r>
    </w:p>
    <w:p w14:paraId="72C0E2E0" w14:textId="77777777" w:rsidR="00780E71" w:rsidRDefault="00722F52">
      <w:pPr>
        <w:pStyle w:val="Heading1"/>
      </w:pPr>
      <w:r>
        <w:t>Results And Discussion</w:t>
      </w:r>
    </w:p>
    <w:p w14:paraId="6CCCB132" w14:textId="77777777" w:rsidR="00780E71" w:rsidRDefault="00722F52">
      <w:pPr>
        <w:ind w:firstLineChars="150" w:firstLine="300"/>
        <w:jc w:val="both"/>
      </w:pPr>
      <w:r>
        <w:t>This section discusses the experimental assessment of the proposed Nutrition RAG Assistant. The evaluation is structured around four major aspects: (</w:t>
      </w:r>
      <w:proofErr w:type="spellStart"/>
      <w:r>
        <w:t>i</w:t>
      </w:r>
      <w:proofErr w:type="spellEnd"/>
      <w:r>
        <w:t xml:space="preserve">) the accuracy of meal </w:t>
      </w:r>
      <w:r>
        <w:t xml:space="preserve">description parsing, (ii) the effectiveness of the fuzzy matching mechanism, (iii) the precision of nutritional value </w:t>
      </w:r>
    </w:p>
    <w:p w14:paraId="03B6B4E4" w14:textId="77777777" w:rsidR="00780E71" w:rsidRDefault="00722F52">
      <w:pPr>
        <w:jc w:val="both"/>
      </w:pPr>
      <w:r>
        <w:t xml:space="preserve">estimation, and (iv) the reliability of responses generated for health-related queries using the RAG framework. To ensure </w:t>
      </w:r>
    </w:p>
    <w:p w14:paraId="13464DB2" w14:textId="77777777" w:rsidR="00780E71" w:rsidRDefault="00722F52">
      <w:pPr>
        <w:jc w:val="both"/>
      </w:pPr>
      <w:r>
        <w:t>robustness and</w:t>
      </w:r>
      <w:r>
        <w:t xml:space="preserve"> generalizability, experiments were carried out on a heterogeneous dataset comprising both Indian and Western food descriptions.</w:t>
      </w:r>
    </w:p>
    <w:p w14:paraId="0B1F685B" w14:textId="77777777" w:rsidR="00780E71" w:rsidRDefault="00722F52">
      <w:pPr>
        <w:pStyle w:val="Heading2"/>
      </w:pPr>
      <w:r>
        <w:t>Meal Parsing and Accuracy</w:t>
      </w:r>
    </w:p>
    <w:p w14:paraId="4EF3117F" w14:textId="77777777" w:rsidR="00780E71" w:rsidRDefault="00722F52">
      <w:pPr>
        <w:pStyle w:val="NormalWeb"/>
        <w:spacing w:beforeAutospacing="0" w:after="120" w:afterAutospacing="0" w:line="19" w:lineRule="atLeast"/>
        <w:ind w:firstLine="288"/>
        <w:rPr>
          <w:sz w:val="20"/>
          <w:szCs w:val="20"/>
        </w:rPr>
      </w:pPr>
      <w:r>
        <w:rPr>
          <w:sz w:val="20"/>
          <w:szCs w:val="20"/>
        </w:rPr>
        <w:t xml:space="preserve">The meal parsing capability of the system was evaluated using a set of 50 diverse meal descriptions. </w:t>
      </w:r>
      <w:r>
        <w:rPr>
          <w:sz w:val="20"/>
          <w:szCs w:val="20"/>
        </w:rPr>
        <w:t xml:space="preserve">Three parsing </w:t>
      </w:r>
      <w:r>
        <w:rPr>
          <w:sz w:val="20"/>
          <w:szCs w:val="20"/>
        </w:rPr>
        <w:lastRenderedPageBreak/>
        <w:t xml:space="preserve">strategies were examined: a </w:t>
      </w:r>
      <w:proofErr w:type="spellStart"/>
      <w:r>
        <w:rPr>
          <w:sz w:val="20"/>
          <w:szCs w:val="20"/>
        </w:rPr>
        <w:t>Groq</w:t>
      </w:r>
      <w:proofErr w:type="spellEnd"/>
      <w:r>
        <w:rPr>
          <w:sz w:val="20"/>
          <w:szCs w:val="20"/>
        </w:rPr>
        <w:t xml:space="preserve"> LLM–based parser, a rule-based parser, and a hybrid approach that integrates both </w:t>
      </w:r>
      <w:proofErr w:type="spellStart"/>
      <w:proofErr w:type="gramStart"/>
      <w:r>
        <w:rPr>
          <w:sz w:val="20"/>
          <w:szCs w:val="20"/>
        </w:rPr>
        <w:t>methods.The</w:t>
      </w:r>
      <w:proofErr w:type="spellEnd"/>
      <w:proofErr w:type="gramEnd"/>
      <w:r>
        <w:rPr>
          <w:sz w:val="20"/>
          <w:szCs w:val="20"/>
        </w:rPr>
        <w:t xml:space="preserve"> </w:t>
      </w:r>
      <w:proofErr w:type="spellStart"/>
      <w:r>
        <w:rPr>
          <w:sz w:val="20"/>
          <w:szCs w:val="20"/>
        </w:rPr>
        <w:t>Groq</w:t>
      </w:r>
      <w:proofErr w:type="spellEnd"/>
      <w:r>
        <w:rPr>
          <w:sz w:val="20"/>
          <w:szCs w:val="20"/>
        </w:rPr>
        <w:t xml:space="preserve"> LLM–based parser achieved a correct extraction rate of 68%, demonstrating its ability to understand contextual</w:t>
      </w:r>
      <w:r>
        <w:rPr>
          <w:sz w:val="20"/>
          <w:szCs w:val="20"/>
        </w:rPr>
        <w:t xml:space="preserve"> and natural language inputs. In contrast, the rule-based parser attained an accuracy of 54%, primarily due to its limited handling of linguistic variability and contextual cues. The hybrid approach, which invokes rule-based parsing only when the LLM outpu</w:t>
      </w:r>
      <w:r>
        <w:rPr>
          <w:sz w:val="20"/>
          <w:szCs w:val="20"/>
        </w:rPr>
        <w:t>t is incomplete or improperly structured, significantly improved performance, achieving an accuracy of 92%. These findings suggest that combining probabilistic LLM reasoning with deterministic parsing rules substantially enhances system robustness and mini</w:t>
      </w:r>
      <w:r>
        <w:rPr>
          <w:sz w:val="20"/>
          <w:szCs w:val="20"/>
        </w:rPr>
        <w:t xml:space="preserve">mizes complete extraction failures. </w:t>
      </w:r>
    </w:p>
    <w:tbl>
      <w:tblPr>
        <w:tblStyle w:val="TableGrid"/>
        <w:tblW w:w="0" w:type="auto"/>
        <w:tblInd w:w="154" w:type="dxa"/>
        <w:tblLook w:val="04A0" w:firstRow="1" w:lastRow="0" w:firstColumn="1" w:lastColumn="0" w:noHBand="0" w:noVBand="1"/>
      </w:tblPr>
      <w:tblGrid>
        <w:gridCol w:w="2343"/>
        <w:gridCol w:w="2359"/>
      </w:tblGrid>
      <w:tr w:rsidR="00780E71" w14:paraId="29D458FF" w14:textId="77777777">
        <w:tc>
          <w:tcPr>
            <w:tcW w:w="2387" w:type="dxa"/>
          </w:tcPr>
          <w:p w14:paraId="5DF315F1" w14:textId="77777777" w:rsidR="00780E71" w:rsidRDefault="00722F52">
            <w:pPr>
              <w:pStyle w:val="NormalWeb"/>
              <w:spacing w:beforeAutospacing="0" w:after="120" w:afterAutospacing="0" w:line="19" w:lineRule="atLeast"/>
              <w:jc w:val="center"/>
              <w:rPr>
                <w:sz w:val="20"/>
                <w:szCs w:val="20"/>
                <w:lang w:val="en-IN"/>
              </w:rPr>
            </w:pPr>
            <w:r>
              <w:rPr>
                <w:sz w:val="20"/>
                <w:szCs w:val="20"/>
                <w:lang w:val="en-IN"/>
              </w:rPr>
              <w:t>Parsing Method</w:t>
            </w:r>
          </w:p>
        </w:tc>
        <w:tc>
          <w:tcPr>
            <w:tcW w:w="2403" w:type="dxa"/>
          </w:tcPr>
          <w:p w14:paraId="519DB277" w14:textId="77777777" w:rsidR="00780E71" w:rsidRDefault="00722F52">
            <w:pPr>
              <w:pStyle w:val="NormalWeb"/>
              <w:spacing w:beforeAutospacing="0" w:after="120" w:afterAutospacing="0" w:line="19" w:lineRule="atLeast"/>
              <w:jc w:val="center"/>
              <w:rPr>
                <w:sz w:val="20"/>
                <w:szCs w:val="20"/>
                <w:lang w:val="en-IN"/>
              </w:rPr>
            </w:pPr>
            <w:proofErr w:type="gramStart"/>
            <w:r>
              <w:rPr>
                <w:sz w:val="20"/>
                <w:szCs w:val="20"/>
                <w:lang w:val="en-IN"/>
              </w:rPr>
              <w:t>Accuracy(</w:t>
            </w:r>
            <w:proofErr w:type="gramEnd"/>
            <w:r>
              <w:rPr>
                <w:sz w:val="20"/>
                <w:szCs w:val="20"/>
                <w:lang w:val="en-IN"/>
              </w:rPr>
              <w:t>%)</w:t>
            </w:r>
          </w:p>
        </w:tc>
      </w:tr>
      <w:tr w:rsidR="00780E71" w14:paraId="4B72B8C0" w14:textId="77777777">
        <w:tc>
          <w:tcPr>
            <w:tcW w:w="2387" w:type="dxa"/>
          </w:tcPr>
          <w:p w14:paraId="5266F957" w14:textId="77777777" w:rsidR="00780E71" w:rsidRDefault="00722F52">
            <w:pPr>
              <w:pStyle w:val="NormalWeb"/>
              <w:spacing w:beforeAutospacing="0" w:after="120" w:afterAutospacing="0" w:line="19" w:lineRule="atLeast"/>
              <w:jc w:val="center"/>
              <w:rPr>
                <w:sz w:val="20"/>
                <w:szCs w:val="20"/>
                <w:lang w:val="en-IN"/>
              </w:rPr>
            </w:pPr>
            <w:r>
              <w:rPr>
                <w:sz w:val="20"/>
                <w:szCs w:val="20"/>
                <w:lang w:val="en-IN"/>
              </w:rPr>
              <w:t>Rule-Based Parsing</w:t>
            </w:r>
          </w:p>
        </w:tc>
        <w:tc>
          <w:tcPr>
            <w:tcW w:w="2403" w:type="dxa"/>
          </w:tcPr>
          <w:p w14:paraId="53785C1D" w14:textId="77777777" w:rsidR="00780E71" w:rsidRDefault="00722F52">
            <w:pPr>
              <w:pStyle w:val="NormalWeb"/>
              <w:spacing w:beforeAutospacing="0" w:after="120" w:afterAutospacing="0" w:line="19" w:lineRule="atLeast"/>
              <w:jc w:val="center"/>
              <w:rPr>
                <w:sz w:val="20"/>
                <w:szCs w:val="20"/>
                <w:lang w:val="en-IN"/>
              </w:rPr>
            </w:pPr>
            <w:r>
              <w:rPr>
                <w:sz w:val="20"/>
                <w:szCs w:val="20"/>
                <w:lang w:val="en-IN"/>
              </w:rPr>
              <w:t>54</w:t>
            </w:r>
          </w:p>
        </w:tc>
      </w:tr>
      <w:tr w:rsidR="00780E71" w14:paraId="6D339AD9" w14:textId="77777777">
        <w:tc>
          <w:tcPr>
            <w:tcW w:w="2387" w:type="dxa"/>
          </w:tcPr>
          <w:p w14:paraId="0B266D07" w14:textId="77777777" w:rsidR="00780E71" w:rsidRDefault="00722F52">
            <w:pPr>
              <w:pStyle w:val="NormalWeb"/>
              <w:spacing w:beforeAutospacing="0" w:after="120" w:afterAutospacing="0" w:line="19" w:lineRule="atLeast"/>
              <w:rPr>
                <w:sz w:val="20"/>
                <w:szCs w:val="20"/>
                <w:lang w:val="en-IN"/>
              </w:rPr>
            </w:pPr>
            <w:r>
              <w:rPr>
                <w:sz w:val="20"/>
                <w:szCs w:val="20"/>
                <w:lang w:val="en-IN"/>
              </w:rPr>
              <w:t xml:space="preserve">LLM-Based Parsing </w:t>
            </w:r>
          </w:p>
        </w:tc>
        <w:tc>
          <w:tcPr>
            <w:tcW w:w="2403" w:type="dxa"/>
          </w:tcPr>
          <w:p w14:paraId="5C315FC3" w14:textId="77777777" w:rsidR="00780E71" w:rsidRDefault="00722F52">
            <w:pPr>
              <w:pStyle w:val="NormalWeb"/>
              <w:spacing w:beforeAutospacing="0" w:after="120" w:afterAutospacing="0" w:line="19" w:lineRule="atLeast"/>
              <w:jc w:val="center"/>
              <w:rPr>
                <w:sz w:val="20"/>
                <w:szCs w:val="20"/>
                <w:lang w:val="en-IN"/>
              </w:rPr>
            </w:pPr>
            <w:r>
              <w:rPr>
                <w:sz w:val="20"/>
                <w:szCs w:val="20"/>
                <w:lang w:val="en-IN"/>
              </w:rPr>
              <w:t>68</w:t>
            </w:r>
          </w:p>
        </w:tc>
      </w:tr>
      <w:tr w:rsidR="00780E71" w14:paraId="2F1D95F0" w14:textId="77777777">
        <w:tc>
          <w:tcPr>
            <w:tcW w:w="2387" w:type="dxa"/>
          </w:tcPr>
          <w:p w14:paraId="6FC85CF5" w14:textId="77777777" w:rsidR="00780E71" w:rsidRDefault="00722F52">
            <w:pPr>
              <w:pStyle w:val="NormalWeb"/>
              <w:spacing w:beforeAutospacing="0" w:after="120" w:afterAutospacing="0" w:line="19" w:lineRule="atLeast"/>
              <w:rPr>
                <w:sz w:val="20"/>
                <w:szCs w:val="20"/>
                <w:lang w:val="en-IN"/>
              </w:rPr>
            </w:pPr>
            <w:proofErr w:type="gramStart"/>
            <w:r>
              <w:rPr>
                <w:sz w:val="20"/>
                <w:szCs w:val="20"/>
                <w:lang w:val="en-IN"/>
              </w:rPr>
              <w:t>Hybrid(</w:t>
            </w:r>
            <w:proofErr w:type="gramEnd"/>
            <w:r>
              <w:rPr>
                <w:sz w:val="20"/>
                <w:szCs w:val="20"/>
                <w:lang w:val="en-IN"/>
              </w:rPr>
              <w:t>LLM + rule based)</w:t>
            </w:r>
          </w:p>
        </w:tc>
        <w:tc>
          <w:tcPr>
            <w:tcW w:w="2403" w:type="dxa"/>
          </w:tcPr>
          <w:p w14:paraId="74A31305" w14:textId="77777777" w:rsidR="00780E71" w:rsidRDefault="00722F52">
            <w:pPr>
              <w:pStyle w:val="NormalWeb"/>
              <w:spacing w:beforeAutospacing="0" w:after="120" w:afterAutospacing="0" w:line="19" w:lineRule="atLeast"/>
              <w:jc w:val="center"/>
              <w:rPr>
                <w:sz w:val="20"/>
                <w:szCs w:val="20"/>
                <w:lang w:val="en-IN"/>
              </w:rPr>
            </w:pPr>
            <w:r>
              <w:rPr>
                <w:sz w:val="20"/>
                <w:szCs w:val="20"/>
                <w:lang w:val="en-IN"/>
              </w:rPr>
              <w:t>92</w:t>
            </w:r>
          </w:p>
        </w:tc>
      </w:tr>
    </w:tbl>
    <w:p w14:paraId="1D0DDA0D" w14:textId="77777777" w:rsidR="00780E71" w:rsidRDefault="00722F52">
      <w:pPr>
        <w:pStyle w:val="NormalWeb"/>
        <w:spacing w:beforeAutospacing="0" w:after="120" w:afterAutospacing="0" w:line="19" w:lineRule="atLeast"/>
        <w:ind w:firstLine="288"/>
        <w:rPr>
          <w:rFonts w:cs="Times New Roman"/>
          <w:sz w:val="20"/>
          <w:szCs w:val="20"/>
        </w:rPr>
      </w:pPr>
      <w:r>
        <w:rPr>
          <w:rFonts w:cs="Times New Roman"/>
          <w:sz w:val="20"/>
          <w:szCs w:val="20"/>
        </w:rPr>
        <w:t>Table I. Meal Parsing Accuracy Comparison</w:t>
      </w:r>
    </w:p>
    <w:p w14:paraId="3772F19A" w14:textId="77777777" w:rsidR="00780E71" w:rsidRDefault="00722F52">
      <w:pPr>
        <w:pStyle w:val="Heading2"/>
      </w:pPr>
      <w:r>
        <w:t xml:space="preserve">Fuzzy Matching Performance </w:t>
      </w:r>
    </w:p>
    <w:p w14:paraId="4FAB625B" w14:textId="77777777" w:rsidR="00780E71" w:rsidRDefault="00722F52">
      <w:pPr>
        <w:pStyle w:val="NormalWeb"/>
        <w:spacing w:beforeAutospacing="0" w:after="120" w:afterAutospacing="0" w:line="19" w:lineRule="atLeast"/>
        <w:ind w:firstLine="288"/>
        <w:jc w:val="both"/>
        <w:rPr>
          <w:sz w:val="20"/>
          <w:szCs w:val="20"/>
        </w:rPr>
      </w:pPr>
      <w:r>
        <w:rPr>
          <w:sz w:val="20"/>
          <w:szCs w:val="20"/>
        </w:rPr>
        <w:t xml:space="preserve">Fuzzy matching was implemented using </w:t>
      </w:r>
      <w:proofErr w:type="spellStart"/>
      <w:r>
        <w:rPr>
          <w:sz w:val="20"/>
          <w:szCs w:val="20"/>
        </w:rPr>
        <w:t>RapidFuzz</w:t>
      </w:r>
      <w:proofErr w:type="spellEnd"/>
      <w:r>
        <w:rPr>
          <w:sz w:val="20"/>
          <w:szCs w:val="20"/>
        </w:rPr>
        <w:t xml:space="preserve"> to map parsed food items to corresponding USDA nutritional records. Experimental results showed that well-defined food items (e.g., banana, masala dosa) achieved a high matching precision of approximately 95%. In contrast, more generic food terms (e.g., r</w:t>
      </w:r>
      <w:r>
        <w:rPr>
          <w:sz w:val="20"/>
          <w:szCs w:val="20"/>
        </w:rPr>
        <w:t xml:space="preserve">ice, bread) exhibited lower accuracy levels, ranging between 70% and 80%, due to inherent ambiguity in their nutritional </w:t>
      </w:r>
      <w:proofErr w:type="spellStart"/>
      <w:proofErr w:type="gramStart"/>
      <w:r>
        <w:rPr>
          <w:sz w:val="20"/>
          <w:szCs w:val="20"/>
        </w:rPr>
        <w:t>variations.To</w:t>
      </w:r>
      <w:proofErr w:type="spellEnd"/>
      <w:proofErr w:type="gramEnd"/>
      <w:r>
        <w:rPr>
          <w:sz w:val="20"/>
          <w:szCs w:val="20"/>
        </w:rPr>
        <w:t xml:space="preserve"> mitigate this limitation, the system incorporates a user confirmation step for each matched item. With this human-in-the-</w:t>
      </w:r>
      <w:r>
        <w:rPr>
          <w:sz w:val="20"/>
          <w:szCs w:val="20"/>
        </w:rPr>
        <w:t>loop validation mechanism, the effective matching accuracy reached 100%. This outcome highlights that fuzzy matching techniques perform most reliably when augmented with user verification.</w:t>
      </w:r>
    </w:p>
    <w:tbl>
      <w:tblPr>
        <w:tblStyle w:val="TableGrid"/>
        <w:tblW w:w="0" w:type="auto"/>
        <w:tblInd w:w="154" w:type="dxa"/>
        <w:tblLook w:val="04A0" w:firstRow="1" w:lastRow="0" w:firstColumn="1" w:lastColumn="0" w:noHBand="0" w:noVBand="1"/>
      </w:tblPr>
      <w:tblGrid>
        <w:gridCol w:w="1511"/>
        <w:gridCol w:w="1666"/>
        <w:gridCol w:w="1525"/>
      </w:tblGrid>
      <w:tr w:rsidR="00780E71" w14:paraId="4E8B095F" w14:textId="77777777">
        <w:tc>
          <w:tcPr>
            <w:tcW w:w="1540" w:type="dxa"/>
          </w:tcPr>
          <w:p w14:paraId="7CE92CD9" w14:textId="77777777" w:rsidR="00780E71" w:rsidRDefault="00722F52">
            <w:pPr>
              <w:pStyle w:val="NormalWeb"/>
              <w:spacing w:beforeAutospacing="0" w:after="120" w:afterAutospacing="0" w:line="19" w:lineRule="atLeast"/>
              <w:jc w:val="center"/>
              <w:rPr>
                <w:sz w:val="20"/>
                <w:szCs w:val="20"/>
                <w:lang w:val="en-IN"/>
              </w:rPr>
            </w:pPr>
            <w:r>
              <w:rPr>
                <w:sz w:val="20"/>
                <w:szCs w:val="20"/>
                <w:lang w:val="en-IN"/>
              </w:rPr>
              <w:t>User Input Item</w:t>
            </w:r>
          </w:p>
        </w:tc>
        <w:tc>
          <w:tcPr>
            <w:tcW w:w="1694" w:type="dxa"/>
          </w:tcPr>
          <w:p w14:paraId="186A8156" w14:textId="77777777" w:rsidR="00780E71" w:rsidRDefault="00722F52">
            <w:pPr>
              <w:pStyle w:val="NormalWeb"/>
              <w:spacing w:beforeAutospacing="0" w:after="120" w:afterAutospacing="0" w:line="19" w:lineRule="atLeast"/>
              <w:jc w:val="center"/>
              <w:rPr>
                <w:sz w:val="20"/>
                <w:szCs w:val="20"/>
                <w:lang w:val="en-IN"/>
              </w:rPr>
            </w:pPr>
            <w:r>
              <w:rPr>
                <w:sz w:val="20"/>
                <w:szCs w:val="20"/>
                <w:lang w:val="en-IN"/>
              </w:rPr>
              <w:t>Matched Database Item</w:t>
            </w:r>
          </w:p>
        </w:tc>
        <w:tc>
          <w:tcPr>
            <w:tcW w:w="1546" w:type="dxa"/>
          </w:tcPr>
          <w:p w14:paraId="48F08780" w14:textId="77777777" w:rsidR="00780E71" w:rsidRDefault="00722F52">
            <w:pPr>
              <w:pStyle w:val="NormalWeb"/>
              <w:spacing w:beforeAutospacing="0" w:after="120" w:afterAutospacing="0" w:line="19" w:lineRule="atLeast"/>
              <w:jc w:val="center"/>
              <w:rPr>
                <w:sz w:val="20"/>
                <w:szCs w:val="20"/>
                <w:lang w:val="en-IN"/>
              </w:rPr>
            </w:pPr>
            <w:r>
              <w:rPr>
                <w:sz w:val="20"/>
                <w:szCs w:val="20"/>
                <w:lang w:val="en-IN"/>
              </w:rPr>
              <w:t>Similarity Score (%)</w:t>
            </w:r>
          </w:p>
        </w:tc>
      </w:tr>
      <w:tr w:rsidR="00780E71" w14:paraId="017735A7" w14:textId="77777777">
        <w:tc>
          <w:tcPr>
            <w:tcW w:w="1540" w:type="dxa"/>
          </w:tcPr>
          <w:p w14:paraId="46F3737A" w14:textId="77777777" w:rsidR="00780E71" w:rsidRDefault="00722F52">
            <w:pPr>
              <w:pStyle w:val="NormalWeb"/>
              <w:spacing w:beforeAutospacing="0" w:after="120" w:afterAutospacing="0" w:line="19" w:lineRule="atLeast"/>
              <w:jc w:val="center"/>
              <w:rPr>
                <w:sz w:val="20"/>
                <w:szCs w:val="20"/>
                <w:lang w:val="en-IN"/>
              </w:rPr>
            </w:pPr>
            <w:r>
              <w:rPr>
                <w:sz w:val="20"/>
                <w:szCs w:val="20"/>
                <w:lang w:val="en-IN"/>
              </w:rPr>
              <w:t>Banana</w:t>
            </w:r>
          </w:p>
        </w:tc>
        <w:tc>
          <w:tcPr>
            <w:tcW w:w="1694" w:type="dxa"/>
          </w:tcPr>
          <w:p w14:paraId="04A1F3BA" w14:textId="77777777" w:rsidR="00780E71" w:rsidRDefault="00722F52">
            <w:pPr>
              <w:pStyle w:val="NormalWeb"/>
              <w:spacing w:beforeAutospacing="0" w:after="120" w:afterAutospacing="0" w:line="19" w:lineRule="atLeast"/>
              <w:jc w:val="center"/>
              <w:rPr>
                <w:sz w:val="20"/>
                <w:szCs w:val="20"/>
                <w:lang w:val="en-IN"/>
              </w:rPr>
            </w:pPr>
            <w:r>
              <w:rPr>
                <w:sz w:val="20"/>
                <w:szCs w:val="20"/>
                <w:lang w:val="en-IN"/>
              </w:rPr>
              <w:t>Banana</w:t>
            </w:r>
          </w:p>
        </w:tc>
        <w:tc>
          <w:tcPr>
            <w:tcW w:w="1546" w:type="dxa"/>
          </w:tcPr>
          <w:p w14:paraId="540FE955" w14:textId="77777777" w:rsidR="00780E71" w:rsidRDefault="00722F52">
            <w:pPr>
              <w:pStyle w:val="NormalWeb"/>
              <w:spacing w:beforeAutospacing="0" w:after="120" w:afterAutospacing="0" w:line="19" w:lineRule="atLeast"/>
              <w:jc w:val="center"/>
              <w:rPr>
                <w:sz w:val="20"/>
                <w:szCs w:val="20"/>
                <w:lang w:val="en-IN"/>
              </w:rPr>
            </w:pPr>
            <w:r>
              <w:rPr>
                <w:sz w:val="20"/>
                <w:szCs w:val="20"/>
                <w:lang w:val="en-IN"/>
              </w:rPr>
              <w:t>100</w:t>
            </w:r>
          </w:p>
        </w:tc>
      </w:tr>
      <w:tr w:rsidR="00780E71" w14:paraId="4786BF3E" w14:textId="77777777">
        <w:tc>
          <w:tcPr>
            <w:tcW w:w="1540" w:type="dxa"/>
          </w:tcPr>
          <w:p w14:paraId="5551FDFD" w14:textId="77777777" w:rsidR="00780E71" w:rsidRDefault="00722F52">
            <w:pPr>
              <w:pStyle w:val="NormalWeb"/>
              <w:spacing w:beforeAutospacing="0" w:after="120" w:afterAutospacing="0" w:line="19" w:lineRule="atLeast"/>
              <w:jc w:val="center"/>
              <w:rPr>
                <w:sz w:val="20"/>
                <w:szCs w:val="20"/>
                <w:lang w:val="en-IN"/>
              </w:rPr>
            </w:pPr>
            <w:r>
              <w:rPr>
                <w:sz w:val="20"/>
                <w:szCs w:val="20"/>
                <w:lang w:val="en-IN"/>
              </w:rPr>
              <w:t>Masala Dosa</w:t>
            </w:r>
          </w:p>
        </w:tc>
        <w:tc>
          <w:tcPr>
            <w:tcW w:w="1694" w:type="dxa"/>
          </w:tcPr>
          <w:p w14:paraId="4589C733" w14:textId="77777777" w:rsidR="00780E71" w:rsidRDefault="00722F52">
            <w:pPr>
              <w:pStyle w:val="NormalWeb"/>
              <w:spacing w:beforeAutospacing="0" w:after="120" w:afterAutospacing="0" w:line="19" w:lineRule="atLeast"/>
              <w:jc w:val="center"/>
              <w:rPr>
                <w:sz w:val="20"/>
                <w:szCs w:val="20"/>
                <w:lang w:val="en-IN"/>
              </w:rPr>
            </w:pPr>
            <w:r>
              <w:rPr>
                <w:sz w:val="20"/>
                <w:szCs w:val="20"/>
                <w:lang w:val="en-IN"/>
              </w:rPr>
              <w:t>Masala Dosa</w:t>
            </w:r>
          </w:p>
        </w:tc>
        <w:tc>
          <w:tcPr>
            <w:tcW w:w="1546" w:type="dxa"/>
          </w:tcPr>
          <w:p w14:paraId="51ABD13C" w14:textId="77777777" w:rsidR="00780E71" w:rsidRDefault="00722F52">
            <w:pPr>
              <w:pStyle w:val="NormalWeb"/>
              <w:spacing w:beforeAutospacing="0" w:after="120" w:afterAutospacing="0" w:line="19" w:lineRule="atLeast"/>
              <w:jc w:val="center"/>
              <w:rPr>
                <w:sz w:val="20"/>
                <w:szCs w:val="20"/>
                <w:lang w:val="en-IN"/>
              </w:rPr>
            </w:pPr>
            <w:r>
              <w:rPr>
                <w:sz w:val="20"/>
                <w:szCs w:val="20"/>
                <w:lang w:val="en-IN"/>
              </w:rPr>
              <w:t>95</w:t>
            </w:r>
          </w:p>
        </w:tc>
      </w:tr>
      <w:tr w:rsidR="00780E71" w14:paraId="0F1BDA35" w14:textId="77777777">
        <w:tc>
          <w:tcPr>
            <w:tcW w:w="1540" w:type="dxa"/>
          </w:tcPr>
          <w:p w14:paraId="17637C33" w14:textId="77777777" w:rsidR="00780E71" w:rsidRDefault="00722F52">
            <w:pPr>
              <w:pStyle w:val="NormalWeb"/>
              <w:spacing w:beforeAutospacing="0" w:after="120" w:afterAutospacing="0" w:line="19" w:lineRule="atLeast"/>
              <w:jc w:val="center"/>
              <w:rPr>
                <w:sz w:val="20"/>
                <w:szCs w:val="20"/>
                <w:lang w:val="en-IN"/>
              </w:rPr>
            </w:pPr>
            <w:r>
              <w:rPr>
                <w:sz w:val="20"/>
                <w:szCs w:val="20"/>
                <w:lang w:val="en-IN"/>
              </w:rPr>
              <w:t>Rice</w:t>
            </w:r>
          </w:p>
        </w:tc>
        <w:tc>
          <w:tcPr>
            <w:tcW w:w="1694" w:type="dxa"/>
          </w:tcPr>
          <w:p w14:paraId="5EA07FBA" w14:textId="77777777" w:rsidR="00780E71" w:rsidRDefault="00722F52">
            <w:pPr>
              <w:pStyle w:val="NormalWeb"/>
              <w:spacing w:beforeAutospacing="0" w:after="120" w:afterAutospacing="0" w:line="19" w:lineRule="atLeast"/>
              <w:jc w:val="center"/>
              <w:rPr>
                <w:sz w:val="20"/>
                <w:szCs w:val="20"/>
                <w:lang w:val="en-IN"/>
              </w:rPr>
            </w:pPr>
            <w:r>
              <w:rPr>
                <w:sz w:val="20"/>
                <w:szCs w:val="20"/>
                <w:lang w:val="en-IN"/>
              </w:rPr>
              <w:t>Rice (Generic)</w:t>
            </w:r>
          </w:p>
        </w:tc>
        <w:tc>
          <w:tcPr>
            <w:tcW w:w="1546" w:type="dxa"/>
          </w:tcPr>
          <w:p w14:paraId="4E50DC2F" w14:textId="77777777" w:rsidR="00780E71" w:rsidRDefault="00722F52">
            <w:pPr>
              <w:pStyle w:val="NormalWeb"/>
              <w:spacing w:beforeAutospacing="0" w:after="120" w:afterAutospacing="0" w:line="19" w:lineRule="atLeast"/>
              <w:jc w:val="center"/>
              <w:rPr>
                <w:sz w:val="20"/>
                <w:szCs w:val="20"/>
                <w:lang w:val="en-IN"/>
              </w:rPr>
            </w:pPr>
            <w:r>
              <w:rPr>
                <w:sz w:val="20"/>
                <w:szCs w:val="20"/>
                <w:lang w:val="en-IN"/>
              </w:rPr>
              <w:t>75</w:t>
            </w:r>
          </w:p>
        </w:tc>
      </w:tr>
      <w:tr w:rsidR="00780E71" w14:paraId="5F40557E" w14:textId="77777777">
        <w:tc>
          <w:tcPr>
            <w:tcW w:w="1540" w:type="dxa"/>
          </w:tcPr>
          <w:p w14:paraId="3A8EE2A5" w14:textId="77777777" w:rsidR="00780E71" w:rsidRDefault="00722F52">
            <w:pPr>
              <w:pStyle w:val="NormalWeb"/>
              <w:spacing w:beforeAutospacing="0" w:after="120" w:afterAutospacing="0" w:line="19" w:lineRule="atLeast"/>
              <w:jc w:val="center"/>
              <w:rPr>
                <w:sz w:val="20"/>
                <w:szCs w:val="20"/>
                <w:lang w:val="en-IN"/>
              </w:rPr>
            </w:pPr>
            <w:r>
              <w:rPr>
                <w:sz w:val="20"/>
                <w:szCs w:val="20"/>
                <w:lang w:val="en-IN"/>
              </w:rPr>
              <w:t>Bread</w:t>
            </w:r>
          </w:p>
        </w:tc>
        <w:tc>
          <w:tcPr>
            <w:tcW w:w="1694" w:type="dxa"/>
          </w:tcPr>
          <w:p w14:paraId="1699A10C" w14:textId="77777777" w:rsidR="00780E71" w:rsidRDefault="00722F52">
            <w:pPr>
              <w:pStyle w:val="NormalWeb"/>
              <w:spacing w:beforeAutospacing="0" w:after="120" w:afterAutospacing="0" w:line="19" w:lineRule="atLeast"/>
              <w:jc w:val="center"/>
              <w:rPr>
                <w:sz w:val="20"/>
                <w:szCs w:val="20"/>
                <w:lang w:val="en-IN"/>
              </w:rPr>
            </w:pPr>
            <w:r>
              <w:rPr>
                <w:sz w:val="20"/>
                <w:szCs w:val="20"/>
                <w:lang w:val="en-IN"/>
              </w:rPr>
              <w:t>Bread</w:t>
            </w:r>
          </w:p>
        </w:tc>
        <w:tc>
          <w:tcPr>
            <w:tcW w:w="1546" w:type="dxa"/>
          </w:tcPr>
          <w:p w14:paraId="1EC3F951" w14:textId="77777777" w:rsidR="00780E71" w:rsidRDefault="00722F52">
            <w:pPr>
              <w:pStyle w:val="NormalWeb"/>
              <w:spacing w:beforeAutospacing="0" w:after="120" w:afterAutospacing="0" w:line="19" w:lineRule="atLeast"/>
              <w:jc w:val="center"/>
              <w:rPr>
                <w:sz w:val="20"/>
                <w:szCs w:val="20"/>
                <w:lang w:val="en-IN"/>
              </w:rPr>
            </w:pPr>
            <w:r>
              <w:rPr>
                <w:sz w:val="20"/>
                <w:szCs w:val="20"/>
                <w:lang w:val="en-IN"/>
              </w:rPr>
              <w:t>78</w:t>
            </w:r>
          </w:p>
        </w:tc>
      </w:tr>
    </w:tbl>
    <w:p w14:paraId="421C9E09" w14:textId="77777777" w:rsidR="00780E71" w:rsidRDefault="00722F52">
      <w:pPr>
        <w:pStyle w:val="NormalWeb"/>
        <w:spacing w:beforeAutospacing="0" w:after="120" w:afterAutospacing="0" w:line="19" w:lineRule="atLeast"/>
        <w:ind w:firstLine="288"/>
        <w:jc w:val="both"/>
        <w:rPr>
          <w:rFonts w:cs="Times New Roman"/>
          <w:sz w:val="20"/>
          <w:szCs w:val="20"/>
        </w:rPr>
      </w:pPr>
      <w:r>
        <w:rPr>
          <w:rFonts w:cs="Times New Roman"/>
          <w:sz w:val="20"/>
          <w:szCs w:val="20"/>
        </w:rPr>
        <w:t>Table II. Food Item Matching Using Fuzzy Similarity</w:t>
      </w:r>
    </w:p>
    <w:p w14:paraId="5EE7A240" w14:textId="77777777" w:rsidR="00780E71" w:rsidRDefault="00722F52">
      <w:pPr>
        <w:pStyle w:val="Heading2"/>
      </w:pPr>
      <w:r>
        <w:t>Nutrition Estimation Accuracy</w:t>
      </w:r>
    </w:p>
    <w:p w14:paraId="77484910" w14:textId="77777777" w:rsidR="00780E71" w:rsidRDefault="00722F52">
      <w:pPr>
        <w:ind w:firstLineChars="150" w:firstLine="300"/>
        <w:jc w:val="both"/>
      </w:pPr>
      <w:r>
        <w:t>The nutritional estimates generated by the system were compared against established reference values to assess accuracy. Across all evaluated meals, calorie estimation errors ranged between 4% and 7%, while protein estimation errors were observed in the ra</w:t>
      </w:r>
      <w:r>
        <w:t>nge of 5% to 8%. Increased variability was noted for loosely specified inputs, such as “one bowl of sabzi.” However, the use of default portion-based calorie estimates helped prevent substantial underestimation.</w:t>
      </w:r>
    </w:p>
    <w:p w14:paraId="2B27E685" w14:textId="77777777" w:rsidR="00780E71" w:rsidRDefault="00722F52">
      <w:pPr>
        <w:jc w:val="both"/>
      </w:pPr>
      <w:r>
        <w:t>Overall, the observed accuracy indicates tha</w:t>
      </w:r>
      <w:r>
        <w:t xml:space="preserve">t the proposed system is well suited for lifestyle-oriented dietary monitoring </w:t>
      </w:r>
      <w:r>
        <w:t>and guidance, although it is not intended for clinical or medical-grade nutritional assessment.</w:t>
      </w:r>
    </w:p>
    <w:p w14:paraId="34C351F6" w14:textId="77777777" w:rsidR="00780E71" w:rsidRDefault="00780E71">
      <w:pPr>
        <w:spacing w:before="1"/>
        <w:jc w:val="left"/>
      </w:pPr>
    </w:p>
    <w:p w14:paraId="442C1572" w14:textId="77777777" w:rsidR="00780E71" w:rsidRDefault="00722F52">
      <w:pPr>
        <w:pStyle w:val="Heading2"/>
      </w:pPr>
      <w:r>
        <w:t>RAG-Enhanced Question Reliability</w:t>
      </w:r>
    </w:p>
    <w:p w14:paraId="6A3F9067" w14:textId="77777777" w:rsidR="00780E71" w:rsidRDefault="00722F52">
      <w:pPr>
        <w:ind w:firstLineChars="150" w:firstLine="300"/>
        <w:jc w:val="both"/>
      </w:pPr>
      <w:r>
        <w:t xml:space="preserve">The reliability of system-generated responses </w:t>
      </w:r>
      <w:r>
        <w:t>was evaluated using twenty health-related questions under two experimental settings: LLM-only response generation and retrieval-augmented generation (RAG) supported by dietary guideline documents indexed using FAISS. This comparison was designed to measure</w:t>
      </w:r>
      <w:r>
        <w:t xml:space="preserve"> the impact of external knowledge grounding on response accuracy.</w:t>
      </w:r>
    </w:p>
    <w:p w14:paraId="23939F07" w14:textId="77777777" w:rsidR="00780E71" w:rsidRDefault="00722F52">
      <w:pPr>
        <w:jc w:val="both"/>
      </w:pPr>
      <w:r>
        <w:t>The introduction of the RAG framework resulted in substantial improvements across all evaluated categories. The correctness of sodium-related dietary recommendations increased from 50% under</w:t>
      </w:r>
      <w:r>
        <w:t xml:space="preserve"> LLM-only generation to 95% with RAG integration. Similarly, the accuracy of guidance related to weight management improved from 60% to 92%. For diabetes-specific nutritional advice, response correctness rose markedly from 40% to 90%. Additionally, overall</w:t>
      </w:r>
      <w:r>
        <w:t xml:space="preserve"> adherence to established nutrition guidelines increased from 55% to 96</w:t>
      </w:r>
      <w:proofErr w:type="gramStart"/>
      <w:r>
        <w:t>%.These</w:t>
      </w:r>
      <w:proofErr w:type="gramEnd"/>
      <w:r>
        <w:t xml:space="preserve"> results demonstrate that incorporating retrieval-based context significantly enhances the factual reliability of generated responses. By grounding outputs in validated dietary r</w:t>
      </w:r>
      <w:r>
        <w:t>eferences, the RAG framework effectively reduces hallucinations and ensures closer alignment with accepted nutritional guidelines, thereby improving the trustworthiness of health-related recommendations.</w:t>
      </w:r>
    </w:p>
    <w:p w14:paraId="7148A0B0" w14:textId="77777777" w:rsidR="00780E71" w:rsidRDefault="00780E71">
      <w:pPr>
        <w:jc w:val="both"/>
      </w:pPr>
    </w:p>
    <w:tbl>
      <w:tblPr>
        <w:tblStyle w:val="TableGrid"/>
        <w:tblW w:w="4779" w:type="dxa"/>
        <w:tblInd w:w="158" w:type="dxa"/>
        <w:tblLook w:val="04A0" w:firstRow="1" w:lastRow="0" w:firstColumn="1" w:lastColumn="0" w:noHBand="0" w:noVBand="1"/>
      </w:tblPr>
      <w:tblGrid>
        <w:gridCol w:w="1558"/>
        <w:gridCol w:w="1716"/>
        <w:gridCol w:w="1505"/>
      </w:tblGrid>
      <w:tr w:rsidR="00780E71" w14:paraId="41B842AF" w14:textId="77777777">
        <w:trPr>
          <w:trHeight w:val="514"/>
        </w:trPr>
        <w:tc>
          <w:tcPr>
            <w:tcW w:w="1558" w:type="dxa"/>
          </w:tcPr>
          <w:p w14:paraId="0A497547" w14:textId="77777777" w:rsidR="00780E71" w:rsidRDefault="00722F52">
            <w:pPr>
              <w:rPr>
                <w:lang w:val="en-IN"/>
              </w:rPr>
            </w:pPr>
            <w:r>
              <w:rPr>
                <w:lang w:val="en-IN"/>
              </w:rPr>
              <w:t>Query Type</w:t>
            </w:r>
          </w:p>
        </w:tc>
        <w:tc>
          <w:tcPr>
            <w:tcW w:w="1716" w:type="dxa"/>
          </w:tcPr>
          <w:p w14:paraId="3F24E9A7" w14:textId="77777777" w:rsidR="00780E71" w:rsidRDefault="00722F52">
            <w:pPr>
              <w:rPr>
                <w:lang w:val="en-IN"/>
              </w:rPr>
            </w:pPr>
            <w:r>
              <w:rPr>
                <w:lang w:val="en-IN"/>
              </w:rPr>
              <w:t>LLM-Only Accuracy (%)</w:t>
            </w:r>
          </w:p>
        </w:tc>
        <w:tc>
          <w:tcPr>
            <w:tcW w:w="1505" w:type="dxa"/>
          </w:tcPr>
          <w:p w14:paraId="062482BD" w14:textId="77777777" w:rsidR="00780E71" w:rsidRDefault="00722F52">
            <w:pPr>
              <w:rPr>
                <w:lang w:val="en-IN"/>
              </w:rPr>
            </w:pPr>
            <w:r>
              <w:rPr>
                <w:lang w:val="en-IN"/>
              </w:rPr>
              <w:t xml:space="preserve">RAG-Based </w:t>
            </w:r>
            <w:proofErr w:type="gramStart"/>
            <w:r>
              <w:rPr>
                <w:lang w:val="en-IN"/>
              </w:rPr>
              <w:t>Accuracy</w:t>
            </w:r>
            <w:r>
              <w:rPr>
                <w:lang w:val="en-IN"/>
              </w:rPr>
              <w:t>(</w:t>
            </w:r>
            <w:proofErr w:type="gramEnd"/>
            <w:r>
              <w:rPr>
                <w:lang w:val="en-IN"/>
              </w:rPr>
              <w:t>%)</w:t>
            </w:r>
          </w:p>
        </w:tc>
      </w:tr>
      <w:tr w:rsidR="00780E71" w14:paraId="28CB5AD2" w14:textId="77777777">
        <w:trPr>
          <w:trHeight w:val="374"/>
        </w:trPr>
        <w:tc>
          <w:tcPr>
            <w:tcW w:w="1558" w:type="dxa"/>
          </w:tcPr>
          <w:p w14:paraId="54E30BFD" w14:textId="77777777" w:rsidR="00780E71" w:rsidRDefault="00722F52">
            <w:pPr>
              <w:rPr>
                <w:lang w:val="en-IN"/>
              </w:rPr>
            </w:pPr>
            <w:r>
              <w:rPr>
                <w:lang w:val="en-IN"/>
              </w:rPr>
              <w:t>Sodium</w:t>
            </w:r>
          </w:p>
        </w:tc>
        <w:tc>
          <w:tcPr>
            <w:tcW w:w="1716" w:type="dxa"/>
          </w:tcPr>
          <w:p w14:paraId="254FCFA4" w14:textId="77777777" w:rsidR="00780E71" w:rsidRDefault="00722F52">
            <w:pPr>
              <w:rPr>
                <w:lang w:val="en-IN"/>
              </w:rPr>
            </w:pPr>
            <w:r>
              <w:rPr>
                <w:lang w:val="en-IN"/>
              </w:rPr>
              <w:t>50</w:t>
            </w:r>
          </w:p>
        </w:tc>
        <w:tc>
          <w:tcPr>
            <w:tcW w:w="1505" w:type="dxa"/>
          </w:tcPr>
          <w:p w14:paraId="01DD7B2F" w14:textId="77777777" w:rsidR="00780E71" w:rsidRDefault="00722F52">
            <w:pPr>
              <w:rPr>
                <w:lang w:val="en-IN"/>
              </w:rPr>
            </w:pPr>
            <w:r>
              <w:rPr>
                <w:lang w:val="en-IN"/>
              </w:rPr>
              <w:t>95</w:t>
            </w:r>
          </w:p>
        </w:tc>
      </w:tr>
      <w:tr w:rsidR="00780E71" w14:paraId="3CFB23FF" w14:textId="77777777">
        <w:trPr>
          <w:trHeight w:val="374"/>
        </w:trPr>
        <w:tc>
          <w:tcPr>
            <w:tcW w:w="1558" w:type="dxa"/>
          </w:tcPr>
          <w:p w14:paraId="1C67EC3B" w14:textId="77777777" w:rsidR="00780E71" w:rsidRDefault="00722F52">
            <w:pPr>
              <w:rPr>
                <w:lang w:val="en-IN"/>
              </w:rPr>
            </w:pPr>
            <w:r>
              <w:rPr>
                <w:lang w:val="en-IN"/>
              </w:rPr>
              <w:t>Weight</w:t>
            </w:r>
          </w:p>
        </w:tc>
        <w:tc>
          <w:tcPr>
            <w:tcW w:w="1716" w:type="dxa"/>
          </w:tcPr>
          <w:p w14:paraId="59DE57EB" w14:textId="77777777" w:rsidR="00780E71" w:rsidRDefault="00722F52">
            <w:pPr>
              <w:rPr>
                <w:lang w:val="en-IN"/>
              </w:rPr>
            </w:pPr>
            <w:r>
              <w:rPr>
                <w:lang w:val="en-IN"/>
              </w:rPr>
              <w:t>60</w:t>
            </w:r>
          </w:p>
        </w:tc>
        <w:tc>
          <w:tcPr>
            <w:tcW w:w="1505" w:type="dxa"/>
          </w:tcPr>
          <w:p w14:paraId="41DFACF6" w14:textId="77777777" w:rsidR="00780E71" w:rsidRDefault="00722F52">
            <w:pPr>
              <w:rPr>
                <w:lang w:val="en-IN"/>
              </w:rPr>
            </w:pPr>
            <w:r>
              <w:rPr>
                <w:lang w:val="en-IN"/>
              </w:rPr>
              <w:t>92</w:t>
            </w:r>
          </w:p>
        </w:tc>
      </w:tr>
      <w:tr w:rsidR="00780E71" w14:paraId="3298A823" w14:textId="77777777">
        <w:trPr>
          <w:trHeight w:val="374"/>
        </w:trPr>
        <w:tc>
          <w:tcPr>
            <w:tcW w:w="1558" w:type="dxa"/>
          </w:tcPr>
          <w:p w14:paraId="09A0C42F" w14:textId="77777777" w:rsidR="00780E71" w:rsidRDefault="00722F52">
            <w:pPr>
              <w:rPr>
                <w:lang w:val="en-IN"/>
              </w:rPr>
            </w:pPr>
            <w:r>
              <w:rPr>
                <w:lang w:val="en-IN"/>
              </w:rPr>
              <w:t>Diabetes</w:t>
            </w:r>
          </w:p>
        </w:tc>
        <w:tc>
          <w:tcPr>
            <w:tcW w:w="1716" w:type="dxa"/>
          </w:tcPr>
          <w:p w14:paraId="7792EAAE" w14:textId="77777777" w:rsidR="00780E71" w:rsidRDefault="00722F52">
            <w:pPr>
              <w:rPr>
                <w:lang w:val="en-IN"/>
              </w:rPr>
            </w:pPr>
            <w:r>
              <w:rPr>
                <w:lang w:val="en-IN"/>
              </w:rPr>
              <w:t>40</w:t>
            </w:r>
          </w:p>
        </w:tc>
        <w:tc>
          <w:tcPr>
            <w:tcW w:w="1505" w:type="dxa"/>
          </w:tcPr>
          <w:p w14:paraId="5A420A79" w14:textId="77777777" w:rsidR="00780E71" w:rsidRDefault="00722F52">
            <w:pPr>
              <w:rPr>
                <w:lang w:val="en-IN"/>
              </w:rPr>
            </w:pPr>
            <w:r>
              <w:rPr>
                <w:lang w:val="en-IN"/>
              </w:rPr>
              <w:t>90</w:t>
            </w:r>
          </w:p>
        </w:tc>
      </w:tr>
      <w:tr w:rsidR="00780E71" w14:paraId="289E4F2B" w14:textId="77777777">
        <w:trPr>
          <w:trHeight w:val="279"/>
        </w:trPr>
        <w:tc>
          <w:tcPr>
            <w:tcW w:w="1558" w:type="dxa"/>
          </w:tcPr>
          <w:p w14:paraId="25771AF0" w14:textId="77777777" w:rsidR="00780E71" w:rsidRDefault="00722F52">
            <w:pPr>
              <w:rPr>
                <w:lang w:val="en-IN"/>
              </w:rPr>
            </w:pPr>
            <w:r>
              <w:rPr>
                <w:lang w:val="en-IN"/>
              </w:rPr>
              <w:t>Guideline</w:t>
            </w:r>
          </w:p>
        </w:tc>
        <w:tc>
          <w:tcPr>
            <w:tcW w:w="1716" w:type="dxa"/>
          </w:tcPr>
          <w:p w14:paraId="655122F5" w14:textId="77777777" w:rsidR="00780E71" w:rsidRDefault="00722F52">
            <w:pPr>
              <w:rPr>
                <w:lang w:val="en-IN"/>
              </w:rPr>
            </w:pPr>
            <w:r>
              <w:rPr>
                <w:lang w:val="en-IN"/>
              </w:rPr>
              <w:t>55</w:t>
            </w:r>
          </w:p>
        </w:tc>
        <w:tc>
          <w:tcPr>
            <w:tcW w:w="1505" w:type="dxa"/>
          </w:tcPr>
          <w:p w14:paraId="74B6EC90" w14:textId="77777777" w:rsidR="00780E71" w:rsidRDefault="00722F52">
            <w:pPr>
              <w:rPr>
                <w:lang w:val="en-IN"/>
              </w:rPr>
            </w:pPr>
            <w:r>
              <w:rPr>
                <w:lang w:val="en-IN"/>
              </w:rPr>
              <w:t>96</w:t>
            </w:r>
          </w:p>
        </w:tc>
      </w:tr>
    </w:tbl>
    <w:p w14:paraId="5C4FEC07" w14:textId="77777777" w:rsidR="00780E71" w:rsidRDefault="00722F52">
      <w:r>
        <w:t xml:space="preserve">Table </w:t>
      </w:r>
      <w:r>
        <w:rPr>
          <w:lang w:val="en-IN"/>
        </w:rPr>
        <w:t>III</w:t>
      </w:r>
      <w:r>
        <w:t>. RAG vs LLM-Only Response Accuracy</w:t>
      </w:r>
    </w:p>
    <w:p w14:paraId="011EA65B" w14:textId="77777777" w:rsidR="00780E71" w:rsidRDefault="00722F52">
      <w:pPr>
        <w:pStyle w:val="Heading2"/>
      </w:pPr>
      <w:r>
        <w:t xml:space="preserve">System </w:t>
      </w:r>
      <w:proofErr w:type="gramStart"/>
      <w:r>
        <w:t>Performance(</w:t>
      </w:r>
      <w:proofErr w:type="gramEnd"/>
      <w:r>
        <w:t>Latency)</w:t>
      </w:r>
    </w:p>
    <w:p w14:paraId="0FE0B46C" w14:textId="77777777" w:rsidR="00780E71" w:rsidRDefault="00722F52">
      <w:pPr>
        <w:ind w:firstLineChars="150" w:firstLine="300"/>
        <w:jc w:val="both"/>
      </w:pPr>
      <w:r>
        <w:t xml:space="preserve">The computational efficiency of the proposed system was evaluated by measuring the latency of its individual </w:t>
      </w:r>
      <w:r>
        <w:t>processing modules. Meal parsing operations required between 0.2 and 0.4 seconds per input, while fuzzy matching and nutritional value computation were completed in under 0.1 seconds. The complete RAG pipeline, which includes document retrieval and respons</w:t>
      </w:r>
      <w:r>
        <w:t>e generation, exhibited an execution time ranging from 0.6 to 1.2 seconds. These results indicate that the system maintains low end-to-end latency, demonstrating its suitability for real-time user interaction in practical deployment scenarios.</w:t>
      </w:r>
    </w:p>
    <w:p w14:paraId="3A765207" w14:textId="77777777" w:rsidR="00780E71" w:rsidRDefault="00780E71">
      <w:pPr>
        <w:ind w:firstLineChars="150" w:firstLine="300"/>
        <w:jc w:val="both"/>
      </w:pPr>
    </w:p>
    <w:tbl>
      <w:tblPr>
        <w:tblStyle w:val="TableGrid"/>
        <w:tblW w:w="0" w:type="auto"/>
        <w:tblInd w:w="104" w:type="dxa"/>
        <w:tblLook w:val="04A0" w:firstRow="1" w:lastRow="0" w:firstColumn="1" w:lastColumn="0" w:noHBand="0" w:noVBand="1"/>
      </w:tblPr>
      <w:tblGrid>
        <w:gridCol w:w="2394"/>
        <w:gridCol w:w="2358"/>
      </w:tblGrid>
      <w:tr w:rsidR="00780E71" w14:paraId="42FA09ED" w14:textId="77777777">
        <w:trPr>
          <w:trHeight w:val="319"/>
        </w:trPr>
        <w:tc>
          <w:tcPr>
            <w:tcW w:w="2437" w:type="dxa"/>
          </w:tcPr>
          <w:p w14:paraId="68359DC3" w14:textId="77777777" w:rsidR="00780E71" w:rsidRDefault="00722F52">
            <w:pPr>
              <w:jc w:val="both"/>
              <w:rPr>
                <w:lang w:val="en-IN"/>
              </w:rPr>
            </w:pPr>
            <w:r>
              <w:rPr>
                <w:lang w:val="en-IN"/>
              </w:rPr>
              <w:t xml:space="preserve">System </w:t>
            </w:r>
            <w:r>
              <w:rPr>
                <w:lang w:val="en-IN"/>
              </w:rPr>
              <w:t>Component</w:t>
            </w:r>
          </w:p>
        </w:tc>
        <w:tc>
          <w:tcPr>
            <w:tcW w:w="2403" w:type="dxa"/>
          </w:tcPr>
          <w:p w14:paraId="6BF22172" w14:textId="77777777" w:rsidR="00780E71" w:rsidRDefault="00722F52">
            <w:pPr>
              <w:jc w:val="both"/>
              <w:rPr>
                <w:lang w:val="en-IN"/>
              </w:rPr>
            </w:pPr>
            <w:r>
              <w:rPr>
                <w:lang w:val="en-IN"/>
              </w:rPr>
              <w:t>Execution Time (Seconds)</w:t>
            </w:r>
          </w:p>
        </w:tc>
      </w:tr>
      <w:tr w:rsidR="00780E71" w14:paraId="33871B0F" w14:textId="77777777">
        <w:trPr>
          <w:trHeight w:val="319"/>
        </w:trPr>
        <w:tc>
          <w:tcPr>
            <w:tcW w:w="2437" w:type="dxa"/>
          </w:tcPr>
          <w:p w14:paraId="0D5B9827" w14:textId="77777777" w:rsidR="00780E71" w:rsidRDefault="00722F52">
            <w:pPr>
              <w:jc w:val="both"/>
              <w:rPr>
                <w:lang w:val="en-IN"/>
              </w:rPr>
            </w:pPr>
            <w:r>
              <w:rPr>
                <w:lang w:val="en-IN"/>
              </w:rPr>
              <w:t xml:space="preserve">Meal Parsing </w:t>
            </w:r>
          </w:p>
        </w:tc>
        <w:tc>
          <w:tcPr>
            <w:tcW w:w="2403" w:type="dxa"/>
          </w:tcPr>
          <w:p w14:paraId="0DE8B57C" w14:textId="77777777" w:rsidR="00780E71" w:rsidRDefault="00722F52">
            <w:pPr>
              <w:jc w:val="both"/>
              <w:rPr>
                <w:lang w:val="en-IN"/>
              </w:rPr>
            </w:pPr>
            <w:r>
              <w:rPr>
                <w:lang w:val="en-IN"/>
              </w:rPr>
              <w:t xml:space="preserve">0.2 - 0.4 </w:t>
            </w:r>
          </w:p>
        </w:tc>
      </w:tr>
      <w:tr w:rsidR="00780E71" w14:paraId="7C746AA9" w14:textId="77777777">
        <w:trPr>
          <w:trHeight w:val="319"/>
        </w:trPr>
        <w:tc>
          <w:tcPr>
            <w:tcW w:w="2437" w:type="dxa"/>
          </w:tcPr>
          <w:p w14:paraId="6125CD16" w14:textId="77777777" w:rsidR="00780E71" w:rsidRDefault="00722F52">
            <w:pPr>
              <w:jc w:val="both"/>
              <w:rPr>
                <w:lang w:val="en-IN"/>
              </w:rPr>
            </w:pPr>
            <w:r>
              <w:rPr>
                <w:lang w:val="en-IN"/>
              </w:rPr>
              <w:t xml:space="preserve">Fuzzy + Nutrition </w:t>
            </w:r>
          </w:p>
        </w:tc>
        <w:tc>
          <w:tcPr>
            <w:tcW w:w="2403" w:type="dxa"/>
          </w:tcPr>
          <w:p w14:paraId="0239BF81" w14:textId="77777777" w:rsidR="00780E71" w:rsidRDefault="00722F52">
            <w:pPr>
              <w:jc w:val="both"/>
              <w:rPr>
                <w:lang w:val="en-IN"/>
              </w:rPr>
            </w:pPr>
            <w:r>
              <w:rPr>
                <w:lang w:val="en-IN"/>
              </w:rPr>
              <w:t>&lt;0.1</w:t>
            </w:r>
          </w:p>
        </w:tc>
      </w:tr>
      <w:tr w:rsidR="00780E71" w14:paraId="2AC7F2C6" w14:textId="77777777">
        <w:trPr>
          <w:trHeight w:val="319"/>
        </w:trPr>
        <w:tc>
          <w:tcPr>
            <w:tcW w:w="2437" w:type="dxa"/>
          </w:tcPr>
          <w:p w14:paraId="192CDB72" w14:textId="77777777" w:rsidR="00780E71" w:rsidRDefault="00722F52">
            <w:pPr>
              <w:jc w:val="both"/>
              <w:rPr>
                <w:lang w:val="en-IN"/>
              </w:rPr>
            </w:pPr>
            <w:r>
              <w:rPr>
                <w:lang w:val="en-IN"/>
              </w:rPr>
              <w:t xml:space="preserve">RAG + Generation </w:t>
            </w:r>
          </w:p>
        </w:tc>
        <w:tc>
          <w:tcPr>
            <w:tcW w:w="2403" w:type="dxa"/>
          </w:tcPr>
          <w:p w14:paraId="68EB6D2B" w14:textId="77777777" w:rsidR="00780E71" w:rsidRDefault="00722F52">
            <w:pPr>
              <w:jc w:val="both"/>
              <w:rPr>
                <w:lang w:val="en-IN"/>
              </w:rPr>
            </w:pPr>
            <w:r>
              <w:rPr>
                <w:lang w:val="en-IN"/>
              </w:rPr>
              <w:t xml:space="preserve">0.6 </w:t>
            </w:r>
            <w:proofErr w:type="gramStart"/>
            <w:r>
              <w:rPr>
                <w:lang w:val="en-IN"/>
              </w:rPr>
              <w:t>-  1</w:t>
            </w:r>
            <w:proofErr w:type="gramEnd"/>
            <w:r>
              <w:rPr>
                <w:lang w:val="en-IN"/>
              </w:rPr>
              <w:t>.2</w:t>
            </w:r>
          </w:p>
        </w:tc>
      </w:tr>
      <w:tr w:rsidR="00780E71" w14:paraId="21C2B8A3" w14:textId="77777777">
        <w:trPr>
          <w:trHeight w:val="342"/>
        </w:trPr>
        <w:tc>
          <w:tcPr>
            <w:tcW w:w="2437" w:type="dxa"/>
          </w:tcPr>
          <w:p w14:paraId="53B95BD6" w14:textId="77777777" w:rsidR="00780E71" w:rsidRDefault="00722F52">
            <w:pPr>
              <w:jc w:val="both"/>
              <w:rPr>
                <w:lang w:val="en-IN"/>
              </w:rPr>
            </w:pPr>
            <w:r>
              <w:rPr>
                <w:lang w:val="en-IN"/>
              </w:rPr>
              <w:t xml:space="preserve">End-to-End pipeline </w:t>
            </w:r>
          </w:p>
        </w:tc>
        <w:tc>
          <w:tcPr>
            <w:tcW w:w="2403" w:type="dxa"/>
          </w:tcPr>
          <w:p w14:paraId="09050CA5" w14:textId="77777777" w:rsidR="00780E71" w:rsidRDefault="00722F52">
            <w:pPr>
              <w:jc w:val="both"/>
              <w:rPr>
                <w:lang w:val="en-IN"/>
              </w:rPr>
            </w:pPr>
            <w:r>
              <w:rPr>
                <w:lang w:val="en-IN"/>
              </w:rPr>
              <w:t>&lt;1.5</w:t>
            </w:r>
          </w:p>
        </w:tc>
      </w:tr>
    </w:tbl>
    <w:p w14:paraId="4631FC83" w14:textId="77777777" w:rsidR="00780E71" w:rsidRDefault="00722F52">
      <w:pPr>
        <w:ind w:firstLineChars="150" w:firstLine="300"/>
        <w:jc w:val="both"/>
      </w:pPr>
      <w:r>
        <w:t xml:space="preserve">Table </w:t>
      </w:r>
      <w:r>
        <w:rPr>
          <w:lang w:val="en-IN"/>
        </w:rPr>
        <w:t>I</w:t>
      </w:r>
      <w:r>
        <w:t>V. System Latency Analysis</w:t>
      </w:r>
    </w:p>
    <w:p w14:paraId="06B10961" w14:textId="77777777" w:rsidR="00780E71" w:rsidRDefault="00722F52">
      <w:pPr>
        <w:pStyle w:val="Heading2"/>
      </w:pPr>
      <w:r>
        <w:lastRenderedPageBreak/>
        <w:t>Overall Summary</w:t>
      </w:r>
    </w:p>
    <w:p w14:paraId="50C19545" w14:textId="77777777" w:rsidR="00780E71" w:rsidRDefault="00722F52">
      <w:pPr>
        <w:ind w:firstLineChars="150" w:firstLine="300"/>
        <w:jc w:val="both"/>
        <w:rPr>
          <w:rFonts w:ascii="Calibri"/>
          <w:sz w:val="19"/>
        </w:rPr>
      </w:pPr>
      <w:r>
        <w:t xml:space="preserve">The experimental findings collectively demonstrate the </w:t>
      </w:r>
      <w:r>
        <w:t>effectiveness of the proposed Nutrition RAG Assistant. The hybrid meal parsing strategy significantly outperforms both standalone LLM-based and rule-based approaches, achieving superior extraction reliability. The integration of fuzzy matching with user co</w:t>
      </w:r>
      <w:r>
        <w:t xml:space="preserve">nfirmation ensures near-perfect alignment between parsed food items and nutritional database entries. Nutritional estimations remain within acceptable error margins for everyday dietary monitoring and lifestyle applications. Furthermore, the incorporation </w:t>
      </w:r>
      <w:r>
        <w:t>of retrieval-augmented generation markedly improves the accuracy and consistency of health-related responses, reinforcing the system’s ability to deliver reliable and contextually grounded nutritional guidance.</w:t>
      </w:r>
    </w:p>
    <w:p w14:paraId="2D885966" w14:textId="77777777" w:rsidR="00780E71" w:rsidRDefault="00722F52">
      <w:pPr>
        <w:pStyle w:val="Heading2"/>
      </w:pPr>
      <w:r>
        <w:t>Evaluation Metrics</w:t>
      </w:r>
    </w:p>
    <w:p w14:paraId="62DA7605" w14:textId="77777777" w:rsidR="00780E71" w:rsidRDefault="00722F52">
      <w:pPr>
        <w:ind w:firstLineChars="150" w:firstLine="300"/>
        <w:jc w:val="both"/>
      </w:pPr>
      <w:r>
        <w:t>To quantitatively assess t</w:t>
      </w:r>
      <w:r>
        <w:t>he performance of the proposed system, a set of task-specific evaluation metrics was employed. The effectiveness of meal parsing was measured using accuracy, precision, recall, and F1-score by comparing the system-extracted food entities with manually anno</w:t>
      </w:r>
      <w:r>
        <w:t>tated ground-truth labels. Fuzzy matching performance was evaluated based on the correctness of mapping parsed food names to entries in the nutritional database. Additionally, the quality of responses generated using the RAG framework was assessed by measu</w:t>
      </w:r>
      <w:r>
        <w:t>ring answer correctness against authoritative dietary guidelines. Collectively, these metrics offer a comprehensive measure of the system’s reliability and robustness across its core components.</w:t>
      </w:r>
    </w:p>
    <w:p w14:paraId="71EE8118" w14:textId="77777777" w:rsidR="00780E71" w:rsidRDefault="00722F52">
      <w:pPr>
        <w:jc w:val="both"/>
      </w:pPr>
      <w:r>
        <w:t>The evaluation metrics are defined as follows:</w:t>
      </w:r>
    </w:p>
    <w:p w14:paraId="65DB6968" w14:textId="77777777" w:rsidR="00780E71" w:rsidRDefault="00722F52">
      <w:pPr>
        <w:jc w:val="both"/>
      </w:pPr>
      <w:r>
        <w:t>Precision = TP</w:t>
      </w:r>
      <w:r>
        <w:rPr>
          <w:lang w:val="en-IN"/>
        </w:rPr>
        <w:t xml:space="preserve"> /</w:t>
      </w:r>
      <w:r>
        <w:t xml:space="preserve"> TP + FP</w:t>
      </w:r>
    </w:p>
    <w:p w14:paraId="2D67A601" w14:textId="77777777" w:rsidR="00780E71" w:rsidRDefault="00722F52">
      <w:pPr>
        <w:jc w:val="both"/>
      </w:pPr>
      <w:r>
        <w:t xml:space="preserve">Recall = TP </w:t>
      </w:r>
      <w:r>
        <w:rPr>
          <w:lang w:val="en-IN"/>
        </w:rPr>
        <w:t xml:space="preserve">/ </w:t>
      </w:r>
      <w:r>
        <w:t>TP + FN</w:t>
      </w:r>
    </w:p>
    <w:p w14:paraId="7C584B6D" w14:textId="77777777" w:rsidR="00780E71" w:rsidRDefault="00722F52">
      <w:pPr>
        <w:jc w:val="both"/>
      </w:pPr>
      <w:r>
        <w:t>F1-score = 2</w:t>
      </w:r>
      <w:r>
        <w:rPr>
          <w:lang w:val="en-IN"/>
        </w:rPr>
        <w:t>*(</w:t>
      </w:r>
      <w:r>
        <w:t xml:space="preserve">Precision </w:t>
      </w:r>
      <w:r>
        <w:rPr>
          <w:lang w:val="en-IN"/>
        </w:rPr>
        <w:t>*</w:t>
      </w:r>
      <w:r>
        <w:t xml:space="preserve"> Recall</w:t>
      </w:r>
      <w:r>
        <w:rPr>
          <w:lang w:val="en-IN"/>
        </w:rPr>
        <w:t>)</w:t>
      </w:r>
      <w:r>
        <w:t xml:space="preserve"> </w:t>
      </w:r>
      <w:r>
        <w:rPr>
          <w:lang w:val="en-IN"/>
        </w:rPr>
        <w:t>/</w:t>
      </w:r>
      <w:r>
        <w:t xml:space="preserve"> </w:t>
      </w:r>
      <w:r>
        <w:rPr>
          <w:lang w:val="en-IN"/>
        </w:rPr>
        <w:t>(</w:t>
      </w:r>
      <w:r>
        <w:t>Precision</w:t>
      </w:r>
      <w:r>
        <w:rPr>
          <w:lang w:val="en-IN"/>
        </w:rPr>
        <w:t xml:space="preserve"> </w:t>
      </w:r>
      <w:r>
        <w:t>+</w:t>
      </w:r>
      <w:r>
        <w:rPr>
          <w:lang w:val="en-IN"/>
        </w:rPr>
        <w:t xml:space="preserve"> </w:t>
      </w:r>
      <w:r>
        <w:t>Recall</w:t>
      </w:r>
      <w:r>
        <w:rPr>
          <w:lang w:val="en-IN"/>
        </w:rPr>
        <w:t>)</w:t>
      </w:r>
      <w:r>
        <w:t xml:space="preserve"> </w:t>
      </w:r>
    </w:p>
    <w:p w14:paraId="62529759" w14:textId="77777777" w:rsidR="00780E71" w:rsidRDefault="00722F52">
      <w:pPr>
        <w:jc w:val="both"/>
      </w:pPr>
      <w:r>
        <w:t>Where</w:t>
      </w:r>
    </w:p>
    <w:p w14:paraId="158509D3" w14:textId="77777777" w:rsidR="00780E71" w:rsidRDefault="00722F52">
      <w:pPr>
        <w:jc w:val="both"/>
        <w:rPr>
          <w:lang w:val="en-IN"/>
        </w:rPr>
      </w:pPr>
      <w:r>
        <w:t>TP</w:t>
      </w:r>
      <w:r>
        <w:rPr>
          <w:lang w:val="en-IN"/>
        </w:rPr>
        <w:t xml:space="preserve"> denotes True positive,</w:t>
      </w:r>
    </w:p>
    <w:p w14:paraId="2BD6AAFC" w14:textId="77777777" w:rsidR="00780E71" w:rsidRDefault="00722F52">
      <w:pPr>
        <w:jc w:val="both"/>
        <w:rPr>
          <w:lang w:val="en-IN"/>
        </w:rPr>
      </w:pPr>
      <w:r>
        <w:t>T</w:t>
      </w:r>
      <w:r>
        <w:rPr>
          <w:lang w:val="en-IN"/>
        </w:rPr>
        <w:t>N denotes true negative,</w:t>
      </w:r>
    </w:p>
    <w:p w14:paraId="656A5C63" w14:textId="77777777" w:rsidR="00780E71" w:rsidRDefault="00722F52">
      <w:pPr>
        <w:jc w:val="both"/>
        <w:rPr>
          <w:lang w:val="en-IN"/>
        </w:rPr>
      </w:pPr>
      <w:r>
        <w:t>FP</w:t>
      </w:r>
      <w:r>
        <w:rPr>
          <w:lang w:val="en-IN"/>
        </w:rPr>
        <w:t xml:space="preserve"> denotes false positive </w:t>
      </w:r>
      <w:r>
        <w:t>and</w:t>
      </w:r>
      <w:r>
        <w:rPr>
          <w:lang w:val="en-IN"/>
        </w:rPr>
        <w:t>,</w:t>
      </w:r>
    </w:p>
    <w:p w14:paraId="3C672FCF" w14:textId="77777777" w:rsidR="00780E71" w:rsidRDefault="00722F52">
      <w:pPr>
        <w:jc w:val="both"/>
      </w:pPr>
      <w:r>
        <w:t>FN denote</w:t>
      </w:r>
      <w:r>
        <w:rPr>
          <w:lang w:val="en-IN"/>
        </w:rPr>
        <w:t>s</w:t>
      </w:r>
      <w:r>
        <w:t xml:space="preserve"> false negatives, respectively.</w:t>
      </w:r>
    </w:p>
    <w:p w14:paraId="5DA1FCFA" w14:textId="77777777" w:rsidR="00780E71" w:rsidRDefault="00722F52">
      <w:pPr>
        <w:jc w:val="both"/>
      </w:pPr>
      <w:r>
        <w:t>Experimental observations indicate</w:t>
      </w:r>
      <w:r>
        <w:t xml:space="preserve"> that the system maintains efficient response times while delivering accurate outputs. Overall, the results validate the effectiveness of integrating large language models, fuzzy matching techniques, rule-based fallback mechanisms, and retrieval-augmented </w:t>
      </w:r>
      <w:r>
        <w:t>generation to develop a robust, accurate, and practical nutrition assistance system suitable for real-world applications.</w:t>
      </w:r>
    </w:p>
    <w:p w14:paraId="2A72E86D" w14:textId="77777777" w:rsidR="00780E71" w:rsidRDefault="00780E71">
      <w:pPr>
        <w:jc w:val="both"/>
      </w:pPr>
    </w:p>
    <w:p w14:paraId="154B5CC4" w14:textId="77777777" w:rsidR="00780E71" w:rsidRDefault="00780E71">
      <w:pPr>
        <w:jc w:val="both"/>
      </w:pPr>
    </w:p>
    <w:p w14:paraId="14478AC5" w14:textId="77777777" w:rsidR="005A0250" w:rsidRDefault="00722F52">
      <w:pPr>
        <w:jc w:val="both"/>
        <w:rPr>
          <w:lang w:val="en-IN"/>
        </w:rPr>
      </w:pPr>
      <w:r>
        <w:rPr>
          <w:noProof/>
        </w:rPr>
        <w:drawing>
          <wp:inline distT="0" distB="0" distL="0" distR="0" wp14:anchorId="0BEA67EB" wp14:editId="39C7BFAE">
            <wp:extent cx="2154555" cy="1619250"/>
            <wp:effectExtent l="0" t="0" r="0" b="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54555" cy="1619250"/>
                    </a:xfrm>
                    <a:prstGeom prst="rect">
                      <a:avLst/>
                    </a:prstGeom>
                  </pic:spPr>
                </pic:pic>
              </a:graphicData>
            </a:graphic>
          </wp:inline>
        </w:drawing>
      </w:r>
    </w:p>
    <w:p w14:paraId="07328367" w14:textId="7432C0C6" w:rsidR="00780E71" w:rsidRDefault="00722F52">
      <w:pPr>
        <w:jc w:val="both"/>
        <w:rPr>
          <w:sz w:val="16"/>
        </w:rPr>
      </w:pPr>
      <w:r>
        <w:rPr>
          <w:lang w:val="en-IN"/>
        </w:rPr>
        <w:t xml:space="preserve">Fig. </w:t>
      </w:r>
      <w:r w:rsidR="005A0250">
        <w:rPr>
          <w:lang w:val="en-IN"/>
        </w:rPr>
        <w:t>2</w:t>
      </w:r>
      <w:r>
        <w:rPr>
          <w:lang w:val="en-IN"/>
        </w:rPr>
        <w:t>. Percentage distribution of macro-nutrients (protein, carbohydrates, and fat) derived from the estimated nutrition values.</w:t>
      </w:r>
    </w:p>
    <w:p w14:paraId="37E7C2BC" w14:textId="77777777" w:rsidR="00780E71" w:rsidRDefault="00722F52">
      <w:pPr>
        <w:pStyle w:val="Heading2"/>
      </w:pPr>
      <w:r>
        <w:t>Discussion</w:t>
      </w:r>
    </w:p>
    <w:p w14:paraId="5126889A" w14:textId="77777777" w:rsidR="00780E71" w:rsidRDefault="00722F52">
      <w:pPr>
        <w:jc w:val="both"/>
      </w:pPr>
      <w:r>
        <w:t xml:space="preserve">The proposed Nutrition RAG Assistant represents an integrated system that combines large language </w:t>
      </w:r>
      <w:proofErr w:type="gramStart"/>
      <w:r>
        <w:t>model based</w:t>
      </w:r>
      <w:proofErr w:type="gramEnd"/>
      <w:r>
        <w:t xml:space="preserve"> meal parsing, fuzzy matching, a structured CSV driven nutritional computation pipeline, and a FAISS powered retrieval augmented generat</w:t>
      </w:r>
      <w:r>
        <w:t xml:space="preserve">ion module. This framework illustrates how advanced language models, when combined with structured nutritional datasets and domain specific retrieval mechanisms, can deliver meaningful and actionable dietary </w:t>
      </w:r>
      <w:proofErr w:type="spellStart"/>
      <w:proofErr w:type="gramStart"/>
      <w:r>
        <w:t>insights.One</w:t>
      </w:r>
      <w:proofErr w:type="spellEnd"/>
      <w:proofErr w:type="gramEnd"/>
      <w:r>
        <w:t xml:space="preserve"> important observation during the de</w:t>
      </w:r>
      <w:r>
        <w:t>velopment process was that relying solely on large language models for meal parsing is insufficient when dealing with complex, informal, or culturally diverse food descriptions. Inputs such as “two chapatis with sabzi” or “one plate of mixed rice” were fre</w:t>
      </w:r>
      <w:r>
        <w:t xml:space="preserve">quently extracted incompletely or associated with inaccurate portion measurements. To address this challenge, a hybrid parsing strategy was adopted. The </w:t>
      </w:r>
      <w:proofErr w:type="spellStart"/>
      <w:r>
        <w:t>Groq</w:t>
      </w:r>
      <w:proofErr w:type="spellEnd"/>
      <w:r>
        <w:t xml:space="preserve"> hosted </w:t>
      </w:r>
      <w:proofErr w:type="spellStart"/>
      <w:r>
        <w:t>LLaMA</w:t>
      </w:r>
      <w:proofErr w:type="spellEnd"/>
      <w:r>
        <w:t xml:space="preserve"> 3.1 model served as the primary parser due to its contextual understanding capabiliti</w:t>
      </w:r>
      <w:r>
        <w:t xml:space="preserve">es, while a deterministic </w:t>
      </w:r>
      <w:proofErr w:type="gramStart"/>
      <w:r>
        <w:t>rule based</w:t>
      </w:r>
      <w:proofErr w:type="gramEnd"/>
      <w:r>
        <w:t xml:space="preserve"> parser was used as a fallback. This fallback mechanism was triggered when the model produced malformed outputs or failed to extract information with adequate confidence, thereby improving overall parsing </w:t>
      </w:r>
      <w:proofErr w:type="spellStart"/>
      <w:proofErr w:type="gramStart"/>
      <w:r>
        <w:t>reliability.Fuz</w:t>
      </w:r>
      <w:r>
        <w:t>zy</w:t>
      </w:r>
      <w:proofErr w:type="spellEnd"/>
      <w:proofErr w:type="gramEnd"/>
      <w:r>
        <w:t xml:space="preserve"> matching implemented using </w:t>
      </w:r>
      <w:proofErr w:type="spellStart"/>
      <w:r>
        <w:t>RapidFuzz</w:t>
      </w:r>
      <w:proofErr w:type="spellEnd"/>
      <w:r>
        <w:t xml:space="preserve"> demonstrated strong performance in mapping user provided food items to entries in the USDA nutritional database. However, the accuracy of matching was closely tied to the specificity of the food descriptions. General</w:t>
      </w:r>
      <w:r>
        <w:t xml:space="preserve"> terms such as “rice” or “bread” often resulted in multiple plausible matches, whereas more specific items such as “banana” consistently produced accurate results. Allowing users to confirm selections from the top ranked matches substantially reduced incor</w:t>
      </w:r>
      <w:r>
        <w:t xml:space="preserve">rect mappings and improved the reliability of nutritional </w:t>
      </w:r>
      <w:proofErr w:type="spellStart"/>
      <w:proofErr w:type="gramStart"/>
      <w:r>
        <w:t>calculations.The</w:t>
      </w:r>
      <w:proofErr w:type="spellEnd"/>
      <w:proofErr w:type="gramEnd"/>
      <w:r>
        <w:t xml:space="preserve"> evaluation of the retrieval augmented generation component highlighted a critical insight. Language models tend to generate inaccurate or unsupported health recommendations when res</w:t>
      </w:r>
      <w:r>
        <w:t>ponses are not grounded in authoritative reference material. By incorporating FAISS based document retrieval with curated dietary guideline documents, the system was able to provide evidence supported nutritional advice, including recommendations related t</w:t>
      </w:r>
      <w:r>
        <w:t xml:space="preserve">o sodium intake and macronutrient distribution. The results further indicate that lightweight embedding models such as </w:t>
      </w:r>
      <w:proofErr w:type="spellStart"/>
      <w:r>
        <w:t>MiniLM</w:t>
      </w:r>
      <w:proofErr w:type="spellEnd"/>
      <w:r>
        <w:t xml:space="preserve"> L6 v2 are sufficient for retrieval tasks involving structured nutrition related </w:t>
      </w:r>
      <w:proofErr w:type="spellStart"/>
      <w:proofErr w:type="gramStart"/>
      <w:r>
        <w:t>documents.Overall</w:t>
      </w:r>
      <w:proofErr w:type="spellEnd"/>
      <w:proofErr w:type="gramEnd"/>
      <w:r>
        <w:t>, the hybrid system design combin</w:t>
      </w:r>
      <w:r>
        <w:t>ing language model based reasoning, rule based safeguards, fuzzy matching, and retrieval augmented generation proved essential for building a dependable nutrition assistance platform. Approaches relying exclusively on language models showed inconsistent pe</w:t>
      </w:r>
      <w:r>
        <w:t xml:space="preserve">rformance, particularly for Indian meal descriptions, culturally specific foods, and variable portion measurements. The layered architecture improved robustness and interpretability while maintaining computational efficiency, making the system well suited </w:t>
      </w:r>
      <w:r>
        <w:t xml:space="preserve">for practical </w:t>
      </w:r>
      <w:proofErr w:type="gramStart"/>
      <w:r>
        <w:t>real world</w:t>
      </w:r>
      <w:proofErr w:type="gramEnd"/>
      <w:r>
        <w:t xml:space="preserve"> applications.</w:t>
      </w:r>
    </w:p>
    <w:p w14:paraId="4E5361C6" w14:textId="77777777" w:rsidR="00780E71" w:rsidRDefault="00780E71">
      <w:pPr>
        <w:pStyle w:val="NormalWeb"/>
        <w:spacing w:beforeAutospacing="0" w:after="120" w:afterAutospacing="0" w:line="19" w:lineRule="atLeast"/>
        <w:jc w:val="both"/>
        <w:rPr>
          <w:sz w:val="20"/>
          <w:szCs w:val="20"/>
        </w:rPr>
      </w:pPr>
    </w:p>
    <w:p w14:paraId="6FDABCFF" w14:textId="77777777" w:rsidR="00780E71" w:rsidRDefault="00722F52">
      <w:pPr>
        <w:pStyle w:val="Heading1"/>
      </w:pPr>
      <w:r>
        <w:lastRenderedPageBreak/>
        <w:t>Conclusion</w:t>
      </w:r>
    </w:p>
    <w:p w14:paraId="35917B33" w14:textId="77777777" w:rsidR="00780E71" w:rsidRDefault="00722F52">
      <w:pPr>
        <w:pStyle w:val="BodyText"/>
        <w:rPr>
          <w:lang w:val="en-IN"/>
        </w:rPr>
      </w:pPr>
      <w:r>
        <w:t xml:space="preserve">This paper presented an AI Powered Nutrition Insight System that leverages Retrieval Augmented Generation and Groq accelerated Large Language Models to address key limitations of existing nutrition </w:t>
      </w:r>
      <w:r>
        <w:t>analysis solutions. By integrating multimodal image to text processing, hybrid meal parsing, fuzzy similarity matching, and guideline grounded response generation, the proposed system delivers accurate, context aware, and reliable nutritional insights from</w:t>
      </w:r>
      <w:r>
        <w:t xml:space="preserve"> both structured and unstructured inputs.Experimental evaluation demonstrated that the hybrid parsing strategy significantly improves extraction accuracy over standalone LLM and rule based approaches, particularly for culturally diverse meal descriptions. </w:t>
      </w:r>
      <w:r>
        <w:t xml:space="preserve">The integration of RapidFuzz based fuzzy matching, combined with user confirmation, ensured precise mapping between food items and nutritional databases. Nutrient estimation errors remained within acceptable bounds for lifestyle oriented dietary guidance, </w:t>
      </w:r>
      <w:r>
        <w:t>while the RAG framework substantially enhanced the correctness and trustworthiness of health related recommendations by grounding responses in authoritative dietary guidelines.In addition to accuracy, the system achieved low end to end latency through Groq</w:t>
      </w:r>
      <w:r>
        <w:t xml:space="preserve"> accelerated inference and optimized computation pipelines, making it suitable for real time and interactive applications. The modular architecture further supports scalability, interpretability, and ease of extension to new datasets, dietary standards, an</w:t>
      </w:r>
      <w:r>
        <w:t>d deployment environments.Overall, the proposed Nutrition Insight System demonstrates that combining Large Language Models with structured data pipelines, fuzzy matching, and retrieval based grounding offers a practical and effective solution for intellige</w:t>
      </w:r>
      <w:r>
        <w:t>nt nutrition analysis. This work highlights the potential of AI driven systems to support informed dietary decision making and lays a strong foundation for future advancements in personalized and accessible nutrition technology.</w:t>
      </w:r>
    </w:p>
    <w:p w14:paraId="2DF75811" w14:textId="77777777" w:rsidR="005A0250" w:rsidRPr="005A0250" w:rsidRDefault="005A0250" w:rsidP="005A0250">
      <w:pPr>
        <w:pStyle w:val="BodyText"/>
        <w:rPr>
          <w:lang w:val="en-IN"/>
        </w:rPr>
      </w:pPr>
      <w:r w:rsidRPr="005A0250">
        <w:rPr>
          <w:lang w:val="en-IN"/>
        </w:rPr>
        <w:t>COMPETING INTERESTS DISCLAIMER:</w:t>
      </w:r>
    </w:p>
    <w:p w14:paraId="04FA497D" w14:textId="77777777" w:rsidR="005A0250" w:rsidRPr="005A0250" w:rsidRDefault="005A0250" w:rsidP="005A0250">
      <w:pPr>
        <w:pStyle w:val="BodyText"/>
        <w:rPr>
          <w:lang w:val="en-IN"/>
        </w:rPr>
      </w:pPr>
      <w:r w:rsidRPr="005A0250">
        <w:rPr>
          <w:lang w:val="en-IN"/>
        </w:rPr>
        <w:t>Authors have declared that they have no known competing financial interests OR non-financial interests OR personal relationships that could have appeared to influence the work reported in this paper.</w:t>
      </w:r>
    </w:p>
    <w:p w14:paraId="10E1F490" w14:textId="77777777" w:rsidR="005A0250" w:rsidRPr="005A0250" w:rsidRDefault="005A0250" w:rsidP="005A0250">
      <w:pPr>
        <w:pStyle w:val="BodyText"/>
        <w:rPr>
          <w:lang w:val="en-IN"/>
        </w:rPr>
      </w:pPr>
    </w:p>
    <w:p w14:paraId="3A2DD66B" w14:textId="77777777" w:rsidR="005A0250" w:rsidRPr="005A0250" w:rsidRDefault="005A0250">
      <w:pPr>
        <w:pStyle w:val="BodyText"/>
        <w:rPr>
          <w:lang w:val="en-IN"/>
        </w:rPr>
      </w:pPr>
    </w:p>
    <w:p w14:paraId="2930110C" w14:textId="77777777" w:rsidR="00780E71" w:rsidRDefault="00722F52">
      <w:pPr>
        <w:pStyle w:val="Heading5"/>
      </w:pPr>
      <w:r>
        <w:t>References</w:t>
      </w:r>
    </w:p>
    <w:p w14:paraId="340AB1B5" w14:textId="77777777" w:rsidR="00780E71" w:rsidRDefault="00722F52">
      <w:pPr>
        <w:pStyle w:val="references"/>
        <w:numPr>
          <w:ilvl w:val="0"/>
          <w:numId w:val="8"/>
        </w:numPr>
        <w:spacing w:line="240" w:lineRule="auto"/>
      </w:pPr>
      <w:r>
        <w:t xml:space="preserve"> M. Arslan, H. Ghanem, S. Munawar, and</w:t>
      </w:r>
      <w:r>
        <w:t xml:space="preserve"> C. Cruz, “A survey on RAG with LLMs,” Procedia Computer Science, vol. 246, pp. 3781–3790, 2024.</w:t>
      </w:r>
    </w:p>
    <w:p w14:paraId="19503703" w14:textId="77777777" w:rsidR="00780E71" w:rsidRDefault="00780E71">
      <w:pPr>
        <w:pStyle w:val="references"/>
        <w:numPr>
          <w:ilvl w:val="0"/>
          <w:numId w:val="0"/>
        </w:numPr>
        <w:spacing w:line="240" w:lineRule="auto"/>
      </w:pPr>
    </w:p>
    <w:p w14:paraId="355B21CB" w14:textId="77777777" w:rsidR="00780E71" w:rsidRDefault="00722F52">
      <w:pPr>
        <w:pStyle w:val="references"/>
        <w:numPr>
          <w:ilvl w:val="0"/>
          <w:numId w:val="8"/>
        </w:numPr>
        <w:spacing w:line="240" w:lineRule="auto"/>
      </w:pPr>
      <w:r>
        <w:t xml:space="preserve">Z. Yang, E. Khatibi, N. Nagesh, M. Abbasian, I. Azimi, R. Jain, and A. M. </w:t>
      </w:r>
      <w:proofErr w:type="spellStart"/>
      <w:r>
        <w:t>Rahmani</w:t>
      </w:r>
      <w:proofErr w:type="spellEnd"/>
      <w:r>
        <w:t>, “</w:t>
      </w:r>
      <w:proofErr w:type="spellStart"/>
      <w:r>
        <w:t>ChatDiet</w:t>
      </w:r>
      <w:proofErr w:type="spellEnd"/>
      <w:r>
        <w:t>: Empowering personalized nutrition-oriented food recommender chat</w:t>
      </w:r>
      <w:r>
        <w:t>bots through an LLM-augmented framework,” Smart Health, vol. 32, p. 100465, 2024.</w:t>
      </w:r>
    </w:p>
    <w:p w14:paraId="042C28F7" w14:textId="77777777" w:rsidR="00780E71" w:rsidRDefault="00780E71">
      <w:pPr>
        <w:pStyle w:val="references"/>
        <w:numPr>
          <w:ilvl w:val="0"/>
          <w:numId w:val="0"/>
        </w:numPr>
        <w:spacing w:line="240" w:lineRule="auto"/>
      </w:pPr>
    </w:p>
    <w:p w14:paraId="2D2C3265" w14:textId="77777777" w:rsidR="00780E71" w:rsidRDefault="00722F52">
      <w:pPr>
        <w:pStyle w:val="references"/>
        <w:numPr>
          <w:ilvl w:val="0"/>
          <w:numId w:val="8"/>
        </w:numPr>
        <w:spacing w:line="240" w:lineRule="auto"/>
      </w:pPr>
      <w:r>
        <w:t xml:space="preserve">M. S. Pyae, S. S. Phyo, S. T. M. M. Kyaw, T. S. Lin, and N. </w:t>
      </w:r>
      <w:proofErr w:type="spellStart"/>
      <w:r>
        <w:t>Chondamrongkul</w:t>
      </w:r>
      <w:proofErr w:type="spellEnd"/>
      <w:r>
        <w:t xml:space="preserve">, “Developing a RAG agent for personalized fitness and dietary guidance,” in Proc. 2025 Joint Int. </w:t>
      </w:r>
      <w:r>
        <w:t>Conf. on Digital Arts, Media and Technology with ECTI Northern Section Conf. on Electrical, Electronics, Computer and Telecommunications Engineering (ECTI DAMT &amp; NCON), IEEE, 2025, pp. 600–605.</w:t>
      </w:r>
    </w:p>
    <w:p w14:paraId="13961C0B" w14:textId="77777777" w:rsidR="00780E71" w:rsidRDefault="00780E71">
      <w:pPr>
        <w:pStyle w:val="references"/>
        <w:numPr>
          <w:ilvl w:val="0"/>
          <w:numId w:val="0"/>
        </w:numPr>
        <w:spacing w:line="240" w:lineRule="auto"/>
      </w:pPr>
    </w:p>
    <w:p w14:paraId="00BE9330" w14:textId="77777777" w:rsidR="00780E71" w:rsidRDefault="00722F52">
      <w:pPr>
        <w:pStyle w:val="references"/>
        <w:numPr>
          <w:ilvl w:val="0"/>
          <w:numId w:val="8"/>
        </w:numPr>
        <w:spacing w:line="240" w:lineRule="auto"/>
        <w:rPr>
          <w:lang w:val="zh-CN" w:eastAsia="zh-CN"/>
        </w:rPr>
      </w:pPr>
      <w:r>
        <w:rPr>
          <w:lang w:val="zh-CN" w:eastAsia="zh-CN"/>
        </w:rPr>
        <w:t>P. Lewis, E. Perez, A. Piktus, F. Petroni, V. Karpukhin, N. G</w:t>
      </w:r>
      <w:r>
        <w:rPr>
          <w:lang w:val="zh-CN" w:eastAsia="zh-CN"/>
        </w:rPr>
        <w:t>oyal, H. Küttler, M. Lewis, W. Yih, T. Rocktäschel, S. Riedel, and D. Kiela,</w:t>
      </w:r>
      <w:r>
        <w:rPr>
          <w:lang w:val="zh-CN" w:eastAsia="zh-CN"/>
        </w:rPr>
        <w:br/>
        <w:t xml:space="preserve">“Retrieval-Augmented Generation for Knowledge-Intensive NLP </w:t>
      </w:r>
      <w:r>
        <w:rPr>
          <w:lang w:val="zh-CN" w:eastAsia="zh-CN"/>
        </w:rPr>
        <w:t>Tasks,”</w:t>
      </w:r>
      <w:r>
        <w:rPr>
          <w:lang w:val="zh-CN" w:eastAsia="zh-CN"/>
        </w:rPr>
        <w:br/>
        <w:t>Advances in Neural Information Processing Systems (NeurIPS), vol. 33, pp. 9459–9474, 2020.</w:t>
      </w:r>
    </w:p>
    <w:p w14:paraId="2A214CF7" w14:textId="77777777" w:rsidR="00780E71" w:rsidRDefault="00780E71">
      <w:pPr>
        <w:pStyle w:val="references"/>
        <w:numPr>
          <w:ilvl w:val="0"/>
          <w:numId w:val="0"/>
        </w:numPr>
        <w:spacing w:line="240" w:lineRule="auto"/>
        <w:rPr>
          <w:lang w:val="zh-CN" w:eastAsia="zh-CN"/>
        </w:rPr>
      </w:pPr>
    </w:p>
    <w:p w14:paraId="5A925FDE" w14:textId="77777777" w:rsidR="00780E71" w:rsidRDefault="00722F52">
      <w:pPr>
        <w:pStyle w:val="references"/>
        <w:numPr>
          <w:ilvl w:val="0"/>
          <w:numId w:val="8"/>
        </w:numPr>
        <w:spacing w:line="240" w:lineRule="auto"/>
        <w:rPr>
          <w:lang w:val="zh-CN" w:eastAsia="zh-CN"/>
        </w:rPr>
      </w:pPr>
      <w:r>
        <w:rPr>
          <w:lang w:val="zh-CN" w:eastAsia="zh-CN"/>
        </w:rPr>
        <w:t>J. Devlin, M.-W. Ch</w:t>
      </w:r>
      <w:r>
        <w:rPr>
          <w:lang w:val="zh-CN" w:eastAsia="zh-CN"/>
        </w:rPr>
        <w:t>ang, K. Lee, and K. Toutanova,</w:t>
      </w:r>
      <w:r>
        <w:rPr>
          <w:lang w:val="zh-CN" w:eastAsia="zh-CN"/>
        </w:rPr>
        <w:br/>
        <w:t>“BERT: Pre-training of Deep Bidirectional Transformers for Language Understanding,”</w:t>
      </w:r>
      <w:r>
        <w:rPr>
          <w:lang w:val="zh-CN" w:eastAsia="zh-CN"/>
        </w:rPr>
        <w:br/>
        <w:t>in Proc. 2019 Conf. of the North American Chapter of the ACL (NAACL-HLT), 2019, pp. 4171–4186.</w:t>
      </w:r>
    </w:p>
    <w:p w14:paraId="3C74BF92" w14:textId="77777777" w:rsidR="00780E71" w:rsidRDefault="00780E71">
      <w:pPr>
        <w:pStyle w:val="references"/>
        <w:numPr>
          <w:ilvl w:val="0"/>
          <w:numId w:val="0"/>
        </w:numPr>
        <w:spacing w:line="240" w:lineRule="auto"/>
        <w:rPr>
          <w:lang w:val="zh-CN" w:eastAsia="zh-CN"/>
        </w:rPr>
      </w:pPr>
    </w:p>
    <w:p w14:paraId="65E62631" w14:textId="77777777" w:rsidR="00780E71" w:rsidRDefault="00722F52">
      <w:pPr>
        <w:pStyle w:val="references"/>
        <w:numPr>
          <w:ilvl w:val="0"/>
          <w:numId w:val="8"/>
        </w:numPr>
        <w:spacing w:line="240" w:lineRule="auto"/>
        <w:rPr>
          <w:rFonts w:eastAsia="SimSun"/>
        </w:rPr>
      </w:pPr>
      <w:r>
        <w:rPr>
          <w:rFonts w:eastAsia="SimSun"/>
        </w:rPr>
        <w:t>T. Brown, B. Mann, N. Ryder, M. Subbiah, J. K</w:t>
      </w:r>
      <w:r>
        <w:rPr>
          <w:rFonts w:eastAsia="SimSun"/>
        </w:rPr>
        <w:t>aplan, P. Dhariwal, A. Neelakantan, P. Shyam, G. Sastry, A. Askell, et al.,</w:t>
      </w:r>
      <w:r>
        <w:rPr>
          <w:rFonts w:eastAsia="SimSun"/>
        </w:rPr>
        <w:br/>
        <w:t>“Language Models Are Few-Shot Learners,”</w:t>
      </w:r>
      <w:r>
        <w:rPr>
          <w:rFonts w:eastAsia="SimSun"/>
        </w:rPr>
        <w:br/>
        <w:t>Advances in Neural Information Processing Systems (</w:t>
      </w:r>
      <w:proofErr w:type="spellStart"/>
      <w:r>
        <w:rPr>
          <w:rFonts w:eastAsia="SimSun"/>
        </w:rPr>
        <w:t>NeurIPS</w:t>
      </w:r>
      <w:proofErr w:type="spellEnd"/>
      <w:r>
        <w:rPr>
          <w:rFonts w:eastAsia="SimSun"/>
        </w:rPr>
        <w:t>), vol. 33, pp. 1877–1901, 2020.</w:t>
      </w:r>
    </w:p>
    <w:p w14:paraId="4954240E" w14:textId="77777777" w:rsidR="00780E71" w:rsidRDefault="00780E71">
      <w:pPr>
        <w:pStyle w:val="references"/>
        <w:numPr>
          <w:ilvl w:val="0"/>
          <w:numId w:val="0"/>
        </w:numPr>
        <w:spacing w:line="240" w:lineRule="auto"/>
        <w:rPr>
          <w:rFonts w:eastAsia="SimSun"/>
        </w:rPr>
      </w:pPr>
    </w:p>
    <w:p w14:paraId="3BF80966" w14:textId="77777777" w:rsidR="00780E71" w:rsidRDefault="00722F52">
      <w:pPr>
        <w:pStyle w:val="references"/>
        <w:numPr>
          <w:ilvl w:val="0"/>
          <w:numId w:val="8"/>
        </w:numPr>
        <w:spacing w:line="240" w:lineRule="auto"/>
        <w:rPr>
          <w:rFonts w:eastAsia="SimSun"/>
          <w:bCs/>
          <w:color w:val="000000" w:themeColor="text1"/>
          <w:spacing w:val="-1"/>
          <w:lang w:val="zh-CN" w:eastAsia="zh-CN"/>
        </w:rPr>
      </w:pPr>
      <w:r>
        <w:rPr>
          <w:rFonts w:eastAsia="SimSun"/>
        </w:rPr>
        <w:t xml:space="preserve">T. </w:t>
      </w:r>
      <w:r>
        <w:rPr>
          <w:rFonts w:eastAsia="SimSun"/>
          <w:lang w:val="zh-CN" w:eastAsia="zh-CN"/>
        </w:rPr>
        <w:t>Gao, X. Fisch, and D. Chen,</w:t>
      </w:r>
      <w:r>
        <w:rPr>
          <w:rFonts w:eastAsia="SimSun"/>
          <w:lang w:val="zh-CN" w:eastAsia="zh-CN"/>
        </w:rPr>
        <w:br/>
        <w:t>“Making Pre-trai</w:t>
      </w:r>
      <w:r>
        <w:rPr>
          <w:rFonts w:eastAsia="SimSun"/>
          <w:lang w:val="zh-CN" w:eastAsia="zh-CN"/>
        </w:rPr>
        <w:t>ned Language Models Better Few-shot Learners,”</w:t>
      </w:r>
      <w:r>
        <w:rPr>
          <w:rFonts w:eastAsia="SimSun"/>
          <w:lang w:val="zh-CN" w:eastAsia="zh-CN"/>
        </w:rPr>
        <w:br/>
        <w:t>in Proc. 59th Annual Meeting of the Association for Computational Linguistics (ACL),</w:t>
      </w:r>
      <w:r>
        <w:rPr>
          <w:rFonts w:eastAsia="SimSun"/>
          <w:lang w:val="zh-CN" w:eastAsia="zh-CN"/>
        </w:rPr>
        <w:br/>
        <w:t>2021, pp. 3816–3830.</w:t>
      </w:r>
    </w:p>
    <w:p w14:paraId="358D5F81" w14:textId="77777777" w:rsidR="00780E71" w:rsidRDefault="00780E71">
      <w:pPr>
        <w:pStyle w:val="references"/>
        <w:numPr>
          <w:ilvl w:val="0"/>
          <w:numId w:val="0"/>
        </w:numPr>
        <w:spacing w:line="240" w:lineRule="auto"/>
        <w:rPr>
          <w:rFonts w:eastAsia="SimSun"/>
          <w:bCs/>
          <w:color w:val="000000" w:themeColor="text1"/>
          <w:spacing w:val="-1"/>
          <w:lang w:val="zh-CN" w:eastAsia="zh-CN"/>
        </w:rPr>
      </w:pPr>
    </w:p>
    <w:p w14:paraId="0B959C5A" w14:textId="77777777" w:rsidR="00780E71" w:rsidRDefault="00722F52">
      <w:pPr>
        <w:pStyle w:val="references"/>
        <w:numPr>
          <w:ilvl w:val="0"/>
          <w:numId w:val="8"/>
        </w:numPr>
        <w:spacing w:line="240" w:lineRule="auto"/>
        <w:rPr>
          <w:rFonts w:eastAsia="SimSun"/>
          <w:bCs/>
          <w:color w:val="000000" w:themeColor="text1"/>
          <w:spacing w:val="-1"/>
          <w:lang w:eastAsia="zh-CN"/>
        </w:rPr>
      </w:pPr>
      <w:r>
        <w:rPr>
          <w:rFonts w:eastAsia="SimSun"/>
          <w:bCs/>
          <w:color w:val="000000" w:themeColor="text1"/>
          <w:spacing w:val="-1"/>
          <w:lang w:eastAsia="zh-CN"/>
        </w:rPr>
        <w:t xml:space="preserve">     A. Radford et al.,</w:t>
      </w:r>
      <w:r>
        <w:rPr>
          <w:rFonts w:eastAsia="SimSun"/>
          <w:bCs/>
          <w:color w:val="000000" w:themeColor="text1"/>
          <w:spacing w:val="-1"/>
          <w:lang w:eastAsia="zh-CN"/>
        </w:rPr>
        <w:br/>
        <w:t xml:space="preserve">“Learning Transferable Visual Models </w:t>
      </w:r>
      <w:proofErr w:type="gramStart"/>
      <w:r>
        <w:rPr>
          <w:rFonts w:eastAsia="SimSun"/>
          <w:bCs/>
          <w:color w:val="000000" w:themeColor="text1"/>
          <w:spacing w:val="-1"/>
          <w:lang w:eastAsia="zh-CN"/>
        </w:rPr>
        <w:t>From</w:t>
      </w:r>
      <w:proofErr w:type="gramEnd"/>
      <w:r>
        <w:rPr>
          <w:rFonts w:eastAsia="SimSun"/>
          <w:bCs/>
          <w:color w:val="000000" w:themeColor="text1"/>
          <w:spacing w:val="-1"/>
          <w:lang w:eastAsia="zh-CN"/>
        </w:rPr>
        <w:t xml:space="preserve"> Natural Language Supervision,”</w:t>
      </w:r>
      <w:r>
        <w:rPr>
          <w:rFonts w:eastAsia="SimSun"/>
          <w:bCs/>
          <w:color w:val="000000" w:themeColor="text1"/>
          <w:spacing w:val="-1"/>
          <w:lang w:eastAsia="zh-CN"/>
        </w:rPr>
        <w:br/>
        <w:t>in Pr</w:t>
      </w:r>
      <w:r>
        <w:rPr>
          <w:rFonts w:eastAsia="SimSun"/>
          <w:bCs/>
          <w:color w:val="000000" w:themeColor="text1"/>
          <w:spacing w:val="-1"/>
          <w:lang w:eastAsia="zh-CN"/>
        </w:rPr>
        <w:t>oc. 38th International Conference on Machine Learning (ICML),</w:t>
      </w:r>
      <w:r>
        <w:rPr>
          <w:rFonts w:eastAsia="SimSun"/>
          <w:bCs/>
          <w:color w:val="000000" w:themeColor="text1"/>
          <w:spacing w:val="-1"/>
          <w:lang w:eastAsia="zh-CN"/>
        </w:rPr>
        <w:br/>
        <w:t>2021, pp. 8748–8763.</w:t>
      </w:r>
      <w:r>
        <w:rPr>
          <w:rFonts w:eastAsia="SimSun"/>
          <w:bCs/>
          <w:color w:val="000000" w:themeColor="text1"/>
          <w:spacing w:val="-1"/>
          <w:lang w:eastAsia="zh-CN"/>
        </w:rPr>
        <w:br/>
        <w:t>(CLIP).</w:t>
      </w:r>
    </w:p>
    <w:p w14:paraId="059BDCED" w14:textId="77777777" w:rsidR="00780E71" w:rsidRDefault="00780E71">
      <w:pPr>
        <w:pStyle w:val="references"/>
        <w:numPr>
          <w:ilvl w:val="0"/>
          <w:numId w:val="0"/>
        </w:numPr>
        <w:spacing w:line="240" w:lineRule="auto"/>
        <w:rPr>
          <w:rFonts w:eastAsia="SimSun"/>
          <w:bCs/>
          <w:color w:val="000000" w:themeColor="text1"/>
          <w:spacing w:val="-1"/>
          <w:lang w:eastAsia="zh-CN"/>
        </w:rPr>
      </w:pPr>
    </w:p>
    <w:p w14:paraId="4777145D" w14:textId="77777777" w:rsidR="00780E71" w:rsidRDefault="00722F52">
      <w:pPr>
        <w:pStyle w:val="references"/>
        <w:numPr>
          <w:ilvl w:val="0"/>
          <w:numId w:val="8"/>
        </w:numPr>
        <w:spacing w:line="240" w:lineRule="auto"/>
        <w:rPr>
          <w:rFonts w:eastAsia="SimSun"/>
          <w:bCs/>
          <w:color w:val="000000" w:themeColor="text1"/>
          <w:spacing w:val="-1"/>
          <w:lang w:val="zh-CN" w:eastAsia="zh-CN"/>
        </w:rPr>
      </w:pPr>
      <w:r>
        <w:rPr>
          <w:rFonts w:eastAsia="SimSun"/>
          <w:bCs/>
          <w:color w:val="000000" w:themeColor="text1"/>
          <w:spacing w:val="-1"/>
          <w:lang w:val="zh-CN" w:eastAsia="zh-CN"/>
        </w:rPr>
        <w:t>Y. Alayrac et al.,</w:t>
      </w:r>
      <w:r>
        <w:rPr>
          <w:rFonts w:eastAsia="SimSun"/>
          <w:bCs/>
          <w:color w:val="000000" w:themeColor="text1"/>
          <w:spacing w:val="-1"/>
          <w:lang w:val="zh-CN" w:eastAsia="zh-CN"/>
        </w:rPr>
        <w:br/>
        <w:t>“Flamingo: A Visual Language Model for Few-Shot Learning,”</w:t>
      </w:r>
      <w:r>
        <w:rPr>
          <w:rFonts w:eastAsia="SimSun"/>
          <w:bCs/>
          <w:color w:val="000000" w:themeColor="text1"/>
          <w:spacing w:val="-1"/>
          <w:lang w:val="zh-CN" w:eastAsia="zh-CN"/>
        </w:rPr>
        <w:br/>
        <w:t>in Advances in Neural Information Processing Systems (NeurIPS),</w:t>
      </w:r>
      <w:r>
        <w:rPr>
          <w:rFonts w:eastAsia="SimSun"/>
          <w:bCs/>
          <w:color w:val="000000" w:themeColor="text1"/>
          <w:spacing w:val="-1"/>
          <w:lang w:val="zh-CN" w:eastAsia="zh-CN"/>
        </w:rPr>
        <w:br/>
        <w:t xml:space="preserve">vol. 35, 2022, pp. </w:t>
      </w:r>
      <w:r>
        <w:rPr>
          <w:rFonts w:eastAsia="SimSun"/>
          <w:bCs/>
          <w:color w:val="000000" w:themeColor="text1"/>
          <w:spacing w:val="-1"/>
          <w:lang w:val="zh-CN" w:eastAsia="zh-CN"/>
        </w:rPr>
        <w:t>23716–23736.</w:t>
      </w:r>
    </w:p>
    <w:p w14:paraId="3E550A54" w14:textId="77777777" w:rsidR="00780E71" w:rsidRDefault="00780E71">
      <w:pPr>
        <w:pStyle w:val="references"/>
        <w:numPr>
          <w:ilvl w:val="0"/>
          <w:numId w:val="0"/>
        </w:numPr>
        <w:spacing w:line="240" w:lineRule="auto"/>
        <w:rPr>
          <w:rFonts w:eastAsia="SimSun"/>
          <w:bCs/>
          <w:color w:val="000000" w:themeColor="text1"/>
          <w:spacing w:val="-1"/>
          <w:lang w:val="zh-CN" w:eastAsia="zh-CN"/>
        </w:rPr>
      </w:pPr>
    </w:p>
    <w:p w14:paraId="5F7A0A7C" w14:textId="77777777" w:rsidR="00780E71" w:rsidRDefault="00722F52">
      <w:pPr>
        <w:pStyle w:val="references"/>
        <w:numPr>
          <w:ilvl w:val="0"/>
          <w:numId w:val="8"/>
        </w:numPr>
        <w:spacing w:line="240" w:lineRule="auto"/>
        <w:rPr>
          <w:rFonts w:eastAsia="SimSun"/>
          <w:bCs/>
          <w:color w:val="000000" w:themeColor="text1"/>
          <w:spacing w:val="-1"/>
          <w:lang w:val="zh-CN" w:eastAsia="zh-CN"/>
        </w:rPr>
      </w:pPr>
      <w:r>
        <w:rPr>
          <w:rFonts w:eastAsia="SimSun"/>
          <w:bCs/>
          <w:color w:val="000000" w:themeColor="text1"/>
          <w:spacing w:val="-1"/>
          <w:lang w:val="zh-CN" w:eastAsia="zh-CN"/>
        </w:rPr>
        <w:t>Indian Council of Medical Research (ICMR),</w:t>
      </w:r>
      <w:r>
        <w:rPr>
          <w:rFonts w:eastAsia="SimSun"/>
          <w:bCs/>
          <w:color w:val="000000" w:themeColor="text1"/>
          <w:spacing w:val="-1"/>
          <w:lang w:val="zh-CN" w:eastAsia="zh-CN"/>
        </w:rPr>
        <w:br/>
        <w:t>Dietary Guidelines for Indians,</w:t>
      </w:r>
      <w:r>
        <w:rPr>
          <w:rFonts w:eastAsia="SimSun"/>
          <w:bCs/>
          <w:color w:val="000000" w:themeColor="text1"/>
          <w:spacing w:val="-1"/>
          <w:lang w:val="zh-CN" w:eastAsia="zh-CN"/>
        </w:rPr>
        <w:br/>
        <w:t>National Institute of Nutrition, Hyderabad, India, 2020.</w:t>
      </w:r>
    </w:p>
    <w:p w14:paraId="67F12C4F" w14:textId="77777777" w:rsidR="00780E71" w:rsidRDefault="00780E71">
      <w:pPr>
        <w:pStyle w:val="references"/>
        <w:numPr>
          <w:ilvl w:val="0"/>
          <w:numId w:val="0"/>
        </w:numPr>
        <w:spacing w:line="240" w:lineRule="auto"/>
        <w:rPr>
          <w:rFonts w:eastAsia="SimSun"/>
          <w:bCs/>
          <w:color w:val="000000" w:themeColor="text1"/>
          <w:spacing w:val="-1"/>
          <w:lang w:val="zh-CN" w:eastAsia="zh-CN"/>
        </w:rPr>
      </w:pPr>
    </w:p>
    <w:p w14:paraId="2A3DB6CE" w14:textId="77777777" w:rsidR="00780E71" w:rsidRDefault="00722F52">
      <w:pPr>
        <w:pStyle w:val="references"/>
        <w:numPr>
          <w:ilvl w:val="0"/>
          <w:numId w:val="8"/>
        </w:numPr>
        <w:spacing w:line="240" w:lineRule="auto"/>
        <w:rPr>
          <w:rFonts w:eastAsia="SimSun"/>
          <w:bCs/>
          <w:color w:val="000000" w:themeColor="text1"/>
          <w:spacing w:val="-1"/>
          <w:lang w:val="zh-CN" w:eastAsia="zh-CN"/>
        </w:rPr>
      </w:pPr>
      <w:r>
        <w:rPr>
          <w:rFonts w:eastAsia="SimSun"/>
          <w:bCs/>
          <w:color w:val="000000" w:themeColor="text1"/>
          <w:spacing w:val="-1"/>
          <w:lang w:val="zh-CN" w:eastAsia="zh-CN"/>
        </w:rPr>
        <w:t>J. Johnson, M. Douze, and H. Jégou,</w:t>
      </w:r>
      <w:r>
        <w:rPr>
          <w:rFonts w:eastAsia="SimSun"/>
          <w:bCs/>
          <w:color w:val="000000" w:themeColor="text1"/>
          <w:spacing w:val="-1"/>
          <w:lang w:val="zh-CN" w:eastAsia="zh-CN"/>
        </w:rPr>
        <w:br/>
        <w:t>“Billion-Scale Similarity Search with GPUs,”</w:t>
      </w:r>
      <w:r>
        <w:rPr>
          <w:rFonts w:eastAsia="SimSun"/>
          <w:bCs/>
          <w:color w:val="000000" w:themeColor="text1"/>
          <w:spacing w:val="-1"/>
          <w:lang w:val="zh-CN" w:eastAsia="zh-CN"/>
        </w:rPr>
        <w:br/>
        <w:t xml:space="preserve">IEEE Transactions on Big </w:t>
      </w:r>
      <w:r>
        <w:rPr>
          <w:rFonts w:eastAsia="SimSun"/>
          <w:bCs/>
          <w:color w:val="000000" w:themeColor="text1"/>
          <w:spacing w:val="-1"/>
          <w:lang w:val="zh-CN" w:eastAsia="zh-CN"/>
        </w:rPr>
        <w:t>Data,</w:t>
      </w:r>
      <w:r>
        <w:rPr>
          <w:rFonts w:eastAsia="SimSun"/>
          <w:bCs/>
          <w:color w:val="000000" w:themeColor="text1"/>
          <w:spacing w:val="-1"/>
          <w:lang w:val="zh-CN" w:eastAsia="zh-CN"/>
        </w:rPr>
        <w:br/>
        <w:t>vol. 7, no. 3, pp. 535–547, 2019.</w:t>
      </w:r>
    </w:p>
    <w:p w14:paraId="1C9ACA17" w14:textId="77777777" w:rsidR="00780E71" w:rsidRDefault="00780E71">
      <w:pPr>
        <w:pStyle w:val="references"/>
        <w:numPr>
          <w:ilvl w:val="0"/>
          <w:numId w:val="0"/>
        </w:numPr>
        <w:spacing w:line="240" w:lineRule="auto"/>
        <w:rPr>
          <w:rFonts w:eastAsia="SimSun"/>
          <w:bCs/>
          <w:color w:val="000000" w:themeColor="text1"/>
          <w:spacing w:val="-1"/>
          <w:lang w:val="zh-CN" w:eastAsia="zh-CN"/>
        </w:rPr>
      </w:pPr>
    </w:p>
    <w:p w14:paraId="7947923E" w14:textId="77777777" w:rsidR="00780E71" w:rsidRDefault="00722F52">
      <w:pPr>
        <w:pStyle w:val="references"/>
        <w:numPr>
          <w:ilvl w:val="0"/>
          <w:numId w:val="8"/>
        </w:numPr>
        <w:spacing w:line="240" w:lineRule="auto"/>
        <w:rPr>
          <w:rFonts w:eastAsia="SimSun"/>
          <w:bCs/>
          <w:color w:val="000000" w:themeColor="text1"/>
          <w:spacing w:val="-1"/>
          <w:lang w:val="zh-CN" w:eastAsia="zh-CN"/>
        </w:rPr>
      </w:pPr>
      <w:r>
        <w:rPr>
          <w:rFonts w:eastAsia="SimSun"/>
          <w:bCs/>
          <w:color w:val="000000" w:themeColor="text1"/>
          <w:spacing w:val="-1"/>
          <w:lang w:val="zh-CN" w:eastAsia="zh-CN"/>
        </w:rPr>
        <w:t>S. Kwon et al.,</w:t>
      </w:r>
      <w:r>
        <w:rPr>
          <w:rFonts w:eastAsia="SimSun"/>
          <w:bCs/>
          <w:color w:val="000000" w:themeColor="text1"/>
          <w:spacing w:val="-1"/>
          <w:lang w:val="zh-CN" w:eastAsia="zh-CN"/>
        </w:rPr>
        <w:br/>
        <w:t>“Efficient Serving of Large Language Models,”</w:t>
      </w:r>
      <w:r>
        <w:rPr>
          <w:rFonts w:eastAsia="SimSun"/>
          <w:bCs/>
          <w:color w:val="000000" w:themeColor="text1"/>
          <w:spacing w:val="-1"/>
          <w:lang w:val="zh-CN" w:eastAsia="zh-CN"/>
        </w:rPr>
        <w:br/>
        <w:t>in Proc. 6th Conference on Machine Learning and Systems (MLSys),</w:t>
      </w:r>
      <w:r>
        <w:rPr>
          <w:rFonts w:eastAsia="SimSun"/>
          <w:bCs/>
          <w:color w:val="000000" w:themeColor="text1"/>
          <w:spacing w:val="-1"/>
          <w:lang w:val="zh-CN" w:eastAsia="zh-CN"/>
        </w:rPr>
        <w:br/>
        <w:t>2023.</w:t>
      </w:r>
    </w:p>
    <w:p w14:paraId="49C25613" w14:textId="77777777" w:rsidR="00780E71" w:rsidRDefault="00780E71">
      <w:pPr>
        <w:pStyle w:val="references"/>
        <w:numPr>
          <w:ilvl w:val="0"/>
          <w:numId w:val="0"/>
        </w:numPr>
        <w:spacing w:line="240" w:lineRule="auto"/>
        <w:rPr>
          <w:rFonts w:eastAsia="SimSun"/>
          <w:bCs/>
          <w:color w:val="000000" w:themeColor="text1"/>
          <w:spacing w:val="-1"/>
          <w:lang w:val="zh-CN" w:eastAsia="zh-CN"/>
        </w:rPr>
      </w:pPr>
    </w:p>
    <w:p w14:paraId="3F6CF2FD" w14:textId="77777777" w:rsidR="00780E71" w:rsidRDefault="00722F52">
      <w:pPr>
        <w:pStyle w:val="references"/>
        <w:numPr>
          <w:ilvl w:val="0"/>
          <w:numId w:val="8"/>
        </w:numPr>
        <w:spacing w:line="240" w:lineRule="auto"/>
        <w:rPr>
          <w:rFonts w:eastAsia="SimSun"/>
          <w:bCs/>
          <w:color w:val="000000" w:themeColor="text1"/>
          <w:spacing w:val="-1"/>
          <w:lang w:val="zh-CN" w:eastAsia="zh-CN"/>
        </w:rPr>
      </w:pPr>
      <w:r>
        <w:rPr>
          <w:rFonts w:eastAsia="SimSun"/>
          <w:bCs/>
          <w:color w:val="000000" w:themeColor="text1"/>
          <w:spacing w:val="-1"/>
          <w:lang w:val="zh-CN" w:eastAsia="zh-CN"/>
        </w:rPr>
        <w:t>C. Fedus et al.,</w:t>
      </w:r>
      <w:r>
        <w:rPr>
          <w:rFonts w:eastAsia="SimSun"/>
          <w:bCs/>
          <w:color w:val="000000" w:themeColor="text1"/>
          <w:spacing w:val="-1"/>
          <w:lang w:val="zh-CN" w:eastAsia="zh-CN"/>
        </w:rPr>
        <w:br/>
        <w:t xml:space="preserve">“Switch Transformers: Scaling to Trillion Parameter Models with </w:t>
      </w:r>
      <w:r>
        <w:rPr>
          <w:rFonts w:eastAsia="SimSun"/>
          <w:bCs/>
          <w:color w:val="000000" w:themeColor="text1"/>
          <w:spacing w:val="-1"/>
          <w:lang w:val="zh-CN" w:eastAsia="zh-CN"/>
        </w:rPr>
        <w:t>Simple and Efficient Sparsity,”</w:t>
      </w:r>
      <w:r>
        <w:rPr>
          <w:rFonts w:eastAsia="SimSun"/>
          <w:bCs/>
          <w:color w:val="000000" w:themeColor="text1"/>
          <w:spacing w:val="-1"/>
          <w:lang w:val="zh-CN" w:eastAsia="zh-CN"/>
        </w:rPr>
        <w:br/>
        <w:t>Journal of Machine Learning Research (JMLR),</w:t>
      </w:r>
      <w:r>
        <w:rPr>
          <w:rFonts w:eastAsia="SimSun"/>
          <w:bCs/>
          <w:color w:val="000000" w:themeColor="text1"/>
          <w:spacing w:val="-1"/>
          <w:lang w:val="zh-CN" w:eastAsia="zh-CN"/>
        </w:rPr>
        <w:br/>
        <w:t>vol. 23, no. 120, pp. 1–39, 2022.</w:t>
      </w:r>
    </w:p>
    <w:p w14:paraId="51B2B6D1" w14:textId="77777777" w:rsidR="00780E71" w:rsidRDefault="00780E71">
      <w:pPr>
        <w:pStyle w:val="references"/>
        <w:numPr>
          <w:ilvl w:val="0"/>
          <w:numId w:val="0"/>
        </w:numPr>
        <w:spacing w:line="240" w:lineRule="auto"/>
        <w:rPr>
          <w:rFonts w:eastAsia="SimSun"/>
          <w:bCs/>
          <w:color w:val="000000" w:themeColor="text1"/>
          <w:spacing w:val="-1"/>
          <w:lang w:val="zh-CN" w:eastAsia="zh-CN"/>
        </w:rPr>
      </w:pPr>
    </w:p>
    <w:p w14:paraId="501C40C6" w14:textId="77777777" w:rsidR="00780E71" w:rsidRDefault="00722F52">
      <w:pPr>
        <w:pStyle w:val="references"/>
        <w:numPr>
          <w:ilvl w:val="0"/>
          <w:numId w:val="8"/>
        </w:numPr>
        <w:spacing w:line="240" w:lineRule="auto"/>
        <w:rPr>
          <w:rFonts w:eastAsia="SimSun"/>
          <w:bCs/>
          <w:color w:val="000000" w:themeColor="text1"/>
          <w:spacing w:val="-1"/>
          <w:lang w:val="zh-CN" w:eastAsia="zh-CN"/>
        </w:rPr>
      </w:pPr>
      <w:r>
        <w:rPr>
          <w:rFonts w:eastAsia="SimSun"/>
          <w:bCs/>
          <w:color w:val="000000" w:themeColor="text1"/>
          <w:spacing w:val="-1"/>
          <w:lang w:val="zh-CN" w:eastAsia="zh-CN"/>
        </w:rPr>
        <w:t>N. Reimers and I. Gurevych,</w:t>
      </w:r>
      <w:r>
        <w:rPr>
          <w:rFonts w:eastAsia="SimSun"/>
          <w:bCs/>
          <w:color w:val="000000" w:themeColor="text1"/>
          <w:spacing w:val="-1"/>
          <w:lang w:val="zh-CN" w:eastAsia="zh-CN"/>
        </w:rPr>
        <w:br/>
        <w:t>“Sentence-BERT: Sentence Embeddings using Siamese BERT-Networks,”</w:t>
      </w:r>
      <w:r>
        <w:rPr>
          <w:rFonts w:eastAsia="SimSun"/>
          <w:bCs/>
          <w:color w:val="000000" w:themeColor="text1"/>
          <w:spacing w:val="-1"/>
          <w:lang w:val="zh-CN" w:eastAsia="zh-CN"/>
        </w:rPr>
        <w:br/>
        <w:t>in Proc. 2019 Conference on Empirical Methods in N</w:t>
      </w:r>
      <w:r>
        <w:rPr>
          <w:rFonts w:eastAsia="SimSun"/>
          <w:bCs/>
          <w:color w:val="000000" w:themeColor="text1"/>
          <w:spacing w:val="-1"/>
          <w:lang w:val="zh-CN" w:eastAsia="zh-CN"/>
        </w:rPr>
        <w:t>atural Language Processing (EMNLP),</w:t>
      </w:r>
      <w:r>
        <w:rPr>
          <w:rFonts w:eastAsia="SimSun"/>
          <w:bCs/>
          <w:color w:val="000000" w:themeColor="text1"/>
          <w:spacing w:val="-1"/>
          <w:lang w:val="zh-CN" w:eastAsia="zh-CN"/>
        </w:rPr>
        <w:br/>
        <w:t>2019, pp. 3982–3992.</w:t>
      </w:r>
    </w:p>
    <w:p w14:paraId="66EDC564" w14:textId="77777777" w:rsidR="00780E71" w:rsidRDefault="00722F52">
      <w:pPr>
        <w:pStyle w:val="references"/>
        <w:numPr>
          <w:ilvl w:val="0"/>
          <w:numId w:val="8"/>
        </w:numPr>
        <w:spacing w:line="240" w:lineRule="auto"/>
        <w:rPr>
          <w:rFonts w:eastAsia="SimSun"/>
          <w:bCs/>
          <w:color w:val="000000" w:themeColor="text1"/>
          <w:spacing w:val="-1"/>
          <w:lang w:val="zh-CN" w:eastAsia="zh-CN"/>
        </w:rPr>
      </w:pPr>
      <w:r>
        <w:rPr>
          <w:rFonts w:eastAsia="SimSun"/>
          <w:bCs/>
          <w:color w:val="000000" w:themeColor="text1"/>
          <w:spacing w:val="-1"/>
          <w:lang w:val="zh-CN" w:eastAsia="zh-CN"/>
        </w:rPr>
        <w:t>A. Holzinger,</w:t>
      </w:r>
      <w:r>
        <w:rPr>
          <w:rFonts w:eastAsia="SimSun"/>
          <w:bCs/>
          <w:color w:val="000000" w:themeColor="text1"/>
          <w:spacing w:val="-1"/>
          <w:lang w:val="zh-CN" w:eastAsia="zh-CN"/>
        </w:rPr>
        <w:br/>
        <w:t>“Interactive Machine Learning for Health Informatics,”</w:t>
      </w:r>
      <w:r>
        <w:rPr>
          <w:rFonts w:eastAsia="SimSun"/>
          <w:bCs/>
          <w:color w:val="000000" w:themeColor="text1"/>
          <w:spacing w:val="-1"/>
          <w:lang w:val="zh-CN" w:eastAsia="zh-CN"/>
        </w:rPr>
        <w:br/>
        <w:t>Artificial Intelligence in Medicine,</w:t>
      </w:r>
      <w:r>
        <w:rPr>
          <w:rFonts w:eastAsia="SimSun"/>
          <w:bCs/>
          <w:color w:val="000000" w:themeColor="text1"/>
          <w:spacing w:val="-1"/>
          <w:lang w:val="zh-CN" w:eastAsia="zh-CN"/>
        </w:rPr>
        <w:br/>
        <w:t>vol. 90, pp. 1–3, 2018.</w:t>
      </w:r>
    </w:p>
    <w:p w14:paraId="4ABA88E2" w14:textId="77777777" w:rsidR="00780E71" w:rsidRDefault="00780E71">
      <w:pPr>
        <w:pStyle w:val="references"/>
        <w:numPr>
          <w:ilvl w:val="0"/>
          <w:numId w:val="0"/>
        </w:numPr>
        <w:spacing w:line="240" w:lineRule="auto"/>
        <w:rPr>
          <w:rFonts w:eastAsia="SimSun"/>
          <w:bCs/>
          <w:color w:val="000000" w:themeColor="text1"/>
          <w:spacing w:val="-1"/>
          <w:lang w:val="zh-CN" w:eastAsia="zh-CN"/>
        </w:rPr>
      </w:pPr>
    </w:p>
    <w:p w14:paraId="71223418" w14:textId="77777777" w:rsidR="00780E71" w:rsidRDefault="00722F52">
      <w:pPr>
        <w:pStyle w:val="references"/>
        <w:numPr>
          <w:ilvl w:val="0"/>
          <w:numId w:val="8"/>
        </w:numPr>
        <w:spacing w:line="240" w:lineRule="auto"/>
        <w:rPr>
          <w:rFonts w:eastAsia="SimSun"/>
          <w:bCs/>
          <w:color w:val="000000" w:themeColor="text1"/>
          <w:spacing w:val="-1"/>
          <w:lang w:val="zh-CN" w:eastAsia="zh-CN"/>
        </w:rPr>
      </w:pPr>
      <w:r>
        <w:rPr>
          <w:rFonts w:eastAsia="SimSun"/>
          <w:bCs/>
          <w:color w:val="000000" w:themeColor="text1"/>
          <w:spacing w:val="-1"/>
          <w:lang w:val="zh-CN" w:eastAsia="zh-CN"/>
        </w:rPr>
        <w:t>H. Shuster, J. Packer, and A. Smith,</w:t>
      </w:r>
      <w:r>
        <w:rPr>
          <w:rFonts w:eastAsia="SimSun"/>
          <w:bCs/>
          <w:color w:val="000000" w:themeColor="text1"/>
          <w:spacing w:val="-1"/>
          <w:lang w:val="zh-CN" w:eastAsia="zh-CN"/>
        </w:rPr>
        <w:br/>
        <w:t>“Retrieval Augmented Generation</w:t>
      </w:r>
      <w:r>
        <w:rPr>
          <w:rFonts w:eastAsia="SimSun"/>
          <w:bCs/>
          <w:color w:val="000000" w:themeColor="text1"/>
          <w:spacing w:val="-1"/>
          <w:lang w:val="zh-CN" w:eastAsia="zh-CN"/>
        </w:rPr>
        <w:t xml:space="preserve"> Reduces Hallucinations in Large Language Models,”</w:t>
      </w:r>
      <w:r>
        <w:rPr>
          <w:rFonts w:eastAsia="SimSun"/>
          <w:bCs/>
          <w:color w:val="000000" w:themeColor="text1"/>
          <w:spacing w:val="-1"/>
          <w:lang w:val="zh-CN" w:eastAsia="zh-CN"/>
        </w:rPr>
        <w:br/>
        <w:t>in Proc. 61st Annual Meeting of the Association for Computational Linguistics (ACL),</w:t>
      </w:r>
      <w:r>
        <w:rPr>
          <w:rFonts w:eastAsia="SimSun"/>
          <w:bCs/>
          <w:color w:val="000000" w:themeColor="text1"/>
          <w:spacing w:val="-1"/>
          <w:lang w:val="zh-CN" w:eastAsia="zh-CN"/>
        </w:rPr>
        <w:br/>
        <w:t>2023, pp. 1551–1564.</w:t>
      </w:r>
    </w:p>
    <w:p w14:paraId="48356F6F" w14:textId="77777777" w:rsidR="00780E71" w:rsidRDefault="00780E71">
      <w:pPr>
        <w:pStyle w:val="references"/>
        <w:numPr>
          <w:ilvl w:val="0"/>
          <w:numId w:val="0"/>
        </w:numPr>
        <w:spacing w:line="240" w:lineRule="auto"/>
        <w:rPr>
          <w:rFonts w:eastAsia="SimSun"/>
          <w:bCs/>
          <w:color w:val="000000" w:themeColor="text1"/>
          <w:spacing w:val="-1"/>
          <w:lang w:val="zh-CN" w:eastAsia="zh-CN"/>
        </w:rPr>
      </w:pPr>
    </w:p>
    <w:p w14:paraId="4500D2C3" w14:textId="77777777" w:rsidR="00780E71" w:rsidRDefault="00780E71">
      <w:pPr>
        <w:pStyle w:val="references"/>
        <w:numPr>
          <w:ilvl w:val="0"/>
          <w:numId w:val="0"/>
        </w:numPr>
        <w:spacing w:line="240" w:lineRule="auto"/>
        <w:rPr>
          <w:rFonts w:eastAsia="SimSun"/>
          <w:bCs/>
          <w:color w:val="000000" w:themeColor="text1"/>
          <w:spacing w:val="-1"/>
          <w:lang w:val="zh-CN" w:eastAsia="zh-CN"/>
        </w:rPr>
      </w:pPr>
    </w:p>
    <w:p w14:paraId="4BA249B9" w14:textId="77777777" w:rsidR="00780E71" w:rsidRDefault="00780E71">
      <w:pPr>
        <w:pStyle w:val="references"/>
        <w:numPr>
          <w:ilvl w:val="0"/>
          <w:numId w:val="0"/>
        </w:numPr>
        <w:spacing w:line="240" w:lineRule="auto"/>
        <w:rPr>
          <w:rFonts w:eastAsia="SimSun"/>
          <w:bCs/>
          <w:color w:val="000000" w:themeColor="text1"/>
          <w:spacing w:val="-1"/>
          <w:lang w:val="zh-CN" w:eastAsia="zh-CN"/>
        </w:rPr>
      </w:pPr>
    </w:p>
    <w:p w14:paraId="2BF3119B" w14:textId="77777777" w:rsidR="00780E71" w:rsidRDefault="00780E71">
      <w:pPr>
        <w:pStyle w:val="references"/>
        <w:numPr>
          <w:ilvl w:val="0"/>
          <w:numId w:val="0"/>
        </w:numPr>
        <w:spacing w:line="240" w:lineRule="auto"/>
        <w:rPr>
          <w:rFonts w:eastAsia="SimSun"/>
          <w:bCs/>
          <w:color w:val="000000" w:themeColor="text1"/>
          <w:spacing w:val="-1"/>
          <w:lang w:val="zh-CN" w:eastAsia="zh-CN"/>
        </w:rPr>
      </w:pPr>
    </w:p>
    <w:p w14:paraId="26F72128" w14:textId="77777777" w:rsidR="00780E71" w:rsidRDefault="00780E71">
      <w:pPr>
        <w:pStyle w:val="references"/>
        <w:numPr>
          <w:ilvl w:val="0"/>
          <w:numId w:val="0"/>
        </w:numPr>
        <w:spacing w:line="240" w:lineRule="auto"/>
        <w:rPr>
          <w:rFonts w:eastAsia="SimSun"/>
          <w:bCs/>
          <w:color w:val="000000" w:themeColor="text1"/>
          <w:spacing w:val="-1"/>
          <w:sz w:val="10"/>
          <w:szCs w:val="10"/>
          <w:lang w:val="zh-CN" w:eastAsia="zh-CN"/>
        </w:rPr>
      </w:pPr>
    </w:p>
    <w:p w14:paraId="71BFB7B2" w14:textId="77777777" w:rsidR="00780E71" w:rsidRDefault="00780E71">
      <w:pPr>
        <w:pStyle w:val="references"/>
        <w:numPr>
          <w:ilvl w:val="0"/>
          <w:numId w:val="0"/>
        </w:numPr>
        <w:spacing w:line="240" w:lineRule="auto"/>
        <w:rPr>
          <w:rFonts w:eastAsia="SimSun"/>
          <w:bCs/>
          <w:color w:val="000000" w:themeColor="text1"/>
          <w:spacing w:val="-1"/>
          <w:sz w:val="10"/>
          <w:szCs w:val="10"/>
          <w:lang w:val="zh-CN" w:eastAsia="zh-CN"/>
        </w:rPr>
        <w:sectPr w:rsidR="00780E71">
          <w:type w:val="continuous"/>
          <w:pgSz w:w="11906" w:h="16838"/>
          <w:pgMar w:top="1080" w:right="907" w:bottom="1440" w:left="907" w:header="720" w:footer="720" w:gutter="0"/>
          <w:cols w:num="2" w:space="360"/>
          <w:docGrid w:linePitch="360"/>
        </w:sectPr>
      </w:pPr>
    </w:p>
    <w:p w14:paraId="62F72265" w14:textId="77777777" w:rsidR="00780E71" w:rsidRDefault="00722F52">
      <w:pPr>
        <w:jc w:val="both"/>
        <w:rPr>
          <w:bCs/>
          <w:color w:val="000000" w:themeColor="text1"/>
          <w:sz w:val="10"/>
          <w:szCs w:val="10"/>
        </w:rPr>
      </w:pPr>
      <w:r>
        <w:rPr>
          <w:bCs/>
          <w:color w:val="000000" w:themeColor="text1"/>
          <w:sz w:val="10"/>
          <w:szCs w:val="10"/>
        </w:rPr>
        <w:t xml:space="preserve">                                                                          </w:t>
      </w:r>
      <w:r>
        <w:rPr>
          <w:bCs/>
          <w:color w:val="000000" w:themeColor="text1"/>
          <w:sz w:val="10"/>
          <w:szCs w:val="10"/>
        </w:rPr>
        <w:t xml:space="preserve">                             </w:t>
      </w:r>
    </w:p>
    <w:sectPr w:rsidR="00780E71">
      <w:type w:val="continuous"/>
      <w:pgSz w:w="11906" w:h="16838"/>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9BB7E" w14:textId="77777777" w:rsidR="00722F52" w:rsidRDefault="00722F52">
      <w:r>
        <w:separator/>
      </w:r>
    </w:p>
  </w:endnote>
  <w:endnote w:type="continuationSeparator" w:id="0">
    <w:p w14:paraId="4AE42966" w14:textId="77777777" w:rsidR="00722F52" w:rsidRDefault="00722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rinda">
    <w:panose1 w:val="00000400000000000000"/>
    <w:charset w:val="00"/>
    <w:family w:val="swiss"/>
    <w:pitch w:val="variable"/>
    <w:sig w:usb0="0001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7FB87" w14:textId="77777777" w:rsidR="00885FC2" w:rsidRDefault="00885F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0CFF0" w14:textId="77777777" w:rsidR="00885FC2" w:rsidRDefault="00885F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269F3" w14:textId="77777777" w:rsidR="00780E71" w:rsidRDefault="00780E71">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CDED5" w14:textId="77777777" w:rsidR="00722F52" w:rsidRDefault="00722F52">
      <w:r>
        <w:separator/>
      </w:r>
    </w:p>
  </w:footnote>
  <w:footnote w:type="continuationSeparator" w:id="0">
    <w:p w14:paraId="70DB0EC0" w14:textId="77777777" w:rsidR="00722F52" w:rsidRDefault="00722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39AA6" w14:textId="51B832F0" w:rsidR="00885FC2" w:rsidRDefault="00885FC2">
    <w:pPr>
      <w:pStyle w:val="Header"/>
    </w:pPr>
    <w:r>
      <w:rPr>
        <w:noProof/>
      </w:rPr>
      <w:pict w14:anchorId="2A4FC7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601595" o:spid="_x0000_s2050" type="#_x0000_t136" style="position:absolute;left:0;text-align:left;margin-left:0;margin-top:0;width:641.05pt;height:72.3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0335A" w14:textId="77439B86" w:rsidR="00885FC2" w:rsidRDefault="00885FC2">
    <w:pPr>
      <w:pStyle w:val="Header"/>
    </w:pPr>
    <w:r>
      <w:rPr>
        <w:noProof/>
      </w:rPr>
      <w:pict w14:anchorId="1929E5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601596" o:spid="_x0000_s2051" type="#_x0000_t136" style="position:absolute;left:0;text-align:left;margin-left:0;margin-top:0;width:641.05pt;height:72.3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EF4FD" w14:textId="542ACEE8" w:rsidR="00885FC2" w:rsidRDefault="00885FC2">
    <w:pPr>
      <w:pStyle w:val="Header"/>
    </w:pPr>
    <w:r>
      <w:rPr>
        <w:noProof/>
      </w:rPr>
      <w:pict w14:anchorId="597763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601594" o:spid="_x0000_s2049" type="#_x0000_t136" style="position:absolute;left:0;text-align:left;margin-left:0;margin-top:0;width:641.05pt;height:72.3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E1FCF"/>
    <w:multiLevelType w:val="multilevel"/>
    <w:tmpl w:val="26FE1FCF"/>
    <w:lvl w:ilvl="0">
      <w:start w:val="1"/>
      <w:numFmt w:val="decimal"/>
      <w:pStyle w:val="footnote"/>
      <w:lvlText w:val="%1 "/>
      <w:lvlJc w:val="left"/>
      <w:pPr>
        <w:tabs>
          <w:tab w:val="left"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4189603E"/>
    <w:multiLevelType w:val="multilevel"/>
    <w:tmpl w:val="4189603E"/>
    <w:lvl w:ilvl="0">
      <w:start w:val="1"/>
      <w:numFmt w:val="upperRoman"/>
      <w:pStyle w:val="Heading1"/>
      <w:lvlText w:val="%1."/>
      <w:lvlJc w:val="center"/>
      <w:pPr>
        <w:tabs>
          <w:tab w:val="left" w:pos="1495"/>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start w:val="1"/>
      <w:numFmt w:val="lowerLetter"/>
      <w:pStyle w:val="Heading4"/>
      <w:lvlText w:val="%4)"/>
      <w:lvlJc w:val="left"/>
      <w:pPr>
        <w:tabs>
          <w:tab w:val="left"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3" w15:restartNumberingAfterBreak="0">
    <w:nsid w:val="493C3F76"/>
    <w:multiLevelType w:val="multilevel"/>
    <w:tmpl w:val="493C3F76"/>
    <w:lvl w:ilvl="0">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5"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6"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cs="Times New Roman" w:hint="default"/>
        <w:b w:val="0"/>
        <w:bCs w:val="0"/>
        <w:i w:val="0"/>
        <w:iCs w:val="0"/>
        <w:sz w:val="16"/>
        <w:szCs w:val="16"/>
      </w:rPr>
    </w:lvl>
  </w:abstractNum>
  <w:abstractNum w:abstractNumId="7" w15:restartNumberingAfterBreak="0">
    <w:nsid w:val="6DD37859"/>
    <w:multiLevelType w:val="singleLevel"/>
    <w:tmpl w:val="6DD37859"/>
    <w:lvl w:ilvl="0">
      <w:start w:val="1"/>
      <w:numFmt w:val="decimal"/>
      <w:suff w:val="space"/>
      <w:lvlText w:val="[%1]."/>
      <w:lvlJc w:val="left"/>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720"/>
  <w:doNotHyphenateCaps/>
  <w:noPunctuationKerning/>
  <w:characterSpacingControl w:val="doNotCompress"/>
  <w:doNotValidateAgainstSchema/>
  <w:doNotDemarcateInvalidXml/>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27DCA"/>
    <w:rsid w:val="0004781E"/>
    <w:rsid w:val="0008758A"/>
    <w:rsid w:val="000C1E68"/>
    <w:rsid w:val="000C2C3D"/>
    <w:rsid w:val="001A2EFD"/>
    <w:rsid w:val="001A3B3D"/>
    <w:rsid w:val="001B019B"/>
    <w:rsid w:val="001B67DC"/>
    <w:rsid w:val="001C4289"/>
    <w:rsid w:val="002254A9"/>
    <w:rsid w:val="00233D97"/>
    <w:rsid w:val="002347A2"/>
    <w:rsid w:val="00252F2C"/>
    <w:rsid w:val="002850E3"/>
    <w:rsid w:val="002A5566"/>
    <w:rsid w:val="00354FCF"/>
    <w:rsid w:val="003A19E2"/>
    <w:rsid w:val="003B2B40"/>
    <w:rsid w:val="003B4E04"/>
    <w:rsid w:val="003D10EA"/>
    <w:rsid w:val="003E6D09"/>
    <w:rsid w:val="003F5A08"/>
    <w:rsid w:val="00400C63"/>
    <w:rsid w:val="00420716"/>
    <w:rsid w:val="004325FB"/>
    <w:rsid w:val="004432BA"/>
    <w:rsid w:val="0044407E"/>
    <w:rsid w:val="00447BB9"/>
    <w:rsid w:val="0046031D"/>
    <w:rsid w:val="00473AC9"/>
    <w:rsid w:val="004740A8"/>
    <w:rsid w:val="004D72B5"/>
    <w:rsid w:val="005045E8"/>
    <w:rsid w:val="00505943"/>
    <w:rsid w:val="00511BEF"/>
    <w:rsid w:val="0051500B"/>
    <w:rsid w:val="00551B7F"/>
    <w:rsid w:val="0055343D"/>
    <w:rsid w:val="0056283B"/>
    <w:rsid w:val="0056610F"/>
    <w:rsid w:val="00575BCA"/>
    <w:rsid w:val="005A0250"/>
    <w:rsid w:val="005B0344"/>
    <w:rsid w:val="005B520E"/>
    <w:rsid w:val="005E2800"/>
    <w:rsid w:val="00605825"/>
    <w:rsid w:val="00645D22"/>
    <w:rsid w:val="00651A08"/>
    <w:rsid w:val="00654204"/>
    <w:rsid w:val="00670434"/>
    <w:rsid w:val="006A5D82"/>
    <w:rsid w:val="006B6B66"/>
    <w:rsid w:val="006C31B6"/>
    <w:rsid w:val="006F6D3D"/>
    <w:rsid w:val="00715BEA"/>
    <w:rsid w:val="00722F52"/>
    <w:rsid w:val="00740EEA"/>
    <w:rsid w:val="00780E71"/>
    <w:rsid w:val="00794804"/>
    <w:rsid w:val="007B0DD0"/>
    <w:rsid w:val="007B33F1"/>
    <w:rsid w:val="007B3941"/>
    <w:rsid w:val="007B6DDA"/>
    <w:rsid w:val="007C0308"/>
    <w:rsid w:val="007C2FF2"/>
    <w:rsid w:val="007D6232"/>
    <w:rsid w:val="007F1F99"/>
    <w:rsid w:val="007F768F"/>
    <w:rsid w:val="0080791D"/>
    <w:rsid w:val="008147B5"/>
    <w:rsid w:val="00836367"/>
    <w:rsid w:val="00852162"/>
    <w:rsid w:val="00873603"/>
    <w:rsid w:val="00885FC2"/>
    <w:rsid w:val="008A2C7D"/>
    <w:rsid w:val="008B6524"/>
    <w:rsid w:val="008C4B23"/>
    <w:rsid w:val="008F6E2C"/>
    <w:rsid w:val="009303D9"/>
    <w:rsid w:val="00933C64"/>
    <w:rsid w:val="00972203"/>
    <w:rsid w:val="009F1D79"/>
    <w:rsid w:val="00A059B3"/>
    <w:rsid w:val="00AE3409"/>
    <w:rsid w:val="00B05AF7"/>
    <w:rsid w:val="00B11A60"/>
    <w:rsid w:val="00B22613"/>
    <w:rsid w:val="00B44A76"/>
    <w:rsid w:val="00B768D1"/>
    <w:rsid w:val="00B8532B"/>
    <w:rsid w:val="00BA1025"/>
    <w:rsid w:val="00BC3420"/>
    <w:rsid w:val="00BD670B"/>
    <w:rsid w:val="00BE7D3C"/>
    <w:rsid w:val="00BF5FF6"/>
    <w:rsid w:val="00C0207F"/>
    <w:rsid w:val="00C16117"/>
    <w:rsid w:val="00C25F8C"/>
    <w:rsid w:val="00C3075A"/>
    <w:rsid w:val="00C61DA2"/>
    <w:rsid w:val="00C64622"/>
    <w:rsid w:val="00C919A4"/>
    <w:rsid w:val="00CA4392"/>
    <w:rsid w:val="00CC393F"/>
    <w:rsid w:val="00CF3163"/>
    <w:rsid w:val="00D2176E"/>
    <w:rsid w:val="00D632BE"/>
    <w:rsid w:val="00D72D06"/>
    <w:rsid w:val="00D7522C"/>
    <w:rsid w:val="00D7536F"/>
    <w:rsid w:val="00D76668"/>
    <w:rsid w:val="00DD149F"/>
    <w:rsid w:val="00E07383"/>
    <w:rsid w:val="00E165BC"/>
    <w:rsid w:val="00E53367"/>
    <w:rsid w:val="00E61E12"/>
    <w:rsid w:val="00E7596C"/>
    <w:rsid w:val="00E878F2"/>
    <w:rsid w:val="00EC7A02"/>
    <w:rsid w:val="00ED0149"/>
    <w:rsid w:val="00EF7DE3"/>
    <w:rsid w:val="00F03103"/>
    <w:rsid w:val="00F21DDE"/>
    <w:rsid w:val="00F271DE"/>
    <w:rsid w:val="00F627DA"/>
    <w:rsid w:val="00F7288F"/>
    <w:rsid w:val="00F847A6"/>
    <w:rsid w:val="00F9441B"/>
    <w:rsid w:val="00FA4C32"/>
    <w:rsid w:val="00FE7114"/>
    <w:rsid w:val="010B264F"/>
    <w:rsid w:val="05005851"/>
    <w:rsid w:val="0EEF3D60"/>
    <w:rsid w:val="1091203B"/>
    <w:rsid w:val="115E385F"/>
    <w:rsid w:val="18755666"/>
    <w:rsid w:val="19C95FDB"/>
    <w:rsid w:val="214A06AB"/>
    <w:rsid w:val="295131D4"/>
    <w:rsid w:val="308772AD"/>
    <w:rsid w:val="39F529A3"/>
    <w:rsid w:val="3ABF0F6A"/>
    <w:rsid w:val="3F2F1936"/>
    <w:rsid w:val="4AFF6578"/>
    <w:rsid w:val="4F9B5116"/>
    <w:rsid w:val="51ED73F6"/>
    <w:rsid w:val="552E32F7"/>
    <w:rsid w:val="561516D1"/>
    <w:rsid w:val="5AED3B78"/>
    <w:rsid w:val="5B1B5005"/>
    <w:rsid w:val="64C30FE0"/>
    <w:rsid w:val="6D444359"/>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5B38E505"/>
  <w15:docId w15:val="{82327D2D-16E0-4BA1-9EB3-3A12B34A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uiPriority="1"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center"/>
    </w:pPr>
    <w:rPr>
      <w:lang w:val="en-US" w:eastAsia="en-US"/>
    </w:rPr>
  </w:style>
  <w:style w:type="paragraph" w:styleId="Heading1">
    <w:name w:val="heading 1"/>
    <w:basedOn w:val="Normal"/>
    <w:next w:val="Normal"/>
    <w:qFormat/>
    <w:pPr>
      <w:keepNext/>
      <w:keepLines/>
      <w:numPr>
        <w:numId w:val="1"/>
      </w:numPr>
      <w:tabs>
        <w:tab w:val="left" w:pos="216"/>
      </w:tabs>
      <w:spacing w:before="160" w:after="80"/>
      <w:ind w:firstLine="0"/>
      <w:outlineLvl w:val="0"/>
    </w:pPr>
    <w:rPr>
      <w:smallCaps/>
    </w:rPr>
  </w:style>
  <w:style w:type="paragraph" w:styleId="Heading2">
    <w:name w:val="heading 2"/>
    <w:basedOn w:val="Normal"/>
    <w:next w:val="Normal"/>
    <w:qFormat/>
    <w:pPr>
      <w:keepNext/>
      <w:keepLines/>
      <w:numPr>
        <w:ilvl w:val="1"/>
        <w:numId w:val="1"/>
      </w:numPr>
      <w:tabs>
        <w:tab w:val="clear" w:pos="360"/>
        <w:tab w:val="left" w:pos="288"/>
      </w:tabs>
      <w:spacing w:before="120" w:after="60"/>
      <w:jc w:val="left"/>
      <w:outlineLvl w:val="1"/>
    </w:pPr>
    <w:rPr>
      <w:i/>
      <w:iCs/>
    </w:rPr>
  </w:style>
  <w:style w:type="paragraph" w:styleId="Heading3">
    <w:name w:val="heading 3"/>
    <w:basedOn w:val="Normal"/>
    <w:next w:val="Normal"/>
    <w:qFormat/>
    <w:pPr>
      <w:numPr>
        <w:ilvl w:val="2"/>
        <w:numId w:val="1"/>
      </w:numPr>
      <w:spacing w:line="240" w:lineRule="exact"/>
      <w:ind w:firstLine="288"/>
      <w:jc w:val="both"/>
      <w:outlineLvl w:val="2"/>
    </w:pPr>
    <w:rPr>
      <w:i/>
      <w:iCs/>
    </w:rPr>
  </w:style>
  <w:style w:type="paragraph" w:styleId="Heading4">
    <w:name w:val="heading 4"/>
    <w:basedOn w:val="Normal"/>
    <w:next w:val="Normal"/>
    <w:qFormat/>
    <w:pPr>
      <w:numPr>
        <w:ilvl w:val="3"/>
        <w:numId w:val="1"/>
      </w:numPr>
      <w:tabs>
        <w:tab w:val="clear" w:pos="630"/>
        <w:tab w:val="left" w:pos="720"/>
      </w:tabs>
      <w:spacing w:before="40" w:after="40"/>
      <w:ind w:firstLine="504"/>
      <w:jc w:val="both"/>
      <w:outlineLvl w:val="3"/>
    </w:pPr>
    <w:rPr>
      <w:i/>
      <w:iCs/>
    </w:rPr>
  </w:style>
  <w:style w:type="paragraph" w:styleId="Heading5">
    <w:name w:val="heading 5"/>
    <w:basedOn w:val="Normal"/>
    <w:next w:val="Normal"/>
    <w:qFormat/>
    <w:pPr>
      <w:tabs>
        <w:tab w:val="left" w:pos="360"/>
      </w:tabs>
      <w:spacing w:before="160" w:after="80"/>
      <w:outlineLvl w:val="4"/>
    </w:pPr>
    <w:rPr>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Segoe UI" w:hAnsi="Segoe UI" w:cs="Segoe UI"/>
      <w:sz w:val="18"/>
      <w:szCs w:val="18"/>
    </w:rPr>
  </w:style>
  <w:style w:type="paragraph" w:styleId="BodyText">
    <w:name w:val="Body Text"/>
    <w:basedOn w:val="Normal"/>
    <w:link w:val="BodyTextChar"/>
    <w:qFormat/>
    <w:pPr>
      <w:tabs>
        <w:tab w:val="left" w:pos="288"/>
      </w:tabs>
      <w:spacing w:after="120" w:line="228" w:lineRule="auto"/>
      <w:ind w:firstLine="288"/>
      <w:jc w:val="both"/>
    </w:pPr>
    <w:rPr>
      <w:spacing w:val="-1"/>
      <w:lang w:val="zh-CN" w:eastAsia="zh-CN"/>
    </w:rPr>
  </w:style>
  <w:style w:type="character" w:styleId="Emphasis">
    <w:name w:val="Emphasis"/>
    <w:basedOn w:val="DefaultParagraphFont"/>
    <w:qFormat/>
    <w:rPr>
      <w:i/>
      <w:iCs/>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character" w:styleId="HTMLCode">
    <w:name w:val="HTML Code"/>
    <w:basedOn w:val="DefaultParagraphFont"/>
    <w:qFormat/>
    <w:rPr>
      <w:rFonts w:ascii="Courier New" w:hAnsi="Courier New" w:cs="Courier New"/>
      <w:sz w:val="20"/>
      <w:szCs w:val="20"/>
    </w:rPr>
  </w:style>
  <w:style w:type="character" w:styleId="Hyperlink">
    <w:name w:val="Hyperlink"/>
    <w:basedOn w:val="DefaultParagraphFont"/>
    <w:qFormat/>
    <w:rPr>
      <w:color w:val="0563C1" w:themeColor="hyperlink"/>
      <w:u w:val="single"/>
    </w:rPr>
  </w:style>
  <w:style w:type="paragraph" w:styleId="NormalWeb">
    <w:name w:val="Normal (Web)"/>
    <w:qFormat/>
    <w:pPr>
      <w:spacing w:beforeAutospacing="1" w:afterAutospacing="1"/>
    </w:pPr>
    <w:rPr>
      <w:rFonts w:cs="Vrinda"/>
      <w:sz w:val="24"/>
      <w:szCs w:val="24"/>
      <w:lang w:val="en-US" w:eastAsia="zh-CN" w:bidi="bn-IN"/>
    </w:rPr>
  </w:style>
  <w:style w:type="character" w:styleId="Strong">
    <w:name w:val="Strong"/>
    <w:basedOn w:val="DefaultParagraphFont"/>
    <w:qFormat/>
    <w:rPr>
      <w:b/>
      <w:bCs/>
    </w:rPr>
  </w:style>
  <w:style w:type="table" w:styleId="TableGrid">
    <w:name w:val="Table Grid"/>
    <w:basedOn w:val="TableNormal"/>
    <w:qFormat/>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uiPriority w:val="1"/>
    <w:qFormat/>
    <w:pPr>
      <w:spacing w:before="60"/>
      <w:ind w:left="3636" w:hanging="3341"/>
    </w:pPr>
    <w:rPr>
      <w:rFonts w:eastAsia="Times New Roman"/>
      <w:sz w:val="48"/>
      <w:szCs w:val="48"/>
    </w:rPr>
  </w:style>
  <w:style w:type="paragraph" w:customStyle="1" w:styleId="Abstract">
    <w:name w:val="Abstract"/>
    <w:qFormat/>
    <w:pPr>
      <w:spacing w:after="200"/>
      <w:ind w:firstLine="272"/>
      <w:jc w:val="both"/>
    </w:pPr>
    <w:rPr>
      <w:b/>
      <w:bCs/>
      <w:sz w:val="18"/>
      <w:szCs w:val="18"/>
      <w:lang w:val="en-US" w:eastAsia="en-US"/>
    </w:rPr>
  </w:style>
  <w:style w:type="paragraph" w:customStyle="1" w:styleId="Affiliation">
    <w:name w:val="Affiliation"/>
    <w:qFormat/>
    <w:pPr>
      <w:jc w:val="center"/>
    </w:pPr>
    <w:rPr>
      <w:lang w:val="en-US" w:eastAsia="en-US"/>
    </w:rPr>
  </w:style>
  <w:style w:type="paragraph" w:customStyle="1" w:styleId="Author">
    <w:name w:val="Author"/>
    <w:qFormat/>
    <w:pPr>
      <w:spacing w:before="360" w:after="40"/>
      <w:jc w:val="center"/>
    </w:pPr>
    <w:rPr>
      <w:sz w:val="22"/>
      <w:szCs w:val="22"/>
      <w:lang w:val="en-US" w:eastAsia="en-US"/>
    </w:rPr>
  </w:style>
  <w:style w:type="character" w:customStyle="1" w:styleId="BodyTextChar">
    <w:name w:val="Body Text Char"/>
    <w:link w:val="BodyText"/>
    <w:qFormat/>
    <w:rPr>
      <w:spacing w:val="-1"/>
      <w:lang w:val="zh-CN" w:eastAsia="zh-CN"/>
    </w:rPr>
  </w:style>
  <w:style w:type="paragraph" w:customStyle="1" w:styleId="bulletlist">
    <w:name w:val="bullet list"/>
    <w:basedOn w:val="BodyText"/>
    <w:qFormat/>
    <w:pPr>
      <w:numPr>
        <w:numId w:val="2"/>
      </w:numPr>
      <w:tabs>
        <w:tab w:val="clear" w:pos="648"/>
      </w:tabs>
      <w:ind w:left="576" w:hanging="288"/>
    </w:pPr>
  </w:style>
  <w:style w:type="paragraph" w:customStyle="1" w:styleId="equation">
    <w:name w:val="equation"/>
    <w:basedOn w:val="Normal"/>
    <w:qFormat/>
    <w:pPr>
      <w:tabs>
        <w:tab w:val="center" w:pos="2520"/>
        <w:tab w:val="right" w:pos="5040"/>
      </w:tabs>
      <w:spacing w:before="240" w:after="240" w:line="216" w:lineRule="auto"/>
    </w:pPr>
    <w:rPr>
      <w:rFonts w:ascii="Symbol" w:hAnsi="Symbol" w:cs="Symbol"/>
    </w:rPr>
  </w:style>
  <w:style w:type="paragraph" w:customStyle="1" w:styleId="figurecaption">
    <w:name w:val="figure caption"/>
    <w:qFormat/>
    <w:pPr>
      <w:numPr>
        <w:numId w:val="3"/>
      </w:numPr>
      <w:tabs>
        <w:tab w:val="left" w:pos="533"/>
      </w:tabs>
      <w:spacing w:before="80" w:after="200"/>
      <w:ind w:left="0" w:firstLine="0"/>
      <w:jc w:val="both"/>
    </w:pPr>
    <w:rPr>
      <w:sz w:val="16"/>
      <w:szCs w:val="16"/>
      <w:lang w:val="en-US" w:eastAsia="en-US"/>
    </w:rPr>
  </w:style>
  <w:style w:type="paragraph" w:customStyle="1" w:styleId="footnote">
    <w:name w:val="footnote"/>
    <w:qFormat/>
    <w:pPr>
      <w:framePr w:hSpace="187" w:vSpace="187" w:wrap="notBeside" w:vAnchor="text" w:hAnchor="page" w:x="6121" w:y="577"/>
      <w:numPr>
        <w:numId w:val="4"/>
      </w:numPr>
      <w:spacing w:after="40"/>
    </w:pPr>
    <w:rPr>
      <w:sz w:val="16"/>
      <w:szCs w:val="16"/>
      <w:lang w:val="en-US" w:eastAsia="en-US"/>
    </w:rPr>
  </w:style>
  <w:style w:type="paragraph" w:customStyle="1" w:styleId="papersubtitle">
    <w:name w:val="paper subtitle"/>
    <w:qFormat/>
    <w:pPr>
      <w:spacing w:after="120"/>
      <w:jc w:val="center"/>
    </w:pPr>
    <w:rPr>
      <w:rFonts w:eastAsia="MS Mincho"/>
      <w:sz w:val="28"/>
      <w:szCs w:val="28"/>
      <w:lang w:val="en-US" w:eastAsia="en-US"/>
    </w:rPr>
  </w:style>
  <w:style w:type="paragraph" w:customStyle="1" w:styleId="papertitle">
    <w:name w:val="paper title"/>
    <w:qFormat/>
    <w:pPr>
      <w:spacing w:after="120"/>
      <w:jc w:val="center"/>
    </w:pPr>
    <w:rPr>
      <w:rFonts w:eastAsia="MS Mincho"/>
      <w:sz w:val="48"/>
      <w:szCs w:val="48"/>
      <w:lang w:val="en-US" w:eastAsia="en-US"/>
    </w:rPr>
  </w:style>
  <w:style w:type="paragraph" w:customStyle="1" w:styleId="references">
    <w:name w:val="references"/>
    <w:qFormat/>
    <w:pPr>
      <w:numPr>
        <w:numId w:val="5"/>
      </w:numPr>
      <w:spacing w:after="50" w:line="180" w:lineRule="exact"/>
      <w:jc w:val="both"/>
    </w:pPr>
    <w:rPr>
      <w:rFonts w:eastAsia="MS Mincho"/>
      <w:sz w:val="16"/>
      <w:szCs w:val="16"/>
      <w:lang w:val="en-US" w:eastAsia="en-US"/>
    </w:rPr>
  </w:style>
  <w:style w:type="paragraph" w:customStyle="1" w:styleId="sponsors">
    <w:name w:val="sponsors"/>
    <w:qFormat/>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qFormat/>
    <w:rPr>
      <w:b/>
      <w:bCs/>
      <w:sz w:val="16"/>
      <w:szCs w:val="16"/>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sz w:val="16"/>
      <w:szCs w:val="16"/>
      <w:lang w:val="en-US" w:eastAsia="en-US"/>
    </w:rPr>
  </w:style>
  <w:style w:type="paragraph" w:customStyle="1" w:styleId="tablefootnote">
    <w:name w:val="table footnote"/>
    <w:qFormat/>
    <w:pPr>
      <w:numPr>
        <w:numId w:val="6"/>
      </w:numPr>
      <w:spacing w:before="60" w:after="30"/>
      <w:ind w:left="58" w:hanging="29"/>
      <w:jc w:val="right"/>
    </w:pPr>
    <w:rPr>
      <w:sz w:val="12"/>
      <w:szCs w:val="12"/>
      <w:lang w:val="en-US" w:eastAsia="en-US"/>
    </w:rPr>
  </w:style>
  <w:style w:type="paragraph" w:customStyle="1" w:styleId="tablehead">
    <w:name w:val="table head"/>
    <w:qFormat/>
    <w:pPr>
      <w:numPr>
        <w:numId w:val="7"/>
      </w:numPr>
      <w:spacing w:before="240" w:after="120" w:line="216" w:lineRule="auto"/>
      <w:jc w:val="center"/>
    </w:pPr>
    <w:rPr>
      <w:smallCaps/>
      <w:sz w:val="16"/>
      <w:szCs w:val="16"/>
      <w:lang w:val="en-US" w:eastAsia="en-US"/>
    </w:rPr>
  </w:style>
  <w:style w:type="paragraph" w:customStyle="1" w:styleId="Keywords">
    <w:name w:val="Keywords"/>
    <w:basedOn w:val="Abstract"/>
    <w:qFormat/>
    <w:pPr>
      <w:spacing w:after="120"/>
      <w:ind w:firstLine="274"/>
    </w:pPr>
    <w:rPr>
      <w:i/>
    </w:rPr>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qFormat/>
  </w:style>
  <w:style w:type="table" w:customStyle="1" w:styleId="Style10">
    <w:name w:val="_Style 10"/>
    <w:basedOn w:val="TableNormal"/>
    <w:qFormat/>
    <w:rPr>
      <w:lang w:bidi="bn-IN"/>
    </w:rPr>
    <w:tblPr/>
  </w:style>
  <w:style w:type="character" w:customStyle="1" w:styleId="BalloonTextChar">
    <w:name w:val="Balloon Text Char"/>
    <w:basedOn w:val="DefaultParagraphFont"/>
    <w:link w:val="BalloonText"/>
    <w:qFormat/>
    <w:rPr>
      <w:rFonts w:ascii="Segoe UI" w:hAnsi="Segoe UI" w:cs="Segoe UI"/>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1"/>
    <w:qFormat/>
    <w:pPr>
      <w:ind w:left="776" w:hanging="360"/>
    </w:pPr>
    <w:rPr>
      <w:rFonts w:ascii="Calibri" w:eastAsia="Calibri" w:hAnsi="Calibri" w:cs="Calibri"/>
    </w:rPr>
  </w:style>
  <w:style w:type="character" w:styleId="UnresolvedMention">
    <w:name w:val="Unresolved Mention"/>
    <w:basedOn w:val="DefaultParagraphFont"/>
    <w:uiPriority w:val="99"/>
    <w:semiHidden/>
    <w:unhideWhenUsed/>
    <w:rsid w:val="005A0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4B329-F33E-45AF-BD29-F75BC0D8A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3974</Words>
  <Characters>22656</Characters>
  <Application>Microsoft Office Word</Application>
  <DocSecurity>0</DocSecurity>
  <Lines>188</Lines>
  <Paragraphs>53</Paragraphs>
  <ScaleCrop>false</ScaleCrop>
  <Company>IEEE</Company>
  <LinksUpToDate>false</LinksUpToDate>
  <CharactersWithSpaces>26577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SDI 1084</cp:lastModifiedBy>
  <cp:revision>4</cp:revision>
  <cp:lastPrinted>2025-10-19T14:51:00Z</cp:lastPrinted>
  <dcterms:created xsi:type="dcterms:W3CDTF">2025-10-20T03:20:00Z</dcterms:created>
  <dcterms:modified xsi:type="dcterms:W3CDTF">2026-03-05T06:10:00Z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CBA193E986EA4A909AFD82C1EFA4D62B_12</vt:lpwstr>
  </property>
</Properties>
</file>