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22EA4" w:rsidRDefault="00D22EA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D22EA4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:rsidR="00D22EA4" w:rsidRDefault="00D22EA4">
            <w:pPr>
              <w:pStyle w:val="Heading2"/>
              <w:jc w:val="left"/>
              <w:rPr>
                <w:rFonts w:ascii="Cambria" w:eastAsia="Cambria" w:hAnsi="Cambria" w:cs="Cambria"/>
                <w:b w:val="0"/>
                <w:bCs w:val="0"/>
                <w:sz w:val="28"/>
                <w:szCs w:val="28"/>
              </w:rPr>
            </w:pPr>
          </w:p>
        </w:tc>
      </w:tr>
      <w:tr w:rsidR="00D22EA4">
        <w:trPr>
          <w:trHeight w:val="290"/>
        </w:trPr>
        <w:tc>
          <w:tcPr>
            <w:tcW w:w="5167" w:type="dxa"/>
          </w:tcPr>
          <w:p w:rsidR="00D22EA4" w:rsidRDefault="00AF0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EA4" w:rsidRDefault="00B60DC6">
            <w:pPr>
              <w:rPr>
                <w:rFonts w:ascii="Cambria" w:eastAsia="Cambria" w:hAnsi="Cambria" w:cs="Cambria"/>
                <w:sz w:val="20"/>
                <w:szCs w:val="20"/>
              </w:rPr>
            </w:pPr>
            <w:hyperlink r:id="rId7">
              <w:r w:rsidR="00AF0C86">
                <w:rPr>
                  <w:color w:val="0000FF"/>
                  <w:u w:val="single"/>
                </w:rPr>
                <w:t>Asian Journal of Pure and Applied Mathematics</w:t>
              </w:r>
            </w:hyperlink>
          </w:p>
        </w:tc>
      </w:tr>
      <w:tr w:rsidR="00D22EA4">
        <w:trPr>
          <w:trHeight w:val="290"/>
        </w:trPr>
        <w:tc>
          <w:tcPr>
            <w:tcW w:w="5167" w:type="dxa"/>
          </w:tcPr>
          <w:p w:rsidR="00D22EA4" w:rsidRDefault="00AF0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EA4" w:rsidRDefault="00AF0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Ms_AJPAM_2448</w:t>
            </w:r>
          </w:p>
        </w:tc>
      </w:tr>
      <w:tr w:rsidR="00D22EA4">
        <w:trPr>
          <w:trHeight w:val="650"/>
        </w:trPr>
        <w:tc>
          <w:tcPr>
            <w:tcW w:w="5167" w:type="dxa"/>
          </w:tcPr>
          <w:p w:rsidR="00D22EA4" w:rsidRDefault="00AF0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EA4" w:rsidRDefault="00AF0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Function-Space </w:t>
            </w:r>
            <w:proofErr w:type="spellStart"/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>Supertopological</w:t>
            </w:r>
            <w:proofErr w:type="spellEnd"/>
            <w:r>
              <w:rPr>
                <w:rFonts w:ascii="Cambria" w:eastAsia="Cambria" w:hAnsi="Cambria" w:cs="Cambria"/>
                <w:b/>
                <w:bCs/>
                <w:color w:val="000000"/>
                <w:sz w:val="20"/>
                <w:szCs w:val="20"/>
              </w:rPr>
              <w:t xml:space="preserve"> Rings: m-Topology, d-Boundedness and Radical Structure</w:t>
            </w:r>
          </w:p>
        </w:tc>
      </w:tr>
      <w:tr w:rsidR="00D22EA4">
        <w:trPr>
          <w:trHeight w:val="332"/>
        </w:trPr>
        <w:tc>
          <w:tcPr>
            <w:tcW w:w="5167" w:type="dxa"/>
          </w:tcPr>
          <w:p w:rsidR="00D22EA4" w:rsidRDefault="00AF0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  <w:r>
              <w:rPr>
                <w:rFonts w:ascii="Cambria" w:eastAsia="Cambria" w:hAnsi="Cambria" w:cs="Cambria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D22EA4" w:rsidRDefault="00D22EA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mbria" w:eastAsia="Cambria" w:hAnsi="Cambria" w:cs="Cambria"/>
                <w:color w:val="000000"/>
                <w:sz w:val="20"/>
                <w:szCs w:val="20"/>
              </w:rPr>
            </w:pPr>
          </w:p>
        </w:tc>
      </w:tr>
    </w:tbl>
    <w:p w:rsidR="00D22EA4" w:rsidRDefault="00D22EA4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mbria" w:eastAsia="Cambria" w:hAnsi="Cambria" w:cs="Cambria"/>
          <w:color w:val="000000"/>
          <w:sz w:val="20"/>
          <w:szCs w:val="20"/>
          <w:u w:val="single"/>
        </w:rPr>
      </w:pPr>
    </w:p>
    <w:p w:rsidR="00D22EA4" w:rsidRDefault="00D22EA4">
      <w:pPr>
        <w:jc w:val="both"/>
        <w:rPr>
          <w:sz w:val="20"/>
          <w:szCs w:val="20"/>
        </w:rPr>
      </w:pPr>
      <w:bookmarkStart w:id="0" w:name="_heading=h.wjo5iwujbqia" w:colFirst="0" w:colLast="0"/>
      <w:bookmarkEnd w:id="0"/>
    </w:p>
    <w:p w:rsidR="00D22EA4" w:rsidRDefault="00D22EA4">
      <w:pPr>
        <w:jc w:val="both"/>
        <w:rPr>
          <w:sz w:val="20"/>
          <w:szCs w:val="20"/>
        </w:rPr>
      </w:pPr>
    </w:p>
    <w:p w:rsidR="00D22EA4" w:rsidRDefault="00D22EA4">
      <w:pPr>
        <w:jc w:val="both"/>
        <w:rPr>
          <w:sz w:val="20"/>
          <w:szCs w:val="20"/>
        </w:rPr>
      </w:pPr>
    </w:p>
    <w:p w:rsidR="00D22EA4" w:rsidRDefault="00D22EA4">
      <w:pPr>
        <w:jc w:val="both"/>
        <w:rPr>
          <w:sz w:val="20"/>
          <w:szCs w:val="20"/>
          <w:u w:val="single"/>
        </w:rPr>
      </w:pPr>
    </w:p>
    <w:p w:rsidR="00D22EA4" w:rsidRDefault="00D22EA4">
      <w:pPr>
        <w:ind w:left="1440"/>
        <w:jc w:val="both"/>
        <w:rPr>
          <w:sz w:val="20"/>
          <w:szCs w:val="20"/>
        </w:rPr>
      </w:pPr>
      <w:bookmarkStart w:id="1" w:name="_heading=h.qtqz9whd2kl" w:colFirst="0" w:colLast="0"/>
      <w:bookmarkEnd w:id="1"/>
    </w:p>
    <w:p w:rsidR="00D22EA4" w:rsidRDefault="00AF0C86">
      <w:pPr>
        <w:rPr>
          <w:sz w:val="20"/>
          <w:szCs w:val="20"/>
        </w:rPr>
      </w:pPr>
      <w:r>
        <w:br w:type="page"/>
      </w:r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D22EA4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:rsidR="00D22EA4" w:rsidRDefault="00AF0C86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lastRenderedPageBreak/>
              <w:t>PART  1:</w:t>
            </w:r>
            <w:r>
              <w:rPr>
                <w:b/>
                <w:bCs/>
                <w:sz w:val="20"/>
                <w:szCs w:val="20"/>
              </w:rPr>
              <w:t xml:space="preserve"> Comments</w:t>
            </w:r>
          </w:p>
          <w:p w:rsidR="00D22EA4" w:rsidRDefault="00D22EA4">
            <w:pPr>
              <w:rPr>
                <w:sz w:val="20"/>
                <w:szCs w:val="20"/>
              </w:rPr>
            </w:pPr>
          </w:p>
        </w:tc>
      </w:tr>
      <w:tr w:rsidR="00D22EA4">
        <w:tc>
          <w:tcPr>
            <w:tcW w:w="5351" w:type="dxa"/>
          </w:tcPr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22EA4" w:rsidRDefault="00AF0C86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Reviewer’s comment</w:t>
            </w:r>
          </w:p>
          <w:p w:rsidR="00D22EA4" w:rsidRDefault="00D22EA4" w:rsidP="009F551C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D22EA4" w:rsidRDefault="00AF0C86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Author’s Feedback </w:t>
            </w:r>
            <w:r>
              <w:rPr>
                <w:sz w:val="20"/>
                <w:szCs w:val="20"/>
              </w:rPr>
              <w:t>(It is mandatory that authors should write his/her feedback here)</w:t>
            </w:r>
          </w:p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</w:tr>
      <w:tr w:rsidR="00D22EA4">
        <w:trPr>
          <w:trHeight w:val="1264"/>
        </w:trPr>
        <w:tc>
          <w:tcPr>
            <w:tcW w:w="5351" w:type="dxa"/>
          </w:tcPr>
          <w:p w:rsidR="00D22EA4" w:rsidRDefault="00AF0C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D22EA4" w:rsidRDefault="00D22EA4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22EA4" w:rsidRDefault="00AF0C86">
            <w:pPr>
              <w:spacing w:before="240" w:after="24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This paper studies subrings of the function space R^X with respect to the mmm-topology. It identifies conditions under which these rings become </w:t>
            </w:r>
            <w:proofErr w:type="spellStart"/>
            <w:r>
              <w:rPr>
                <w:sz w:val="20"/>
                <w:szCs w:val="20"/>
              </w:rPr>
              <w:t>supertopological</w:t>
            </w:r>
            <w:proofErr w:type="spellEnd"/>
            <w:r>
              <w:rPr>
                <w:sz w:val="20"/>
                <w:szCs w:val="20"/>
              </w:rPr>
              <w:t xml:space="preserve"> rings and shows that this occurs when the ring is functionally generated. The paper also examines properties such as ideals, zero divisors, and </w:t>
            </w:r>
            <w:proofErr w:type="spellStart"/>
            <w:r>
              <w:rPr>
                <w:sz w:val="20"/>
                <w:szCs w:val="20"/>
              </w:rPr>
              <w:t>ddd</w:t>
            </w:r>
            <w:proofErr w:type="spellEnd"/>
            <w:r>
              <w:rPr>
                <w:sz w:val="20"/>
                <w:szCs w:val="20"/>
              </w:rPr>
              <w:t>-boundedness. Finally, it describes the Jacobson radical using d-open and d-closed sets.</w:t>
            </w:r>
          </w:p>
          <w:p w:rsidR="00D22EA4" w:rsidRDefault="00D22EA4">
            <w:pP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:rsidR="00D22EA4" w:rsidRDefault="007B39E9">
            <w:pPr>
              <w:keepNext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Noted </w:t>
            </w:r>
          </w:p>
        </w:tc>
      </w:tr>
      <w:tr w:rsidR="00D22EA4">
        <w:trPr>
          <w:trHeight w:val="1262"/>
        </w:trPr>
        <w:tc>
          <w:tcPr>
            <w:tcW w:w="5351" w:type="dxa"/>
          </w:tcPr>
          <w:p w:rsidR="00D22EA4" w:rsidRDefault="00AF0C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D22EA4" w:rsidRDefault="00AF0C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:rsidR="00D22EA4" w:rsidRDefault="00D22EA4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D22EA4" w:rsidRDefault="00AF0C8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</w:tr>
      <w:tr w:rsidR="00D22EA4">
        <w:trPr>
          <w:trHeight w:val="1262"/>
        </w:trPr>
        <w:tc>
          <w:tcPr>
            <w:tcW w:w="5351" w:type="dxa"/>
          </w:tcPr>
          <w:p w:rsidR="00D22EA4" w:rsidRDefault="00AF0C86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:rsidR="00D22EA4" w:rsidRDefault="00D22EA4">
            <w:pPr>
              <w:keepNext/>
              <w:rPr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:rsidR="00D22EA4" w:rsidRDefault="00AF0C8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</w:tr>
      <w:tr w:rsidR="00D22EA4">
        <w:trPr>
          <w:trHeight w:val="704"/>
        </w:trPr>
        <w:tc>
          <w:tcPr>
            <w:tcW w:w="5351" w:type="dxa"/>
          </w:tcPr>
          <w:p w:rsidR="00D22EA4" w:rsidRDefault="00AF0C86">
            <w:pPr>
              <w:keepNext/>
              <w:ind w:left="360"/>
              <w:rPr>
                <w:rFonts w:ascii="Helvetica Neue" w:eastAsia="Helvetica Neue" w:hAnsi="Helvetica Neue" w:cs="Helvetica Neue"/>
                <w:sz w:val="20"/>
                <w:szCs w:val="20"/>
                <w:u w:val="single"/>
              </w:rPr>
            </w:pPr>
            <w:r>
              <w:rPr>
                <w:b/>
                <w:bCs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:rsidR="00D22EA4" w:rsidRDefault="00AF0C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yes</w:t>
            </w:r>
          </w:p>
        </w:tc>
        <w:tc>
          <w:tcPr>
            <w:tcW w:w="6442" w:type="dxa"/>
          </w:tcPr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</w:tr>
      <w:tr w:rsidR="00D22EA4">
        <w:trPr>
          <w:trHeight w:val="703"/>
        </w:trPr>
        <w:tc>
          <w:tcPr>
            <w:tcW w:w="5351" w:type="dxa"/>
          </w:tcPr>
          <w:p w:rsidR="00D22EA4" w:rsidRDefault="00AF0C8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:rsidR="00D22EA4" w:rsidRDefault="00AF0C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yes</w:t>
            </w:r>
          </w:p>
        </w:tc>
        <w:tc>
          <w:tcPr>
            <w:tcW w:w="6442" w:type="dxa"/>
          </w:tcPr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</w:tr>
      <w:tr w:rsidR="00D22EA4">
        <w:trPr>
          <w:trHeight w:val="386"/>
        </w:trPr>
        <w:tc>
          <w:tcPr>
            <w:tcW w:w="5351" w:type="dxa"/>
          </w:tcPr>
          <w:p w:rsidR="00D22EA4" w:rsidRDefault="00AF0C86">
            <w:pPr>
              <w:keepNext/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:rsidR="00D22EA4" w:rsidRDefault="00D22EA4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22EA4" w:rsidRDefault="00AF0C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yes</w:t>
            </w:r>
          </w:p>
        </w:tc>
        <w:tc>
          <w:tcPr>
            <w:tcW w:w="6442" w:type="dxa"/>
          </w:tcPr>
          <w:p w:rsidR="00D22EA4" w:rsidRDefault="00D22EA4">
            <w:pPr>
              <w:rPr>
                <w:sz w:val="20"/>
                <w:szCs w:val="20"/>
              </w:rPr>
            </w:pPr>
          </w:p>
        </w:tc>
      </w:tr>
      <w:tr w:rsidR="00D22EA4">
        <w:trPr>
          <w:trHeight w:val="1178"/>
        </w:trPr>
        <w:tc>
          <w:tcPr>
            <w:tcW w:w="5351" w:type="dxa"/>
          </w:tcPr>
          <w:p w:rsidR="00D22EA4" w:rsidRDefault="00AF0C86">
            <w:pPr>
              <w:keepNext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u w:val="single"/>
              </w:rPr>
              <w:t>Optional/General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comments</w:t>
            </w:r>
          </w:p>
          <w:p w:rsidR="00D22EA4" w:rsidRDefault="00D22EA4">
            <w:pPr>
              <w:keepNext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:rsidR="00D22EA4" w:rsidRDefault="00AF0C8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paper studies an interesting topic connecting topology and algebra. The results are presented in a logical order and the arguments are mostly clear. The definitions and main ideas are explained reasonably well. However, the paper could be improved by giving a little more explanation for some results and by highlighting the main contributions more clearly. Overall, the work is meaningful and contributes to the study of function spaces and topological rings.</w:t>
            </w:r>
          </w:p>
        </w:tc>
        <w:tc>
          <w:tcPr>
            <w:tcW w:w="6442" w:type="dxa"/>
          </w:tcPr>
          <w:p w:rsidR="00D22EA4" w:rsidRDefault="007B39E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Noted </w:t>
            </w:r>
            <w:bookmarkStart w:id="2" w:name="_GoBack"/>
            <w:bookmarkEnd w:id="2"/>
          </w:p>
        </w:tc>
      </w:tr>
    </w:tbl>
    <w:p w:rsidR="00D22EA4" w:rsidRDefault="00D22EA4">
      <w:pPr>
        <w:jc w:val="both"/>
        <w:rPr>
          <w:sz w:val="20"/>
          <w:szCs w:val="20"/>
          <w:u w:val="single"/>
        </w:rPr>
      </w:pPr>
    </w:p>
    <w:p w:rsidR="00D22EA4" w:rsidRDefault="00D22EA4">
      <w:pPr>
        <w:jc w:val="both"/>
        <w:rPr>
          <w:sz w:val="20"/>
          <w:szCs w:val="20"/>
          <w:u w:val="single"/>
        </w:rPr>
      </w:pPr>
    </w:p>
    <w:p w:rsidR="00D22EA4" w:rsidRDefault="00D22EA4">
      <w:pPr>
        <w:jc w:val="both"/>
        <w:rPr>
          <w:sz w:val="20"/>
          <w:szCs w:val="20"/>
          <w:u w:val="single"/>
        </w:rPr>
      </w:pPr>
    </w:p>
    <w:p w:rsidR="00D22EA4" w:rsidRDefault="00D22EA4">
      <w:pPr>
        <w:jc w:val="both"/>
        <w:rPr>
          <w:sz w:val="20"/>
          <w:szCs w:val="20"/>
          <w:u w:val="single"/>
        </w:rPr>
      </w:pPr>
    </w:p>
    <w:p w:rsidR="00D22EA4" w:rsidRDefault="00D22EA4">
      <w:pPr>
        <w:jc w:val="both"/>
        <w:rPr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762"/>
        <w:gridCol w:w="7092"/>
        <w:gridCol w:w="7080"/>
      </w:tblGrid>
      <w:tr w:rsidR="00927C08" w:rsidRPr="00340561" w:rsidTr="009E50C7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7C08" w:rsidRPr="00340561" w:rsidRDefault="00927C08" w:rsidP="009E50C7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3" w:name="_Hlk156057883"/>
            <w:bookmarkStart w:id="4" w:name="_Hlk156057704"/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340561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927C08" w:rsidRPr="00340561" w:rsidRDefault="00927C08" w:rsidP="009E50C7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927C08" w:rsidRPr="00340561" w:rsidTr="009E50C7"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27C08" w:rsidRPr="00340561" w:rsidRDefault="00927C08" w:rsidP="009E50C7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340561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</w:tcPr>
          <w:p w:rsidR="00927C08" w:rsidRPr="008608EB" w:rsidRDefault="00927C08" w:rsidP="009E50C7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8608EB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8608EB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927C08" w:rsidRPr="00340561" w:rsidRDefault="00927C08" w:rsidP="009E50C7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927C08" w:rsidRPr="00340561" w:rsidTr="009E50C7">
        <w:trPr>
          <w:trHeight w:val="890"/>
        </w:trPr>
        <w:tc>
          <w:tcPr>
            <w:tcW w:w="1615" w:type="pct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7C08" w:rsidRPr="00340561" w:rsidRDefault="00927C08" w:rsidP="009E50C7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340561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27C08" w:rsidRPr="00340561" w:rsidRDefault="00927C08" w:rsidP="009E50C7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340561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vAlign w:val="center"/>
          </w:tcPr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27C08" w:rsidRPr="00340561" w:rsidRDefault="00927C08" w:rsidP="009E50C7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3"/>
    </w:tbl>
    <w:p w:rsidR="00927C08" w:rsidRDefault="00927C08" w:rsidP="00927C08"/>
    <w:p w:rsidR="00927C08" w:rsidRDefault="00927C08" w:rsidP="00927C08"/>
    <w:p w:rsidR="00927C08" w:rsidRPr="00375011" w:rsidRDefault="00927C08" w:rsidP="00927C08">
      <w:pPr>
        <w:rPr>
          <w:bCs/>
          <w:u w:val="single"/>
        </w:rPr>
      </w:pPr>
    </w:p>
    <w:bookmarkEnd w:id="4"/>
    <w:p w:rsidR="00927C08" w:rsidRDefault="00927C08" w:rsidP="00927C08"/>
    <w:p w:rsidR="00D22EA4" w:rsidRDefault="00D22EA4">
      <w:pPr>
        <w:jc w:val="both"/>
        <w:rPr>
          <w:sz w:val="20"/>
          <w:szCs w:val="20"/>
          <w:u w:val="single"/>
        </w:rPr>
      </w:pPr>
    </w:p>
    <w:sectPr w:rsidR="00D22EA4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60DC6" w:rsidRDefault="00B60DC6">
      <w:r>
        <w:separator/>
      </w:r>
    </w:p>
  </w:endnote>
  <w:endnote w:type="continuationSeparator" w:id="0">
    <w:p w:rsidR="00B60DC6" w:rsidRDefault="00B60DC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68F6FB3C-667D-4FC3-86A8-08B10F055CA8}"/>
    <w:embedBold r:id="rId2" w:fontKey="{76D9EB2F-0EEB-4112-B2FE-0572BDE965FA}"/>
  </w:font>
  <w:font w:name="Arimo">
    <w:charset w:val="00"/>
    <w:family w:val="auto"/>
    <w:pitch w:val="default"/>
    <w:embedBold r:id="rId3" w:fontKey="{C1337D67-BB1B-4F39-9E1F-80576F1E1112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41868846-2E07-4719-A28F-5A8F6DCFDCE2}"/>
    <w:embedBold r:id="rId5" w:fontKey="{AC410198-1574-4455-B088-318A940BB583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5625EE6A-B132-4975-B92F-4FF44CAB25E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03BEF8E7-2DB2-4360-947A-4F8DB3F337C8}"/>
    <w:embedBold r:id="rId8" w:fontKey="{B75367B5-D103-4B93-A18B-C93F407B029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57EC9BF7-B79C-402B-92EF-06ADAC09FB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86D1D4F3-AB4D-46EF-B160-CA1F2295F6BD}"/>
    <w:embedBold r:id="rId11" w:fontKey="{D7E18A92-9567-4D7F-94A3-426E6471C22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2EA4" w:rsidRDefault="00AF0C8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EA</w:t>
    </w:r>
    <w:r>
      <w:rPr>
        <w:color w:val="000000"/>
        <w:sz w:val="16"/>
        <w:szCs w:val="16"/>
      </w:rPr>
      <w:tab/>
      <w:t xml:space="preserve">              Checked by: ME                                             Approved by: CEO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60DC6" w:rsidRDefault="00B60DC6">
      <w:r>
        <w:separator/>
      </w:r>
    </w:p>
  </w:footnote>
  <w:footnote w:type="continuationSeparator" w:id="0">
    <w:p w:rsidR="00B60DC6" w:rsidRDefault="00B60DC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22EA4" w:rsidRDefault="00D22EA4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D22EA4" w:rsidRDefault="00D22EA4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2EA4"/>
    <w:rsid w:val="007B39E9"/>
    <w:rsid w:val="00927C08"/>
    <w:rsid w:val="009F551C"/>
    <w:rsid w:val="00AF0C86"/>
    <w:rsid w:val="00B60DC6"/>
    <w:rsid w:val="00D22EA4"/>
    <w:rsid w:val="00E454B8"/>
    <w:rsid w:val="00FF28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EFA91CA"/>
  <w15:docId w15:val="{B9F18FD0-637E-4207-B8E9-A6557BA259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/>
      <w:position w:val="-1"/>
      <w:lang w:val="fr-FR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paragraph" w:styleId="DocumentMap">
    <w:name w:val="Document Map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/>
      <w:position w:val="-1"/>
      <w:sz w:val="16"/>
      <w:szCs w:val="16"/>
    </w:rPr>
  </w:style>
  <w:style w:type="character" w:customStyle="1" w:styleId="DocumentMapChar">
    <w:name w:val="Document Map Char"/>
    <w:rPr>
      <w:rFonts w:ascii="Tahoma" w:eastAsia="Times New Roman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eastAsia="Calibri" w:hAnsi="Calibri"/>
      <w:position w:val="-1"/>
      <w:sz w:val="22"/>
      <w:szCs w:val="22"/>
      <w:lang w:val="fr-FR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go">
    <w:name w:val="go"/>
    <w:basedOn w:val="DefaultParagraphFont"/>
    <w:rPr>
      <w:w w:val="100"/>
      <w:position w:val="-1"/>
      <w:effect w:val="none"/>
      <w:vertAlign w:val="baseline"/>
      <w:cs w:val="0"/>
      <w:em w:val="none"/>
    </w:rPr>
  </w:style>
  <w:style w:type="paragraph" w:customStyle="1" w:styleId="Author">
    <w:name w:val="Author"/>
    <w:basedOn w:val="Normal"/>
    <w:pPr>
      <w:suppressAutoHyphens/>
      <w:spacing w:line="280" w:lineRule="atLeast"/>
      <w:ind w:leftChars="-1" w:left="-1" w:hangingChars="1" w:hanging="1"/>
      <w:jc w:val="right"/>
      <w:textDirection w:val="btLr"/>
      <w:textAlignment w:val="top"/>
      <w:outlineLvl w:val="0"/>
    </w:pPr>
    <w:rPr>
      <w:rFonts w:ascii="Helvetica" w:hAnsi="Helvetica"/>
      <w:b/>
      <w:position w:val="-1"/>
      <w:szCs w:val="20"/>
      <w:lang w:val="en-US"/>
    </w:rPr>
  </w:style>
  <w:style w:type="character" w:customStyle="1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682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jofmath.com/index.php/AJPAM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f2ARUAX52ixm51HkwEixxPXCWw==">CgMxLjAyDmgud2pvNWl3dWpicWlhMg1oLnF0cXo5d2hkMmtsOAByITFrMG5DSFZGRDlCX3did2JZb3pUQzhycmRMSlYyWm01WQ==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346</Words>
  <Characters>1977</Characters>
  <Application>Microsoft Office Word</Application>
  <DocSecurity>0</DocSecurity>
  <Lines>16</Lines>
  <Paragraphs>4</Paragraphs>
  <ScaleCrop>false</ScaleCrop>
  <Company/>
  <LinksUpToDate>false</LinksUpToDate>
  <CharactersWithSpaces>2319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1117</cp:lastModifiedBy>
  <cp:revision>4</cp:revision>
  <dcterms:created xsi:type="dcterms:W3CDTF">2011-08-01T09:21:00Z</dcterms:created>
  <dcterms:modified xsi:type="dcterms:W3CDTF">2026-03-18T04:37:00Z</dcterms:modified>
</cp:coreProperties>
</file>