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BEECF" w14:textId="64B68750" w:rsidR="00527706" w:rsidRDefault="00000000">
      <w:pPr>
        <w:spacing w:after="0" w:line="267" w:lineRule="auto"/>
        <w:ind w:right="0"/>
        <w:jc w:val="center"/>
        <w:rPr>
          <w:sz w:val="24"/>
          <w:szCs w:val="24"/>
        </w:rPr>
      </w:pPr>
      <w:r>
        <w:rPr>
          <w:sz w:val="24"/>
          <w:szCs w:val="24"/>
        </w:rPr>
        <w:t>Original Research Article</w:t>
      </w:r>
    </w:p>
    <w:p w14:paraId="4BC55D0E" w14:textId="77777777" w:rsidR="00527706" w:rsidRDefault="00527706">
      <w:pPr>
        <w:spacing w:after="0" w:line="267" w:lineRule="auto"/>
        <w:ind w:right="0"/>
        <w:jc w:val="center"/>
        <w:rPr>
          <w:sz w:val="24"/>
          <w:szCs w:val="24"/>
        </w:rPr>
      </w:pPr>
    </w:p>
    <w:p w14:paraId="6D8FC477" w14:textId="77777777" w:rsidR="00527706" w:rsidRDefault="00000000">
      <w:pPr>
        <w:spacing w:after="0" w:line="267" w:lineRule="auto"/>
        <w:ind w:right="0"/>
        <w:jc w:val="center"/>
        <w:rPr>
          <w:b/>
          <w:bCs/>
          <w:sz w:val="24"/>
          <w:szCs w:val="24"/>
        </w:rPr>
      </w:pPr>
      <w:r>
        <w:rPr>
          <w:b/>
          <w:bCs/>
          <w:sz w:val="24"/>
          <w:szCs w:val="24"/>
        </w:rPr>
        <w:t xml:space="preserve">Antibacterial Activity of Selected Medicinal Plant Extracts and Their Interactions with Antibiotics Against </w:t>
      </w:r>
      <w:r>
        <w:rPr>
          <w:b/>
          <w:bCs/>
          <w:i/>
          <w:iCs/>
          <w:sz w:val="24"/>
          <w:szCs w:val="24"/>
        </w:rPr>
        <w:t>Serratia marcescens</w:t>
      </w:r>
      <w:r>
        <w:rPr>
          <w:b/>
          <w:bCs/>
          <w:sz w:val="24"/>
          <w:szCs w:val="24"/>
        </w:rPr>
        <w:t xml:space="preserve"> and </w:t>
      </w:r>
      <w:r>
        <w:rPr>
          <w:b/>
          <w:bCs/>
          <w:i/>
          <w:iCs/>
          <w:sz w:val="24"/>
          <w:szCs w:val="24"/>
        </w:rPr>
        <w:t>Pseudomonas aeruginosa</w:t>
      </w:r>
    </w:p>
    <w:p w14:paraId="3F70F607" w14:textId="77777777" w:rsidR="00527706" w:rsidRDefault="00000000">
      <w:pPr>
        <w:spacing w:after="0" w:line="259" w:lineRule="auto"/>
        <w:ind w:left="0" w:right="0"/>
        <w:jc w:val="left"/>
        <w:rPr>
          <w:sz w:val="24"/>
          <w:szCs w:val="24"/>
        </w:rPr>
      </w:pPr>
      <w:r>
        <w:rPr>
          <w:b/>
          <w:bCs/>
          <w:i/>
          <w:iCs/>
          <w:sz w:val="24"/>
          <w:szCs w:val="24"/>
        </w:rPr>
        <w:t xml:space="preserve"> </w:t>
      </w:r>
    </w:p>
    <w:p w14:paraId="6B9B3A7D" w14:textId="77777777" w:rsidR="00527706" w:rsidRDefault="00000000">
      <w:pPr>
        <w:spacing w:after="0" w:line="259" w:lineRule="auto"/>
        <w:ind w:left="0" w:right="0"/>
        <w:jc w:val="left"/>
        <w:rPr>
          <w:sz w:val="24"/>
          <w:szCs w:val="24"/>
        </w:rPr>
      </w:pPr>
      <w:r>
        <w:rPr>
          <w:b/>
          <w:bCs/>
          <w:sz w:val="24"/>
          <w:szCs w:val="24"/>
        </w:rPr>
        <w:t xml:space="preserve"> </w:t>
      </w:r>
    </w:p>
    <w:p w14:paraId="3D1FC658" w14:textId="77777777" w:rsidR="00527706" w:rsidRDefault="00527706">
      <w:pPr>
        <w:spacing w:after="216" w:line="259" w:lineRule="auto"/>
        <w:ind w:left="0" w:right="0"/>
        <w:jc w:val="left"/>
        <w:rPr>
          <w:sz w:val="24"/>
          <w:szCs w:val="24"/>
        </w:rPr>
      </w:pPr>
    </w:p>
    <w:p w14:paraId="0708FE68" w14:textId="77777777" w:rsidR="00527706" w:rsidRDefault="00000000">
      <w:pPr>
        <w:spacing w:after="257" w:line="259" w:lineRule="auto"/>
        <w:ind w:left="0" w:right="0"/>
        <w:jc w:val="left"/>
        <w:rPr>
          <w:sz w:val="24"/>
          <w:szCs w:val="24"/>
        </w:rPr>
      </w:pPr>
      <w:r>
        <w:rPr>
          <w:b/>
          <w:bCs/>
          <w:sz w:val="24"/>
          <w:szCs w:val="24"/>
        </w:rPr>
        <w:t xml:space="preserve"> </w:t>
      </w:r>
      <w:r>
        <w:rPr>
          <w:sz w:val="24"/>
          <w:szCs w:val="24"/>
        </w:rPr>
        <w:t xml:space="preserve"> </w:t>
      </w:r>
    </w:p>
    <w:p w14:paraId="7F14867D" w14:textId="77777777" w:rsidR="00527706" w:rsidRDefault="00000000">
      <w:pPr>
        <w:spacing w:after="0"/>
        <w:ind w:left="-5" w:right="-5"/>
        <w:rPr>
          <w:sz w:val="24"/>
          <w:szCs w:val="24"/>
        </w:rPr>
      </w:pPr>
      <w:r>
        <w:rPr>
          <w:b/>
          <w:bCs/>
          <w:sz w:val="24"/>
          <w:szCs w:val="24"/>
        </w:rPr>
        <w:t xml:space="preserve">Abstract- </w:t>
      </w:r>
      <w:r>
        <w:rPr>
          <w:sz w:val="24"/>
          <w:szCs w:val="24"/>
        </w:rPr>
        <w:t xml:space="preserve">The emergence of antimicrobial resistance to Gram-negative isolates has rekindled interest in new approaches that would potentiate the activity of traditional antibiotics, such as plant extracts for medicinal purposes. Antibacterial activity of some selected medicinal plant extracts in tandem with standard antibiotics against </w:t>
      </w:r>
      <w:r>
        <w:rPr>
          <w:i/>
          <w:iCs/>
          <w:sz w:val="24"/>
          <w:szCs w:val="24"/>
        </w:rPr>
        <w:t>Pseudomonas aeruginosa</w:t>
      </w:r>
      <w:r>
        <w:rPr>
          <w:sz w:val="24"/>
          <w:szCs w:val="24"/>
        </w:rPr>
        <w:t xml:space="preserve"> and </w:t>
      </w:r>
      <w:r>
        <w:rPr>
          <w:i/>
          <w:iCs/>
          <w:sz w:val="24"/>
          <w:szCs w:val="24"/>
        </w:rPr>
        <w:t>Serratia marcescens</w:t>
      </w:r>
      <w:r>
        <w:rPr>
          <w:sz w:val="24"/>
          <w:szCs w:val="24"/>
        </w:rPr>
        <w:t xml:space="preserve"> was studied. The aqueous crude extracts of the plants (</w:t>
      </w:r>
      <w:proofErr w:type="spellStart"/>
      <w:proofErr w:type="gramStart"/>
      <w:r>
        <w:rPr>
          <w:i/>
          <w:iCs/>
          <w:sz w:val="24"/>
          <w:szCs w:val="24"/>
        </w:rPr>
        <w:t>R.aculeata</w:t>
      </w:r>
      <w:proofErr w:type="spellEnd"/>
      <w:proofErr w:type="gramEnd"/>
      <w:r>
        <w:rPr>
          <w:i/>
          <w:iCs/>
          <w:sz w:val="24"/>
          <w:szCs w:val="24"/>
        </w:rPr>
        <w:t xml:space="preserve">, </w:t>
      </w:r>
      <w:proofErr w:type="spellStart"/>
      <w:proofErr w:type="gramStart"/>
      <w:r>
        <w:rPr>
          <w:i/>
          <w:iCs/>
          <w:sz w:val="24"/>
          <w:szCs w:val="24"/>
        </w:rPr>
        <w:t>C.bursa</w:t>
      </w:r>
      <w:proofErr w:type="spellEnd"/>
      <w:proofErr w:type="gramEnd"/>
      <w:r>
        <w:rPr>
          <w:i/>
          <w:iCs/>
          <w:sz w:val="24"/>
          <w:szCs w:val="24"/>
        </w:rPr>
        <w:t xml:space="preserve">-pastoris, </w:t>
      </w:r>
      <w:proofErr w:type="spellStart"/>
      <w:proofErr w:type="gramStart"/>
      <w:r>
        <w:rPr>
          <w:i/>
          <w:iCs/>
          <w:sz w:val="24"/>
          <w:szCs w:val="24"/>
        </w:rPr>
        <w:t>I.coccinea</w:t>
      </w:r>
      <w:proofErr w:type="spellEnd"/>
      <w:proofErr w:type="gramEnd"/>
      <w:r>
        <w:rPr>
          <w:i/>
          <w:iCs/>
          <w:sz w:val="24"/>
          <w:szCs w:val="24"/>
        </w:rPr>
        <w:t xml:space="preserve"> and </w:t>
      </w:r>
      <w:proofErr w:type="spellStart"/>
      <w:proofErr w:type="gramStart"/>
      <w:r>
        <w:rPr>
          <w:i/>
          <w:iCs/>
          <w:sz w:val="24"/>
          <w:szCs w:val="24"/>
        </w:rPr>
        <w:t>P.olerecea</w:t>
      </w:r>
      <w:proofErr w:type="spellEnd"/>
      <w:proofErr w:type="gramEnd"/>
      <w:r>
        <w:rPr>
          <w:sz w:val="24"/>
          <w:szCs w:val="24"/>
        </w:rPr>
        <w:t xml:space="preserve">) were screened individually as well as in combination with ampicillin, ciprofloxacin, erythromycin and amoxicillin in 1:1 </w:t>
      </w:r>
      <w:proofErr w:type="gramStart"/>
      <w:r>
        <w:rPr>
          <w:sz w:val="24"/>
          <w:szCs w:val="24"/>
        </w:rPr>
        <w:t>proportions</w:t>
      </w:r>
      <w:proofErr w:type="gramEnd"/>
      <w:r>
        <w:rPr>
          <w:sz w:val="24"/>
          <w:szCs w:val="24"/>
        </w:rPr>
        <w:t xml:space="preserve"> by agar-well diffusion technique. On </w:t>
      </w:r>
      <w:r>
        <w:rPr>
          <w:i/>
          <w:iCs/>
          <w:sz w:val="24"/>
          <w:szCs w:val="24"/>
        </w:rPr>
        <w:t>Serratia marcescens</w:t>
      </w:r>
      <w:r>
        <w:rPr>
          <w:sz w:val="24"/>
          <w:szCs w:val="24"/>
        </w:rPr>
        <w:t xml:space="preserve">, against which all the extracts exhibited moderate activity with inhibition zones of diameter of 12-18 mm, </w:t>
      </w:r>
      <w:proofErr w:type="spellStart"/>
      <w:r>
        <w:rPr>
          <w:i/>
          <w:iCs/>
          <w:sz w:val="24"/>
          <w:szCs w:val="24"/>
        </w:rPr>
        <w:t>Randia</w:t>
      </w:r>
      <w:proofErr w:type="spellEnd"/>
      <w:r>
        <w:rPr>
          <w:i/>
          <w:iCs/>
          <w:sz w:val="24"/>
          <w:szCs w:val="24"/>
        </w:rPr>
        <w:t xml:space="preserve"> aculeata</w:t>
      </w:r>
      <w:r>
        <w:rPr>
          <w:sz w:val="24"/>
          <w:szCs w:val="24"/>
        </w:rPr>
        <w:t xml:space="preserve"> and</w:t>
      </w:r>
      <w:r>
        <w:rPr>
          <w:i/>
          <w:iCs/>
          <w:sz w:val="24"/>
          <w:szCs w:val="24"/>
        </w:rPr>
        <w:t xml:space="preserve"> Ixora coccinea</w:t>
      </w:r>
      <w:r>
        <w:rPr>
          <w:sz w:val="24"/>
          <w:szCs w:val="24"/>
        </w:rPr>
        <w:t xml:space="preserve"> displayed significant potential among others, </w:t>
      </w:r>
      <w:r>
        <w:rPr>
          <w:i/>
          <w:iCs/>
          <w:sz w:val="24"/>
          <w:szCs w:val="24"/>
        </w:rPr>
        <w:t>Portulaca oleracea</w:t>
      </w:r>
      <w:r>
        <w:rPr>
          <w:sz w:val="24"/>
          <w:szCs w:val="24"/>
        </w:rPr>
        <w:t xml:space="preserve"> was moderately active while </w:t>
      </w:r>
      <w:proofErr w:type="spellStart"/>
      <w:r>
        <w:rPr>
          <w:i/>
          <w:iCs/>
          <w:sz w:val="24"/>
          <w:szCs w:val="24"/>
        </w:rPr>
        <w:t>Capsella</w:t>
      </w:r>
      <w:proofErr w:type="spellEnd"/>
      <w:r>
        <w:rPr>
          <w:i/>
          <w:iCs/>
          <w:sz w:val="24"/>
          <w:szCs w:val="24"/>
        </w:rPr>
        <w:t xml:space="preserve"> bursa pastoris </w:t>
      </w:r>
      <w:r>
        <w:rPr>
          <w:sz w:val="24"/>
          <w:szCs w:val="24"/>
        </w:rPr>
        <w:t xml:space="preserve">showed a negative result. Ciprofloxacin exhibited excellent antibacterial activity (28 mm), whereas the other antibiotics showed resistance. Synergistic effects of combinations were not identified </w:t>
      </w:r>
      <w:proofErr w:type="gramStart"/>
      <w:r>
        <w:rPr>
          <w:sz w:val="24"/>
          <w:szCs w:val="24"/>
        </w:rPr>
        <w:t>and in some cases</w:t>
      </w:r>
      <w:proofErr w:type="gramEnd"/>
      <w:r>
        <w:rPr>
          <w:sz w:val="24"/>
          <w:szCs w:val="24"/>
        </w:rPr>
        <w:t xml:space="preserve"> the inhibitory zones of some antibacterial agents were found to be decrease partners with antagonistic interactions. For </w:t>
      </w:r>
      <w:r>
        <w:rPr>
          <w:i/>
          <w:iCs/>
          <w:sz w:val="24"/>
          <w:szCs w:val="24"/>
        </w:rPr>
        <w:t>P. aeruginosa,</w:t>
      </w:r>
      <w:r>
        <w:rPr>
          <w:sz w:val="24"/>
          <w:szCs w:val="24"/>
        </w:rPr>
        <w:t xml:space="preserve"> none of plant extracts had antibacterial activities and least effective against them were antibiotics (except ciprofloxacin with inhibition zone diameter = 24 mm). Its antibacterial activity decreased even more when combined with plant extracts. Such results indicate that the selected medicinal plant extracts had no synergistic effect on, and even inhibited, antibacterial activity of antibiotics (something like conventional antibiotic-potentiating effects) against </w:t>
      </w:r>
      <w:r>
        <w:rPr>
          <w:i/>
          <w:iCs/>
          <w:sz w:val="24"/>
          <w:szCs w:val="24"/>
        </w:rPr>
        <w:t>Serratia marcescens</w:t>
      </w:r>
      <w:r>
        <w:rPr>
          <w:sz w:val="24"/>
          <w:szCs w:val="24"/>
        </w:rPr>
        <w:t xml:space="preserve"> and </w:t>
      </w:r>
      <w:r>
        <w:rPr>
          <w:i/>
          <w:iCs/>
          <w:sz w:val="24"/>
          <w:szCs w:val="24"/>
        </w:rPr>
        <w:t>Pseudomonas aeruginosa</w:t>
      </w:r>
      <w:r>
        <w:rPr>
          <w:sz w:val="24"/>
          <w:szCs w:val="24"/>
        </w:rPr>
        <w:t xml:space="preserve">. The study </w:t>
      </w:r>
      <w:proofErr w:type="spellStart"/>
      <w:r>
        <w:rPr>
          <w:sz w:val="24"/>
          <w:szCs w:val="24"/>
        </w:rPr>
        <w:t>emphasises</w:t>
      </w:r>
      <w:proofErr w:type="spellEnd"/>
      <w:r>
        <w:rPr>
          <w:sz w:val="24"/>
          <w:szCs w:val="24"/>
        </w:rPr>
        <w:t xml:space="preserve"> the need for systematic assessment of plant-antibiotic interaction and caution in concurrent use of plant extracts with antibiotics without prior determination of their interaction.</w:t>
      </w:r>
    </w:p>
    <w:p w14:paraId="517857C7" w14:textId="77777777" w:rsidR="00527706" w:rsidRDefault="00527706">
      <w:pPr>
        <w:spacing w:after="0"/>
        <w:ind w:left="-5" w:right="-5"/>
        <w:rPr>
          <w:b/>
          <w:bCs/>
          <w:sz w:val="24"/>
          <w:szCs w:val="24"/>
        </w:rPr>
      </w:pPr>
    </w:p>
    <w:p w14:paraId="10CC5C91" w14:textId="77777777" w:rsidR="00527706" w:rsidRDefault="00000000">
      <w:pPr>
        <w:spacing w:after="0"/>
        <w:ind w:left="-5" w:right="-5"/>
        <w:rPr>
          <w:i/>
          <w:iCs/>
          <w:sz w:val="24"/>
          <w:szCs w:val="24"/>
        </w:rPr>
      </w:pPr>
      <w:r>
        <w:rPr>
          <w:b/>
          <w:bCs/>
          <w:sz w:val="24"/>
          <w:szCs w:val="24"/>
        </w:rPr>
        <w:t>Keywords</w:t>
      </w:r>
      <w:r>
        <w:rPr>
          <w:sz w:val="24"/>
          <w:szCs w:val="24"/>
        </w:rPr>
        <w:t xml:space="preserve"> - Antimicrobial resistance; Medicinal plant extracts; Antibiotic interactions; </w:t>
      </w:r>
      <w:r>
        <w:rPr>
          <w:i/>
          <w:iCs/>
          <w:sz w:val="24"/>
          <w:szCs w:val="24"/>
        </w:rPr>
        <w:t>Serratia marcescens</w:t>
      </w:r>
      <w:r>
        <w:rPr>
          <w:sz w:val="24"/>
          <w:szCs w:val="24"/>
        </w:rPr>
        <w:t xml:space="preserve">; </w:t>
      </w:r>
      <w:r>
        <w:rPr>
          <w:i/>
          <w:iCs/>
          <w:sz w:val="24"/>
          <w:szCs w:val="24"/>
        </w:rPr>
        <w:t>Pseudomonas aeruginosa</w:t>
      </w:r>
    </w:p>
    <w:p w14:paraId="0B07D00A" w14:textId="77777777" w:rsidR="00527706" w:rsidRDefault="00527706">
      <w:pPr>
        <w:spacing w:after="0"/>
        <w:ind w:left="-5" w:right="-5"/>
        <w:rPr>
          <w:sz w:val="24"/>
          <w:szCs w:val="24"/>
        </w:rPr>
      </w:pPr>
    </w:p>
    <w:p w14:paraId="45C4CD4C" w14:textId="77777777" w:rsidR="00527706" w:rsidRDefault="00000000">
      <w:pPr>
        <w:spacing w:after="0" w:line="259" w:lineRule="auto"/>
        <w:ind w:left="0" w:right="0"/>
        <w:jc w:val="left"/>
        <w:rPr>
          <w:sz w:val="24"/>
          <w:szCs w:val="24"/>
        </w:rPr>
      </w:pPr>
      <w:r>
        <w:rPr>
          <w:b/>
          <w:bCs/>
          <w:sz w:val="24"/>
          <w:szCs w:val="24"/>
        </w:rPr>
        <w:t xml:space="preserve"> </w:t>
      </w:r>
    </w:p>
    <w:p w14:paraId="2A04C942" w14:textId="77777777" w:rsidR="00527706" w:rsidRDefault="00000000">
      <w:pPr>
        <w:spacing w:after="0" w:line="259" w:lineRule="auto"/>
        <w:ind w:left="0" w:right="0"/>
        <w:jc w:val="left"/>
        <w:rPr>
          <w:sz w:val="24"/>
          <w:szCs w:val="24"/>
        </w:rPr>
      </w:pPr>
      <w:r>
        <w:rPr>
          <w:b/>
          <w:bCs/>
          <w:sz w:val="24"/>
          <w:szCs w:val="24"/>
        </w:rPr>
        <w:t xml:space="preserve"> </w:t>
      </w:r>
    </w:p>
    <w:p w14:paraId="14A9AAFE" w14:textId="77777777" w:rsidR="00527706" w:rsidRDefault="00000000">
      <w:pPr>
        <w:spacing w:after="0" w:line="259" w:lineRule="auto"/>
        <w:ind w:left="0" w:right="0"/>
        <w:jc w:val="left"/>
        <w:rPr>
          <w:b/>
          <w:bCs/>
          <w:sz w:val="24"/>
          <w:szCs w:val="24"/>
        </w:rPr>
      </w:pPr>
      <w:r>
        <w:rPr>
          <w:b/>
          <w:bCs/>
          <w:sz w:val="24"/>
          <w:szCs w:val="24"/>
        </w:rPr>
        <w:t xml:space="preserve">  </w:t>
      </w:r>
    </w:p>
    <w:p w14:paraId="4C1186B9" w14:textId="77777777" w:rsidR="00527706" w:rsidRDefault="00527706">
      <w:pPr>
        <w:spacing w:after="0" w:line="259" w:lineRule="auto"/>
        <w:ind w:left="0" w:right="0"/>
        <w:jc w:val="left"/>
        <w:rPr>
          <w:b/>
          <w:bCs/>
          <w:sz w:val="24"/>
          <w:szCs w:val="24"/>
        </w:rPr>
      </w:pPr>
    </w:p>
    <w:p w14:paraId="576A46BD" w14:textId="77777777" w:rsidR="00527706" w:rsidRDefault="00527706">
      <w:pPr>
        <w:spacing w:after="0" w:line="259" w:lineRule="auto"/>
        <w:ind w:left="0" w:right="0"/>
        <w:jc w:val="left"/>
        <w:rPr>
          <w:b/>
          <w:bCs/>
          <w:sz w:val="24"/>
          <w:szCs w:val="24"/>
        </w:rPr>
      </w:pPr>
    </w:p>
    <w:p w14:paraId="2328B134" w14:textId="77777777" w:rsidR="00527706" w:rsidRDefault="00000000">
      <w:pPr>
        <w:spacing w:after="210"/>
        <w:ind w:left="-5" w:right="-5"/>
        <w:rPr>
          <w:sz w:val="24"/>
          <w:szCs w:val="24"/>
        </w:rPr>
      </w:pPr>
      <w:r>
        <w:rPr>
          <w:b/>
          <w:bCs/>
          <w:sz w:val="24"/>
          <w:szCs w:val="24"/>
        </w:rPr>
        <w:t xml:space="preserve">Introduction- </w:t>
      </w:r>
      <w:r>
        <w:rPr>
          <w:sz w:val="24"/>
          <w:szCs w:val="24"/>
        </w:rPr>
        <w:t xml:space="preserve">AMR has become one of the most serious public health concerns globally of the twenty-first century, challenging the prevention and treatment of a growing number of infectious </w:t>
      </w:r>
      <w:r>
        <w:rPr>
          <w:sz w:val="24"/>
          <w:szCs w:val="24"/>
        </w:rPr>
        <w:lastRenderedPageBreak/>
        <w:t xml:space="preserve">diseases. AMR has been recognized by the World Health Organization as a threat to global healthcare systems with growing numbers of reports on treatment failure, extended hospital stays and increased mortality [1]. The extensive and often indiscriminate use of antibiotics in clinical, agricultural, and veterinary settings has accelerated the selection and dissemination of resistant bacterial strains, thereby diminishing the effectiveness of conventional antimicrobial therapies [2]. Gram-negative bacteria present a particularly serious challenge due to their complex cell envelope structure, which includes an outer membrane that limits antibiotic penetration, as well as intrinsic and acquired resistance mechanisms such as efflux pumps, enzymatic drug inactivation, and target site modification [3]. Among these organisms, </w:t>
      </w:r>
      <w:r>
        <w:rPr>
          <w:i/>
          <w:iCs/>
          <w:sz w:val="24"/>
          <w:szCs w:val="24"/>
        </w:rPr>
        <w:t>Serratia marcescens</w:t>
      </w:r>
      <w:r>
        <w:rPr>
          <w:sz w:val="24"/>
          <w:szCs w:val="24"/>
        </w:rPr>
        <w:t xml:space="preserve"> and </w:t>
      </w:r>
      <w:r>
        <w:rPr>
          <w:i/>
          <w:iCs/>
          <w:sz w:val="24"/>
          <w:szCs w:val="24"/>
        </w:rPr>
        <w:t>Pseudomonas aeruginosa</w:t>
      </w:r>
      <w:r>
        <w:rPr>
          <w:sz w:val="24"/>
          <w:szCs w:val="24"/>
        </w:rPr>
        <w:t xml:space="preserve"> are clinically significant opportunistic pathogens frequently associated with nosocomial infections, including bloodstream infections, ventilator-associated pneumonia, urinary tract infections, and wound infections. </w:t>
      </w:r>
      <w:r>
        <w:rPr>
          <w:i/>
          <w:iCs/>
          <w:sz w:val="24"/>
          <w:szCs w:val="24"/>
        </w:rPr>
        <w:t>Serratia marcescens</w:t>
      </w:r>
      <w:r>
        <w:rPr>
          <w:sz w:val="24"/>
          <w:szCs w:val="24"/>
        </w:rPr>
        <w:t xml:space="preserve"> has increasingly demonstrated resistance to multiple antibiotic classes, particularly β-lactams and macrolides, and is well known for its ability to persist in hospital environments [4]. Similarly, </w:t>
      </w:r>
      <w:r>
        <w:rPr>
          <w:i/>
          <w:iCs/>
          <w:sz w:val="24"/>
          <w:szCs w:val="24"/>
        </w:rPr>
        <w:t>Pseudomonas aeruginosa</w:t>
      </w:r>
      <w:r>
        <w:rPr>
          <w:sz w:val="24"/>
          <w:szCs w:val="24"/>
        </w:rPr>
        <w:t xml:space="preserve"> is notorious for its intrinsic resistance to many antimicrobial agents, rapid acquisition of additional resistance determinants, and capacity to form biofilms, all of which complicate effective treatment [5]. The increasing resistance of these pathogens have underscored the need for alternative or adjunctive antimicrobial approaches. Plants used for medicinal purpose since old times in traditional medicinal systems enable the introduction of novel and gradually useful bioactive compounds. A variety of plant-originated secondary metabolites such as flavonoids, phenolic acids, alkaloids, tannins, triterpenoids and saponins have been found to possess antibacterial activity that is mediated through disruption of the bacteria cell membrane integrity, prevention of the enzymatic processes or nucleic acid synthesis or mediation Over the bacterial signaling systems [6]. In addition to their inherent antibacterial properties, medicinal plant extracts have also become the subject of interest as antibiotic activity modulators. The synergistic usage of plant phytochemicals with antibiotics has been suggested to be a route toward improving antimicrobial activity, circumventing resistance and lowering antibiotic concentration. This kind of combinations may have synergistic, additive, indifferent or antagonistic effect [7]. While synergistic effects are often emphasized in the literature, growing evidence indicates that plant–antibiotic combinations are not universally beneficial. In some cases, plant extracts may interfere with antibiotic action, leading to reduced antibacterial efficacy. Importantly, antagonistic and indifferent interactions remain underreported despite their clinical relevance [8].</w:t>
      </w:r>
    </w:p>
    <w:p w14:paraId="6B22EAFC" w14:textId="77777777" w:rsidR="00527706" w:rsidRDefault="00000000">
      <w:pPr>
        <w:spacing w:before="240" w:after="240"/>
        <w:ind w:left="0" w:right="0"/>
        <w:rPr>
          <w:sz w:val="24"/>
          <w:szCs w:val="24"/>
        </w:rPr>
      </w:pPr>
      <w:r>
        <w:rPr>
          <w:sz w:val="24"/>
          <w:szCs w:val="24"/>
        </w:rPr>
        <w:t xml:space="preserve">Most existing studies on plant–antibiotic interactions focus on Gram-positive bacteria, whereas comparatively fewer investigations address highly resistant Gram-negative pathogens. In addition, many studies rely on crude plant extracts, which contain complex mixtures of bioactive constituents that may interact unpredictably with antibiotics [9]. The medicinal plants selected for the present study </w:t>
      </w:r>
      <w:proofErr w:type="spellStart"/>
      <w:r>
        <w:rPr>
          <w:i/>
          <w:iCs/>
          <w:sz w:val="24"/>
          <w:szCs w:val="24"/>
        </w:rPr>
        <w:t>Randia</w:t>
      </w:r>
      <w:proofErr w:type="spellEnd"/>
      <w:r>
        <w:rPr>
          <w:i/>
          <w:iCs/>
          <w:sz w:val="24"/>
          <w:szCs w:val="24"/>
        </w:rPr>
        <w:t xml:space="preserve"> aculeata, </w:t>
      </w:r>
      <w:proofErr w:type="spellStart"/>
      <w:r>
        <w:rPr>
          <w:i/>
          <w:iCs/>
          <w:sz w:val="24"/>
          <w:szCs w:val="24"/>
        </w:rPr>
        <w:t>Capsella</w:t>
      </w:r>
      <w:proofErr w:type="spellEnd"/>
      <w:r>
        <w:rPr>
          <w:i/>
          <w:iCs/>
          <w:sz w:val="24"/>
          <w:szCs w:val="24"/>
        </w:rPr>
        <w:t xml:space="preserve"> bursa-pastoris, Ixora coccinea,</w:t>
      </w:r>
      <w:r>
        <w:rPr>
          <w:sz w:val="24"/>
          <w:szCs w:val="24"/>
        </w:rPr>
        <w:t xml:space="preserve"> and </w:t>
      </w:r>
      <w:r>
        <w:rPr>
          <w:i/>
          <w:iCs/>
          <w:sz w:val="24"/>
          <w:szCs w:val="24"/>
        </w:rPr>
        <w:t>Portulaca oleracea</w:t>
      </w:r>
      <w:r>
        <w:rPr>
          <w:sz w:val="24"/>
          <w:szCs w:val="24"/>
        </w:rPr>
        <w:t xml:space="preserve"> are traditionally used for various therapeutic purposes and have been reported to possess antimicrobial and antioxidant properties [10]. However, systematic evaluation of their antibacterial </w:t>
      </w:r>
      <w:r>
        <w:rPr>
          <w:sz w:val="24"/>
          <w:szCs w:val="24"/>
        </w:rPr>
        <w:lastRenderedPageBreak/>
        <w:t xml:space="preserve">activity, particularly in combination with commonly used antibiotics against </w:t>
      </w:r>
      <w:r>
        <w:rPr>
          <w:i/>
          <w:iCs/>
          <w:sz w:val="24"/>
          <w:szCs w:val="24"/>
        </w:rPr>
        <w:t>S. marcescens</w:t>
      </w:r>
      <w:r>
        <w:rPr>
          <w:sz w:val="24"/>
          <w:szCs w:val="24"/>
        </w:rPr>
        <w:t xml:space="preserve"> and </w:t>
      </w:r>
      <w:r>
        <w:rPr>
          <w:i/>
          <w:iCs/>
          <w:sz w:val="24"/>
          <w:szCs w:val="24"/>
        </w:rPr>
        <w:t>P. aeruginosa</w:t>
      </w:r>
      <w:r>
        <w:rPr>
          <w:sz w:val="24"/>
          <w:szCs w:val="24"/>
        </w:rPr>
        <w:t>, remains limited.</w:t>
      </w:r>
    </w:p>
    <w:p w14:paraId="359DB03F" w14:textId="77777777" w:rsidR="00527706" w:rsidRDefault="00000000">
      <w:pPr>
        <w:spacing w:before="240" w:after="240"/>
        <w:ind w:left="0" w:right="0"/>
        <w:rPr>
          <w:sz w:val="24"/>
          <w:szCs w:val="24"/>
        </w:rPr>
      </w:pPr>
      <w:r>
        <w:rPr>
          <w:sz w:val="24"/>
          <w:szCs w:val="24"/>
        </w:rPr>
        <w:t xml:space="preserve">In this study, antibiotics representing different classes ampicillin, ciprofloxacin, erythromycin, and amoxicillin were selected to investigate potential interaction patterns with the chosen plant extracts. The agar well diffusion assay was employed as a preliminary screening method to evaluate antibacterial activity and to compare inhibition zones produced by individual and combined treatments [11]. The primary objective was to assess the antibacterial efficacy of selected plant extracts alone and in combination with antibiotics against </w:t>
      </w:r>
      <w:r>
        <w:rPr>
          <w:i/>
          <w:iCs/>
          <w:sz w:val="24"/>
          <w:szCs w:val="24"/>
        </w:rPr>
        <w:t>Serratia marcescens</w:t>
      </w:r>
      <w:r>
        <w:rPr>
          <w:sz w:val="24"/>
          <w:szCs w:val="24"/>
        </w:rPr>
        <w:t xml:space="preserve"> and </w:t>
      </w:r>
      <w:r>
        <w:rPr>
          <w:i/>
          <w:iCs/>
          <w:sz w:val="24"/>
          <w:szCs w:val="24"/>
        </w:rPr>
        <w:t>Pseudomonas aeruginosa</w:t>
      </w:r>
      <w:r>
        <w:rPr>
          <w:sz w:val="24"/>
          <w:szCs w:val="24"/>
        </w:rPr>
        <w:t>. By documenting both effective and antagonistic interactions, this study aims to contribute to a more evidence-based and cautious approach toward the use of plant–antibiotic combinations in antimicrobial therapy.</w:t>
      </w:r>
    </w:p>
    <w:p w14:paraId="7D7F2D89" w14:textId="77777777" w:rsidR="00527706" w:rsidRDefault="00000000">
      <w:pPr>
        <w:pStyle w:val="Heading1"/>
        <w:spacing w:after="215"/>
        <w:ind w:left="-5" w:firstLine="0"/>
        <w:rPr>
          <w:sz w:val="24"/>
          <w:szCs w:val="24"/>
        </w:rPr>
      </w:pPr>
      <w:r>
        <w:rPr>
          <w:sz w:val="24"/>
          <w:szCs w:val="24"/>
        </w:rPr>
        <w:t>Material and Methodology</w:t>
      </w:r>
      <w:r>
        <w:rPr>
          <w:b w:val="0"/>
          <w:bCs w:val="0"/>
          <w:sz w:val="24"/>
          <w:szCs w:val="24"/>
        </w:rPr>
        <w:t xml:space="preserve">  </w:t>
      </w:r>
    </w:p>
    <w:p w14:paraId="1302DA02" w14:textId="77777777" w:rsidR="00527706" w:rsidRDefault="00000000">
      <w:pPr>
        <w:ind w:left="-5" w:right="-5"/>
        <w:rPr>
          <w:sz w:val="24"/>
          <w:szCs w:val="24"/>
        </w:rPr>
      </w:pPr>
      <w:r>
        <w:rPr>
          <w:b/>
          <w:bCs/>
          <w:sz w:val="24"/>
          <w:szCs w:val="24"/>
        </w:rPr>
        <w:t>Plant Material Collection and Extract Preparation</w:t>
      </w:r>
      <w:proofErr w:type="gramStart"/>
      <w:r>
        <w:rPr>
          <w:b/>
          <w:bCs/>
          <w:sz w:val="24"/>
          <w:szCs w:val="24"/>
        </w:rPr>
        <w:t xml:space="preserve">-  </w:t>
      </w:r>
      <w:r>
        <w:rPr>
          <w:sz w:val="24"/>
          <w:szCs w:val="24"/>
        </w:rPr>
        <w:t>Four</w:t>
      </w:r>
      <w:proofErr w:type="gramEnd"/>
      <w:r>
        <w:rPr>
          <w:sz w:val="24"/>
          <w:szCs w:val="24"/>
        </w:rPr>
        <w:t xml:space="preserve"> medicinal plants, </w:t>
      </w:r>
      <w:proofErr w:type="spellStart"/>
      <w:r>
        <w:rPr>
          <w:i/>
          <w:iCs/>
          <w:sz w:val="24"/>
          <w:szCs w:val="24"/>
        </w:rPr>
        <w:t>Randia</w:t>
      </w:r>
      <w:proofErr w:type="spellEnd"/>
      <w:r>
        <w:rPr>
          <w:i/>
          <w:iCs/>
          <w:sz w:val="24"/>
          <w:szCs w:val="24"/>
        </w:rPr>
        <w:t xml:space="preserve"> aculeata, Ixora coccinea, </w:t>
      </w:r>
      <w:proofErr w:type="spellStart"/>
      <w:r>
        <w:rPr>
          <w:i/>
          <w:iCs/>
          <w:sz w:val="24"/>
          <w:szCs w:val="24"/>
        </w:rPr>
        <w:t>Capsella</w:t>
      </w:r>
      <w:proofErr w:type="spellEnd"/>
      <w:r>
        <w:rPr>
          <w:i/>
          <w:iCs/>
          <w:sz w:val="24"/>
          <w:szCs w:val="24"/>
        </w:rPr>
        <w:t xml:space="preserve"> bursa-pastoris,</w:t>
      </w:r>
      <w:r>
        <w:rPr>
          <w:sz w:val="24"/>
          <w:szCs w:val="24"/>
        </w:rPr>
        <w:t xml:space="preserve"> and </w:t>
      </w:r>
      <w:r>
        <w:rPr>
          <w:i/>
          <w:iCs/>
          <w:sz w:val="24"/>
          <w:szCs w:val="24"/>
        </w:rPr>
        <w:t>Portulaca oleracea</w:t>
      </w:r>
      <w:r>
        <w:rPr>
          <w:sz w:val="24"/>
          <w:szCs w:val="24"/>
        </w:rPr>
        <w:t>, were collected from Thakur Complex, Kandivali East, Mumbai, Maharashtra, India. The collected plant materials were thoroughly washed with distilled water to remove adhering debris and air-dried under shade. The dried materials were cut into small pieces for aqueous extract preparation. Ten grams of each plant sample were boiled in 100 mL of sterile distilled water for 20 minutes. After cooling to room temperature, the extracts were clarified by centrifugation at 10,000 rpm for 10 minutes at 4 °C to remove debris and particulate matter. The clear supernatants were collected in sterile tubes and stored at 4 °C for use within 48 hours. No microfiltration was performed; however, sterility of the extracts was confirmed by plating aliquots on nutrient agar prior to antibacterial testing.</w:t>
      </w:r>
    </w:p>
    <w:p w14:paraId="6F722E4E" w14:textId="77777777" w:rsidR="00527706" w:rsidRDefault="00000000">
      <w:pPr>
        <w:ind w:left="-5" w:right="-5"/>
        <w:rPr>
          <w:sz w:val="24"/>
          <w:szCs w:val="24"/>
        </w:rPr>
      </w:pPr>
      <w:r>
        <w:rPr>
          <w:b/>
          <w:bCs/>
          <w:sz w:val="24"/>
          <w:szCs w:val="24"/>
        </w:rPr>
        <w:t xml:space="preserve">Antibiotic Selection and Preparation- </w:t>
      </w:r>
      <w:r>
        <w:rPr>
          <w:sz w:val="24"/>
          <w:szCs w:val="24"/>
        </w:rPr>
        <w:t xml:space="preserve">Four commonly used antibiotics ampicillin, amoxicillin, erythromycin, and ciprofloxacin were utilized in this study. Stock solutions were prepared to achieve a final working concentration of 30 µg/mL for each antibiotic. These antibiotics were used as positive controls and in combination with plant extracts to evaluate potential interaction effects. </w:t>
      </w:r>
    </w:p>
    <w:p w14:paraId="0A674D4B" w14:textId="77777777" w:rsidR="00527706" w:rsidRDefault="00000000">
      <w:pPr>
        <w:ind w:left="-5" w:right="-5"/>
        <w:rPr>
          <w:sz w:val="24"/>
          <w:szCs w:val="24"/>
        </w:rPr>
      </w:pPr>
      <w:r>
        <w:rPr>
          <w:b/>
          <w:bCs/>
          <w:sz w:val="24"/>
          <w:szCs w:val="24"/>
        </w:rPr>
        <w:t xml:space="preserve">Bacterial Cultures and Inoculum Preparation- </w:t>
      </w:r>
      <w:r>
        <w:rPr>
          <w:sz w:val="24"/>
          <w:szCs w:val="24"/>
        </w:rPr>
        <w:t xml:space="preserve">Representative Gram-negative bacteria were selected for antibacterial testing, including </w:t>
      </w:r>
      <w:r>
        <w:rPr>
          <w:b/>
          <w:bCs/>
          <w:i/>
          <w:iCs/>
          <w:sz w:val="24"/>
          <w:szCs w:val="24"/>
        </w:rPr>
        <w:t xml:space="preserve">Serratia marcescens, Pseudomonas </w:t>
      </w:r>
      <w:proofErr w:type="gramStart"/>
      <w:r>
        <w:rPr>
          <w:b/>
          <w:bCs/>
          <w:i/>
          <w:iCs/>
          <w:sz w:val="24"/>
          <w:szCs w:val="24"/>
        </w:rPr>
        <w:t xml:space="preserve">aeruginosa </w:t>
      </w:r>
      <w:r>
        <w:rPr>
          <w:sz w:val="24"/>
          <w:szCs w:val="24"/>
        </w:rPr>
        <w:t xml:space="preserve"> .</w:t>
      </w:r>
      <w:proofErr w:type="gramEnd"/>
      <w:r>
        <w:rPr>
          <w:sz w:val="24"/>
          <w:szCs w:val="24"/>
        </w:rPr>
        <w:t xml:space="preserve"> Each bacterial strain was cultured overnight in nutrient broth, and turbidity was adjusted to match the 0.5 McFarland standard to ensure uniform inoculum density. </w:t>
      </w:r>
    </w:p>
    <w:p w14:paraId="380CD98A" w14:textId="77777777" w:rsidR="00527706" w:rsidRDefault="00000000">
      <w:pPr>
        <w:ind w:left="-5" w:right="-5"/>
        <w:rPr>
          <w:sz w:val="24"/>
          <w:szCs w:val="24"/>
        </w:rPr>
      </w:pPr>
      <w:r>
        <w:rPr>
          <w:b/>
          <w:bCs/>
          <w:sz w:val="24"/>
          <w:szCs w:val="24"/>
        </w:rPr>
        <w:t xml:space="preserve">Agar Well Diffusion Assay and Combination Testing- </w:t>
      </w:r>
      <w:r>
        <w:rPr>
          <w:sz w:val="24"/>
          <w:szCs w:val="24"/>
        </w:rPr>
        <w:t xml:space="preserve">The antibacterial activity of the plant extracts, antibiotics, and their combinations was evaluated using the agar well diffusion method. Mueller-Hinton agar plates were swabbed uniformly with each bacterial culture. For each organism, three treatments were applied per plate: (1) a well containing plant extract alone (control), (2) a well containing antibiotic alone at 30 µg/mL (control), and (3) a well containing a 1:1 mixture of plant extract and antibiotic (test sample). A total of 8 plates were prepared to cover </w:t>
      </w:r>
      <w:r>
        <w:rPr>
          <w:sz w:val="24"/>
          <w:szCs w:val="24"/>
        </w:rPr>
        <w:lastRenderedPageBreak/>
        <w:t xml:space="preserve">all combinations of the four plant extracts with four antibiotics across the selected bacterial strains. The plates were incubated at 37 °C for 24 hours, after which zones of inhibition were measured in millimeters. </w:t>
      </w:r>
    </w:p>
    <w:p w14:paraId="60024BD0" w14:textId="77777777" w:rsidR="00527706" w:rsidRDefault="00000000">
      <w:pPr>
        <w:ind w:left="-5" w:right="-5"/>
        <w:rPr>
          <w:sz w:val="24"/>
          <w:szCs w:val="24"/>
        </w:rPr>
      </w:pPr>
      <w:r>
        <w:rPr>
          <w:b/>
          <w:bCs/>
          <w:sz w:val="24"/>
          <w:szCs w:val="24"/>
        </w:rPr>
        <w:t>Data Recording and Interpretation</w:t>
      </w:r>
      <w:proofErr w:type="gramStart"/>
      <w:r>
        <w:rPr>
          <w:b/>
          <w:bCs/>
          <w:sz w:val="24"/>
          <w:szCs w:val="24"/>
        </w:rPr>
        <w:t xml:space="preserve">-  </w:t>
      </w:r>
      <w:r>
        <w:rPr>
          <w:sz w:val="24"/>
          <w:szCs w:val="24"/>
        </w:rPr>
        <w:t>Zones</w:t>
      </w:r>
      <w:proofErr w:type="gramEnd"/>
      <w:r>
        <w:rPr>
          <w:sz w:val="24"/>
          <w:szCs w:val="24"/>
        </w:rPr>
        <w:t xml:space="preserve"> of inhibition from individual and combined treatments were recorded and compared to determine interaction patterns, including synergistic, additive, indifferent, or antagonistic effects. All antibacterial assays were performed in triplicate, and zones of inhibition were recorded as mean values. All experiments were conducted under aseptic conditions, following standard laboratory safety protocols. The results provided insights into the ability of plant extracts to modulate the antibacterial activity of conventional antibiotics.</w:t>
      </w:r>
    </w:p>
    <w:p w14:paraId="53234BBE" w14:textId="77777777" w:rsidR="00527706" w:rsidRDefault="00000000">
      <w:pPr>
        <w:spacing w:after="254" w:line="259" w:lineRule="auto"/>
        <w:ind w:left="0" w:right="0"/>
        <w:jc w:val="left"/>
        <w:rPr>
          <w:b/>
          <w:bCs/>
          <w:sz w:val="24"/>
          <w:szCs w:val="24"/>
        </w:rPr>
      </w:pPr>
      <w:r>
        <w:rPr>
          <w:b/>
          <w:bCs/>
          <w:sz w:val="24"/>
          <w:szCs w:val="24"/>
        </w:rPr>
        <w:t xml:space="preserve"> Observation  </w:t>
      </w:r>
    </w:p>
    <w:p w14:paraId="0C1DA86B" w14:textId="77777777" w:rsidR="00527706" w:rsidRDefault="00527706">
      <w:pPr>
        <w:ind w:left="0"/>
        <w:jc w:val="center"/>
        <w:rPr>
          <w:sz w:val="24"/>
          <w:szCs w:val="24"/>
        </w:rPr>
      </w:pPr>
    </w:p>
    <w:p w14:paraId="68D2D607" w14:textId="77777777" w:rsidR="00527706" w:rsidRDefault="00000000">
      <w:pPr>
        <w:jc w:val="center"/>
        <w:rPr>
          <w:sz w:val="24"/>
          <w:szCs w:val="24"/>
        </w:rPr>
      </w:pPr>
      <w:r>
        <w:rPr>
          <w:b/>
          <w:bCs/>
          <w:sz w:val="24"/>
          <w:szCs w:val="24"/>
        </w:rPr>
        <w:t>Table 1.</w:t>
      </w:r>
      <w:r>
        <w:rPr>
          <w:sz w:val="24"/>
          <w:szCs w:val="24"/>
        </w:rPr>
        <w:t xml:space="preserve"> Antibacterial activity of selected medicinal plant extracts and their combinations with antibiotics against </w:t>
      </w:r>
      <w:r>
        <w:rPr>
          <w:i/>
          <w:iCs/>
          <w:sz w:val="24"/>
          <w:szCs w:val="24"/>
        </w:rPr>
        <w:t>Serratia marcescens</w:t>
      </w:r>
      <w:r>
        <w:rPr>
          <w:sz w:val="24"/>
          <w:szCs w:val="24"/>
        </w:rPr>
        <w:t>, expressed as mean zone of inhibition ± standard deviation (mm) (n = 3)</w:t>
      </w:r>
    </w:p>
    <w:tbl>
      <w:tblPr>
        <w:tblStyle w:val="a"/>
        <w:tblW w:w="9920" w:type="dxa"/>
        <w:tblInd w:w="-170" w:type="dxa"/>
        <w:tblLayout w:type="fixed"/>
        <w:tblLook w:val="0400" w:firstRow="0" w:lastRow="0" w:firstColumn="0" w:lastColumn="0" w:noHBand="0" w:noVBand="1"/>
      </w:tblPr>
      <w:tblGrid>
        <w:gridCol w:w="5100"/>
        <w:gridCol w:w="4820"/>
      </w:tblGrid>
      <w:tr w:rsidR="00527706" w14:paraId="2D4FD550" w14:textId="77777777">
        <w:trPr>
          <w:trHeight w:val="680"/>
        </w:trPr>
        <w:tc>
          <w:tcPr>
            <w:tcW w:w="5100" w:type="dxa"/>
            <w:tcBorders>
              <w:top w:val="single" w:sz="8" w:space="0" w:color="000000"/>
              <w:left w:val="single" w:sz="8" w:space="0" w:color="000000"/>
              <w:bottom w:val="single" w:sz="8" w:space="0" w:color="000000"/>
              <w:right w:val="single" w:sz="8" w:space="0" w:color="000000"/>
            </w:tcBorders>
          </w:tcPr>
          <w:p w14:paraId="7B69BD7B" w14:textId="77777777" w:rsidR="00527706" w:rsidRDefault="00000000">
            <w:pPr>
              <w:spacing w:line="259" w:lineRule="auto"/>
              <w:ind w:left="0" w:right="20"/>
              <w:jc w:val="center"/>
              <w:rPr>
                <w:sz w:val="24"/>
                <w:szCs w:val="24"/>
              </w:rPr>
            </w:pPr>
            <w:r>
              <w:rPr>
                <w:b/>
                <w:bCs/>
                <w:sz w:val="24"/>
                <w:szCs w:val="24"/>
              </w:rPr>
              <w:t xml:space="preserve">Treatment </w:t>
            </w:r>
          </w:p>
        </w:tc>
        <w:tc>
          <w:tcPr>
            <w:tcW w:w="4820" w:type="dxa"/>
            <w:tcBorders>
              <w:top w:val="single" w:sz="8" w:space="0" w:color="000000"/>
              <w:left w:val="single" w:sz="8" w:space="0" w:color="000000"/>
              <w:bottom w:val="single" w:sz="8" w:space="0" w:color="000000"/>
              <w:right w:val="single" w:sz="8" w:space="0" w:color="000000"/>
            </w:tcBorders>
            <w:vAlign w:val="center"/>
          </w:tcPr>
          <w:p w14:paraId="229709F4" w14:textId="77777777" w:rsidR="00527706" w:rsidRDefault="00000000">
            <w:pPr>
              <w:spacing w:line="259" w:lineRule="auto"/>
              <w:ind w:left="990" w:right="850"/>
              <w:jc w:val="center"/>
              <w:rPr>
                <w:b/>
                <w:bCs/>
                <w:sz w:val="24"/>
                <w:szCs w:val="24"/>
              </w:rPr>
            </w:pPr>
            <w:r>
              <w:rPr>
                <w:b/>
                <w:bCs/>
                <w:sz w:val="24"/>
                <w:szCs w:val="24"/>
              </w:rPr>
              <w:t xml:space="preserve">Organism - </w:t>
            </w:r>
            <w:r>
              <w:rPr>
                <w:b/>
                <w:bCs/>
                <w:i/>
                <w:iCs/>
                <w:sz w:val="24"/>
                <w:szCs w:val="24"/>
              </w:rPr>
              <w:t xml:space="preserve">S. </w:t>
            </w:r>
            <w:proofErr w:type="spellStart"/>
            <w:r>
              <w:rPr>
                <w:b/>
                <w:bCs/>
                <w:i/>
                <w:iCs/>
                <w:sz w:val="24"/>
                <w:szCs w:val="24"/>
              </w:rPr>
              <w:t>marcescns</w:t>
            </w:r>
            <w:proofErr w:type="spellEnd"/>
            <w:proofErr w:type="gramStart"/>
            <w:r>
              <w:rPr>
                <w:b/>
                <w:bCs/>
                <w:i/>
                <w:iCs/>
                <w:sz w:val="24"/>
                <w:szCs w:val="24"/>
              </w:rPr>
              <w:t xml:space="preserve"> </w:t>
            </w:r>
            <w:r>
              <w:rPr>
                <w:b/>
                <w:bCs/>
                <w:sz w:val="24"/>
                <w:szCs w:val="24"/>
              </w:rPr>
              <w:t xml:space="preserve">  (</w:t>
            </w:r>
            <w:proofErr w:type="gramEnd"/>
            <w:r>
              <w:rPr>
                <w:b/>
                <w:bCs/>
                <w:sz w:val="24"/>
                <w:szCs w:val="24"/>
              </w:rPr>
              <w:t xml:space="preserve">Zone of Inhibition) </w:t>
            </w:r>
          </w:p>
          <w:p w14:paraId="17658945" w14:textId="77777777" w:rsidR="00527706" w:rsidRDefault="00000000">
            <w:pPr>
              <w:spacing w:line="259" w:lineRule="auto"/>
              <w:ind w:left="990" w:right="850"/>
              <w:jc w:val="center"/>
              <w:rPr>
                <w:sz w:val="24"/>
                <w:szCs w:val="24"/>
              </w:rPr>
            </w:pPr>
            <w:r>
              <w:rPr>
                <w:b/>
                <w:bCs/>
                <w:sz w:val="24"/>
                <w:szCs w:val="24"/>
              </w:rPr>
              <w:t>(mm, Mean ± SD)</w:t>
            </w:r>
          </w:p>
        </w:tc>
      </w:tr>
      <w:tr w:rsidR="00527706" w14:paraId="246600EE" w14:textId="77777777">
        <w:trPr>
          <w:trHeight w:val="440"/>
        </w:trPr>
        <w:tc>
          <w:tcPr>
            <w:tcW w:w="5100" w:type="dxa"/>
            <w:tcBorders>
              <w:top w:val="single" w:sz="8" w:space="0" w:color="000000"/>
              <w:left w:val="single" w:sz="8" w:space="0" w:color="000000"/>
              <w:bottom w:val="single" w:sz="8" w:space="0" w:color="000000"/>
              <w:right w:val="single" w:sz="8" w:space="0" w:color="000000"/>
            </w:tcBorders>
          </w:tcPr>
          <w:p w14:paraId="6AB72F35" w14:textId="77777777" w:rsidR="00527706" w:rsidRDefault="00000000">
            <w:pPr>
              <w:spacing w:line="259" w:lineRule="auto"/>
              <w:ind w:left="0" w:right="20"/>
              <w:jc w:val="center"/>
              <w:rPr>
                <w:sz w:val="24"/>
                <w:szCs w:val="24"/>
              </w:rPr>
            </w:pPr>
            <w:proofErr w:type="spellStart"/>
            <w:r>
              <w:rPr>
                <w:b/>
                <w:bCs/>
                <w:i/>
                <w:iCs/>
                <w:sz w:val="24"/>
                <w:szCs w:val="24"/>
              </w:rPr>
              <w:t>Randia</w:t>
            </w:r>
            <w:proofErr w:type="spellEnd"/>
            <w:r>
              <w:rPr>
                <w:b/>
                <w:bCs/>
                <w:i/>
                <w:iCs/>
                <w:sz w:val="24"/>
                <w:szCs w:val="24"/>
              </w:rPr>
              <w:t xml:space="preserve"> aculeata </w:t>
            </w:r>
            <w:r>
              <w:rPr>
                <w:b/>
                <w:bCs/>
                <w:sz w:val="24"/>
                <w:szCs w:val="24"/>
              </w:rPr>
              <w:t xml:space="preserve">– Extract Alone </w:t>
            </w:r>
          </w:p>
        </w:tc>
        <w:tc>
          <w:tcPr>
            <w:tcW w:w="4820" w:type="dxa"/>
            <w:tcBorders>
              <w:top w:val="single" w:sz="8" w:space="0" w:color="000000"/>
              <w:left w:val="single" w:sz="8" w:space="0" w:color="000000"/>
              <w:bottom w:val="single" w:sz="8" w:space="0" w:color="000000"/>
              <w:right w:val="single" w:sz="8" w:space="0" w:color="000000"/>
            </w:tcBorders>
          </w:tcPr>
          <w:p w14:paraId="109AF998" w14:textId="77777777" w:rsidR="00527706" w:rsidRDefault="00000000">
            <w:pPr>
              <w:spacing w:line="259" w:lineRule="auto"/>
              <w:ind w:left="0" w:right="10"/>
              <w:jc w:val="center"/>
              <w:rPr>
                <w:sz w:val="24"/>
                <w:szCs w:val="24"/>
              </w:rPr>
            </w:pPr>
            <w:r>
              <w:rPr>
                <w:b/>
                <w:bCs/>
                <w:sz w:val="24"/>
                <w:szCs w:val="24"/>
              </w:rPr>
              <w:t>12 ± 1</w:t>
            </w:r>
          </w:p>
        </w:tc>
      </w:tr>
      <w:tr w:rsidR="00527706" w14:paraId="0DB408CB" w14:textId="77777777">
        <w:trPr>
          <w:trHeight w:val="520"/>
        </w:trPr>
        <w:tc>
          <w:tcPr>
            <w:tcW w:w="5100" w:type="dxa"/>
            <w:tcBorders>
              <w:top w:val="single" w:sz="8" w:space="0" w:color="000000"/>
              <w:left w:val="single" w:sz="8" w:space="0" w:color="000000"/>
              <w:bottom w:val="single" w:sz="8" w:space="0" w:color="000000"/>
              <w:right w:val="single" w:sz="8" w:space="0" w:color="000000"/>
            </w:tcBorders>
            <w:vAlign w:val="center"/>
          </w:tcPr>
          <w:p w14:paraId="783E7396" w14:textId="77777777" w:rsidR="00527706" w:rsidRDefault="00000000">
            <w:pPr>
              <w:spacing w:line="259" w:lineRule="auto"/>
              <w:ind w:left="0" w:right="20"/>
              <w:jc w:val="center"/>
              <w:rPr>
                <w:sz w:val="24"/>
                <w:szCs w:val="24"/>
              </w:rPr>
            </w:pPr>
            <w:r>
              <w:rPr>
                <w:b/>
                <w:bCs/>
                <w:sz w:val="24"/>
                <w:szCs w:val="24"/>
              </w:rPr>
              <w:t xml:space="preserve">Ampicillin (AMP) (30 µg/mL) Alone  </w:t>
            </w:r>
          </w:p>
        </w:tc>
        <w:tc>
          <w:tcPr>
            <w:tcW w:w="4820" w:type="dxa"/>
            <w:tcBorders>
              <w:top w:val="single" w:sz="8" w:space="0" w:color="000000"/>
              <w:left w:val="single" w:sz="8" w:space="0" w:color="000000"/>
              <w:bottom w:val="single" w:sz="8" w:space="0" w:color="000000"/>
              <w:right w:val="single" w:sz="8" w:space="0" w:color="000000"/>
            </w:tcBorders>
            <w:vAlign w:val="center"/>
          </w:tcPr>
          <w:p w14:paraId="0EE54C7D" w14:textId="77777777" w:rsidR="00527706" w:rsidRDefault="00000000">
            <w:pPr>
              <w:spacing w:line="259" w:lineRule="auto"/>
              <w:ind w:left="0" w:right="10"/>
              <w:jc w:val="center"/>
              <w:rPr>
                <w:sz w:val="24"/>
                <w:szCs w:val="24"/>
              </w:rPr>
            </w:pPr>
            <w:r>
              <w:rPr>
                <w:b/>
                <w:bCs/>
                <w:sz w:val="24"/>
                <w:szCs w:val="24"/>
              </w:rPr>
              <w:t xml:space="preserve">0 </w:t>
            </w:r>
          </w:p>
        </w:tc>
      </w:tr>
      <w:tr w:rsidR="00527706" w14:paraId="03F3045C" w14:textId="77777777">
        <w:trPr>
          <w:trHeight w:val="500"/>
        </w:trPr>
        <w:tc>
          <w:tcPr>
            <w:tcW w:w="5100" w:type="dxa"/>
            <w:tcBorders>
              <w:top w:val="single" w:sz="8" w:space="0" w:color="000000"/>
              <w:left w:val="single" w:sz="8" w:space="0" w:color="000000"/>
              <w:bottom w:val="single" w:sz="8" w:space="0" w:color="000000"/>
              <w:right w:val="single" w:sz="8" w:space="0" w:color="000000"/>
            </w:tcBorders>
            <w:vAlign w:val="center"/>
          </w:tcPr>
          <w:p w14:paraId="4EC1FBC2" w14:textId="77777777" w:rsidR="00527706" w:rsidRDefault="00000000">
            <w:pPr>
              <w:spacing w:line="259" w:lineRule="auto"/>
              <w:ind w:left="0" w:right="20"/>
              <w:jc w:val="center"/>
              <w:rPr>
                <w:sz w:val="24"/>
                <w:szCs w:val="24"/>
              </w:rPr>
            </w:pPr>
            <w:proofErr w:type="spellStart"/>
            <w:r>
              <w:rPr>
                <w:b/>
                <w:bCs/>
                <w:i/>
                <w:iCs/>
                <w:sz w:val="24"/>
                <w:szCs w:val="24"/>
              </w:rPr>
              <w:t>Randia</w:t>
            </w:r>
            <w:proofErr w:type="spellEnd"/>
            <w:r>
              <w:rPr>
                <w:b/>
                <w:bCs/>
                <w:i/>
                <w:iCs/>
                <w:sz w:val="24"/>
                <w:szCs w:val="24"/>
              </w:rPr>
              <w:t xml:space="preserve"> aculeata </w:t>
            </w:r>
            <w:r>
              <w:rPr>
                <w:b/>
                <w:bCs/>
                <w:sz w:val="24"/>
                <w:szCs w:val="24"/>
              </w:rPr>
              <w:t xml:space="preserve">+ Ampicillin (1:1) </w:t>
            </w:r>
          </w:p>
        </w:tc>
        <w:tc>
          <w:tcPr>
            <w:tcW w:w="4820" w:type="dxa"/>
            <w:tcBorders>
              <w:top w:val="single" w:sz="8" w:space="0" w:color="000000"/>
              <w:left w:val="single" w:sz="8" w:space="0" w:color="000000"/>
              <w:bottom w:val="single" w:sz="8" w:space="0" w:color="000000"/>
              <w:right w:val="single" w:sz="8" w:space="0" w:color="000000"/>
            </w:tcBorders>
            <w:vAlign w:val="center"/>
          </w:tcPr>
          <w:p w14:paraId="02E41B2B" w14:textId="77777777" w:rsidR="00527706" w:rsidRDefault="00000000">
            <w:pPr>
              <w:spacing w:line="259" w:lineRule="auto"/>
              <w:ind w:left="0" w:right="10"/>
              <w:jc w:val="center"/>
              <w:rPr>
                <w:sz w:val="24"/>
                <w:szCs w:val="24"/>
              </w:rPr>
            </w:pPr>
            <w:r>
              <w:rPr>
                <w:b/>
                <w:bCs/>
                <w:sz w:val="24"/>
                <w:szCs w:val="24"/>
              </w:rPr>
              <w:t xml:space="preserve">0 </w:t>
            </w:r>
          </w:p>
        </w:tc>
      </w:tr>
      <w:tr w:rsidR="00527706" w14:paraId="645CA069" w14:textId="77777777">
        <w:trPr>
          <w:trHeight w:val="520"/>
        </w:trPr>
        <w:tc>
          <w:tcPr>
            <w:tcW w:w="5100" w:type="dxa"/>
            <w:tcBorders>
              <w:top w:val="single" w:sz="8" w:space="0" w:color="000000"/>
              <w:left w:val="single" w:sz="8" w:space="0" w:color="000000"/>
              <w:bottom w:val="single" w:sz="8" w:space="0" w:color="000000"/>
              <w:right w:val="single" w:sz="8" w:space="0" w:color="000000"/>
            </w:tcBorders>
            <w:vAlign w:val="center"/>
          </w:tcPr>
          <w:p w14:paraId="1CFAF8B2" w14:textId="77777777" w:rsidR="00527706" w:rsidRDefault="00000000">
            <w:pPr>
              <w:spacing w:line="259" w:lineRule="auto"/>
              <w:ind w:left="0" w:right="20"/>
              <w:jc w:val="center"/>
              <w:rPr>
                <w:sz w:val="24"/>
                <w:szCs w:val="24"/>
              </w:rPr>
            </w:pPr>
            <w:proofErr w:type="spellStart"/>
            <w:r>
              <w:rPr>
                <w:b/>
                <w:bCs/>
                <w:i/>
                <w:iCs/>
                <w:sz w:val="24"/>
                <w:szCs w:val="24"/>
              </w:rPr>
              <w:t>Capsella</w:t>
            </w:r>
            <w:proofErr w:type="spellEnd"/>
            <w:r>
              <w:rPr>
                <w:b/>
                <w:bCs/>
                <w:i/>
                <w:iCs/>
                <w:sz w:val="24"/>
                <w:szCs w:val="24"/>
              </w:rPr>
              <w:t xml:space="preserve"> bursa</w:t>
            </w:r>
            <w:r>
              <w:rPr>
                <w:b/>
                <w:bCs/>
                <w:sz w:val="24"/>
                <w:szCs w:val="24"/>
              </w:rPr>
              <w:t>-</w:t>
            </w:r>
            <w:r>
              <w:rPr>
                <w:b/>
                <w:bCs/>
                <w:i/>
                <w:iCs/>
                <w:sz w:val="24"/>
                <w:szCs w:val="24"/>
              </w:rPr>
              <w:t>pastoris</w:t>
            </w:r>
            <w:r>
              <w:rPr>
                <w:b/>
                <w:bCs/>
                <w:sz w:val="24"/>
                <w:szCs w:val="24"/>
              </w:rPr>
              <w:t xml:space="preserve"> – Extract Alone </w:t>
            </w:r>
          </w:p>
        </w:tc>
        <w:tc>
          <w:tcPr>
            <w:tcW w:w="4820" w:type="dxa"/>
            <w:tcBorders>
              <w:top w:val="single" w:sz="8" w:space="0" w:color="000000"/>
              <w:left w:val="single" w:sz="8" w:space="0" w:color="000000"/>
              <w:bottom w:val="single" w:sz="8" w:space="0" w:color="000000"/>
              <w:right w:val="single" w:sz="8" w:space="0" w:color="000000"/>
            </w:tcBorders>
            <w:vAlign w:val="center"/>
          </w:tcPr>
          <w:p w14:paraId="632382C5" w14:textId="77777777" w:rsidR="00527706" w:rsidRDefault="00000000">
            <w:pPr>
              <w:spacing w:line="259" w:lineRule="auto"/>
              <w:ind w:left="0" w:right="10"/>
              <w:jc w:val="center"/>
              <w:rPr>
                <w:sz w:val="24"/>
                <w:szCs w:val="24"/>
              </w:rPr>
            </w:pPr>
            <w:r>
              <w:rPr>
                <w:b/>
                <w:bCs/>
                <w:sz w:val="24"/>
                <w:szCs w:val="24"/>
              </w:rPr>
              <w:t xml:space="preserve">0 </w:t>
            </w:r>
          </w:p>
        </w:tc>
      </w:tr>
      <w:tr w:rsidR="00527706" w14:paraId="200FFA8A" w14:textId="77777777">
        <w:trPr>
          <w:trHeight w:val="500"/>
        </w:trPr>
        <w:tc>
          <w:tcPr>
            <w:tcW w:w="5100" w:type="dxa"/>
            <w:tcBorders>
              <w:top w:val="single" w:sz="8" w:space="0" w:color="000000"/>
              <w:left w:val="single" w:sz="8" w:space="0" w:color="000000"/>
              <w:bottom w:val="single" w:sz="8" w:space="0" w:color="000000"/>
              <w:right w:val="single" w:sz="8" w:space="0" w:color="000000"/>
            </w:tcBorders>
            <w:vAlign w:val="center"/>
          </w:tcPr>
          <w:p w14:paraId="5082C066" w14:textId="77777777" w:rsidR="00527706" w:rsidRDefault="00000000">
            <w:pPr>
              <w:spacing w:line="259" w:lineRule="auto"/>
              <w:ind w:left="0" w:right="20"/>
              <w:jc w:val="center"/>
              <w:rPr>
                <w:sz w:val="24"/>
                <w:szCs w:val="24"/>
              </w:rPr>
            </w:pPr>
            <w:r>
              <w:rPr>
                <w:b/>
                <w:bCs/>
                <w:sz w:val="24"/>
                <w:szCs w:val="24"/>
              </w:rPr>
              <w:t xml:space="preserve">Ciprofloxacin (CIP) (30 µg/mL) </w:t>
            </w:r>
          </w:p>
        </w:tc>
        <w:tc>
          <w:tcPr>
            <w:tcW w:w="4820" w:type="dxa"/>
            <w:tcBorders>
              <w:top w:val="single" w:sz="8" w:space="0" w:color="000000"/>
              <w:left w:val="single" w:sz="8" w:space="0" w:color="000000"/>
              <w:bottom w:val="single" w:sz="8" w:space="0" w:color="000000"/>
              <w:right w:val="single" w:sz="8" w:space="0" w:color="000000"/>
            </w:tcBorders>
            <w:vAlign w:val="center"/>
          </w:tcPr>
          <w:p w14:paraId="431BE43E" w14:textId="77777777" w:rsidR="00527706" w:rsidRDefault="00000000">
            <w:pPr>
              <w:spacing w:line="259" w:lineRule="auto"/>
              <w:ind w:left="0" w:right="10"/>
              <w:jc w:val="center"/>
              <w:rPr>
                <w:sz w:val="24"/>
                <w:szCs w:val="24"/>
              </w:rPr>
            </w:pPr>
            <w:r>
              <w:rPr>
                <w:b/>
                <w:bCs/>
                <w:sz w:val="24"/>
                <w:szCs w:val="24"/>
              </w:rPr>
              <w:t>28 ± 2</w:t>
            </w:r>
          </w:p>
        </w:tc>
      </w:tr>
      <w:tr w:rsidR="00527706" w14:paraId="60D1D34C" w14:textId="77777777">
        <w:trPr>
          <w:trHeight w:val="520"/>
        </w:trPr>
        <w:tc>
          <w:tcPr>
            <w:tcW w:w="5100" w:type="dxa"/>
            <w:tcBorders>
              <w:top w:val="single" w:sz="8" w:space="0" w:color="000000"/>
              <w:left w:val="single" w:sz="8" w:space="0" w:color="000000"/>
              <w:bottom w:val="single" w:sz="8" w:space="0" w:color="000000"/>
              <w:right w:val="single" w:sz="8" w:space="0" w:color="000000"/>
            </w:tcBorders>
            <w:vAlign w:val="center"/>
          </w:tcPr>
          <w:p w14:paraId="200B35B5" w14:textId="77777777" w:rsidR="00527706" w:rsidRDefault="00000000">
            <w:pPr>
              <w:spacing w:line="259" w:lineRule="auto"/>
              <w:ind w:left="0" w:right="20"/>
              <w:jc w:val="center"/>
              <w:rPr>
                <w:sz w:val="24"/>
                <w:szCs w:val="24"/>
              </w:rPr>
            </w:pPr>
            <w:proofErr w:type="spellStart"/>
            <w:r>
              <w:rPr>
                <w:b/>
                <w:bCs/>
                <w:i/>
                <w:iCs/>
                <w:sz w:val="24"/>
                <w:szCs w:val="24"/>
              </w:rPr>
              <w:t>Capsella</w:t>
            </w:r>
            <w:proofErr w:type="spellEnd"/>
            <w:r>
              <w:rPr>
                <w:b/>
                <w:bCs/>
                <w:i/>
                <w:iCs/>
                <w:sz w:val="24"/>
                <w:szCs w:val="24"/>
              </w:rPr>
              <w:t xml:space="preserve"> bursa</w:t>
            </w:r>
            <w:r>
              <w:rPr>
                <w:b/>
                <w:bCs/>
                <w:sz w:val="24"/>
                <w:szCs w:val="24"/>
              </w:rPr>
              <w:t>-</w:t>
            </w:r>
            <w:r>
              <w:rPr>
                <w:b/>
                <w:bCs/>
                <w:i/>
                <w:iCs/>
                <w:sz w:val="24"/>
                <w:szCs w:val="24"/>
              </w:rPr>
              <w:t>pastoris</w:t>
            </w:r>
            <w:r>
              <w:rPr>
                <w:b/>
                <w:bCs/>
                <w:sz w:val="24"/>
                <w:szCs w:val="24"/>
              </w:rPr>
              <w:t xml:space="preserve"> + Ciprofloxacin (1:1) </w:t>
            </w:r>
          </w:p>
        </w:tc>
        <w:tc>
          <w:tcPr>
            <w:tcW w:w="4820" w:type="dxa"/>
            <w:tcBorders>
              <w:top w:val="single" w:sz="8" w:space="0" w:color="000000"/>
              <w:left w:val="single" w:sz="8" w:space="0" w:color="000000"/>
              <w:bottom w:val="single" w:sz="8" w:space="0" w:color="000000"/>
              <w:right w:val="single" w:sz="8" w:space="0" w:color="000000"/>
            </w:tcBorders>
            <w:vAlign w:val="center"/>
          </w:tcPr>
          <w:p w14:paraId="691835B8" w14:textId="77777777" w:rsidR="00527706" w:rsidRDefault="00000000">
            <w:pPr>
              <w:spacing w:line="259" w:lineRule="auto"/>
              <w:ind w:left="0" w:right="10"/>
              <w:jc w:val="center"/>
              <w:rPr>
                <w:sz w:val="24"/>
                <w:szCs w:val="24"/>
              </w:rPr>
            </w:pPr>
            <w:r>
              <w:rPr>
                <w:b/>
                <w:bCs/>
                <w:sz w:val="24"/>
                <w:szCs w:val="24"/>
              </w:rPr>
              <w:t xml:space="preserve">24 </w:t>
            </w:r>
          </w:p>
        </w:tc>
      </w:tr>
      <w:tr w:rsidR="00527706" w14:paraId="5CD89DE1" w14:textId="77777777">
        <w:trPr>
          <w:trHeight w:val="500"/>
        </w:trPr>
        <w:tc>
          <w:tcPr>
            <w:tcW w:w="5100" w:type="dxa"/>
            <w:tcBorders>
              <w:top w:val="single" w:sz="8" w:space="0" w:color="000000"/>
              <w:left w:val="single" w:sz="8" w:space="0" w:color="000000"/>
              <w:bottom w:val="single" w:sz="8" w:space="0" w:color="000000"/>
              <w:right w:val="single" w:sz="8" w:space="0" w:color="000000"/>
            </w:tcBorders>
            <w:vAlign w:val="center"/>
          </w:tcPr>
          <w:p w14:paraId="6CA3E352" w14:textId="77777777" w:rsidR="00527706" w:rsidRDefault="00000000">
            <w:pPr>
              <w:spacing w:line="259" w:lineRule="auto"/>
              <w:ind w:left="0" w:right="20"/>
              <w:jc w:val="center"/>
              <w:rPr>
                <w:sz w:val="24"/>
                <w:szCs w:val="24"/>
              </w:rPr>
            </w:pPr>
            <w:r>
              <w:rPr>
                <w:b/>
                <w:bCs/>
                <w:i/>
                <w:iCs/>
                <w:sz w:val="24"/>
                <w:szCs w:val="24"/>
              </w:rPr>
              <w:t xml:space="preserve">Ixora coccinea </w:t>
            </w:r>
            <w:r>
              <w:rPr>
                <w:b/>
                <w:bCs/>
                <w:sz w:val="24"/>
                <w:szCs w:val="24"/>
              </w:rPr>
              <w:t xml:space="preserve">– Extract Alone </w:t>
            </w:r>
          </w:p>
        </w:tc>
        <w:tc>
          <w:tcPr>
            <w:tcW w:w="4820" w:type="dxa"/>
            <w:tcBorders>
              <w:top w:val="single" w:sz="8" w:space="0" w:color="000000"/>
              <w:left w:val="single" w:sz="8" w:space="0" w:color="000000"/>
              <w:bottom w:val="single" w:sz="8" w:space="0" w:color="000000"/>
              <w:right w:val="single" w:sz="8" w:space="0" w:color="000000"/>
            </w:tcBorders>
            <w:vAlign w:val="center"/>
          </w:tcPr>
          <w:p w14:paraId="6654C363" w14:textId="77777777" w:rsidR="00527706" w:rsidRDefault="00000000">
            <w:pPr>
              <w:spacing w:line="259" w:lineRule="auto"/>
              <w:ind w:left="0" w:right="10"/>
              <w:jc w:val="center"/>
              <w:rPr>
                <w:sz w:val="24"/>
                <w:szCs w:val="24"/>
              </w:rPr>
            </w:pPr>
            <w:r>
              <w:rPr>
                <w:b/>
                <w:bCs/>
                <w:sz w:val="24"/>
                <w:szCs w:val="24"/>
              </w:rPr>
              <w:t>18 ± 1</w:t>
            </w:r>
          </w:p>
        </w:tc>
      </w:tr>
      <w:tr w:rsidR="00527706" w14:paraId="0B534C27" w14:textId="77777777">
        <w:trPr>
          <w:trHeight w:val="520"/>
        </w:trPr>
        <w:tc>
          <w:tcPr>
            <w:tcW w:w="5100" w:type="dxa"/>
            <w:tcBorders>
              <w:top w:val="single" w:sz="8" w:space="0" w:color="000000"/>
              <w:left w:val="single" w:sz="8" w:space="0" w:color="000000"/>
              <w:bottom w:val="single" w:sz="8" w:space="0" w:color="000000"/>
              <w:right w:val="single" w:sz="8" w:space="0" w:color="000000"/>
            </w:tcBorders>
            <w:vAlign w:val="center"/>
          </w:tcPr>
          <w:p w14:paraId="7D2DB6AC" w14:textId="77777777" w:rsidR="00527706" w:rsidRDefault="00000000">
            <w:pPr>
              <w:spacing w:line="259" w:lineRule="auto"/>
              <w:ind w:left="0" w:right="20"/>
              <w:jc w:val="center"/>
              <w:rPr>
                <w:sz w:val="24"/>
                <w:szCs w:val="24"/>
              </w:rPr>
            </w:pPr>
            <w:r>
              <w:rPr>
                <w:b/>
                <w:bCs/>
                <w:sz w:val="24"/>
                <w:szCs w:val="24"/>
              </w:rPr>
              <w:t xml:space="preserve">Erythromycin (ERY) (30 µg/mL) </w:t>
            </w:r>
          </w:p>
        </w:tc>
        <w:tc>
          <w:tcPr>
            <w:tcW w:w="4820" w:type="dxa"/>
            <w:tcBorders>
              <w:top w:val="single" w:sz="8" w:space="0" w:color="000000"/>
              <w:left w:val="single" w:sz="8" w:space="0" w:color="000000"/>
              <w:bottom w:val="single" w:sz="8" w:space="0" w:color="000000"/>
              <w:right w:val="single" w:sz="8" w:space="0" w:color="000000"/>
            </w:tcBorders>
            <w:vAlign w:val="center"/>
          </w:tcPr>
          <w:p w14:paraId="5DC5E0F0" w14:textId="77777777" w:rsidR="00527706" w:rsidRDefault="00000000">
            <w:pPr>
              <w:spacing w:line="259" w:lineRule="auto"/>
              <w:ind w:left="0" w:right="10"/>
              <w:jc w:val="center"/>
              <w:rPr>
                <w:sz w:val="24"/>
                <w:szCs w:val="24"/>
              </w:rPr>
            </w:pPr>
            <w:r>
              <w:rPr>
                <w:b/>
                <w:bCs/>
                <w:sz w:val="24"/>
                <w:szCs w:val="24"/>
              </w:rPr>
              <w:t xml:space="preserve">0 </w:t>
            </w:r>
          </w:p>
        </w:tc>
      </w:tr>
      <w:tr w:rsidR="00527706" w14:paraId="73C91223" w14:textId="77777777">
        <w:trPr>
          <w:trHeight w:val="500"/>
        </w:trPr>
        <w:tc>
          <w:tcPr>
            <w:tcW w:w="5100" w:type="dxa"/>
            <w:tcBorders>
              <w:top w:val="single" w:sz="8" w:space="0" w:color="000000"/>
              <w:left w:val="single" w:sz="8" w:space="0" w:color="000000"/>
              <w:bottom w:val="single" w:sz="8" w:space="0" w:color="000000"/>
              <w:right w:val="single" w:sz="8" w:space="0" w:color="000000"/>
            </w:tcBorders>
            <w:vAlign w:val="center"/>
          </w:tcPr>
          <w:p w14:paraId="159D3C67" w14:textId="77777777" w:rsidR="00527706" w:rsidRDefault="00000000">
            <w:pPr>
              <w:spacing w:line="259" w:lineRule="auto"/>
              <w:ind w:left="0" w:right="20"/>
              <w:jc w:val="center"/>
              <w:rPr>
                <w:sz w:val="24"/>
                <w:szCs w:val="24"/>
              </w:rPr>
            </w:pPr>
            <w:r>
              <w:rPr>
                <w:b/>
                <w:bCs/>
                <w:i/>
                <w:iCs/>
                <w:sz w:val="24"/>
                <w:szCs w:val="24"/>
              </w:rPr>
              <w:t xml:space="preserve">Ixora coccinea </w:t>
            </w:r>
            <w:r>
              <w:rPr>
                <w:b/>
                <w:bCs/>
                <w:sz w:val="24"/>
                <w:szCs w:val="24"/>
              </w:rPr>
              <w:t xml:space="preserve">+ Erythromycin (1:1) </w:t>
            </w:r>
          </w:p>
        </w:tc>
        <w:tc>
          <w:tcPr>
            <w:tcW w:w="4820" w:type="dxa"/>
            <w:tcBorders>
              <w:top w:val="single" w:sz="8" w:space="0" w:color="000000"/>
              <w:left w:val="single" w:sz="8" w:space="0" w:color="000000"/>
              <w:bottom w:val="single" w:sz="8" w:space="0" w:color="000000"/>
              <w:right w:val="single" w:sz="8" w:space="0" w:color="000000"/>
            </w:tcBorders>
            <w:vAlign w:val="center"/>
          </w:tcPr>
          <w:p w14:paraId="4C22F2CA" w14:textId="77777777" w:rsidR="00527706" w:rsidRDefault="00000000">
            <w:pPr>
              <w:spacing w:line="259" w:lineRule="auto"/>
              <w:ind w:left="0" w:right="10"/>
              <w:jc w:val="center"/>
              <w:rPr>
                <w:sz w:val="24"/>
                <w:szCs w:val="24"/>
              </w:rPr>
            </w:pPr>
            <w:r>
              <w:rPr>
                <w:b/>
                <w:bCs/>
                <w:sz w:val="24"/>
                <w:szCs w:val="24"/>
              </w:rPr>
              <w:t xml:space="preserve">14 </w:t>
            </w:r>
          </w:p>
        </w:tc>
      </w:tr>
      <w:tr w:rsidR="00527706" w14:paraId="76C619B6" w14:textId="77777777">
        <w:trPr>
          <w:trHeight w:val="520"/>
        </w:trPr>
        <w:tc>
          <w:tcPr>
            <w:tcW w:w="5100" w:type="dxa"/>
            <w:tcBorders>
              <w:top w:val="single" w:sz="8" w:space="0" w:color="000000"/>
              <w:left w:val="single" w:sz="8" w:space="0" w:color="000000"/>
              <w:bottom w:val="single" w:sz="8" w:space="0" w:color="000000"/>
              <w:right w:val="single" w:sz="8" w:space="0" w:color="000000"/>
            </w:tcBorders>
            <w:vAlign w:val="center"/>
          </w:tcPr>
          <w:p w14:paraId="03C9B1FE" w14:textId="77777777" w:rsidR="00527706" w:rsidRDefault="00000000">
            <w:pPr>
              <w:spacing w:line="259" w:lineRule="auto"/>
              <w:ind w:left="0" w:right="20"/>
              <w:jc w:val="center"/>
              <w:rPr>
                <w:sz w:val="24"/>
                <w:szCs w:val="24"/>
              </w:rPr>
            </w:pPr>
            <w:r>
              <w:rPr>
                <w:b/>
                <w:bCs/>
                <w:i/>
                <w:iCs/>
                <w:sz w:val="24"/>
                <w:szCs w:val="24"/>
              </w:rPr>
              <w:lastRenderedPageBreak/>
              <w:t xml:space="preserve">Portulaca oleracea </w:t>
            </w:r>
            <w:r>
              <w:rPr>
                <w:b/>
                <w:bCs/>
                <w:sz w:val="24"/>
                <w:szCs w:val="24"/>
              </w:rPr>
              <w:t xml:space="preserve">– Extract Alone </w:t>
            </w:r>
          </w:p>
        </w:tc>
        <w:tc>
          <w:tcPr>
            <w:tcW w:w="4820" w:type="dxa"/>
            <w:tcBorders>
              <w:top w:val="single" w:sz="8" w:space="0" w:color="000000"/>
              <w:left w:val="single" w:sz="8" w:space="0" w:color="000000"/>
              <w:bottom w:val="single" w:sz="8" w:space="0" w:color="000000"/>
              <w:right w:val="single" w:sz="8" w:space="0" w:color="000000"/>
            </w:tcBorders>
            <w:vAlign w:val="center"/>
          </w:tcPr>
          <w:p w14:paraId="6BBE18B0" w14:textId="77777777" w:rsidR="00527706" w:rsidRDefault="00000000">
            <w:pPr>
              <w:spacing w:line="259" w:lineRule="auto"/>
              <w:ind w:left="0" w:right="10"/>
              <w:jc w:val="center"/>
              <w:rPr>
                <w:sz w:val="24"/>
                <w:szCs w:val="24"/>
              </w:rPr>
            </w:pPr>
            <w:r>
              <w:rPr>
                <w:b/>
                <w:bCs/>
                <w:sz w:val="24"/>
                <w:szCs w:val="24"/>
              </w:rPr>
              <w:t>12 ± 1</w:t>
            </w:r>
          </w:p>
        </w:tc>
      </w:tr>
      <w:tr w:rsidR="00527706" w14:paraId="45D9486F" w14:textId="77777777">
        <w:trPr>
          <w:trHeight w:val="500"/>
        </w:trPr>
        <w:tc>
          <w:tcPr>
            <w:tcW w:w="5100" w:type="dxa"/>
            <w:tcBorders>
              <w:top w:val="single" w:sz="8" w:space="0" w:color="000000"/>
              <w:left w:val="single" w:sz="8" w:space="0" w:color="000000"/>
              <w:bottom w:val="single" w:sz="8" w:space="0" w:color="000000"/>
              <w:right w:val="single" w:sz="8" w:space="0" w:color="000000"/>
            </w:tcBorders>
            <w:vAlign w:val="center"/>
          </w:tcPr>
          <w:p w14:paraId="28D54C09" w14:textId="77777777" w:rsidR="00527706" w:rsidRDefault="00000000">
            <w:pPr>
              <w:spacing w:line="259" w:lineRule="auto"/>
              <w:ind w:left="0" w:right="20"/>
              <w:jc w:val="center"/>
              <w:rPr>
                <w:sz w:val="24"/>
                <w:szCs w:val="24"/>
              </w:rPr>
            </w:pPr>
            <w:r>
              <w:rPr>
                <w:b/>
                <w:bCs/>
                <w:sz w:val="24"/>
                <w:szCs w:val="24"/>
              </w:rPr>
              <w:t xml:space="preserve">Amoxicillin (AMOX) (30 µg/mL) </w:t>
            </w:r>
          </w:p>
        </w:tc>
        <w:tc>
          <w:tcPr>
            <w:tcW w:w="4820" w:type="dxa"/>
            <w:tcBorders>
              <w:top w:val="single" w:sz="8" w:space="0" w:color="000000"/>
              <w:left w:val="single" w:sz="8" w:space="0" w:color="000000"/>
              <w:bottom w:val="single" w:sz="8" w:space="0" w:color="000000"/>
              <w:right w:val="single" w:sz="8" w:space="0" w:color="000000"/>
            </w:tcBorders>
            <w:vAlign w:val="center"/>
          </w:tcPr>
          <w:p w14:paraId="19D2C4EC" w14:textId="77777777" w:rsidR="00527706" w:rsidRDefault="00000000">
            <w:pPr>
              <w:spacing w:line="259" w:lineRule="auto"/>
              <w:ind w:left="0" w:right="10"/>
              <w:jc w:val="center"/>
              <w:rPr>
                <w:sz w:val="24"/>
                <w:szCs w:val="24"/>
              </w:rPr>
            </w:pPr>
            <w:r>
              <w:rPr>
                <w:b/>
                <w:bCs/>
                <w:sz w:val="24"/>
                <w:szCs w:val="24"/>
              </w:rPr>
              <w:t xml:space="preserve">0 </w:t>
            </w:r>
          </w:p>
        </w:tc>
      </w:tr>
      <w:tr w:rsidR="00527706" w14:paraId="12D13E60" w14:textId="77777777">
        <w:trPr>
          <w:trHeight w:val="520"/>
        </w:trPr>
        <w:tc>
          <w:tcPr>
            <w:tcW w:w="5100" w:type="dxa"/>
            <w:tcBorders>
              <w:top w:val="single" w:sz="8" w:space="0" w:color="000000"/>
              <w:left w:val="single" w:sz="8" w:space="0" w:color="000000"/>
              <w:bottom w:val="single" w:sz="8" w:space="0" w:color="000000"/>
              <w:right w:val="single" w:sz="8" w:space="0" w:color="000000"/>
            </w:tcBorders>
            <w:vAlign w:val="center"/>
          </w:tcPr>
          <w:p w14:paraId="3BBC94BB" w14:textId="77777777" w:rsidR="00527706" w:rsidRDefault="00000000">
            <w:pPr>
              <w:spacing w:line="259" w:lineRule="auto"/>
              <w:ind w:left="0" w:right="20"/>
              <w:jc w:val="center"/>
              <w:rPr>
                <w:sz w:val="24"/>
                <w:szCs w:val="24"/>
              </w:rPr>
            </w:pPr>
            <w:r>
              <w:rPr>
                <w:b/>
                <w:bCs/>
                <w:i/>
                <w:iCs/>
                <w:sz w:val="24"/>
                <w:szCs w:val="24"/>
              </w:rPr>
              <w:t xml:space="preserve">Portulaca </w:t>
            </w:r>
            <w:proofErr w:type="gramStart"/>
            <w:r>
              <w:rPr>
                <w:b/>
                <w:bCs/>
                <w:i/>
                <w:iCs/>
                <w:sz w:val="24"/>
                <w:szCs w:val="24"/>
              </w:rPr>
              <w:t xml:space="preserve">oleracea </w:t>
            </w:r>
            <w:r>
              <w:rPr>
                <w:b/>
                <w:bCs/>
                <w:sz w:val="24"/>
                <w:szCs w:val="24"/>
              </w:rPr>
              <w:t xml:space="preserve"> +</w:t>
            </w:r>
            <w:proofErr w:type="gramEnd"/>
            <w:r>
              <w:rPr>
                <w:b/>
                <w:bCs/>
                <w:sz w:val="24"/>
                <w:szCs w:val="24"/>
              </w:rPr>
              <w:t xml:space="preserve"> Amoxicillin (1:1) </w:t>
            </w:r>
          </w:p>
        </w:tc>
        <w:tc>
          <w:tcPr>
            <w:tcW w:w="4820" w:type="dxa"/>
            <w:tcBorders>
              <w:top w:val="single" w:sz="8" w:space="0" w:color="000000"/>
              <w:left w:val="single" w:sz="8" w:space="0" w:color="000000"/>
              <w:bottom w:val="single" w:sz="8" w:space="0" w:color="000000"/>
              <w:right w:val="single" w:sz="8" w:space="0" w:color="000000"/>
            </w:tcBorders>
            <w:vAlign w:val="center"/>
          </w:tcPr>
          <w:p w14:paraId="4CA28B92" w14:textId="77777777" w:rsidR="00527706" w:rsidRDefault="00000000">
            <w:pPr>
              <w:spacing w:line="259" w:lineRule="auto"/>
              <w:ind w:left="0" w:right="10"/>
              <w:jc w:val="center"/>
              <w:rPr>
                <w:sz w:val="24"/>
                <w:szCs w:val="24"/>
              </w:rPr>
            </w:pPr>
            <w:r>
              <w:rPr>
                <w:b/>
                <w:bCs/>
                <w:sz w:val="24"/>
                <w:szCs w:val="24"/>
              </w:rPr>
              <w:t xml:space="preserve">0 </w:t>
            </w:r>
          </w:p>
        </w:tc>
      </w:tr>
    </w:tbl>
    <w:p w14:paraId="0052B6A8" w14:textId="77777777" w:rsidR="00527706" w:rsidRDefault="00000000">
      <w:pPr>
        <w:spacing w:after="14" w:line="259" w:lineRule="auto"/>
        <w:ind w:left="50" w:right="0"/>
        <w:jc w:val="center"/>
        <w:rPr>
          <w:sz w:val="24"/>
          <w:szCs w:val="24"/>
        </w:rPr>
      </w:pPr>
      <w:r>
        <w:rPr>
          <w:b/>
          <w:bCs/>
          <w:sz w:val="24"/>
          <w:szCs w:val="24"/>
        </w:rPr>
        <w:t xml:space="preserve"> </w:t>
      </w:r>
    </w:p>
    <w:p w14:paraId="7DC09EE6" w14:textId="77777777" w:rsidR="00527706" w:rsidRDefault="00000000">
      <w:pPr>
        <w:spacing w:after="254" w:line="259" w:lineRule="auto"/>
        <w:ind w:left="0" w:right="227"/>
        <w:jc w:val="right"/>
        <w:rPr>
          <w:sz w:val="24"/>
          <w:szCs w:val="24"/>
        </w:rPr>
      </w:pPr>
      <w:r>
        <w:rPr>
          <w:noProof/>
          <w:sz w:val="24"/>
          <w:szCs w:val="24"/>
        </w:rPr>
        <w:drawing>
          <wp:inline distT="0" distB="0" distL="0" distR="0" wp14:anchorId="3A1B0517" wp14:editId="399F1BD9">
            <wp:extent cx="5556504" cy="525170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556504" cy="5251704"/>
                    </a:xfrm>
                    <a:prstGeom prst="rect">
                      <a:avLst/>
                    </a:prstGeom>
                    <a:ln/>
                  </pic:spPr>
                </pic:pic>
              </a:graphicData>
            </a:graphic>
          </wp:inline>
        </w:drawing>
      </w:r>
      <w:r>
        <w:rPr>
          <w:b/>
          <w:bCs/>
          <w:sz w:val="24"/>
          <w:szCs w:val="24"/>
        </w:rPr>
        <w:t xml:space="preserve"> </w:t>
      </w:r>
    </w:p>
    <w:p w14:paraId="619CE31D" w14:textId="77777777" w:rsidR="00527706" w:rsidRDefault="00000000">
      <w:pPr>
        <w:spacing w:after="254" w:line="259" w:lineRule="auto"/>
        <w:ind w:left="50" w:right="0"/>
        <w:jc w:val="center"/>
        <w:rPr>
          <w:sz w:val="24"/>
          <w:szCs w:val="24"/>
        </w:rPr>
      </w:pPr>
      <w:r>
        <w:rPr>
          <w:b/>
          <w:bCs/>
          <w:sz w:val="24"/>
          <w:szCs w:val="24"/>
        </w:rPr>
        <w:t xml:space="preserve"> </w:t>
      </w:r>
    </w:p>
    <w:p w14:paraId="5AC1B403" w14:textId="77777777" w:rsidR="00527706" w:rsidRDefault="00000000">
      <w:pPr>
        <w:spacing w:after="254" w:line="259" w:lineRule="auto"/>
        <w:ind w:left="0" w:right="0"/>
        <w:jc w:val="center"/>
        <w:rPr>
          <w:b/>
          <w:bCs/>
          <w:sz w:val="24"/>
          <w:szCs w:val="24"/>
        </w:rPr>
      </w:pPr>
      <w:r>
        <w:rPr>
          <w:b/>
          <w:bCs/>
          <w:sz w:val="24"/>
          <w:szCs w:val="24"/>
        </w:rPr>
        <w:t xml:space="preserve">  Figure 1: Antibacterial activity of plant extract and antibiotic against </w:t>
      </w:r>
      <w:r>
        <w:rPr>
          <w:b/>
          <w:bCs/>
          <w:i/>
          <w:iCs/>
          <w:sz w:val="24"/>
          <w:szCs w:val="24"/>
        </w:rPr>
        <w:t xml:space="preserve">S. marcescens </w:t>
      </w:r>
    </w:p>
    <w:p w14:paraId="5423C72F" w14:textId="77777777" w:rsidR="00527706" w:rsidRDefault="00000000">
      <w:pPr>
        <w:spacing w:after="254" w:line="259" w:lineRule="auto"/>
        <w:ind w:left="0" w:right="0"/>
        <w:jc w:val="left"/>
        <w:rPr>
          <w:sz w:val="24"/>
          <w:szCs w:val="24"/>
        </w:rPr>
      </w:pPr>
      <w:r>
        <w:rPr>
          <w:b/>
          <w:bCs/>
          <w:i/>
          <w:iCs/>
          <w:sz w:val="24"/>
          <w:szCs w:val="24"/>
        </w:rPr>
        <w:t xml:space="preserve"> </w:t>
      </w:r>
    </w:p>
    <w:p w14:paraId="7B9D25B8" w14:textId="77777777" w:rsidR="00527706" w:rsidRDefault="00000000">
      <w:pPr>
        <w:spacing w:after="254" w:line="259" w:lineRule="auto"/>
        <w:ind w:left="50" w:right="0"/>
        <w:jc w:val="center"/>
        <w:rPr>
          <w:sz w:val="24"/>
          <w:szCs w:val="24"/>
        </w:rPr>
      </w:pPr>
      <w:r>
        <w:rPr>
          <w:b/>
          <w:bCs/>
          <w:i/>
          <w:iCs/>
          <w:sz w:val="24"/>
          <w:szCs w:val="24"/>
        </w:rPr>
        <w:lastRenderedPageBreak/>
        <w:t xml:space="preserve"> </w:t>
      </w:r>
    </w:p>
    <w:p w14:paraId="56BD0744" w14:textId="77777777" w:rsidR="00527706" w:rsidRDefault="00000000">
      <w:pPr>
        <w:spacing w:after="25" w:line="259" w:lineRule="auto"/>
        <w:ind w:left="50" w:right="0"/>
        <w:jc w:val="center"/>
        <w:rPr>
          <w:b/>
          <w:bCs/>
          <w:sz w:val="24"/>
          <w:szCs w:val="24"/>
        </w:rPr>
      </w:pPr>
      <w:r>
        <w:rPr>
          <w:b/>
          <w:bCs/>
          <w:sz w:val="24"/>
          <w:szCs w:val="24"/>
        </w:rPr>
        <w:t xml:space="preserve">Table 2. Antibacterial activity of selected medicinal plant extracts and their combinations with antibiotics against Pseudomonas aeruginosa, expressed as mean zone of inhibition ± standard deviation (mm) (n = 3). </w:t>
      </w:r>
    </w:p>
    <w:p w14:paraId="2CCCAC9F" w14:textId="77777777" w:rsidR="00527706" w:rsidRDefault="00527706">
      <w:pPr>
        <w:spacing w:after="25" w:line="259" w:lineRule="auto"/>
        <w:ind w:left="50" w:right="0"/>
        <w:jc w:val="center"/>
        <w:rPr>
          <w:b/>
          <w:bCs/>
          <w:sz w:val="24"/>
          <w:szCs w:val="24"/>
        </w:rPr>
      </w:pPr>
    </w:p>
    <w:tbl>
      <w:tblPr>
        <w:tblStyle w:val="a0"/>
        <w:tblW w:w="10040" w:type="dxa"/>
        <w:tblInd w:w="-170" w:type="dxa"/>
        <w:tblLayout w:type="fixed"/>
        <w:tblLook w:val="0400" w:firstRow="0" w:lastRow="0" w:firstColumn="0" w:lastColumn="0" w:noHBand="0" w:noVBand="1"/>
      </w:tblPr>
      <w:tblGrid>
        <w:gridCol w:w="4980"/>
        <w:gridCol w:w="5060"/>
      </w:tblGrid>
      <w:tr w:rsidR="00527706" w14:paraId="48623DC4" w14:textId="77777777">
        <w:trPr>
          <w:trHeight w:val="680"/>
        </w:trPr>
        <w:tc>
          <w:tcPr>
            <w:tcW w:w="4980" w:type="dxa"/>
            <w:tcBorders>
              <w:top w:val="single" w:sz="8" w:space="0" w:color="000000"/>
              <w:left w:val="single" w:sz="8" w:space="0" w:color="000000"/>
              <w:bottom w:val="single" w:sz="8" w:space="0" w:color="000000"/>
              <w:right w:val="single" w:sz="8" w:space="0" w:color="000000"/>
            </w:tcBorders>
          </w:tcPr>
          <w:p w14:paraId="43071F56" w14:textId="77777777" w:rsidR="00527706" w:rsidRDefault="00000000">
            <w:pPr>
              <w:spacing w:line="259" w:lineRule="auto"/>
              <w:ind w:left="0" w:right="20"/>
              <w:jc w:val="center"/>
              <w:rPr>
                <w:sz w:val="24"/>
                <w:szCs w:val="24"/>
              </w:rPr>
            </w:pPr>
            <w:r>
              <w:rPr>
                <w:b/>
                <w:bCs/>
                <w:sz w:val="24"/>
                <w:szCs w:val="24"/>
              </w:rPr>
              <w:t xml:space="preserve">Treatment </w:t>
            </w:r>
          </w:p>
        </w:tc>
        <w:tc>
          <w:tcPr>
            <w:tcW w:w="5060" w:type="dxa"/>
            <w:tcBorders>
              <w:top w:val="single" w:sz="8" w:space="0" w:color="000000"/>
              <w:left w:val="single" w:sz="8" w:space="0" w:color="000000"/>
              <w:bottom w:val="single" w:sz="8" w:space="0" w:color="000000"/>
              <w:right w:val="single" w:sz="8" w:space="0" w:color="000000"/>
            </w:tcBorders>
            <w:vAlign w:val="center"/>
          </w:tcPr>
          <w:p w14:paraId="0349FC57" w14:textId="77777777" w:rsidR="00527706" w:rsidRDefault="00000000">
            <w:pPr>
              <w:spacing w:line="259" w:lineRule="auto"/>
              <w:ind w:left="591" w:right="451"/>
              <w:jc w:val="center"/>
              <w:rPr>
                <w:sz w:val="24"/>
                <w:szCs w:val="24"/>
              </w:rPr>
            </w:pPr>
            <w:r>
              <w:rPr>
                <w:b/>
                <w:bCs/>
                <w:sz w:val="24"/>
                <w:szCs w:val="24"/>
              </w:rPr>
              <w:t xml:space="preserve">Organism - </w:t>
            </w:r>
            <w:r>
              <w:rPr>
                <w:b/>
                <w:bCs/>
                <w:i/>
                <w:iCs/>
                <w:sz w:val="24"/>
                <w:szCs w:val="24"/>
              </w:rPr>
              <w:t>Pseudomonas aeruginosa</w:t>
            </w:r>
            <w:proofErr w:type="gramStart"/>
            <w:r>
              <w:rPr>
                <w:b/>
                <w:bCs/>
                <w:i/>
                <w:iCs/>
                <w:sz w:val="24"/>
                <w:szCs w:val="24"/>
              </w:rPr>
              <w:t xml:space="preserve"> </w:t>
            </w:r>
            <w:r>
              <w:rPr>
                <w:b/>
                <w:bCs/>
                <w:sz w:val="24"/>
                <w:szCs w:val="24"/>
              </w:rPr>
              <w:t xml:space="preserve">  (</w:t>
            </w:r>
            <w:proofErr w:type="gramEnd"/>
            <w:r>
              <w:rPr>
                <w:b/>
                <w:bCs/>
                <w:sz w:val="24"/>
                <w:szCs w:val="24"/>
              </w:rPr>
              <w:t xml:space="preserve">Zone of Inhibition) mm </w:t>
            </w:r>
          </w:p>
        </w:tc>
      </w:tr>
      <w:tr w:rsidR="00527706" w14:paraId="52EF3AC3" w14:textId="77777777">
        <w:trPr>
          <w:trHeight w:val="460"/>
        </w:trPr>
        <w:tc>
          <w:tcPr>
            <w:tcW w:w="4980" w:type="dxa"/>
            <w:tcBorders>
              <w:top w:val="single" w:sz="8" w:space="0" w:color="000000"/>
              <w:left w:val="single" w:sz="8" w:space="0" w:color="000000"/>
              <w:bottom w:val="single" w:sz="8" w:space="0" w:color="000000"/>
              <w:right w:val="single" w:sz="8" w:space="0" w:color="000000"/>
            </w:tcBorders>
            <w:vAlign w:val="center"/>
          </w:tcPr>
          <w:p w14:paraId="7BE86FD4" w14:textId="77777777" w:rsidR="00527706" w:rsidRDefault="00000000">
            <w:pPr>
              <w:spacing w:line="259" w:lineRule="auto"/>
              <w:ind w:left="0" w:right="20"/>
              <w:jc w:val="center"/>
              <w:rPr>
                <w:sz w:val="24"/>
                <w:szCs w:val="24"/>
              </w:rPr>
            </w:pPr>
            <w:proofErr w:type="spellStart"/>
            <w:r>
              <w:rPr>
                <w:b/>
                <w:bCs/>
                <w:i/>
                <w:iCs/>
                <w:sz w:val="24"/>
                <w:szCs w:val="24"/>
              </w:rPr>
              <w:t>Randia</w:t>
            </w:r>
            <w:proofErr w:type="spellEnd"/>
            <w:r>
              <w:rPr>
                <w:b/>
                <w:bCs/>
                <w:i/>
                <w:iCs/>
                <w:sz w:val="24"/>
                <w:szCs w:val="24"/>
              </w:rPr>
              <w:t xml:space="preserve"> aculeata </w:t>
            </w:r>
            <w:r>
              <w:rPr>
                <w:b/>
                <w:bCs/>
                <w:sz w:val="24"/>
                <w:szCs w:val="24"/>
              </w:rPr>
              <w:t xml:space="preserve">– Extract Alone </w:t>
            </w:r>
          </w:p>
        </w:tc>
        <w:tc>
          <w:tcPr>
            <w:tcW w:w="5060" w:type="dxa"/>
            <w:tcBorders>
              <w:top w:val="single" w:sz="8" w:space="0" w:color="000000"/>
              <w:left w:val="single" w:sz="8" w:space="0" w:color="000000"/>
              <w:bottom w:val="single" w:sz="8" w:space="0" w:color="000000"/>
              <w:right w:val="single" w:sz="8" w:space="0" w:color="000000"/>
            </w:tcBorders>
            <w:vAlign w:val="center"/>
          </w:tcPr>
          <w:p w14:paraId="1F1710E1" w14:textId="77777777" w:rsidR="00527706" w:rsidRDefault="00000000">
            <w:pPr>
              <w:spacing w:line="259" w:lineRule="auto"/>
              <w:ind w:left="0" w:right="10"/>
              <w:jc w:val="center"/>
              <w:rPr>
                <w:sz w:val="24"/>
                <w:szCs w:val="24"/>
              </w:rPr>
            </w:pPr>
            <w:r>
              <w:rPr>
                <w:b/>
                <w:bCs/>
                <w:sz w:val="24"/>
                <w:szCs w:val="24"/>
              </w:rPr>
              <w:t xml:space="preserve">0 </w:t>
            </w:r>
          </w:p>
        </w:tc>
      </w:tr>
      <w:tr w:rsidR="00527706" w14:paraId="29A77A76" w14:textId="77777777">
        <w:trPr>
          <w:trHeight w:val="500"/>
        </w:trPr>
        <w:tc>
          <w:tcPr>
            <w:tcW w:w="4980" w:type="dxa"/>
            <w:tcBorders>
              <w:top w:val="single" w:sz="8" w:space="0" w:color="000000"/>
              <w:left w:val="single" w:sz="8" w:space="0" w:color="000000"/>
              <w:bottom w:val="single" w:sz="8" w:space="0" w:color="000000"/>
              <w:right w:val="single" w:sz="8" w:space="0" w:color="000000"/>
            </w:tcBorders>
            <w:vAlign w:val="center"/>
          </w:tcPr>
          <w:p w14:paraId="3EAE3F6E" w14:textId="77777777" w:rsidR="00527706" w:rsidRDefault="00000000">
            <w:pPr>
              <w:spacing w:line="259" w:lineRule="auto"/>
              <w:ind w:left="0" w:right="20"/>
              <w:jc w:val="center"/>
              <w:rPr>
                <w:sz w:val="24"/>
                <w:szCs w:val="24"/>
              </w:rPr>
            </w:pPr>
            <w:r>
              <w:rPr>
                <w:b/>
                <w:bCs/>
                <w:sz w:val="24"/>
                <w:szCs w:val="24"/>
              </w:rPr>
              <w:t xml:space="preserve">Ampicillin (AMP) (30 µg/mL) Alone  </w:t>
            </w:r>
          </w:p>
        </w:tc>
        <w:tc>
          <w:tcPr>
            <w:tcW w:w="5060" w:type="dxa"/>
            <w:tcBorders>
              <w:top w:val="single" w:sz="8" w:space="0" w:color="000000"/>
              <w:left w:val="single" w:sz="8" w:space="0" w:color="000000"/>
              <w:bottom w:val="single" w:sz="8" w:space="0" w:color="000000"/>
              <w:right w:val="single" w:sz="8" w:space="0" w:color="000000"/>
            </w:tcBorders>
            <w:vAlign w:val="center"/>
          </w:tcPr>
          <w:p w14:paraId="3DC42AB7" w14:textId="77777777" w:rsidR="00527706" w:rsidRDefault="00000000">
            <w:pPr>
              <w:spacing w:line="259" w:lineRule="auto"/>
              <w:ind w:left="0" w:right="10"/>
              <w:jc w:val="center"/>
              <w:rPr>
                <w:sz w:val="24"/>
                <w:szCs w:val="24"/>
              </w:rPr>
            </w:pPr>
            <w:r>
              <w:rPr>
                <w:b/>
                <w:bCs/>
                <w:sz w:val="24"/>
                <w:szCs w:val="24"/>
              </w:rPr>
              <w:t xml:space="preserve">0 </w:t>
            </w:r>
          </w:p>
        </w:tc>
      </w:tr>
      <w:tr w:rsidR="00527706" w14:paraId="5A62FFB0" w14:textId="77777777">
        <w:trPr>
          <w:trHeight w:val="520"/>
        </w:trPr>
        <w:tc>
          <w:tcPr>
            <w:tcW w:w="4980" w:type="dxa"/>
            <w:tcBorders>
              <w:top w:val="single" w:sz="8" w:space="0" w:color="000000"/>
              <w:left w:val="single" w:sz="8" w:space="0" w:color="000000"/>
              <w:bottom w:val="single" w:sz="8" w:space="0" w:color="000000"/>
              <w:right w:val="single" w:sz="8" w:space="0" w:color="000000"/>
            </w:tcBorders>
            <w:vAlign w:val="center"/>
          </w:tcPr>
          <w:p w14:paraId="1911BB64" w14:textId="77777777" w:rsidR="00527706" w:rsidRDefault="00000000">
            <w:pPr>
              <w:spacing w:line="259" w:lineRule="auto"/>
              <w:ind w:left="0" w:right="20"/>
              <w:jc w:val="center"/>
              <w:rPr>
                <w:sz w:val="24"/>
                <w:szCs w:val="24"/>
              </w:rPr>
            </w:pPr>
            <w:proofErr w:type="spellStart"/>
            <w:r>
              <w:rPr>
                <w:b/>
                <w:bCs/>
                <w:i/>
                <w:iCs/>
                <w:sz w:val="24"/>
                <w:szCs w:val="24"/>
              </w:rPr>
              <w:t>Randia</w:t>
            </w:r>
            <w:proofErr w:type="spellEnd"/>
            <w:r>
              <w:rPr>
                <w:b/>
                <w:bCs/>
                <w:i/>
                <w:iCs/>
                <w:sz w:val="24"/>
                <w:szCs w:val="24"/>
              </w:rPr>
              <w:t xml:space="preserve"> aculeata </w:t>
            </w:r>
            <w:r>
              <w:rPr>
                <w:b/>
                <w:bCs/>
                <w:sz w:val="24"/>
                <w:szCs w:val="24"/>
              </w:rPr>
              <w:t xml:space="preserve">+ Ampicillin (1:1) </w:t>
            </w:r>
          </w:p>
        </w:tc>
        <w:tc>
          <w:tcPr>
            <w:tcW w:w="5060" w:type="dxa"/>
            <w:tcBorders>
              <w:top w:val="single" w:sz="8" w:space="0" w:color="000000"/>
              <w:left w:val="single" w:sz="8" w:space="0" w:color="000000"/>
              <w:bottom w:val="single" w:sz="8" w:space="0" w:color="000000"/>
              <w:right w:val="single" w:sz="8" w:space="0" w:color="000000"/>
            </w:tcBorders>
            <w:vAlign w:val="center"/>
          </w:tcPr>
          <w:p w14:paraId="584E997C" w14:textId="77777777" w:rsidR="00527706" w:rsidRDefault="00000000">
            <w:pPr>
              <w:spacing w:line="259" w:lineRule="auto"/>
              <w:ind w:left="0" w:right="10"/>
              <w:jc w:val="center"/>
              <w:rPr>
                <w:sz w:val="24"/>
                <w:szCs w:val="24"/>
              </w:rPr>
            </w:pPr>
            <w:r>
              <w:rPr>
                <w:b/>
                <w:bCs/>
                <w:sz w:val="24"/>
                <w:szCs w:val="24"/>
              </w:rPr>
              <w:t xml:space="preserve">0 </w:t>
            </w:r>
          </w:p>
        </w:tc>
      </w:tr>
      <w:tr w:rsidR="00527706" w14:paraId="148D1BAF" w14:textId="77777777">
        <w:trPr>
          <w:trHeight w:val="500"/>
        </w:trPr>
        <w:tc>
          <w:tcPr>
            <w:tcW w:w="4980" w:type="dxa"/>
            <w:tcBorders>
              <w:top w:val="single" w:sz="8" w:space="0" w:color="000000"/>
              <w:left w:val="single" w:sz="8" w:space="0" w:color="000000"/>
              <w:bottom w:val="single" w:sz="8" w:space="0" w:color="000000"/>
              <w:right w:val="single" w:sz="8" w:space="0" w:color="000000"/>
            </w:tcBorders>
            <w:vAlign w:val="center"/>
          </w:tcPr>
          <w:p w14:paraId="22F7F462" w14:textId="77777777" w:rsidR="00527706" w:rsidRDefault="00000000">
            <w:pPr>
              <w:spacing w:line="259" w:lineRule="auto"/>
              <w:ind w:left="0" w:right="20"/>
              <w:jc w:val="center"/>
              <w:rPr>
                <w:sz w:val="24"/>
                <w:szCs w:val="24"/>
              </w:rPr>
            </w:pPr>
            <w:proofErr w:type="spellStart"/>
            <w:r>
              <w:rPr>
                <w:b/>
                <w:bCs/>
                <w:i/>
                <w:iCs/>
                <w:sz w:val="24"/>
                <w:szCs w:val="24"/>
              </w:rPr>
              <w:t>Capsella</w:t>
            </w:r>
            <w:proofErr w:type="spellEnd"/>
            <w:r>
              <w:rPr>
                <w:b/>
                <w:bCs/>
                <w:i/>
                <w:iCs/>
                <w:sz w:val="24"/>
                <w:szCs w:val="24"/>
              </w:rPr>
              <w:t xml:space="preserve"> bursa</w:t>
            </w:r>
            <w:r>
              <w:rPr>
                <w:b/>
                <w:bCs/>
                <w:sz w:val="24"/>
                <w:szCs w:val="24"/>
              </w:rPr>
              <w:t>-</w:t>
            </w:r>
            <w:r>
              <w:rPr>
                <w:b/>
                <w:bCs/>
                <w:i/>
                <w:iCs/>
                <w:sz w:val="24"/>
                <w:szCs w:val="24"/>
              </w:rPr>
              <w:t>pastoris</w:t>
            </w:r>
            <w:r>
              <w:rPr>
                <w:b/>
                <w:bCs/>
                <w:sz w:val="24"/>
                <w:szCs w:val="24"/>
              </w:rPr>
              <w:t xml:space="preserve"> – Extract Alone </w:t>
            </w:r>
          </w:p>
        </w:tc>
        <w:tc>
          <w:tcPr>
            <w:tcW w:w="5060" w:type="dxa"/>
            <w:tcBorders>
              <w:top w:val="single" w:sz="8" w:space="0" w:color="000000"/>
              <w:left w:val="single" w:sz="8" w:space="0" w:color="000000"/>
              <w:bottom w:val="single" w:sz="8" w:space="0" w:color="000000"/>
              <w:right w:val="single" w:sz="8" w:space="0" w:color="000000"/>
            </w:tcBorders>
            <w:vAlign w:val="center"/>
          </w:tcPr>
          <w:p w14:paraId="1D67073B" w14:textId="77777777" w:rsidR="00527706" w:rsidRDefault="00000000">
            <w:pPr>
              <w:spacing w:line="259" w:lineRule="auto"/>
              <w:ind w:left="0" w:right="10"/>
              <w:jc w:val="center"/>
              <w:rPr>
                <w:sz w:val="24"/>
                <w:szCs w:val="24"/>
              </w:rPr>
            </w:pPr>
            <w:r>
              <w:rPr>
                <w:b/>
                <w:bCs/>
                <w:sz w:val="24"/>
                <w:szCs w:val="24"/>
              </w:rPr>
              <w:t xml:space="preserve">0 </w:t>
            </w:r>
          </w:p>
        </w:tc>
      </w:tr>
      <w:tr w:rsidR="00527706" w14:paraId="6F0BD0C3" w14:textId="77777777">
        <w:trPr>
          <w:trHeight w:val="520"/>
        </w:trPr>
        <w:tc>
          <w:tcPr>
            <w:tcW w:w="4980" w:type="dxa"/>
            <w:tcBorders>
              <w:top w:val="single" w:sz="8" w:space="0" w:color="000000"/>
              <w:left w:val="single" w:sz="8" w:space="0" w:color="000000"/>
              <w:bottom w:val="single" w:sz="8" w:space="0" w:color="000000"/>
              <w:right w:val="single" w:sz="8" w:space="0" w:color="000000"/>
            </w:tcBorders>
            <w:vAlign w:val="center"/>
          </w:tcPr>
          <w:p w14:paraId="046BB35D" w14:textId="77777777" w:rsidR="00527706" w:rsidRDefault="00000000">
            <w:pPr>
              <w:spacing w:line="259" w:lineRule="auto"/>
              <w:ind w:left="0" w:right="20"/>
              <w:jc w:val="center"/>
              <w:rPr>
                <w:sz w:val="24"/>
                <w:szCs w:val="24"/>
              </w:rPr>
            </w:pPr>
            <w:r>
              <w:rPr>
                <w:b/>
                <w:bCs/>
                <w:sz w:val="24"/>
                <w:szCs w:val="24"/>
              </w:rPr>
              <w:t xml:space="preserve">Ciprofloxacin (CIP) (30 µg/mL) </w:t>
            </w:r>
          </w:p>
        </w:tc>
        <w:tc>
          <w:tcPr>
            <w:tcW w:w="5060" w:type="dxa"/>
            <w:tcBorders>
              <w:top w:val="single" w:sz="8" w:space="0" w:color="000000"/>
              <w:left w:val="single" w:sz="8" w:space="0" w:color="000000"/>
              <w:bottom w:val="single" w:sz="8" w:space="0" w:color="000000"/>
              <w:right w:val="single" w:sz="8" w:space="0" w:color="000000"/>
            </w:tcBorders>
            <w:vAlign w:val="center"/>
          </w:tcPr>
          <w:p w14:paraId="32CC9F66" w14:textId="77777777" w:rsidR="00527706" w:rsidRDefault="00000000">
            <w:pPr>
              <w:spacing w:line="259" w:lineRule="auto"/>
              <w:ind w:left="0" w:right="10"/>
              <w:jc w:val="center"/>
              <w:rPr>
                <w:sz w:val="24"/>
                <w:szCs w:val="24"/>
              </w:rPr>
            </w:pPr>
            <w:r>
              <w:rPr>
                <w:b/>
                <w:bCs/>
                <w:sz w:val="24"/>
                <w:szCs w:val="24"/>
              </w:rPr>
              <w:t>24 ± 2</w:t>
            </w:r>
          </w:p>
        </w:tc>
      </w:tr>
      <w:tr w:rsidR="00527706" w14:paraId="62B247E4" w14:textId="77777777">
        <w:trPr>
          <w:trHeight w:val="500"/>
        </w:trPr>
        <w:tc>
          <w:tcPr>
            <w:tcW w:w="4980" w:type="dxa"/>
            <w:tcBorders>
              <w:top w:val="single" w:sz="8" w:space="0" w:color="000000"/>
              <w:left w:val="single" w:sz="8" w:space="0" w:color="000000"/>
              <w:bottom w:val="single" w:sz="8" w:space="0" w:color="000000"/>
              <w:right w:val="single" w:sz="8" w:space="0" w:color="000000"/>
            </w:tcBorders>
            <w:vAlign w:val="center"/>
          </w:tcPr>
          <w:p w14:paraId="3354B856" w14:textId="77777777" w:rsidR="00527706" w:rsidRDefault="00000000">
            <w:pPr>
              <w:spacing w:line="259" w:lineRule="auto"/>
              <w:ind w:left="0" w:right="20"/>
              <w:jc w:val="center"/>
              <w:rPr>
                <w:sz w:val="24"/>
                <w:szCs w:val="24"/>
              </w:rPr>
            </w:pPr>
            <w:proofErr w:type="spellStart"/>
            <w:r>
              <w:rPr>
                <w:b/>
                <w:bCs/>
                <w:i/>
                <w:iCs/>
                <w:sz w:val="24"/>
                <w:szCs w:val="24"/>
              </w:rPr>
              <w:t>Capsella</w:t>
            </w:r>
            <w:proofErr w:type="spellEnd"/>
            <w:r>
              <w:rPr>
                <w:b/>
                <w:bCs/>
                <w:i/>
                <w:iCs/>
                <w:sz w:val="24"/>
                <w:szCs w:val="24"/>
              </w:rPr>
              <w:t xml:space="preserve"> bursa</w:t>
            </w:r>
            <w:r>
              <w:rPr>
                <w:b/>
                <w:bCs/>
                <w:sz w:val="24"/>
                <w:szCs w:val="24"/>
              </w:rPr>
              <w:t>-</w:t>
            </w:r>
            <w:r>
              <w:rPr>
                <w:b/>
                <w:bCs/>
                <w:i/>
                <w:iCs/>
                <w:sz w:val="24"/>
                <w:szCs w:val="24"/>
              </w:rPr>
              <w:t>pastoris</w:t>
            </w:r>
            <w:r>
              <w:rPr>
                <w:b/>
                <w:bCs/>
                <w:sz w:val="24"/>
                <w:szCs w:val="24"/>
              </w:rPr>
              <w:t xml:space="preserve"> + Ciprofloxacin (1:1) </w:t>
            </w:r>
          </w:p>
        </w:tc>
        <w:tc>
          <w:tcPr>
            <w:tcW w:w="5060" w:type="dxa"/>
            <w:tcBorders>
              <w:top w:val="single" w:sz="8" w:space="0" w:color="000000"/>
              <w:left w:val="single" w:sz="8" w:space="0" w:color="000000"/>
              <w:bottom w:val="single" w:sz="8" w:space="0" w:color="000000"/>
              <w:right w:val="single" w:sz="8" w:space="0" w:color="000000"/>
            </w:tcBorders>
            <w:vAlign w:val="center"/>
          </w:tcPr>
          <w:p w14:paraId="54307982" w14:textId="77777777" w:rsidR="00527706" w:rsidRDefault="00000000">
            <w:pPr>
              <w:spacing w:line="259" w:lineRule="auto"/>
              <w:ind w:left="0" w:right="10"/>
              <w:jc w:val="center"/>
              <w:rPr>
                <w:sz w:val="24"/>
                <w:szCs w:val="24"/>
              </w:rPr>
            </w:pPr>
            <w:r>
              <w:rPr>
                <w:b/>
                <w:bCs/>
                <w:sz w:val="24"/>
                <w:szCs w:val="24"/>
              </w:rPr>
              <w:t>16 ± 1</w:t>
            </w:r>
          </w:p>
        </w:tc>
      </w:tr>
      <w:tr w:rsidR="00527706" w14:paraId="05E3E00E" w14:textId="77777777">
        <w:trPr>
          <w:trHeight w:val="520"/>
        </w:trPr>
        <w:tc>
          <w:tcPr>
            <w:tcW w:w="4980" w:type="dxa"/>
            <w:tcBorders>
              <w:top w:val="single" w:sz="8" w:space="0" w:color="000000"/>
              <w:left w:val="single" w:sz="8" w:space="0" w:color="000000"/>
              <w:bottom w:val="single" w:sz="8" w:space="0" w:color="000000"/>
              <w:right w:val="single" w:sz="8" w:space="0" w:color="000000"/>
            </w:tcBorders>
            <w:vAlign w:val="center"/>
          </w:tcPr>
          <w:p w14:paraId="6C7CE398" w14:textId="77777777" w:rsidR="00527706" w:rsidRDefault="00000000">
            <w:pPr>
              <w:spacing w:line="259" w:lineRule="auto"/>
              <w:ind w:left="0" w:right="20"/>
              <w:jc w:val="center"/>
              <w:rPr>
                <w:sz w:val="24"/>
                <w:szCs w:val="24"/>
              </w:rPr>
            </w:pPr>
            <w:r>
              <w:rPr>
                <w:b/>
                <w:bCs/>
                <w:i/>
                <w:iCs/>
                <w:sz w:val="24"/>
                <w:szCs w:val="24"/>
              </w:rPr>
              <w:t xml:space="preserve">Ixora coccinea </w:t>
            </w:r>
            <w:r>
              <w:rPr>
                <w:b/>
                <w:bCs/>
                <w:sz w:val="24"/>
                <w:szCs w:val="24"/>
              </w:rPr>
              <w:t xml:space="preserve">– Extract Alone </w:t>
            </w:r>
          </w:p>
        </w:tc>
        <w:tc>
          <w:tcPr>
            <w:tcW w:w="5060" w:type="dxa"/>
            <w:tcBorders>
              <w:top w:val="single" w:sz="8" w:space="0" w:color="000000"/>
              <w:left w:val="single" w:sz="8" w:space="0" w:color="000000"/>
              <w:bottom w:val="single" w:sz="8" w:space="0" w:color="000000"/>
              <w:right w:val="single" w:sz="8" w:space="0" w:color="000000"/>
            </w:tcBorders>
            <w:vAlign w:val="center"/>
          </w:tcPr>
          <w:p w14:paraId="0E344265" w14:textId="77777777" w:rsidR="00527706" w:rsidRDefault="00000000">
            <w:pPr>
              <w:spacing w:line="259" w:lineRule="auto"/>
              <w:ind w:left="0" w:right="10"/>
              <w:jc w:val="center"/>
              <w:rPr>
                <w:sz w:val="24"/>
                <w:szCs w:val="24"/>
              </w:rPr>
            </w:pPr>
            <w:r>
              <w:rPr>
                <w:b/>
                <w:bCs/>
                <w:sz w:val="24"/>
                <w:szCs w:val="24"/>
              </w:rPr>
              <w:t xml:space="preserve">0 </w:t>
            </w:r>
          </w:p>
        </w:tc>
      </w:tr>
      <w:tr w:rsidR="00527706" w14:paraId="40E54F6D" w14:textId="77777777">
        <w:trPr>
          <w:trHeight w:val="500"/>
        </w:trPr>
        <w:tc>
          <w:tcPr>
            <w:tcW w:w="4980" w:type="dxa"/>
            <w:tcBorders>
              <w:top w:val="single" w:sz="8" w:space="0" w:color="000000"/>
              <w:left w:val="single" w:sz="8" w:space="0" w:color="000000"/>
              <w:bottom w:val="single" w:sz="8" w:space="0" w:color="000000"/>
              <w:right w:val="single" w:sz="8" w:space="0" w:color="000000"/>
            </w:tcBorders>
            <w:vAlign w:val="center"/>
          </w:tcPr>
          <w:p w14:paraId="121737E1" w14:textId="77777777" w:rsidR="00527706" w:rsidRDefault="00000000">
            <w:pPr>
              <w:spacing w:line="259" w:lineRule="auto"/>
              <w:ind w:left="0" w:right="20"/>
              <w:jc w:val="center"/>
              <w:rPr>
                <w:sz w:val="24"/>
                <w:szCs w:val="24"/>
              </w:rPr>
            </w:pPr>
            <w:r>
              <w:rPr>
                <w:b/>
                <w:bCs/>
                <w:sz w:val="24"/>
                <w:szCs w:val="24"/>
              </w:rPr>
              <w:t xml:space="preserve">Erythromycin (ERY) (30 µg/mL) </w:t>
            </w:r>
          </w:p>
        </w:tc>
        <w:tc>
          <w:tcPr>
            <w:tcW w:w="5060" w:type="dxa"/>
            <w:tcBorders>
              <w:top w:val="single" w:sz="8" w:space="0" w:color="000000"/>
              <w:left w:val="single" w:sz="8" w:space="0" w:color="000000"/>
              <w:bottom w:val="single" w:sz="8" w:space="0" w:color="000000"/>
              <w:right w:val="single" w:sz="8" w:space="0" w:color="000000"/>
            </w:tcBorders>
            <w:vAlign w:val="center"/>
          </w:tcPr>
          <w:p w14:paraId="1FC76E75" w14:textId="77777777" w:rsidR="00527706" w:rsidRDefault="00000000">
            <w:pPr>
              <w:spacing w:line="259" w:lineRule="auto"/>
              <w:ind w:left="0" w:right="10"/>
              <w:jc w:val="center"/>
              <w:rPr>
                <w:sz w:val="24"/>
                <w:szCs w:val="24"/>
              </w:rPr>
            </w:pPr>
            <w:r>
              <w:rPr>
                <w:b/>
                <w:bCs/>
                <w:sz w:val="24"/>
                <w:szCs w:val="24"/>
              </w:rPr>
              <w:t xml:space="preserve">0 </w:t>
            </w:r>
          </w:p>
        </w:tc>
      </w:tr>
      <w:tr w:rsidR="00527706" w14:paraId="2FBB6D31" w14:textId="77777777">
        <w:trPr>
          <w:trHeight w:val="520"/>
        </w:trPr>
        <w:tc>
          <w:tcPr>
            <w:tcW w:w="4980" w:type="dxa"/>
            <w:tcBorders>
              <w:top w:val="single" w:sz="8" w:space="0" w:color="000000"/>
              <w:left w:val="single" w:sz="8" w:space="0" w:color="000000"/>
              <w:bottom w:val="single" w:sz="8" w:space="0" w:color="000000"/>
              <w:right w:val="single" w:sz="8" w:space="0" w:color="000000"/>
            </w:tcBorders>
            <w:vAlign w:val="center"/>
          </w:tcPr>
          <w:p w14:paraId="3824E908" w14:textId="77777777" w:rsidR="00527706" w:rsidRDefault="00000000">
            <w:pPr>
              <w:spacing w:line="259" w:lineRule="auto"/>
              <w:ind w:left="0" w:right="20"/>
              <w:jc w:val="center"/>
              <w:rPr>
                <w:sz w:val="24"/>
                <w:szCs w:val="24"/>
              </w:rPr>
            </w:pPr>
            <w:r>
              <w:rPr>
                <w:b/>
                <w:bCs/>
                <w:i/>
                <w:iCs/>
                <w:sz w:val="24"/>
                <w:szCs w:val="24"/>
              </w:rPr>
              <w:t xml:space="preserve">Ixora coccinea </w:t>
            </w:r>
            <w:r>
              <w:rPr>
                <w:b/>
                <w:bCs/>
                <w:sz w:val="24"/>
                <w:szCs w:val="24"/>
              </w:rPr>
              <w:t xml:space="preserve">+ Erythromycin (1:1) </w:t>
            </w:r>
          </w:p>
        </w:tc>
        <w:tc>
          <w:tcPr>
            <w:tcW w:w="5060" w:type="dxa"/>
            <w:tcBorders>
              <w:top w:val="single" w:sz="8" w:space="0" w:color="000000"/>
              <w:left w:val="single" w:sz="8" w:space="0" w:color="000000"/>
              <w:bottom w:val="single" w:sz="8" w:space="0" w:color="000000"/>
              <w:right w:val="single" w:sz="8" w:space="0" w:color="000000"/>
            </w:tcBorders>
            <w:vAlign w:val="center"/>
          </w:tcPr>
          <w:p w14:paraId="7B0CA8FA" w14:textId="77777777" w:rsidR="00527706" w:rsidRDefault="00000000">
            <w:pPr>
              <w:spacing w:line="259" w:lineRule="auto"/>
              <w:ind w:left="0" w:right="10"/>
              <w:jc w:val="center"/>
              <w:rPr>
                <w:sz w:val="24"/>
                <w:szCs w:val="24"/>
              </w:rPr>
            </w:pPr>
            <w:r>
              <w:rPr>
                <w:b/>
                <w:bCs/>
                <w:sz w:val="24"/>
                <w:szCs w:val="24"/>
              </w:rPr>
              <w:t xml:space="preserve">0 </w:t>
            </w:r>
          </w:p>
        </w:tc>
      </w:tr>
      <w:tr w:rsidR="00527706" w14:paraId="1759405A" w14:textId="77777777">
        <w:trPr>
          <w:trHeight w:val="500"/>
        </w:trPr>
        <w:tc>
          <w:tcPr>
            <w:tcW w:w="4980" w:type="dxa"/>
            <w:tcBorders>
              <w:top w:val="single" w:sz="8" w:space="0" w:color="000000"/>
              <w:left w:val="single" w:sz="8" w:space="0" w:color="000000"/>
              <w:bottom w:val="single" w:sz="8" w:space="0" w:color="000000"/>
              <w:right w:val="single" w:sz="8" w:space="0" w:color="000000"/>
            </w:tcBorders>
            <w:vAlign w:val="center"/>
          </w:tcPr>
          <w:p w14:paraId="4458B9B5" w14:textId="77777777" w:rsidR="00527706" w:rsidRDefault="00000000">
            <w:pPr>
              <w:spacing w:line="259" w:lineRule="auto"/>
              <w:ind w:left="0" w:right="20"/>
              <w:jc w:val="center"/>
              <w:rPr>
                <w:sz w:val="24"/>
                <w:szCs w:val="24"/>
              </w:rPr>
            </w:pPr>
            <w:r>
              <w:rPr>
                <w:b/>
                <w:bCs/>
                <w:i/>
                <w:iCs/>
                <w:sz w:val="24"/>
                <w:szCs w:val="24"/>
              </w:rPr>
              <w:t xml:space="preserve">Portulaca oleracea </w:t>
            </w:r>
            <w:r>
              <w:rPr>
                <w:b/>
                <w:bCs/>
                <w:sz w:val="24"/>
                <w:szCs w:val="24"/>
              </w:rPr>
              <w:t xml:space="preserve">– Extract Alone </w:t>
            </w:r>
          </w:p>
        </w:tc>
        <w:tc>
          <w:tcPr>
            <w:tcW w:w="5060" w:type="dxa"/>
            <w:tcBorders>
              <w:top w:val="single" w:sz="8" w:space="0" w:color="000000"/>
              <w:left w:val="single" w:sz="8" w:space="0" w:color="000000"/>
              <w:bottom w:val="single" w:sz="8" w:space="0" w:color="000000"/>
              <w:right w:val="single" w:sz="8" w:space="0" w:color="000000"/>
            </w:tcBorders>
            <w:vAlign w:val="center"/>
          </w:tcPr>
          <w:p w14:paraId="1AD9247B" w14:textId="77777777" w:rsidR="00527706" w:rsidRDefault="00000000">
            <w:pPr>
              <w:spacing w:line="259" w:lineRule="auto"/>
              <w:ind w:left="0" w:right="10"/>
              <w:jc w:val="center"/>
              <w:rPr>
                <w:sz w:val="24"/>
                <w:szCs w:val="24"/>
              </w:rPr>
            </w:pPr>
            <w:r>
              <w:rPr>
                <w:b/>
                <w:bCs/>
                <w:sz w:val="24"/>
                <w:szCs w:val="24"/>
              </w:rPr>
              <w:t xml:space="preserve">0 </w:t>
            </w:r>
          </w:p>
        </w:tc>
      </w:tr>
      <w:tr w:rsidR="00527706" w14:paraId="4D90EDFA" w14:textId="77777777">
        <w:trPr>
          <w:trHeight w:val="520"/>
        </w:trPr>
        <w:tc>
          <w:tcPr>
            <w:tcW w:w="4980" w:type="dxa"/>
            <w:tcBorders>
              <w:top w:val="single" w:sz="8" w:space="0" w:color="000000"/>
              <w:left w:val="single" w:sz="8" w:space="0" w:color="000000"/>
              <w:bottom w:val="single" w:sz="8" w:space="0" w:color="000000"/>
              <w:right w:val="single" w:sz="8" w:space="0" w:color="000000"/>
            </w:tcBorders>
            <w:vAlign w:val="center"/>
          </w:tcPr>
          <w:p w14:paraId="560682FA" w14:textId="77777777" w:rsidR="00527706" w:rsidRDefault="00000000">
            <w:pPr>
              <w:spacing w:line="259" w:lineRule="auto"/>
              <w:ind w:left="0" w:right="20"/>
              <w:jc w:val="center"/>
              <w:rPr>
                <w:sz w:val="24"/>
                <w:szCs w:val="24"/>
              </w:rPr>
            </w:pPr>
            <w:r>
              <w:rPr>
                <w:b/>
                <w:bCs/>
                <w:sz w:val="24"/>
                <w:szCs w:val="24"/>
              </w:rPr>
              <w:t xml:space="preserve">Amoxicillin (AMOX) (30 µg/mL) </w:t>
            </w:r>
          </w:p>
        </w:tc>
        <w:tc>
          <w:tcPr>
            <w:tcW w:w="5060" w:type="dxa"/>
            <w:tcBorders>
              <w:top w:val="single" w:sz="8" w:space="0" w:color="000000"/>
              <w:left w:val="single" w:sz="8" w:space="0" w:color="000000"/>
              <w:bottom w:val="single" w:sz="8" w:space="0" w:color="000000"/>
              <w:right w:val="single" w:sz="8" w:space="0" w:color="000000"/>
            </w:tcBorders>
            <w:vAlign w:val="center"/>
          </w:tcPr>
          <w:p w14:paraId="52DB9932" w14:textId="77777777" w:rsidR="00527706" w:rsidRDefault="00000000">
            <w:pPr>
              <w:spacing w:line="259" w:lineRule="auto"/>
              <w:ind w:left="0" w:right="10"/>
              <w:jc w:val="center"/>
              <w:rPr>
                <w:sz w:val="24"/>
                <w:szCs w:val="24"/>
              </w:rPr>
            </w:pPr>
            <w:r>
              <w:rPr>
                <w:b/>
                <w:bCs/>
                <w:sz w:val="24"/>
                <w:szCs w:val="24"/>
              </w:rPr>
              <w:t xml:space="preserve">0 </w:t>
            </w:r>
          </w:p>
        </w:tc>
      </w:tr>
      <w:tr w:rsidR="00527706" w14:paraId="21DDB742" w14:textId="77777777">
        <w:trPr>
          <w:trHeight w:val="500"/>
        </w:trPr>
        <w:tc>
          <w:tcPr>
            <w:tcW w:w="4980" w:type="dxa"/>
            <w:tcBorders>
              <w:top w:val="single" w:sz="8" w:space="0" w:color="000000"/>
              <w:left w:val="single" w:sz="8" w:space="0" w:color="000000"/>
              <w:bottom w:val="single" w:sz="8" w:space="0" w:color="000000"/>
              <w:right w:val="single" w:sz="8" w:space="0" w:color="000000"/>
            </w:tcBorders>
            <w:vAlign w:val="center"/>
          </w:tcPr>
          <w:p w14:paraId="4C066F5A" w14:textId="77777777" w:rsidR="00527706" w:rsidRDefault="00000000">
            <w:pPr>
              <w:spacing w:line="259" w:lineRule="auto"/>
              <w:ind w:left="0" w:right="20"/>
              <w:jc w:val="center"/>
              <w:rPr>
                <w:sz w:val="24"/>
                <w:szCs w:val="24"/>
              </w:rPr>
            </w:pPr>
            <w:r>
              <w:rPr>
                <w:b/>
                <w:bCs/>
                <w:i/>
                <w:iCs/>
                <w:sz w:val="24"/>
                <w:szCs w:val="24"/>
              </w:rPr>
              <w:t xml:space="preserve">Portulaca </w:t>
            </w:r>
            <w:proofErr w:type="gramStart"/>
            <w:r>
              <w:rPr>
                <w:b/>
                <w:bCs/>
                <w:i/>
                <w:iCs/>
                <w:sz w:val="24"/>
                <w:szCs w:val="24"/>
              </w:rPr>
              <w:t xml:space="preserve">oleracea </w:t>
            </w:r>
            <w:r>
              <w:rPr>
                <w:b/>
                <w:bCs/>
                <w:sz w:val="24"/>
                <w:szCs w:val="24"/>
              </w:rPr>
              <w:t xml:space="preserve"> +</w:t>
            </w:r>
            <w:proofErr w:type="gramEnd"/>
            <w:r>
              <w:rPr>
                <w:b/>
                <w:bCs/>
                <w:sz w:val="24"/>
                <w:szCs w:val="24"/>
              </w:rPr>
              <w:t xml:space="preserve"> Amoxicillin (1:1) </w:t>
            </w:r>
          </w:p>
        </w:tc>
        <w:tc>
          <w:tcPr>
            <w:tcW w:w="5060" w:type="dxa"/>
            <w:tcBorders>
              <w:top w:val="single" w:sz="8" w:space="0" w:color="000000"/>
              <w:left w:val="single" w:sz="8" w:space="0" w:color="000000"/>
              <w:bottom w:val="single" w:sz="8" w:space="0" w:color="000000"/>
              <w:right w:val="single" w:sz="8" w:space="0" w:color="000000"/>
            </w:tcBorders>
            <w:vAlign w:val="center"/>
          </w:tcPr>
          <w:p w14:paraId="2DEAC03D" w14:textId="77777777" w:rsidR="00527706" w:rsidRDefault="00000000">
            <w:pPr>
              <w:spacing w:line="259" w:lineRule="auto"/>
              <w:ind w:left="0" w:right="10"/>
              <w:jc w:val="center"/>
              <w:rPr>
                <w:sz w:val="24"/>
                <w:szCs w:val="24"/>
              </w:rPr>
            </w:pPr>
            <w:r>
              <w:rPr>
                <w:b/>
                <w:bCs/>
                <w:sz w:val="24"/>
                <w:szCs w:val="24"/>
              </w:rPr>
              <w:t xml:space="preserve">0 </w:t>
            </w:r>
          </w:p>
        </w:tc>
      </w:tr>
    </w:tbl>
    <w:p w14:paraId="51CC234F" w14:textId="77777777" w:rsidR="00527706" w:rsidRDefault="00000000">
      <w:pPr>
        <w:spacing w:after="14" w:line="259" w:lineRule="auto"/>
        <w:ind w:left="50" w:right="0"/>
        <w:jc w:val="center"/>
        <w:rPr>
          <w:sz w:val="24"/>
          <w:szCs w:val="24"/>
        </w:rPr>
      </w:pPr>
      <w:r>
        <w:rPr>
          <w:b/>
          <w:bCs/>
          <w:sz w:val="24"/>
          <w:szCs w:val="24"/>
        </w:rPr>
        <w:t xml:space="preserve"> </w:t>
      </w:r>
    </w:p>
    <w:p w14:paraId="1F7380B7" w14:textId="22830842" w:rsidR="00527706" w:rsidRDefault="00527706" w:rsidP="0078535E">
      <w:pPr>
        <w:spacing w:after="6" w:line="267" w:lineRule="auto"/>
        <w:ind w:left="0" w:right="0"/>
        <w:jc w:val="left"/>
        <w:rPr>
          <w:sz w:val="24"/>
          <w:szCs w:val="24"/>
        </w:rPr>
      </w:pPr>
    </w:p>
    <w:p w14:paraId="2D1DBF5A" w14:textId="77777777" w:rsidR="00527706" w:rsidRDefault="00000000">
      <w:pPr>
        <w:spacing w:after="14" w:line="259" w:lineRule="auto"/>
        <w:ind w:left="0" w:right="0"/>
        <w:jc w:val="left"/>
        <w:rPr>
          <w:sz w:val="24"/>
          <w:szCs w:val="24"/>
        </w:rPr>
      </w:pPr>
      <w:r>
        <w:rPr>
          <w:sz w:val="24"/>
          <w:szCs w:val="24"/>
        </w:rPr>
        <w:t xml:space="preserve"> </w:t>
      </w:r>
    </w:p>
    <w:p w14:paraId="6942B57C" w14:textId="77777777" w:rsidR="00527706" w:rsidRDefault="00000000">
      <w:pPr>
        <w:spacing w:after="14" w:line="259" w:lineRule="auto"/>
        <w:ind w:left="50" w:right="0"/>
        <w:jc w:val="center"/>
        <w:rPr>
          <w:sz w:val="24"/>
          <w:szCs w:val="24"/>
        </w:rPr>
      </w:pPr>
      <w:r>
        <w:rPr>
          <w:sz w:val="24"/>
          <w:szCs w:val="24"/>
        </w:rPr>
        <w:t xml:space="preserve"> </w:t>
      </w:r>
    </w:p>
    <w:p w14:paraId="3F39556D" w14:textId="77777777" w:rsidR="00527706" w:rsidRDefault="00000000">
      <w:pPr>
        <w:spacing w:after="14" w:line="259" w:lineRule="auto"/>
        <w:ind w:left="50" w:right="0"/>
        <w:jc w:val="center"/>
        <w:rPr>
          <w:sz w:val="24"/>
          <w:szCs w:val="24"/>
        </w:rPr>
      </w:pPr>
      <w:r>
        <w:rPr>
          <w:sz w:val="24"/>
          <w:szCs w:val="24"/>
        </w:rPr>
        <w:t xml:space="preserve"> </w:t>
      </w:r>
    </w:p>
    <w:p w14:paraId="158F0859" w14:textId="77777777" w:rsidR="00527706" w:rsidRDefault="00000000">
      <w:pPr>
        <w:spacing w:after="14" w:line="259" w:lineRule="auto"/>
        <w:ind w:left="50" w:right="0"/>
        <w:jc w:val="center"/>
        <w:rPr>
          <w:sz w:val="24"/>
          <w:szCs w:val="24"/>
        </w:rPr>
      </w:pPr>
      <w:r>
        <w:rPr>
          <w:sz w:val="24"/>
          <w:szCs w:val="24"/>
        </w:rPr>
        <w:t xml:space="preserve"> </w:t>
      </w:r>
    </w:p>
    <w:p w14:paraId="2B3FF854" w14:textId="77777777" w:rsidR="00527706" w:rsidRDefault="00000000">
      <w:pPr>
        <w:spacing w:after="14" w:line="259" w:lineRule="auto"/>
        <w:ind w:left="50" w:right="0"/>
        <w:jc w:val="center"/>
        <w:rPr>
          <w:sz w:val="24"/>
          <w:szCs w:val="24"/>
        </w:rPr>
      </w:pPr>
      <w:r>
        <w:rPr>
          <w:sz w:val="24"/>
          <w:szCs w:val="24"/>
        </w:rPr>
        <w:lastRenderedPageBreak/>
        <w:t xml:space="preserve"> </w:t>
      </w:r>
    </w:p>
    <w:p w14:paraId="5026789E" w14:textId="77777777" w:rsidR="00527706" w:rsidRDefault="00000000">
      <w:pPr>
        <w:spacing w:after="14" w:line="259" w:lineRule="auto"/>
        <w:ind w:left="50" w:right="0"/>
        <w:jc w:val="center"/>
        <w:rPr>
          <w:sz w:val="24"/>
          <w:szCs w:val="24"/>
        </w:rPr>
      </w:pPr>
      <w:r>
        <w:rPr>
          <w:sz w:val="24"/>
          <w:szCs w:val="24"/>
        </w:rPr>
        <w:t xml:space="preserve"> </w:t>
      </w:r>
    </w:p>
    <w:p w14:paraId="6EEE37E3" w14:textId="77777777" w:rsidR="00527706" w:rsidRDefault="00000000">
      <w:pPr>
        <w:spacing w:after="14" w:line="259" w:lineRule="auto"/>
        <w:ind w:left="50" w:right="0"/>
        <w:jc w:val="center"/>
        <w:rPr>
          <w:sz w:val="24"/>
          <w:szCs w:val="24"/>
        </w:rPr>
      </w:pPr>
      <w:r>
        <w:rPr>
          <w:sz w:val="24"/>
          <w:szCs w:val="24"/>
        </w:rPr>
        <w:t xml:space="preserve"> </w:t>
      </w:r>
    </w:p>
    <w:p w14:paraId="43E2EE49" w14:textId="77777777" w:rsidR="00527706" w:rsidRDefault="00000000">
      <w:pPr>
        <w:spacing w:after="14" w:line="259" w:lineRule="auto"/>
        <w:ind w:left="50" w:right="0"/>
        <w:jc w:val="center"/>
        <w:rPr>
          <w:sz w:val="24"/>
          <w:szCs w:val="24"/>
        </w:rPr>
      </w:pPr>
      <w:r>
        <w:rPr>
          <w:sz w:val="24"/>
          <w:szCs w:val="24"/>
        </w:rPr>
        <w:t xml:space="preserve"> </w:t>
      </w:r>
    </w:p>
    <w:p w14:paraId="73DC32DE" w14:textId="77777777" w:rsidR="00527706" w:rsidRDefault="00000000">
      <w:pPr>
        <w:spacing w:after="14" w:line="259" w:lineRule="auto"/>
        <w:ind w:left="50" w:right="0"/>
        <w:jc w:val="center"/>
        <w:rPr>
          <w:sz w:val="24"/>
          <w:szCs w:val="24"/>
        </w:rPr>
      </w:pPr>
      <w:r>
        <w:rPr>
          <w:sz w:val="24"/>
          <w:szCs w:val="24"/>
        </w:rPr>
        <w:t xml:space="preserve"> </w:t>
      </w:r>
    </w:p>
    <w:p w14:paraId="6198725F" w14:textId="77777777" w:rsidR="00527706" w:rsidRDefault="00000000">
      <w:pPr>
        <w:spacing w:after="14" w:line="259" w:lineRule="auto"/>
        <w:ind w:left="50" w:right="0"/>
        <w:jc w:val="center"/>
        <w:rPr>
          <w:sz w:val="24"/>
          <w:szCs w:val="24"/>
        </w:rPr>
      </w:pPr>
      <w:r>
        <w:rPr>
          <w:sz w:val="24"/>
          <w:szCs w:val="24"/>
        </w:rPr>
        <w:t xml:space="preserve"> </w:t>
      </w:r>
    </w:p>
    <w:p w14:paraId="30688CF1" w14:textId="77777777" w:rsidR="00527706" w:rsidRDefault="00000000">
      <w:pPr>
        <w:spacing w:after="14" w:line="259" w:lineRule="auto"/>
        <w:ind w:left="50" w:right="0"/>
        <w:jc w:val="center"/>
        <w:rPr>
          <w:sz w:val="24"/>
          <w:szCs w:val="24"/>
        </w:rPr>
      </w:pPr>
      <w:r>
        <w:rPr>
          <w:sz w:val="24"/>
          <w:szCs w:val="24"/>
        </w:rPr>
        <w:t xml:space="preserve"> </w:t>
      </w:r>
    </w:p>
    <w:p w14:paraId="35F3B8A4" w14:textId="77777777" w:rsidR="00527706" w:rsidRDefault="00000000">
      <w:pPr>
        <w:spacing w:after="14" w:line="259" w:lineRule="auto"/>
        <w:ind w:left="50" w:right="0"/>
        <w:jc w:val="center"/>
        <w:rPr>
          <w:sz w:val="24"/>
          <w:szCs w:val="24"/>
        </w:rPr>
      </w:pPr>
      <w:r>
        <w:rPr>
          <w:sz w:val="24"/>
          <w:szCs w:val="24"/>
        </w:rPr>
        <w:t xml:space="preserve"> </w:t>
      </w:r>
    </w:p>
    <w:p w14:paraId="61FF432B" w14:textId="77777777" w:rsidR="00527706" w:rsidRDefault="00000000">
      <w:pPr>
        <w:spacing w:after="14" w:line="259" w:lineRule="auto"/>
        <w:ind w:left="50" w:right="0"/>
        <w:jc w:val="center"/>
        <w:rPr>
          <w:sz w:val="24"/>
          <w:szCs w:val="24"/>
        </w:rPr>
      </w:pPr>
      <w:r>
        <w:rPr>
          <w:sz w:val="24"/>
          <w:szCs w:val="24"/>
        </w:rPr>
        <w:t xml:space="preserve"> </w:t>
      </w:r>
    </w:p>
    <w:p w14:paraId="18C0AF6D" w14:textId="77777777" w:rsidR="00527706" w:rsidRDefault="00000000">
      <w:pPr>
        <w:spacing w:after="14" w:line="259" w:lineRule="auto"/>
        <w:ind w:left="50" w:right="0"/>
        <w:jc w:val="center"/>
        <w:rPr>
          <w:sz w:val="24"/>
          <w:szCs w:val="24"/>
        </w:rPr>
      </w:pPr>
      <w:r>
        <w:rPr>
          <w:sz w:val="24"/>
          <w:szCs w:val="24"/>
        </w:rPr>
        <w:t xml:space="preserve"> </w:t>
      </w:r>
    </w:p>
    <w:p w14:paraId="3316A42B" w14:textId="77777777" w:rsidR="00527706" w:rsidRDefault="00000000">
      <w:pPr>
        <w:spacing w:after="14" w:line="259" w:lineRule="auto"/>
        <w:ind w:left="50" w:right="0"/>
        <w:jc w:val="center"/>
        <w:rPr>
          <w:sz w:val="24"/>
          <w:szCs w:val="24"/>
        </w:rPr>
      </w:pPr>
      <w:r>
        <w:rPr>
          <w:sz w:val="24"/>
          <w:szCs w:val="24"/>
        </w:rPr>
        <w:t xml:space="preserve"> </w:t>
      </w:r>
    </w:p>
    <w:p w14:paraId="06A4C89C" w14:textId="77777777" w:rsidR="00527706" w:rsidRDefault="00000000">
      <w:pPr>
        <w:spacing w:after="0" w:line="259" w:lineRule="auto"/>
        <w:ind w:left="50" w:right="0"/>
        <w:jc w:val="center"/>
        <w:rPr>
          <w:sz w:val="24"/>
          <w:szCs w:val="24"/>
        </w:rPr>
      </w:pPr>
      <w:r>
        <w:rPr>
          <w:sz w:val="24"/>
          <w:szCs w:val="24"/>
        </w:rPr>
        <w:t xml:space="preserve"> </w:t>
      </w:r>
    </w:p>
    <w:p w14:paraId="7AB0CAFB" w14:textId="77777777" w:rsidR="00527706" w:rsidRDefault="00000000">
      <w:pPr>
        <w:spacing w:after="14" w:line="259" w:lineRule="auto"/>
        <w:ind w:left="0" w:right="250"/>
        <w:jc w:val="right"/>
        <w:rPr>
          <w:sz w:val="24"/>
          <w:szCs w:val="24"/>
        </w:rPr>
      </w:pPr>
      <w:r>
        <w:rPr>
          <w:noProof/>
          <w:sz w:val="24"/>
          <w:szCs w:val="24"/>
        </w:rPr>
        <w:drawing>
          <wp:inline distT="0" distB="0" distL="0" distR="0" wp14:anchorId="27FC1B2A" wp14:editId="0DAAF11A">
            <wp:extent cx="5529072" cy="525170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529072" cy="5251704"/>
                    </a:xfrm>
                    <a:prstGeom prst="rect">
                      <a:avLst/>
                    </a:prstGeom>
                    <a:ln/>
                  </pic:spPr>
                </pic:pic>
              </a:graphicData>
            </a:graphic>
          </wp:inline>
        </w:drawing>
      </w:r>
      <w:r>
        <w:rPr>
          <w:sz w:val="24"/>
          <w:szCs w:val="24"/>
        </w:rPr>
        <w:t xml:space="preserve"> </w:t>
      </w:r>
    </w:p>
    <w:p w14:paraId="6B67F5DE" w14:textId="77777777" w:rsidR="00527706" w:rsidRDefault="00000000">
      <w:pPr>
        <w:spacing w:after="254" w:line="259" w:lineRule="auto"/>
        <w:ind w:left="0" w:right="0"/>
        <w:jc w:val="left"/>
        <w:rPr>
          <w:sz w:val="24"/>
          <w:szCs w:val="24"/>
        </w:rPr>
      </w:pPr>
      <w:r>
        <w:rPr>
          <w:sz w:val="24"/>
          <w:szCs w:val="24"/>
        </w:rPr>
        <w:t xml:space="preserve"> </w:t>
      </w:r>
    </w:p>
    <w:p w14:paraId="0E503B10" w14:textId="77777777" w:rsidR="00527706" w:rsidRDefault="00000000">
      <w:pPr>
        <w:spacing w:after="249" w:line="267" w:lineRule="auto"/>
        <w:ind w:right="0"/>
        <w:jc w:val="center"/>
        <w:rPr>
          <w:sz w:val="24"/>
          <w:szCs w:val="24"/>
        </w:rPr>
      </w:pPr>
      <w:r>
        <w:rPr>
          <w:b/>
          <w:bCs/>
          <w:sz w:val="24"/>
          <w:szCs w:val="24"/>
        </w:rPr>
        <w:t xml:space="preserve">Figure 2: Antibacterial activity of plant extract and antibiotic against </w:t>
      </w:r>
      <w:r>
        <w:rPr>
          <w:b/>
          <w:bCs/>
          <w:i/>
          <w:iCs/>
          <w:sz w:val="24"/>
          <w:szCs w:val="24"/>
        </w:rPr>
        <w:t>P. aeruginosa</w:t>
      </w:r>
      <w:r>
        <w:rPr>
          <w:b/>
          <w:bCs/>
          <w:sz w:val="24"/>
          <w:szCs w:val="24"/>
        </w:rPr>
        <w:t xml:space="preserve"> </w:t>
      </w:r>
    </w:p>
    <w:p w14:paraId="36F6A091" w14:textId="77777777" w:rsidR="00527706" w:rsidRDefault="00527706">
      <w:pPr>
        <w:ind w:left="-5" w:right="-5"/>
        <w:rPr>
          <w:b/>
          <w:bCs/>
          <w:sz w:val="24"/>
          <w:szCs w:val="24"/>
        </w:rPr>
      </w:pPr>
    </w:p>
    <w:p w14:paraId="2E7AA6A8" w14:textId="77777777" w:rsidR="00527706" w:rsidRDefault="00527706">
      <w:pPr>
        <w:ind w:left="-5" w:right="-5"/>
        <w:rPr>
          <w:b/>
          <w:bCs/>
          <w:sz w:val="24"/>
          <w:szCs w:val="24"/>
        </w:rPr>
      </w:pPr>
    </w:p>
    <w:p w14:paraId="3258358D" w14:textId="77777777" w:rsidR="00527706" w:rsidRDefault="00000000">
      <w:pPr>
        <w:spacing w:before="240" w:after="240"/>
        <w:ind w:left="0" w:right="0"/>
        <w:rPr>
          <w:sz w:val="24"/>
          <w:szCs w:val="24"/>
        </w:rPr>
      </w:pPr>
      <w:r>
        <w:rPr>
          <w:b/>
          <w:bCs/>
          <w:sz w:val="24"/>
          <w:szCs w:val="24"/>
        </w:rPr>
        <w:t xml:space="preserve">Result- </w:t>
      </w:r>
      <w:r>
        <w:rPr>
          <w:sz w:val="24"/>
          <w:szCs w:val="24"/>
        </w:rPr>
        <w:t>The antibacterial activity of four selected medicinal plant extracts (</w:t>
      </w:r>
      <w:proofErr w:type="spellStart"/>
      <w:r>
        <w:rPr>
          <w:i/>
          <w:iCs/>
          <w:sz w:val="24"/>
          <w:szCs w:val="24"/>
        </w:rPr>
        <w:t>Randia</w:t>
      </w:r>
      <w:proofErr w:type="spellEnd"/>
      <w:r>
        <w:rPr>
          <w:i/>
          <w:iCs/>
          <w:sz w:val="24"/>
          <w:szCs w:val="24"/>
        </w:rPr>
        <w:t xml:space="preserve"> aculeata, </w:t>
      </w:r>
      <w:proofErr w:type="spellStart"/>
      <w:r>
        <w:rPr>
          <w:i/>
          <w:iCs/>
          <w:sz w:val="24"/>
          <w:szCs w:val="24"/>
        </w:rPr>
        <w:t>Capsella</w:t>
      </w:r>
      <w:proofErr w:type="spellEnd"/>
      <w:r>
        <w:rPr>
          <w:i/>
          <w:iCs/>
          <w:sz w:val="24"/>
          <w:szCs w:val="24"/>
        </w:rPr>
        <w:t xml:space="preserve"> bursa-pastoris, Ixora coccinea,</w:t>
      </w:r>
      <w:r>
        <w:rPr>
          <w:sz w:val="24"/>
          <w:szCs w:val="24"/>
        </w:rPr>
        <w:t xml:space="preserve"> and </w:t>
      </w:r>
      <w:r>
        <w:rPr>
          <w:i/>
          <w:iCs/>
          <w:sz w:val="24"/>
          <w:szCs w:val="24"/>
        </w:rPr>
        <w:t>Portulaca oleracea</w:t>
      </w:r>
      <w:r>
        <w:rPr>
          <w:sz w:val="24"/>
          <w:szCs w:val="24"/>
        </w:rPr>
        <w:t xml:space="preserve">) was evaluated individually and in combination with standard antibiotics against </w:t>
      </w:r>
      <w:r>
        <w:rPr>
          <w:i/>
          <w:iCs/>
          <w:sz w:val="24"/>
          <w:szCs w:val="24"/>
        </w:rPr>
        <w:t>Serratia marcescens</w:t>
      </w:r>
      <w:r>
        <w:rPr>
          <w:sz w:val="24"/>
          <w:szCs w:val="24"/>
        </w:rPr>
        <w:t xml:space="preserve"> and </w:t>
      </w:r>
      <w:r>
        <w:rPr>
          <w:i/>
          <w:iCs/>
          <w:sz w:val="24"/>
          <w:szCs w:val="24"/>
        </w:rPr>
        <w:t>Pseudomonas aeruginosa</w:t>
      </w:r>
      <w:r>
        <w:rPr>
          <w:sz w:val="24"/>
          <w:szCs w:val="24"/>
        </w:rPr>
        <w:t xml:space="preserve"> using the agar well diffusion method. Zones of inhibition were measured to assess antibacterial efficacy and to interpret interaction patterns between plant extracts and antibiotics, including synergistic, additive, indifferent, or antagonistic effects. Against </w:t>
      </w:r>
      <w:r>
        <w:rPr>
          <w:i/>
          <w:iCs/>
          <w:sz w:val="24"/>
          <w:szCs w:val="24"/>
        </w:rPr>
        <w:t>Serratia marcescens</w:t>
      </w:r>
      <w:r>
        <w:rPr>
          <w:sz w:val="24"/>
          <w:szCs w:val="24"/>
        </w:rPr>
        <w:t xml:space="preserve">, three plant extracts </w:t>
      </w:r>
      <w:proofErr w:type="spellStart"/>
      <w:r>
        <w:rPr>
          <w:i/>
          <w:iCs/>
          <w:sz w:val="24"/>
          <w:szCs w:val="24"/>
        </w:rPr>
        <w:t>Randia</w:t>
      </w:r>
      <w:proofErr w:type="spellEnd"/>
      <w:r>
        <w:rPr>
          <w:i/>
          <w:iCs/>
          <w:sz w:val="24"/>
          <w:szCs w:val="24"/>
        </w:rPr>
        <w:t xml:space="preserve"> aculeata, Ixora coccinea,</w:t>
      </w:r>
      <w:r>
        <w:rPr>
          <w:sz w:val="24"/>
          <w:szCs w:val="24"/>
        </w:rPr>
        <w:t xml:space="preserve"> and </w:t>
      </w:r>
      <w:r>
        <w:rPr>
          <w:i/>
          <w:iCs/>
          <w:sz w:val="24"/>
          <w:szCs w:val="24"/>
        </w:rPr>
        <w:t>Portulaca oleracea</w:t>
      </w:r>
      <w:r>
        <w:rPr>
          <w:sz w:val="24"/>
          <w:szCs w:val="24"/>
        </w:rPr>
        <w:t xml:space="preserve"> exhibited measurable intrinsic antibacterial activity, producing zones of inhibition of 12 mm, 18 mm, and 12 mm, respectively. In contrast, </w:t>
      </w:r>
      <w:proofErr w:type="spellStart"/>
      <w:r>
        <w:rPr>
          <w:i/>
          <w:iCs/>
          <w:sz w:val="24"/>
          <w:szCs w:val="24"/>
        </w:rPr>
        <w:t>Capsella</w:t>
      </w:r>
      <w:proofErr w:type="spellEnd"/>
      <w:r>
        <w:rPr>
          <w:i/>
          <w:iCs/>
          <w:sz w:val="24"/>
          <w:szCs w:val="24"/>
        </w:rPr>
        <w:t xml:space="preserve"> bursa-pastoris</w:t>
      </w:r>
      <w:r>
        <w:rPr>
          <w:sz w:val="24"/>
          <w:szCs w:val="24"/>
        </w:rPr>
        <w:t xml:space="preserve"> showed no detectable inhibitory effect. Among the antibiotics tested, ciprofloxacin demonstrated strong antibacterial activity (28 mm), whereas ampicillin, erythromycin, and amoxicillin showed complete resistance (0 mm). This resistance pattern is consistent with previous reports describing the multidrug-resistant nature of </w:t>
      </w:r>
      <w:r>
        <w:rPr>
          <w:i/>
          <w:iCs/>
          <w:sz w:val="24"/>
          <w:szCs w:val="24"/>
        </w:rPr>
        <w:t>S. marcescens</w:t>
      </w:r>
      <w:r>
        <w:rPr>
          <w:sz w:val="24"/>
          <w:szCs w:val="24"/>
        </w:rPr>
        <w:t>, particularly against β-lactam and macrolide antibiotics.</w:t>
      </w:r>
    </w:p>
    <w:p w14:paraId="7D0B36BD" w14:textId="77777777" w:rsidR="00527706" w:rsidRDefault="00000000">
      <w:pPr>
        <w:spacing w:before="240" w:after="240"/>
        <w:ind w:left="0" w:right="0"/>
        <w:rPr>
          <w:sz w:val="24"/>
          <w:szCs w:val="24"/>
        </w:rPr>
      </w:pPr>
      <w:r>
        <w:rPr>
          <w:sz w:val="24"/>
          <w:szCs w:val="24"/>
        </w:rPr>
        <w:t xml:space="preserve">Importantly, none of the plant–antibiotic combinations resulted in enhanced antibacterial activity. Instead, several combinations produced reduced zones of inhibition compared to the most active individual agent, indicating antagonistic interactions. The combination of </w:t>
      </w:r>
      <w:proofErr w:type="spellStart"/>
      <w:r>
        <w:rPr>
          <w:i/>
          <w:iCs/>
          <w:sz w:val="24"/>
          <w:szCs w:val="24"/>
        </w:rPr>
        <w:t>Capsella</w:t>
      </w:r>
      <w:proofErr w:type="spellEnd"/>
      <w:r>
        <w:rPr>
          <w:i/>
          <w:iCs/>
          <w:sz w:val="24"/>
          <w:szCs w:val="24"/>
        </w:rPr>
        <w:t xml:space="preserve"> bursa-pastoris</w:t>
      </w:r>
      <w:r>
        <w:rPr>
          <w:sz w:val="24"/>
          <w:szCs w:val="24"/>
        </w:rPr>
        <w:t xml:space="preserve"> with ciprofloxacin showed a reduced inhibition zone (24 mm) relative to ciprofloxacin alone (28 mm). Similarly, the combination of </w:t>
      </w:r>
      <w:r>
        <w:rPr>
          <w:i/>
          <w:iCs/>
          <w:sz w:val="24"/>
          <w:szCs w:val="24"/>
        </w:rPr>
        <w:t>Ixora coccinea</w:t>
      </w:r>
      <w:r>
        <w:rPr>
          <w:sz w:val="24"/>
          <w:szCs w:val="24"/>
        </w:rPr>
        <w:t xml:space="preserve"> with erythromycin resulted in a smaller inhibition zone (14 mm) compared to the extract alone (18 mm). These findings suggest that certain phytochemical constituents present in crude plant extracts may interfere with antibiotic activity rather than potentiate it. No antibacterial activity was observed for combinations involving ampicillin or amoxicillin, further supporting the absence of synergistic effects.</w:t>
      </w:r>
    </w:p>
    <w:p w14:paraId="323FECAB" w14:textId="77777777" w:rsidR="00527706" w:rsidRDefault="00000000">
      <w:pPr>
        <w:spacing w:before="240" w:after="240"/>
        <w:ind w:left="0" w:right="0"/>
        <w:rPr>
          <w:sz w:val="24"/>
          <w:szCs w:val="24"/>
        </w:rPr>
      </w:pPr>
      <w:r>
        <w:rPr>
          <w:sz w:val="24"/>
          <w:szCs w:val="24"/>
        </w:rPr>
        <w:t xml:space="preserve">In the case of </w:t>
      </w:r>
      <w:r>
        <w:rPr>
          <w:i/>
          <w:iCs/>
          <w:sz w:val="24"/>
          <w:szCs w:val="24"/>
        </w:rPr>
        <w:t>Pseudomonas aeruginosa</w:t>
      </w:r>
      <w:r>
        <w:rPr>
          <w:sz w:val="24"/>
          <w:szCs w:val="24"/>
        </w:rPr>
        <w:t xml:space="preserve">, all plant extracts failed to exhibit antibacterial activity when tested individually, reflecting the organism’s high intrinsic resistance. Among the antibiotics evaluated, only ciprofloxacin showed antibacterial efficacy, producing a zone of inhibition of 24 mm. However, when ciprofloxacin was combined with </w:t>
      </w:r>
      <w:proofErr w:type="spellStart"/>
      <w:r>
        <w:rPr>
          <w:i/>
          <w:iCs/>
          <w:sz w:val="24"/>
          <w:szCs w:val="24"/>
        </w:rPr>
        <w:t>Capsella</w:t>
      </w:r>
      <w:proofErr w:type="spellEnd"/>
      <w:r>
        <w:rPr>
          <w:i/>
          <w:iCs/>
          <w:sz w:val="24"/>
          <w:szCs w:val="24"/>
        </w:rPr>
        <w:t xml:space="preserve"> bursa-pastoris</w:t>
      </w:r>
      <w:r>
        <w:rPr>
          <w:sz w:val="24"/>
          <w:szCs w:val="24"/>
        </w:rPr>
        <w:t xml:space="preserve">, a marked reduction in antibacterial activity was observed (16 mm), indicating an antagonistic interaction. All other antibiotics and plant–antibiotic combinations showed no inhibitory activity against </w:t>
      </w:r>
      <w:r>
        <w:rPr>
          <w:i/>
          <w:iCs/>
          <w:sz w:val="24"/>
          <w:szCs w:val="24"/>
        </w:rPr>
        <w:t>P. aeruginosa</w:t>
      </w:r>
      <w:r>
        <w:rPr>
          <w:sz w:val="24"/>
          <w:szCs w:val="24"/>
        </w:rPr>
        <w:t xml:space="preserve">. Overall, interaction analysis revealed no synergistic or additive effects between the tested plant extracts and antibiotics. Most combinations were either indifferent or antagonistic, particularly against </w:t>
      </w:r>
      <w:r>
        <w:rPr>
          <w:i/>
          <w:iCs/>
          <w:sz w:val="24"/>
          <w:szCs w:val="24"/>
        </w:rPr>
        <w:t>P. aeruginosa</w:t>
      </w:r>
      <w:r>
        <w:rPr>
          <w:sz w:val="24"/>
          <w:szCs w:val="24"/>
        </w:rPr>
        <w:t xml:space="preserve">. The pronounced resistance observed in this organism may be attributed to its outer membrane barrier, efflux pump systems, and adaptive resistance mechanisms, which collectively limit the effectiveness of both antibiotics and plant-derived compounds. Additionally, the use of crude aqueous extracts may contribute to antagonistic outcomes due to complex phytochemical interactions that affect antibiotic diffusion or stability </w:t>
      </w:r>
      <w:r>
        <w:rPr>
          <w:sz w:val="24"/>
          <w:szCs w:val="24"/>
        </w:rPr>
        <w:lastRenderedPageBreak/>
        <w:t>[12]. These findings underscore the importance of systematically evaluating plant–antibiotic combinations before proposing their therapeutic use. While medicinal plants remain valuable sources of bioactive compounds, their indiscriminate combination with antibiotics may reduce antibacterial efficacy rather than enhance it. The agar well diffusion assay used in this study serves as a preliminary screening tool; therefore, further quantitative analyses such as minimum inhibitory concentration (MIC) determination and fractional inhibitory concentration (FIC) index studies are required to confirm and mechanistically characterize the observed interaction patterns [13].</w:t>
      </w:r>
    </w:p>
    <w:p w14:paraId="59672746" w14:textId="77777777" w:rsidR="00527706" w:rsidRDefault="00000000">
      <w:pPr>
        <w:ind w:left="-5" w:right="-5"/>
        <w:rPr>
          <w:sz w:val="24"/>
          <w:szCs w:val="24"/>
        </w:rPr>
      </w:pPr>
      <w:r>
        <w:rPr>
          <w:b/>
          <w:bCs/>
          <w:sz w:val="24"/>
          <w:szCs w:val="24"/>
        </w:rPr>
        <w:t xml:space="preserve">Conclusion - </w:t>
      </w:r>
      <w:r>
        <w:rPr>
          <w:sz w:val="24"/>
          <w:szCs w:val="24"/>
        </w:rPr>
        <w:t xml:space="preserve">The present study evaluated the antibacterial activity of selected medicinal plant extracts, both individually and in combination with conventional antibiotics, against </w:t>
      </w:r>
      <w:r>
        <w:rPr>
          <w:i/>
          <w:iCs/>
          <w:sz w:val="24"/>
          <w:szCs w:val="24"/>
        </w:rPr>
        <w:t>Serratia marcescens</w:t>
      </w:r>
      <w:r>
        <w:rPr>
          <w:sz w:val="24"/>
          <w:szCs w:val="24"/>
        </w:rPr>
        <w:t xml:space="preserve"> and </w:t>
      </w:r>
      <w:r>
        <w:rPr>
          <w:i/>
          <w:iCs/>
          <w:sz w:val="24"/>
          <w:szCs w:val="24"/>
        </w:rPr>
        <w:t>Pseudomonas aeruginosa</w:t>
      </w:r>
      <w:r>
        <w:rPr>
          <w:sz w:val="24"/>
          <w:szCs w:val="24"/>
        </w:rPr>
        <w:t xml:space="preserve">. The findings demonstrate that while certain plant extracts exhibited moderate intrinsic antibacterial activity against </w:t>
      </w:r>
      <w:r>
        <w:rPr>
          <w:i/>
          <w:iCs/>
          <w:sz w:val="24"/>
          <w:szCs w:val="24"/>
        </w:rPr>
        <w:t>S. marcescens</w:t>
      </w:r>
      <w:r>
        <w:rPr>
          <w:sz w:val="24"/>
          <w:szCs w:val="24"/>
        </w:rPr>
        <w:t xml:space="preserve">, none were effective against </w:t>
      </w:r>
      <w:r>
        <w:rPr>
          <w:i/>
          <w:iCs/>
          <w:sz w:val="24"/>
          <w:szCs w:val="24"/>
        </w:rPr>
        <w:t>P. aeruginosa</w:t>
      </w:r>
      <w:r>
        <w:rPr>
          <w:sz w:val="24"/>
          <w:szCs w:val="24"/>
        </w:rPr>
        <w:t>. Among the antibiotics tested, ciprofloxacin remained the most effective agent against both organisms. Importantly, the combination of plant extracts with antibiotics did not result in enhanced antibacterial efficacy. In several cases, a reduction in zones of inhibition was observed when plant extracts were combined with antibiotics, indicating antagonistic interactions [14]. These results suggest that the indiscriminate co-administration of medicinal plant extracts with antibiotics may compromise antibacterial activity rather than improve therapeutic outcomes. The study highlights the necessity of systematic and evidence-based evaluation of plant–antibiotic interactions before their consideration for clinical or adjunct therapeutic use. Although medicinal plants continue to represent valuable sources of bioactive compounds, their combined use with antibiotics requires careful assessment to avoid unintended antagonistic effects. Further research involving purified phytochemicals, quantitative assays such as minimum inhibitory concentration (MIC) determination, and detailed mechanistic investigations is recommended to clarify the nature of these interactions and to identify combinations with genuine therapeutic potential [15].</w:t>
      </w:r>
    </w:p>
    <w:p w14:paraId="655A8963" w14:textId="77777777" w:rsidR="00527706" w:rsidRDefault="00000000">
      <w:pPr>
        <w:spacing w:before="240" w:after="240"/>
        <w:ind w:left="0" w:right="0"/>
        <w:rPr>
          <w:sz w:val="24"/>
          <w:szCs w:val="24"/>
        </w:rPr>
      </w:pPr>
      <w:r>
        <w:rPr>
          <w:b/>
          <w:bCs/>
          <w:sz w:val="24"/>
          <w:szCs w:val="24"/>
        </w:rPr>
        <w:t>Future Scope-</w:t>
      </w:r>
      <w:r>
        <w:rPr>
          <w:sz w:val="24"/>
          <w:szCs w:val="24"/>
        </w:rPr>
        <w:t xml:space="preserve"> The findings of the present study indicate limited antibacterial enhancement when selected medicinal plant extracts are combined with conventional antibiotics, particularly against </w:t>
      </w:r>
      <w:r>
        <w:rPr>
          <w:i/>
          <w:iCs/>
          <w:sz w:val="24"/>
          <w:szCs w:val="24"/>
        </w:rPr>
        <w:t>Pseudomonas aeruginosa</w:t>
      </w:r>
      <w:r>
        <w:rPr>
          <w:sz w:val="24"/>
          <w:szCs w:val="24"/>
        </w:rPr>
        <w:t xml:space="preserve">. Future research should therefore focus on isolating and characterizing specific bioactive compounds within these plant extracts to determine whether purified constituents exhibit improved antibacterial efficacy compared to crude preparations [16]. Further investigations employing quantitative antimicrobial assays, such as minimum inhibitory concentration (MIC), minimum bactericidal concentration (MBC), and time–kill studies, are recommended to validate and extend the diffusion-based findings [17]. These methods would provide more precise insight into the nature of extract–antibiotic interactions and help distinguish true antagonistic effects from concentration-dependent responses. Mechanistic studies are warranted to elucidate the molecular basis of the observed antagonistic interactions, including potential interference with antibiotic uptake, modulation of efflux pump activity, or chemical incompatibility between phytochemicals and antibiotics [18]. In addition, evaluating different </w:t>
      </w:r>
      <w:r>
        <w:rPr>
          <w:sz w:val="24"/>
          <w:szCs w:val="24"/>
        </w:rPr>
        <w:lastRenderedPageBreak/>
        <w:t xml:space="preserve">extract-to-antibiotic ratios may reveal interaction patterns not evident at a fixed 1:1 </w:t>
      </w:r>
      <w:proofErr w:type="spellStart"/>
      <w:proofErr w:type="gramStart"/>
      <w:r>
        <w:rPr>
          <w:sz w:val="24"/>
          <w:szCs w:val="24"/>
        </w:rPr>
        <w:t>combination.Given</w:t>
      </w:r>
      <w:proofErr w:type="spellEnd"/>
      <w:proofErr w:type="gramEnd"/>
      <w:r>
        <w:rPr>
          <w:sz w:val="24"/>
          <w:szCs w:val="24"/>
        </w:rPr>
        <w:t xml:space="preserve"> the pronounced resistance observed in </w:t>
      </w:r>
      <w:r>
        <w:rPr>
          <w:i/>
          <w:iCs/>
          <w:sz w:val="24"/>
          <w:szCs w:val="24"/>
        </w:rPr>
        <w:t>P. aeruginosa</w:t>
      </w:r>
      <w:r>
        <w:rPr>
          <w:sz w:val="24"/>
          <w:szCs w:val="24"/>
        </w:rPr>
        <w:t>, future work should include testing against a broader panel of clinically relevant multidrug-resistant Gram-negative pathogens. Synergy screening using checkerboard assays and fractional inhibitory concentration (FIC) index analysis may further clarify interaction profiles. Finally, in vivo efficacy studies and cytotoxicity assessments are essential to establish the safety and therapeutic relevance of promising plant-derived compounds. Integrating phytochemical profiling with advanced antimicrobial screening approaches may ultimately contribute to the rational development of plant-based adjuncts or alternatives to existing antibacterial therapies [19].</w:t>
      </w:r>
    </w:p>
    <w:p w14:paraId="5D557673" w14:textId="77777777" w:rsidR="00527706" w:rsidRDefault="00527706">
      <w:pPr>
        <w:ind w:left="-5" w:right="-5"/>
        <w:rPr>
          <w:b/>
          <w:bCs/>
          <w:sz w:val="24"/>
          <w:szCs w:val="24"/>
        </w:rPr>
      </w:pPr>
    </w:p>
    <w:p w14:paraId="32AE11AA" w14:textId="77777777" w:rsidR="00527706" w:rsidRDefault="00000000">
      <w:pPr>
        <w:pBdr>
          <w:top w:val="nil"/>
          <w:left w:val="nil"/>
          <w:bottom w:val="nil"/>
          <w:right w:val="nil"/>
          <w:between w:val="nil"/>
        </w:pBdr>
        <w:spacing w:after="0" w:line="240" w:lineRule="auto"/>
        <w:ind w:left="0" w:right="0"/>
        <w:jc w:val="left"/>
        <w:rPr>
          <w:color w:val="000000"/>
          <w:sz w:val="24"/>
          <w:szCs w:val="24"/>
        </w:rPr>
      </w:pPr>
      <w:bookmarkStart w:id="0" w:name="_ch5cht51tkeu" w:colFirst="0" w:colLast="0"/>
      <w:bookmarkEnd w:id="0"/>
      <w:r>
        <w:rPr>
          <w:color w:val="000000"/>
          <w:sz w:val="24"/>
          <w:szCs w:val="24"/>
        </w:rPr>
        <w:t>Disclaimer (Artificial intelligence)</w:t>
      </w:r>
    </w:p>
    <w:p w14:paraId="5AE87236" w14:textId="77777777" w:rsidR="00527706" w:rsidRDefault="00527706">
      <w:pPr>
        <w:pBdr>
          <w:top w:val="nil"/>
          <w:left w:val="nil"/>
          <w:bottom w:val="nil"/>
          <w:right w:val="nil"/>
          <w:between w:val="nil"/>
        </w:pBdr>
        <w:spacing w:after="0" w:line="240" w:lineRule="auto"/>
        <w:ind w:left="0" w:right="0"/>
        <w:jc w:val="left"/>
        <w:rPr>
          <w:sz w:val="24"/>
          <w:szCs w:val="24"/>
        </w:rPr>
      </w:pPr>
    </w:p>
    <w:p w14:paraId="22725816" w14:textId="77777777" w:rsidR="00527706" w:rsidRDefault="00000000">
      <w:pPr>
        <w:pBdr>
          <w:top w:val="nil"/>
          <w:left w:val="nil"/>
          <w:bottom w:val="nil"/>
          <w:right w:val="nil"/>
          <w:between w:val="nil"/>
        </w:pBdr>
        <w:spacing w:after="0" w:line="240" w:lineRule="auto"/>
        <w:ind w:left="0" w:right="0"/>
        <w:jc w:val="left"/>
        <w:rPr>
          <w:color w:val="000000"/>
          <w:sz w:val="24"/>
          <w:szCs w:val="24"/>
        </w:rPr>
      </w:pPr>
      <w:r>
        <w:rPr>
          <w:color w:val="000000"/>
          <w:sz w:val="24"/>
          <w:szCs w:val="24"/>
        </w:rPr>
        <w:t xml:space="preserve">Author(s) hereby </w:t>
      </w:r>
      <w:proofErr w:type="gramStart"/>
      <w:r>
        <w:rPr>
          <w:color w:val="000000"/>
          <w:sz w:val="24"/>
          <w:szCs w:val="24"/>
        </w:rPr>
        <w:t>declare</w:t>
      </w:r>
      <w:proofErr w:type="gramEnd"/>
      <w:r>
        <w:rPr>
          <w:color w:val="000000"/>
          <w:sz w:val="24"/>
          <w:szCs w:val="24"/>
        </w:rPr>
        <w:t xml:space="preserve"> that NO generative AI technologies such as Large Language Models (ChatGPT, COPILOT, etc.) and text-to-image generators have been used during the writing or editing of this manuscript. </w:t>
      </w:r>
    </w:p>
    <w:p w14:paraId="17AA0F00" w14:textId="77777777" w:rsidR="00527706" w:rsidRDefault="00527706">
      <w:pPr>
        <w:ind w:left="-5" w:right="-5"/>
        <w:rPr>
          <w:sz w:val="24"/>
          <w:szCs w:val="24"/>
        </w:rPr>
      </w:pPr>
      <w:bookmarkStart w:id="1" w:name="_yk8pv35l1yn4" w:colFirst="0" w:colLast="0"/>
      <w:bookmarkEnd w:id="1"/>
    </w:p>
    <w:p w14:paraId="720E1FA8" w14:textId="77777777" w:rsidR="00527706" w:rsidRDefault="00527706">
      <w:pPr>
        <w:ind w:left="-5" w:right="-5"/>
        <w:rPr>
          <w:sz w:val="24"/>
          <w:szCs w:val="24"/>
        </w:rPr>
      </w:pPr>
    </w:p>
    <w:p w14:paraId="22E153C3" w14:textId="77777777" w:rsidR="00527706" w:rsidRDefault="00000000">
      <w:pPr>
        <w:pStyle w:val="Heading1"/>
        <w:ind w:left="-5" w:firstLine="0"/>
        <w:rPr>
          <w:sz w:val="24"/>
          <w:szCs w:val="24"/>
        </w:rPr>
      </w:pPr>
      <w:r>
        <w:rPr>
          <w:sz w:val="24"/>
          <w:szCs w:val="24"/>
        </w:rPr>
        <w:t xml:space="preserve">References  </w:t>
      </w:r>
    </w:p>
    <w:p w14:paraId="395730B0" w14:textId="77777777" w:rsidR="00527706" w:rsidRDefault="00000000">
      <w:pPr>
        <w:numPr>
          <w:ilvl w:val="0"/>
          <w:numId w:val="1"/>
        </w:numPr>
        <w:spacing w:after="7" w:line="267" w:lineRule="auto"/>
        <w:ind w:right="-3"/>
        <w:rPr>
          <w:sz w:val="24"/>
          <w:szCs w:val="24"/>
        </w:rPr>
      </w:pPr>
      <w:r>
        <w:rPr>
          <w:color w:val="1B1B1B"/>
          <w:sz w:val="24"/>
          <w:szCs w:val="24"/>
        </w:rPr>
        <w:t xml:space="preserve">Salam, M. A., Al-Amin, M. Y., Salam, M. T., Pawar, J. S., Akhter, N., </w:t>
      </w:r>
      <w:proofErr w:type="spellStart"/>
      <w:r>
        <w:rPr>
          <w:color w:val="1B1B1B"/>
          <w:sz w:val="24"/>
          <w:szCs w:val="24"/>
        </w:rPr>
        <w:t>Rabaan</w:t>
      </w:r>
      <w:proofErr w:type="spellEnd"/>
      <w:r>
        <w:rPr>
          <w:color w:val="1B1B1B"/>
          <w:sz w:val="24"/>
          <w:szCs w:val="24"/>
        </w:rPr>
        <w:t xml:space="preserve">, A. A., &amp; </w:t>
      </w:r>
      <w:proofErr w:type="spellStart"/>
      <w:r>
        <w:rPr>
          <w:color w:val="1B1B1B"/>
          <w:sz w:val="24"/>
          <w:szCs w:val="24"/>
        </w:rPr>
        <w:t>Alqumber</w:t>
      </w:r>
      <w:proofErr w:type="spellEnd"/>
      <w:r>
        <w:rPr>
          <w:color w:val="1B1B1B"/>
          <w:sz w:val="24"/>
          <w:szCs w:val="24"/>
        </w:rPr>
        <w:t xml:space="preserve">, M. A. A. </w:t>
      </w:r>
    </w:p>
    <w:p w14:paraId="60F3A966" w14:textId="77777777" w:rsidR="00527706" w:rsidRDefault="00000000">
      <w:pPr>
        <w:spacing w:after="7" w:line="267" w:lineRule="auto"/>
        <w:ind w:left="-5" w:right="-3"/>
        <w:rPr>
          <w:sz w:val="24"/>
          <w:szCs w:val="24"/>
        </w:rPr>
      </w:pPr>
      <w:r>
        <w:rPr>
          <w:color w:val="1B1B1B"/>
          <w:sz w:val="24"/>
          <w:szCs w:val="24"/>
        </w:rPr>
        <w:t xml:space="preserve">(2023). Antimicrobial Resistance: A Growing Serious Threat for Global Public Health. </w:t>
      </w:r>
      <w:r>
        <w:rPr>
          <w:i/>
          <w:iCs/>
          <w:color w:val="1B1B1B"/>
          <w:sz w:val="24"/>
          <w:szCs w:val="24"/>
        </w:rPr>
        <w:t xml:space="preserve">Healthcare (Basel, </w:t>
      </w:r>
    </w:p>
    <w:p w14:paraId="7EB6A99C" w14:textId="77777777" w:rsidR="00527706" w:rsidRDefault="00000000">
      <w:pPr>
        <w:spacing w:after="252" w:line="259" w:lineRule="auto"/>
        <w:ind w:left="-5" w:right="0"/>
        <w:jc w:val="left"/>
        <w:rPr>
          <w:sz w:val="24"/>
          <w:szCs w:val="24"/>
        </w:rPr>
      </w:pPr>
      <w:r>
        <w:rPr>
          <w:i/>
          <w:iCs/>
          <w:color w:val="1B1B1B"/>
          <w:sz w:val="24"/>
          <w:szCs w:val="24"/>
        </w:rPr>
        <w:t>Switzerland)</w:t>
      </w:r>
      <w:r>
        <w:rPr>
          <w:color w:val="1B1B1B"/>
          <w:sz w:val="24"/>
          <w:szCs w:val="24"/>
        </w:rPr>
        <w:t xml:space="preserve">, </w:t>
      </w:r>
      <w:r>
        <w:rPr>
          <w:i/>
          <w:iCs/>
          <w:color w:val="1B1B1B"/>
          <w:sz w:val="24"/>
          <w:szCs w:val="24"/>
        </w:rPr>
        <w:t>11</w:t>
      </w:r>
      <w:r>
        <w:rPr>
          <w:color w:val="1B1B1B"/>
          <w:sz w:val="24"/>
          <w:szCs w:val="24"/>
        </w:rPr>
        <w:t>(13), 1946.</w:t>
      </w:r>
      <w:hyperlink r:id="rId9">
        <w:r>
          <w:rPr>
            <w:color w:val="1B1B1B"/>
            <w:sz w:val="24"/>
            <w:szCs w:val="24"/>
          </w:rPr>
          <w:t xml:space="preserve"> </w:t>
        </w:r>
      </w:hyperlink>
      <w:hyperlink r:id="rId10">
        <w:r>
          <w:rPr>
            <w:color w:val="1155CC"/>
            <w:sz w:val="24"/>
            <w:szCs w:val="24"/>
            <w:u w:val="single"/>
          </w:rPr>
          <w:t>https://doi.org/10.3390/healthcare11131946</w:t>
        </w:r>
      </w:hyperlink>
      <w:r>
        <w:rPr>
          <w:color w:val="1B1B1B"/>
          <w:sz w:val="24"/>
          <w:szCs w:val="24"/>
        </w:rPr>
        <w:t xml:space="preserve"> </w:t>
      </w:r>
    </w:p>
    <w:p w14:paraId="4095B3AB" w14:textId="77777777" w:rsidR="00527706" w:rsidRDefault="00000000">
      <w:pPr>
        <w:numPr>
          <w:ilvl w:val="0"/>
          <w:numId w:val="1"/>
        </w:numPr>
        <w:spacing w:after="246" w:line="267" w:lineRule="auto"/>
        <w:ind w:right="-3"/>
        <w:rPr>
          <w:sz w:val="24"/>
          <w:szCs w:val="24"/>
        </w:rPr>
      </w:pPr>
      <w:proofErr w:type="spellStart"/>
      <w:r>
        <w:rPr>
          <w:color w:val="1B1B1B"/>
          <w:sz w:val="24"/>
          <w:szCs w:val="24"/>
        </w:rPr>
        <w:t>Caneschi</w:t>
      </w:r>
      <w:proofErr w:type="spellEnd"/>
      <w:r>
        <w:rPr>
          <w:color w:val="1B1B1B"/>
          <w:sz w:val="24"/>
          <w:szCs w:val="24"/>
        </w:rPr>
        <w:t xml:space="preserve">, A., Bardhi, A., Barbarossa, A., &amp; </w:t>
      </w:r>
      <w:proofErr w:type="spellStart"/>
      <w:r>
        <w:rPr>
          <w:color w:val="1B1B1B"/>
          <w:sz w:val="24"/>
          <w:szCs w:val="24"/>
        </w:rPr>
        <w:t>Zaghini</w:t>
      </w:r>
      <w:proofErr w:type="spellEnd"/>
      <w:r>
        <w:rPr>
          <w:color w:val="1B1B1B"/>
          <w:sz w:val="24"/>
          <w:szCs w:val="24"/>
        </w:rPr>
        <w:t xml:space="preserve">, A. (2023). The Use of Antibiotics and Antimicrobial Resistance in Veterinary Medicine, a Complex Phenomenon: A Narrative Review. </w:t>
      </w:r>
      <w:r>
        <w:rPr>
          <w:i/>
          <w:iCs/>
          <w:color w:val="1B1B1B"/>
          <w:sz w:val="24"/>
          <w:szCs w:val="24"/>
        </w:rPr>
        <w:t>Antibiotics (Basel, Switzerland)</w:t>
      </w:r>
      <w:r>
        <w:rPr>
          <w:color w:val="1B1B1B"/>
          <w:sz w:val="24"/>
          <w:szCs w:val="24"/>
        </w:rPr>
        <w:t xml:space="preserve">, </w:t>
      </w:r>
      <w:r>
        <w:rPr>
          <w:i/>
          <w:iCs/>
          <w:color w:val="1B1B1B"/>
          <w:sz w:val="24"/>
          <w:szCs w:val="24"/>
        </w:rPr>
        <w:t>12</w:t>
      </w:r>
      <w:r>
        <w:rPr>
          <w:color w:val="1B1B1B"/>
          <w:sz w:val="24"/>
          <w:szCs w:val="24"/>
        </w:rPr>
        <w:t>(3), 487.</w:t>
      </w:r>
      <w:hyperlink r:id="rId11">
        <w:r>
          <w:rPr>
            <w:color w:val="1B1B1B"/>
            <w:sz w:val="24"/>
            <w:szCs w:val="24"/>
          </w:rPr>
          <w:t xml:space="preserve"> </w:t>
        </w:r>
      </w:hyperlink>
      <w:hyperlink r:id="rId12">
        <w:r>
          <w:rPr>
            <w:color w:val="1155CC"/>
            <w:sz w:val="24"/>
            <w:szCs w:val="24"/>
            <w:u w:val="single"/>
          </w:rPr>
          <w:t>https://doi.org/10.3390/antibiotics12030487</w:t>
        </w:r>
      </w:hyperlink>
      <w:r>
        <w:rPr>
          <w:color w:val="1B1B1B"/>
          <w:sz w:val="24"/>
          <w:szCs w:val="24"/>
        </w:rPr>
        <w:t xml:space="preserve"> </w:t>
      </w:r>
    </w:p>
    <w:p w14:paraId="4A1A7379" w14:textId="77777777" w:rsidR="00527706" w:rsidRDefault="00000000">
      <w:pPr>
        <w:numPr>
          <w:ilvl w:val="0"/>
          <w:numId w:val="1"/>
        </w:numPr>
        <w:spacing w:after="246" w:line="267" w:lineRule="auto"/>
        <w:ind w:right="-3"/>
        <w:rPr>
          <w:sz w:val="24"/>
          <w:szCs w:val="24"/>
        </w:rPr>
      </w:pPr>
      <w:r>
        <w:rPr>
          <w:color w:val="1B1B1B"/>
          <w:sz w:val="24"/>
          <w:szCs w:val="24"/>
        </w:rPr>
        <w:t xml:space="preserve">Impey, R. E., Hawkins, D. A., Sutton, J. M., &amp; Soares da Costa, T. P. (2020). Overcoming Intrinsic and Acquired Resistance Mechanisms Associated with the Cell Wall of Gram-Negative Bacteria. </w:t>
      </w:r>
      <w:r>
        <w:rPr>
          <w:i/>
          <w:iCs/>
          <w:color w:val="1B1B1B"/>
          <w:sz w:val="24"/>
          <w:szCs w:val="24"/>
        </w:rPr>
        <w:t>Antibiotics (Basel, Switzerland)</w:t>
      </w:r>
      <w:r>
        <w:rPr>
          <w:color w:val="1B1B1B"/>
          <w:sz w:val="24"/>
          <w:szCs w:val="24"/>
        </w:rPr>
        <w:t xml:space="preserve">, </w:t>
      </w:r>
      <w:r>
        <w:rPr>
          <w:i/>
          <w:iCs/>
          <w:color w:val="1B1B1B"/>
          <w:sz w:val="24"/>
          <w:szCs w:val="24"/>
        </w:rPr>
        <w:t>9</w:t>
      </w:r>
      <w:r>
        <w:rPr>
          <w:color w:val="1B1B1B"/>
          <w:sz w:val="24"/>
          <w:szCs w:val="24"/>
        </w:rPr>
        <w:t>(9), 623.</w:t>
      </w:r>
      <w:hyperlink r:id="rId13">
        <w:r>
          <w:rPr>
            <w:color w:val="1B1B1B"/>
            <w:sz w:val="24"/>
            <w:szCs w:val="24"/>
          </w:rPr>
          <w:t xml:space="preserve"> </w:t>
        </w:r>
      </w:hyperlink>
      <w:hyperlink r:id="rId14">
        <w:r>
          <w:rPr>
            <w:color w:val="1155CC"/>
            <w:sz w:val="24"/>
            <w:szCs w:val="24"/>
            <w:u w:val="single"/>
          </w:rPr>
          <w:t>https://doi.org/10.3390/antibiotics9090623</w:t>
        </w:r>
      </w:hyperlink>
      <w:r>
        <w:rPr>
          <w:color w:val="1B1B1B"/>
          <w:sz w:val="24"/>
          <w:szCs w:val="24"/>
        </w:rPr>
        <w:t xml:space="preserve"> </w:t>
      </w:r>
    </w:p>
    <w:p w14:paraId="73CCC651" w14:textId="77777777" w:rsidR="00527706" w:rsidRDefault="00000000">
      <w:pPr>
        <w:numPr>
          <w:ilvl w:val="0"/>
          <w:numId w:val="1"/>
        </w:numPr>
        <w:spacing w:after="246" w:line="267" w:lineRule="auto"/>
        <w:ind w:right="-3"/>
        <w:rPr>
          <w:sz w:val="24"/>
          <w:szCs w:val="24"/>
        </w:rPr>
      </w:pPr>
      <w:r>
        <w:rPr>
          <w:color w:val="1B1B1B"/>
          <w:sz w:val="24"/>
          <w:szCs w:val="24"/>
        </w:rPr>
        <w:t xml:space="preserve">Khanna, A., Khanna, M., &amp; Aggarwal, A. (2013). Serratia marcescens- a rare opportunistic nosocomial pathogen and measures to limit its spread in hospitalized patients. </w:t>
      </w:r>
      <w:r>
        <w:rPr>
          <w:i/>
          <w:iCs/>
          <w:color w:val="1B1B1B"/>
          <w:sz w:val="24"/>
          <w:szCs w:val="24"/>
        </w:rPr>
        <w:t>Journal of clinical and diagnostic research : JCDR</w:t>
      </w:r>
      <w:r>
        <w:rPr>
          <w:color w:val="1B1B1B"/>
          <w:sz w:val="24"/>
          <w:szCs w:val="24"/>
        </w:rPr>
        <w:t xml:space="preserve">, </w:t>
      </w:r>
      <w:r>
        <w:rPr>
          <w:i/>
          <w:iCs/>
          <w:color w:val="1B1B1B"/>
          <w:sz w:val="24"/>
          <w:szCs w:val="24"/>
        </w:rPr>
        <w:t>7</w:t>
      </w:r>
      <w:r>
        <w:rPr>
          <w:color w:val="1B1B1B"/>
          <w:sz w:val="24"/>
          <w:szCs w:val="24"/>
        </w:rPr>
        <w:t>(2), 243–246.</w:t>
      </w:r>
      <w:hyperlink r:id="rId15">
        <w:r>
          <w:rPr>
            <w:color w:val="1B1B1B"/>
            <w:sz w:val="24"/>
            <w:szCs w:val="24"/>
          </w:rPr>
          <w:t xml:space="preserve"> </w:t>
        </w:r>
      </w:hyperlink>
      <w:hyperlink r:id="rId16">
        <w:r>
          <w:rPr>
            <w:color w:val="1155CC"/>
            <w:sz w:val="24"/>
            <w:szCs w:val="24"/>
            <w:u w:val="single"/>
          </w:rPr>
          <w:t>https://doi.org/10.7860/JCDR/2013/5010.2737</w:t>
        </w:r>
      </w:hyperlink>
      <w:r>
        <w:rPr>
          <w:color w:val="1B1B1B"/>
          <w:sz w:val="24"/>
          <w:szCs w:val="24"/>
        </w:rPr>
        <w:t xml:space="preserve"> </w:t>
      </w:r>
    </w:p>
    <w:p w14:paraId="11E0F7B5" w14:textId="77777777" w:rsidR="00527706" w:rsidRDefault="00000000">
      <w:pPr>
        <w:spacing w:after="246" w:line="267" w:lineRule="auto"/>
        <w:ind w:left="-5" w:right="-3"/>
        <w:rPr>
          <w:sz w:val="24"/>
          <w:szCs w:val="24"/>
        </w:rPr>
      </w:pPr>
      <w:r>
        <w:rPr>
          <w:color w:val="1B1B1B"/>
          <w:sz w:val="24"/>
          <w:szCs w:val="24"/>
        </w:rPr>
        <w:lastRenderedPageBreak/>
        <w:t xml:space="preserve">5] Glen, K. A., &amp; Lamont, I. L. (2021). β-lactam Resistance in </w:t>
      </w:r>
      <w:r>
        <w:rPr>
          <w:i/>
          <w:iCs/>
          <w:color w:val="1B1B1B"/>
          <w:sz w:val="24"/>
          <w:szCs w:val="24"/>
        </w:rPr>
        <w:t>Pseudomonas aeruginosa</w:t>
      </w:r>
      <w:r>
        <w:rPr>
          <w:color w:val="1B1B1B"/>
          <w:sz w:val="24"/>
          <w:szCs w:val="24"/>
        </w:rPr>
        <w:t xml:space="preserve">: Current Status, Future Prospects. </w:t>
      </w:r>
      <w:r>
        <w:rPr>
          <w:i/>
          <w:iCs/>
          <w:color w:val="1B1B1B"/>
          <w:sz w:val="24"/>
          <w:szCs w:val="24"/>
        </w:rPr>
        <w:t>Pathogens (Basel, Switzerland)</w:t>
      </w:r>
      <w:r>
        <w:rPr>
          <w:color w:val="1B1B1B"/>
          <w:sz w:val="24"/>
          <w:szCs w:val="24"/>
        </w:rPr>
        <w:t xml:space="preserve">, </w:t>
      </w:r>
      <w:r>
        <w:rPr>
          <w:i/>
          <w:iCs/>
          <w:color w:val="1B1B1B"/>
          <w:sz w:val="24"/>
          <w:szCs w:val="24"/>
        </w:rPr>
        <w:t>10</w:t>
      </w:r>
      <w:r>
        <w:rPr>
          <w:color w:val="1B1B1B"/>
          <w:sz w:val="24"/>
          <w:szCs w:val="24"/>
        </w:rPr>
        <w:t>(12), 1638.</w:t>
      </w:r>
      <w:hyperlink r:id="rId17">
        <w:r>
          <w:rPr>
            <w:color w:val="1B1B1B"/>
            <w:sz w:val="24"/>
            <w:szCs w:val="24"/>
          </w:rPr>
          <w:t xml:space="preserve"> </w:t>
        </w:r>
      </w:hyperlink>
      <w:hyperlink r:id="rId18">
        <w:r>
          <w:rPr>
            <w:color w:val="1155CC"/>
            <w:sz w:val="24"/>
            <w:szCs w:val="24"/>
            <w:u w:val="single"/>
          </w:rPr>
          <w:t>https://doi.org/10.3390/pathogens10121638</w:t>
        </w:r>
      </w:hyperlink>
      <w:r>
        <w:rPr>
          <w:color w:val="1B1B1B"/>
          <w:sz w:val="24"/>
          <w:szCs w:val="24"/>
        </w:rPr>
        <w:t xml:space="preserve"> </w:t>
      </w:r>
    </w:p>
    <w:p w14:paraId="7E8B8BFA" w14:textId="77777777" w:rsidR="00527706" w:rsidRDefault="00000000">
      <w:pPr>
        <w:spacing w:after="7" w:line="267" w:lineRule="auto"/>
        <w:ind w:left="-5" w:right="-3"/>
        <w:rPr>
          <w:sz w:val="24"/>
          <w:szCs w:val="24"/>
        </w:rPr>
      </w:pPr>
      <w:r>
        <w:rPr>
          <w:color w:val="1B1B1B"/>
          <w:sz w:val="24"/>
          <w:szCs w:val="24"/>
        </w:rPr>
        <w:t>6] El-</w:t>
      </w:r>
      <w:proofErr w:type="spellStart"/>
      <w:r>
        <w:rPr>
          <w:color w:val="1B1B1B"/>
          <w:sz w:val="24"/>
          <w:szCs w:val="24"/>
        </w:rPr>
        <w:t>Saadony</w:t>
      </w:r>
      <w:proofErr w:type="spellEnd"/>
      <w:r>
        <w:rPr>
          <w:color w:val="1B1B1B"/>
          <w:sz w:val="24"/>
          <w:szCs w:val="24"/>
        </w:rPr>
        <w:t xml:space="preserve">, M. T., Saad, A. M., Mohammed, D. M., Korma, S. A., Alshahrani, M. Y., Ahmed, A. E., Ibrahim, E. H., Salem, H. M., Alkafaas, S. S., Saif, A. M., </w:t>
      </w:r>
      <w:proofErr w:type="spellStart"/>
      <w:r>
        <w:rPr>
          <w:color w:val="1B1B1B"/>
          <w:sz w:val="24"/>
          <w:szCs w:val="24"/>
        </w:rPr>
        <w:t>Elkafas</w:t>
      </w:r>
      <w:proofErr w:type="spellEnd"/>
      <w:r>
        <w:rPr>
          <w:color w:val="1B1B1B"/>
          <w:sz w:val="24"/>
          <w:szCs w:val="24"/>
        </w:rPr>
        <w:t>, S. S., Fahmy, M. A., Abd El-</w:t>
      </w:r>
      <w:proofErr w:type="spellStart"/>
      <w:r>
        <w:rPr>
          <w:color w:val="1B1B1B"/>
          <w:sz w:val="24"/>
          <w:szCs w:val="24"/>
        </w:rPr>
        <w:t>Mageed</w:t>
      </w:r>
      <w:proofErr w:type="spellEnd"/>
      <w:r>
        <w:rPr>
          <w:color w:val="1B1B1B"/>
          <w:sz w:val="24"/>
          <w:szCs w:val="24"/>
        </w:rPr>
        <w:t>, T. A., Abady, M. M., Assal, H. Y., El-</w:t>
      </w:r>
      <w:proofErr w:type="spellStart"/>
      <w:r>
        <w:rPr>
          <w:color w:val="1B1B1B"/>
          <w:sz w:val="24"/>
          <w:szCs w:val="24"/>
        </w:rPr>
        <w:t>Tarabily</w:t>
      </w:r>
      <w:proofErr w:type="spellEnd"/>
      <w:r>
        <w:rPr>
          <w:color w:val="1B1B1B"/>
          <w:sz w:val="24"/>
          <w:szCs w:val="24"/>
        </w:rPr>
        <w:t xml:space="preserve">, M. K., Mathew, B. T., </w:t>
      </w:r>
      <w:proofErr w:type="spellStart"/>
      <w:r>
        <w:rPr>
          <w:color w:val="1B1B1B"/>
          <w:sz w:val="24"/>
          <w:szCs w:val="24"/>
        </w:rPr>
        <w:t>AbuQamar</w:t>
      </w:r>
      <w:proofErr w:type="spellEnd"/>
      <w:r>
        <w:rPr>
          <w:color w:val="1B1B1B"/>
          <w:sz w:val="24"/>
          <w:szCs w:val="24"/>
        </w:rPr>
        <w:t>, S. F., El-</w:t>
      </w:r>
      <w:proofErr w:type="spellStart"/>
      <w:r>
        <w:rPr>
          <w:color w:val="1B1B1B"/>
          <w:sz w:val="24"/>
          <w:szCs w:val="24"/>
        </w:rPr>
        <w:t>Tarabily</w:t>
      </w:r>
      <w:proofErr w:type="spellEnd"/>
      <w:r>
        <w:rPr>
          <w:color w:val="1B1B1B"/>
          <w:sz w:val="24"/>
          <w:szCs w:val="24"/>
        </w:rPr>
        <w:t xml:space="preserve">, K. A., &amp; Ibrahim, S. A. (2025). Medicinal plants: bioactive compounds, biological activities, combating multidrug-resistant microorganisms, and human health benefits - a comprehensive review. </w:t>
      </w:r>
      <w:r>
        <w:rPr>
          <w:i/>
          <w:iCs/>
          <w:color w:val="1B1B1B"/>
          <w:sz w:val="24"/>
          <w:szCs w:val="24"/>
        </w:rPr>
        <w:t>Frontiers in immunology</w:t>
      </w:r>
      <w:r>
        <w:rPr>
          <w:color w:val="1B1B1B"/>
          <w:sz w:val="24"/>
          <w:szCs w:val="24"/>
        </w:rPr>
        <w:t xml:space="preserve">, </w:t>
      </w:r>
      <w:r>
        <w:rPr>
          <w:i/>
          <w:iCs/>
          <w:color w:val="1B1B1B"/>
          <w:sz w:val="24"/>
          <w:szCs w:val="24"/>
        </w:rPr>
        <w:t>16</w:t>
      </w:r>
      <w:r>
        <w:rPr>
          <w:color w:val="1B1B1B"/>
          <w:sz w:val="24"/>
          <w:szCs w:val="24"/>
        </w:rPr>
        <w:t xml:space="preserve">, 1491777. </w:t>
      </w:r>
    </w:p>
    <w:p w14:paraId="4A8602FC" w14:textId="77777777" w:rsidR="00527706" w:rsidRDefault="00000000">
      <w:pPr>
        <w:spacing w:after="252" w:line="259" w:lineRule="auto"/>
        <w:ind w:left="-5" w:right="0"/>
        <w:jc w:val="left"/>
        <w:rPr>
          <w:sz w:val="24"/>
          <w:szCs w:val="24"/>
        </w:rPr>
      </w:pPr>
      <w:hyperlink r:id="rId19">
        <w:r>
          <w:rPr>
            <w:color w:val="1155CC"/>
            <w:sz w:val="24"/>
            <w:szCs w:val="24"/>
            <w:u w:val="single"/>
          </w:rPr>
          <w:t>https://doi.org/10.3389/fimmu.2025.1491777</w:t>
        </w:r>
      </w:hyperlink>
      <w:r>
        <w:rPr>
          <w:color w:val="1B1B1B"/>
          <w:sz w:val="24"/>
          <w:szCs w:val="24"/>
        </w:rPr>
        <w:t xml:space="preserve"> </w:t>
      </w:r>
    </w:p>
    <w:p w14:paraId="122D5F7B" w14:textId="77777777" w:rsidR="00527706" w:rsidRDefault="00000000">
      <w:pPr>
        <w:spacing w:after="7" w:line="267" w:lineRule="auto"/>
        <w:ind w:left="-5" w:right="-3"/>
        <w:rPr>
          <w:sz w:val="24"/>
          <w:szCs w:val="24"/>
        </w:rPr>
      </w:pPr>
      <w:r>
        <w:rPr>
          <w:color w:val="1B1B1B"/>
          <w:sz w:val="24"/>
          <w:szCs w:val="24"/>
        </w:rPr>
        <w:t xml:space="preserve">7] Matei, A. T., &amp; Visan, A. I. (2025). Mechanism, Efficacy, and Safety of Natural Antibiotics. </w:t>
      </w:r>
      <w:r>
        <w:rPr>
          <w:i/>
          <w:iCs/>
          <w:color w:val="1B1B1B"/>
          <w:sz w:val="24"/>
          <w:szCs w:val="24"/>
        </w:rPr>
        <w:t xml:space="preserve">Antibiotics (Basel, </w:t>
      </w:r>
    </w:p>
    <w:p w14:paraId="71B4B4AB" w14:textId="77777777" w:rsidR="00527706" w:rsidRDefault="00000000">
      <w:pPr>
        <w:spacing w:after="252" w:line="259" w:lineRule="auto"/>
        <w:ind w:left="-5" w:right="0"/>
        <w:jc w:val="left"/>
        <w:rPr>
          <w:sz w:val="24"/>
          <w:szCs w:val="24"/>
        </w:rPr>
      </w:pPr>
      <w:r>
        <w:rPr>
          <w:i/>
          <w:iCs/>
          <w:color w:val="1B1B1B"/>
          <w:sz w:val="24"/>
          <w:szCs w:val="24"/>
        </w:rPr>
        <w:t>Switzerland)</w:t>
      </w:r>
      <w:r>
        <w:rPr>
          <w:color w:val="1B1B1B"/>
          <w:sz w:val="24"/>
          <w:szCs w:val="24"/>
        </w:rPr>
        <w:t xml:space="preserve">, </w:t>
      </w:r>
      <w:r>
        <w:rPr>
          <w:i/>
          <w:iCs/>
          <w:color w:val="1B1B1B"/>
          <w:sz w:val="24"/>
          <w:szCs w:val="24"/>
        </w:rPr>
        <w:t>14</w:t>
      </w:r>
      <w:r>
        <w:rPr>
          <w:color w:val="1B1B1B"/>
          <w:sz w:val="24"/>
          <w:szCs w:val="24"/>
        </w:rPr>
        <w:t>(10), 981.</w:t>
      </w:r>
      <w:hyperlink r:id="rId20">
        <w:r>
          <w:rPr>
            <w:color w:val="1B1B1B"/>
            <w:sz w:val="24"/>
            <w:szCs w:val="24"/>
          </w:rPr>
          <w:t xml:space="preserve"> </w:t>
        </w:r>
      </w:hyperlink>
      <w:hyperlink r:id="rId21">
        <w:r>
          <w:rPr>
            <w:color w:val="1155CC"/>
            <w:sz w:val="24"/>
            <w:szCs w:val="24"/>
            <w:u w:val="single"/>
          </w:rPr>
          <w:t>https://doi.org/10.3390/antibiotics14100981</w:t>
        </w:r>
      </w:hyperlink>
      <w:r>
        <w:rPr>
          <w:color w:val="1B1B1B"/>
          <w:sz w:val="24"/>
          <w:szCs w:val="24"/>
        </w:rPr>
        <w:t xml:space="preserve"> </w:t>
      </w:r>
    </w:p>
    <w:p w14:paraId="3C83ECCC" w14:textId="77777777" w:rsidR="00527706" w:rsidRDefault="00000000">
      <w:pPr>
        <w:spacing w:after="246" w:line="267" w:lineRule="auto"/>
        <w:ind w:left="-5" w:right="-3"/>
        <w:rPr>
          <w:sz w:val="24"/>
          <w:szCs w:val="24"/>
        </w:rPr>
      </w:pPr>
      <w:r>
        <w:rPr>
          <w:color w:val="1B1B1B"/>
          <w:sz w:val="24"/>
          <w:szCs w:val="24"/>
        </w:rPr>
        <w:t xml:space="preserve">8] Cheesman, M. J., Ilanko, A., Blonk, B., &amp; Cock, I. E. (2017). Developing New Antimicrobial Therapies: Are Synergistic Combinations of Plant Extracts/Compounds with Conventional Antibiotics the </w:t>
      </w:r>
      <w:proofErr w:type="gramStart"/>
      <w:r>
        <w:rPr>
          <w:color w:val="1B1B1B"/>
          <w:sz w:val="24"/>
          <w:szCs w:val="24"/>
        </w:rPr>
        <w:t>Solution?.</w:t>
      </w:r>
      <w:proofErr w:type="gramEnd"/>
      <w:r>
        <w:rPr>
          <w:color w:val="1B1B1B"/>
          <w:sz w:val="24"/>
          <w:szCs w:val="24"/>
        </w:rPr>
        <w:t xml:space="preserve"> </w:t>
      </w:r>
      <w:r>
        <w:rPr>
          <w:i/>
          <w:iCs/>
          <w:color w:val="1B1B1B"/>
          <w:sz w:val="24"/>
          <w:szCs w:val="24"/>
        </w:rPr>
        <w:t>Pharmacognosy reviews</w:t>
      </w:r>
      <w:r>
        <w:rPr>
          <w:color w:val="1B1B1B"/>
          <w:sz w:val="24"/>
          <w:szCs w:val="24"/>
        </w:rPr>
        <w:t xml:space="preserve">, </w:t>
      </w:r>
      <w:r>
        <w:rPr>
          <w:i/>
          <w:iCs/>
          <w:color w:val="1B1B1B"/>
          <w:sz w:val="24"/>
          <w:szCs w:val="24"/>
        </w:rPr>
        <w:t>11</w:t>
      </w:r>
      <w:r>
        <w:rPr>
          <w:color w:val="1B1B1B"/>
          <w:sz w:val="24"/>
          <w:szCs w:val="24"/>
        </w:rPr>
        <w:t>(22), 57–72.</w:t>
      </w:r>
      <w:hyperlink r:id="rId22">
        <w:r>
          <w:rPr>
            <w:color w:val="1B1B1B"/>
            <w:sz w:val="24"/>
            <w:szCs w:val="24"/>
          </w:rPr>
          <w:t xml:space="preserve"> </w:t>
        </w:r>
      </w:hyperlink>
      <w:hyperlink r:id="rId23">
        <w:r>
          <w:rPr>
            <w:color w:val="1155CC"/>
            <w:sz w:val="24"/>
            <w:szCs w:val="24"/>
            <w:u w:val="single"/>
          </w:rPr>
          <w:t>https://doi.org/10.4103/phrev.phrev_21_17</w:t>
        </w:r>
      </w:hyperlink>
      <w:r>
        <w:rPr>
          <w:color w:val="1B1B1B"/>
          <w:sz w:val="24"/>
          <w:szCs w:val="24"/>
        </w:rPr>
        <w:t xml:space="preserve"> </w:t>
      </w:r>
    </w:p>
    <w:p w14:paraId="2C201E82" w14:textId="77777777" w:rsidR="00527706" w:rsidRDefault="00000000">
      <w:pPr>
        <w:spacing w:after="246" w:line="267" w:lineRule="auto"/>
        <w:ind w:left="-5" w:right="-3"/>
        <w:rPr>
          <w:sz w:val="24"/>
          <w:szCs w:val="24"/>
        </w:rPr>
      </w:pPr>
      <w:r>
        <w:rPr>
          <w:color w:val="1B1B1B"/>
          <w:sz w:val="24"/>
          <w:szCs w:val="24"/>
        </w:rPr>
        <w:t xml:space="preserve">9] </w:t>
      </w:r>
      <w:proofErr w:type="spellStart"/>
      <w:r>
        <w:rPr>
          <w:color w:val="1B1B1B"/>
          <w:sz w:val="24"/>
          <w:szCs w:val="24"/>
        </w:rPr>
        <w:t>Angane</w:t>
      </w:r>
      <w:proofErr w:type="spellEnd"/>
      <w:r>
        <w:rPr>
          <w:color w:val="1B1B1B"/>
          <w:sz w:val="24"/>
          <w:szCs w:val="24"/>
        </w:rPr>
        <w:t xml:space="preserve">, M., Swift, S., Huang, K., Perera, J., Chen, X., Butts, C. A., &amp; Quek, S. Y. (2023). Synergistic antimicrobial interaction of plant essential oils and extracts against foodborne pathogens. </w:t>
      </w:r>
      <w:r>
        <w:rPr>
          <w:i/>
          <w:iCs/>
          <w:color w:val="1B1B1B"/>
          <w:sz w:val="24"/>
          <w:szCs w:val="24"/>
        </w:rPr>
        <w:t>Food science &amp; nutrition</w:t>
      </w:r>
      <w:r>
        <w:rPr>
          <w:color w:val="1B1B1B"/>
          <w:sz w:val="24"/>
          <w:szCs w:val="24"/>
        </w:rPr>
        <w:t xml:space="preserve">, </w:t>
      </w:r>
      <w:r>
        <w:rPr>
          <w:i/>
          <w:iCs/>
          <w:color w:val="1B1B1B"/>
          <w:sz w:val="24"/>
          <w:szCs w:val="24"/>
        </w:rPr>
        <w:t>12</w:t>
      </w:r>
      <w:r>
        <w:rPr>
          <w:color w:val="1B1B1B"/>
          <w:sz w:val="24"/>
          <w:szCs w:val="24"/>
        </w:rPr>
        <w:t>(2), 1189–1206.</w:t>
      </w:r>
      <w:hyperlink r:id="rId24">
        <w:r>
          <w:rPr>
            <w:color w:val="1B1B1B"/>
            <w:sz w:val="24"/>
            <w:szCs w:val="24"/>
          </w:rPr>
          <w:t xml:space="preserve"> </w:t>
        </w:r>
      </w:hyperlink>
      <w:hyperlink r:id="rId25">
        <w:r>
          <w:rPr>
            <w:color w:val="1155CC"/>
            <w:sz w:val="24"/>
            <w:szCs w:val="24"/>
            <w:u w:val="single"/>
          </w:rPr>
          <w:t>https://doi.org/10.1002/fsn3.3834</w:t>
        </w:r>
      </w:hyperlink>
      <w:r>
        <w:rPr>
          <w:color w:val="1B1B1B"/>
          <w:sz w:val="24"/>
          <w:szCs w:val="24"/>
        </w:rPr>
        <w:t xml:space="preserve"> </w:t>
      </w:r>
    </w:p>
    <w:p w14:paraId="673F373E" w14:textId="77777777" w:rsidR="00527706" w:rsidRDefault="00000000">
      <w:pPr>
        <w:spacing w:after="7" w:line="267" w:lineRule="auto"/>
        <w:ind w:left="-5" w:right="-3"/>
        <w:rPr>
          <w:sz w:val="24"/>
          <w:szCs w:val="24"/>
        </w:rPr>
      </w:pPr>
      <w:r>
        <w:rPr>
          <w:color w:val="1B1B1B"/>
          <w:sz w:val="24"/>
          <w:szCs w:val="24"/>
        </w:rPr>
        <w:t xml:space="preserve">10] Udaybhan A. Yadav, </w:t>
      </w:r>
      <w:proofErr w:type="spellStart"/>
      <w:r>
        <w:rPr>
          <w:color w:val="1B1B1B"/>
          <w:sz w:val="24"/>
          <w:szCs w:val="24"/>
        </w:rPr>
        <w:t>Bhanupratap</w:t>
      </w:r>
      <w:proofErr w:type="spellEnd"/>
      <w:r>
        <w:rPr>
          <w:color w:val="1B1B1B"/>
          <w:sz w:val="24"/>
          <w:szCs w:val="24"/>
        </w:rPr>
        <w:t xml:space="preserve"> Vishwakarma, Ashana Singh, Nidhi Yadav, Antima Yadav, Tanvi Yadav, and </w:t>
      </w:r>
    </w:p>
    <w:p w14:paraId="7F373371" w14:textId="77777777" w:rsidR="00527706" w:rsidRDefault="00000000">
      <w:pPr>
        <w:spacing w:after="7" w:line="267" w:lineRule="auto"/>
        <w:ind w:left="-5" w:right="-3"/>
        <w:rPr>
          <w:color w:val="1B1B1B"/>
          <w:sz w:val="24"/>
          <w:szCs w:val="24"/>
        </w:rPr>
      </w:pPr>
      <w:r>
        <w:rPr>
          <w:color w:val="1B1B1B"/>
          <w:sz w:val="24"/>
          <w:szCs w:val="24"/>
        </w:rPr>
        <w:t xml:space="preserve">Gauri </w:t>
      </w:r>
      <w:proofErr w:type="spellStart"/>
      <w:r>
        <w:rPr>
          <w:color w:val="1B1B1B"/>
          <w:sz w:val="24"/>
          <w:szCs w:val="24"/>
        </w:rPr>
        <w:t>Bhusate</w:t>
      </w:r>
      <w:proofErr w:type="spellEnd"/>
      <w:r>
        <w:rPr>
          <w:color w:val="1B1B1B"/>
          <w:sz w:val="24"/>
          <w:szCs w:val="24"/>
        </w:rPr>
        <w:t xml:space="preserve"> (2025). Phytochemical-Rich Plant Extracts as Natural Antibacterial Agents: A Comparative Study of </w:t>
      </w:r>
      <w:proofErr w:type="spellStart"/>
      <w:proofErr w:type="gramStart"/>
      <w:r>
        <w:rPr>
          <w:color w:val="1B1B1B"/>
          <w:sz w:val="24"/>
          <w:szCs w:val="24"/>
        </w:rPr>
        <w:t>Randia</w:t>
      </w:r>
      <w:proofErr w:type="spellEnd"/>
      <w:r>
        <w:rPr>
          <w:color w:val="1B1B1B"/>
          <w:sz w:val="24"/>
          <w:szCs w:val="24"/>
        </w:rPr>
        <w:t xml:space="preserve">  aculeata</w:t>
      </w:r>
      <w:proofErr w:type="gramEnd"/>
      <w:r>
        <w:rPr>
          <w:color w:val="1B1B1B"/>
          <w:sz w:val="24"/>
          <w:szCs w:val="24"/>
        </w:rPr>
        <w:t xml:space="preserve">, Ixora coccinea, </w:t>
      </w:r>
      <w:proofErr w:type="spellStart"/>
      <w:r>
        <w:rPr>
          <w:color w:val="1B1B1B"/>
          <w:sz w:val="24"/>
          <w:szCs w:val="24"/>
        </w:rPr>
        <w:t>Capsella</w:t>
      </w:r>
      <w:proofErr w:type="spellEnd"/>
      <w:r>
        <w:rPr>
          <w:color w:val="1B1B1B"/>
          <w:sz w:val="24"/>
          <w:szCs w:val="24"/>
        </w:rPr>
        <w:t xml:space="preserve"> bursa-pastoris, and </w:t>
      </w:r>
      <w:proofErr w:type="gramStart"/>
      <w:r>
        <w:rPr>
          <w:color w:val="1B1B1B"/>
          <w:sz w:val="24"/>
          <w:szCs w:val="24"/>
        </w:rPr>
        <w:t xml:space="preserve">Portulaca  </w:t>
      </w:r>
      <w:proofErr w:type="spellStart"/>
      <w:r>
        <w:rPr>
          <w:color w:val="1B1B1B"/>
          <w:sz w:val="24"/>
          <w:szCs w:val="24"/>
        </w:rPr>
        <w:t>oleraceaAgainst</w:t>
      </w:r>
      <w:proofErr w:type="spellEnd"/>
      <w:proofErr w:type="gramEnd"/>
      <w:r>
        <w:rPr>
          <w:color w:val="1B1B1B"/>
          <w:sz w:val="24"/>
          <w:szCs w:val="24"/>
        </w:rPr>
        <w:t xml:space="preserve"> Clinically Relevant Pathogens. Microbiology Archives, an International Journal. DOI: </w:t>
      </w:r>
      <w:r>
        <w:rPr>
          <w:sz w:val="24"/>
          <w:szCs w:val="24"/>
        </w:rPr>
        <w:t xml:space="preserve"> </w:t>
      </w:r>
      <w:hyperlink r:id="rId26">
        <w:r>
          <w:rPr>
            <w:color w:val="1155CC"/>
            <w:sz w:val="24"/>
            <w:szCs w:val="24"/>
            <w:u w:val="single"/>
          </w:rPr>
          <w:t>https://doi.org/10.51470/MA.2025.7.2.95</w:t>
        </w:r>
      </w:hyperlink>
      <w:r>
        <w:rPr>
          <w:color w:val="1B1B1B"/>
          <w:sz w:val="24"/>
          <w:szCs w:val="24"/>
        </w:rPr>
        <w:t xml:space="preserve"> </w:t>
      </w:r>
    </w:p>
    <w:p w14:paraId="03BD61CD" w14:textId="77777777" w:rsidR="00527706" w:rsidRDefault="00527706">
      <w:pPr>
        <w:spacing w:after="7" w:line="267" w:lineRule="auto"/>
        <w:ind w:left="-5" w:right="-3"/>
        <w:rPr>
          <w:color w:val="1B1B1B"/>
          <w:sz w:val="24"/>
          <w:szCs w:val="24"/>
        </w:rPr>
      </w:pPr>
    </w:p>
    <w:p w14:paraId="135DB0BE" w14:textId="77777777" w:rsidR="00527706" w:rsidRDefault="00000000">
      <w:pPr>
        <w:spacing w:after="259" w:line="267" w:lineRule="auto"/>
        <w:ind w:left="-5" w:right="-3"/>
        <w:rPr>
          <w:color w:val="1B1B1B"/>
          <w:sz w:val="24"/>
          <w:szCs w:val="24"/>
        </w:rPr>
      </w:pPr>
      <w:r>
        <w:rPr>
          <w:color w:val="1B1B1B"/>
          <w:sz w:val="24"/>
          <w:szCs w:val="24"/>
        </w:rPr>
        <w:t xml:space="preserve">11] </w:t>
      </w:r>
      <w:proofErr w:type="spellStart"/>
      <w:r>
        <w:rPr>
          <w:color w:val="1B1B1B"/>
          <w:sz w:val="24"/>
          <w:szCs w:val="24"/>
        </w:rPr>
        <w:t>Bubonja-Šonje</w:t>
      </w:r>
      <w:proofErr w:type="spellEnd"/>
      <w:r>
        <w:rPr>
          <w:color w:val="1B1B1B"/>
          <w:sz w:val="24"/>
          <w:szCs w:val="24"/>
        </w:rPr>
        <w:t xml:space="preserve">, M., Knežević, S., &amp; Abram, M. (2020). Challenges to antimicrobial susceptibility testing of plant-derived polyphenolic compounds. </w:t>
      </w:r>
      <w:proofErr w:type="spellStart"/>
      <w:r>
        <w:rPr>
          <w:i/>
          <w:iCs/>
          <w:color w:val="1B1B1B"/>
          <w:sz w:val="24"/>
          <w:szCs w:val="24"/>
        </w:rPr>
        <w:t>Arhiv</w:t>
      </w:r>
      <w:proofErr w:type="spellEnd"/>
      <w:r>
        <w:rPr>
          <w:i/>
          <w:iCs/>
          <w:color w:val="1B1B1B"/>
          <w:sz w:val="24"/>
          <w:szCs w:val="24"/>
        </w:rPr>
        <w:t xml:space="preserve"> za </w:t>
      </w:r>
      <w:proofErr w:type="spellStart"/>
      <w:r>
        <w:rPr>
          <w:i/>
          <w:iCs/>
          <w:color w:val="1B1B1B"/>
          <w:sz w:val="24"/>
          <w:szCs w:val="24"/>
        </w:rPr>
        <w:t>higijenu</w:t>
      </w:r>
      <w:proofErr w:type="spellEnd"/>
      <w:r>
        <w:rPr>
          <w:i/>
          <w:iCs/>
          <w:color w:val="1B1B1B"/>
          <w:sz w:val="24"/>
          <w:szCs w:val="24"/>
        </w:rPr>
        <w:t xml:space="preserve"> rada </w:t>
      </w:r>
      <w:proofErr w:type="spellStart"/>
      <w:r>
        <w:rPr>
          <w:i/>
          <w:iCs/>
          <w:color w:val="1B1B1B"/>
          <w:sz w:val="24"/>
          <w:szCs w:val="24"/>
        </w:rPr>
        <w:t>i</w:t>
      </w:r>
      <w:proofErr w:type="spellEnd"/>
      <w:r>
        <w:rPr>
          <w:i/>
          <w:iCs/>
          <w:color w:val="1B1B1B"/>
          <w:sz w:val="24"/>
          <w:szCs w:val="24"/>
        </w:rPr>
        <w:t xml:space="preserve"> </w:t>
      </w:r>
      <w:proofErr w:type="spellStart"/>
      <w:r>
        <w:rPr>
          <w:i/>
          <w:iCs/>
          <w:color w:val="1B1B1B"/>
          <w:sz w:val="24"/>
          <w:szCs w:val="24"/>
        </w:rPr>
        <w:t>toksikologiju</w:t>
      </w:r>
      <w:proofErr w:type="spellEnd"/>
      <w:r>
        <w:rPr>
          <w:color w:val="1B1B1B"/>
          <w:sz w:val="24"/>
          <w:szCs w:val="24"/>
        </w:rPr>
        <w:t xml:space="preserve">, </w:t>
      </w:r>
      <w:r>
        <w:rPr>
          <w:i/>
          <w:iCs/>
          <w:color w:val="1B1B1B"/>
          <w:sz w:val="24"/>
          <w:szCs w:val="24"/>
        </w:rPr>
        <w:t>71</w:t>
      </w:r>
      <w:r>
        <w:rPr>
          <w:color w:val="1B1B1B"/>
          <w:sz w:val="24"/>
          <w:szCs w:val="24"/>
        </w:rPr>
        <w:t xml:space="preserve">(4), 300–311. </w:t>
      </w:r>
      <w:hyperlink r:id="rId27">
        <w:r>
          <w:rPr>
            <w:color w:val="1155CC"/>
            <w:sz w:val="24"/>
            <w:szCs w:val="24"/>
            <w:u w:val="single"/>
          </w:rPr>
          <w:t>https://doi.org/10.2478/aiht-2020-71-3396</w:t>
        </w:r>
      </w:hyperlink>
      <w:r>
        <w:rPr>
          <w:color w:val="1B1B1B"/>
          <w:sz w:val="24"/>
          <w:szCs w:val="24"/>
        </w:rPr>
        <w:t xml:space="preserve"> </w:t>
      </w:r>
    </w:p>
    <w:p w14:paraId="0C523681" w14:textId="77777777" w:rsidR="00527706" w:rsidRDefault="00000000">
      <w:pPr>
        <w:spacing w:after="259" w:line="267" w:lineRule="auto"/>
        <w:ind w:left="-5" w:right="-3"/>
        <w:rPr>
          <w:color w:val="1B1B1B"/>
          <w:sz w:val="24"/>
          <w:szCs w:val="24"/>
          <w:highlight w:val="white"/>
        </w:rPr>
      </w:pPr>
      <w:r>
        <w:rPr>
          <w:color w:val="1B1B1B"/>
          <w:sz w:val="24"/>
          <w:szCs w:val="24"/>
        </w:rPr>
        <w:t xml:space="preserve">12] </w:t>
      </w:r>
      <w:r>
        <w:rPr>
          <w:color w:val="1B1B1B"/>
          <w:sz w:val="24"/>
          <w:szCs w:val="24"/>
          <w:highlight w:val="white"/>
        </w:rPr>
        <w:t xml:space="preserve">Gaurav, A., Bakht, P., Saini, M., Pandey, S., &amp; Pathania, R. (2023). Role of bacterial efflux pumps in antibiotic resistance, virulence, and strategies to discover novel efflux pump inhibitors. </w:t>
      </w:r>
      <w:r>
        <w:rPr>
          <w:i/>
          <w:iCs/>
          <w:color w:val="1B1B1B"/>
          <w:sz w:val="24"/>
          <w:szCs w:val="24"/>
          <w:highlight w:val="white"/>
        </w:rPr>
        <w:t>Microbiology (Reading, England)</w:t>
      </w:r>
      <w:r>
        <w:rPr>
          <w:color w:val="1B1B1B"/>
          <w:sz w:val="24"/>
          <w:szCs w:val="24"/>
          <w:highlight w:val="white"/>
        </w:rPr>
        <w:t xml:space="preserve">, </w:t>
      </w:r>
      <w:r>
        <w:rPr>
          <w:i/>
          <w:iCs/>
          <w:color w:val="1B1B1B"/>
          <w:sz w:val="24"/>
          <w:szCs w:val="24"/>
          <w:highlight w:val="white"/>
        </w:rPr>
        <w:t>169</w:t>
      </w:r>
      <w:r>
        <w:rPr>
          <w:color w:val="1B1B1B"/>
          <w:sz w:val="24"/>
          <w:szCs w:val="24"/>
          <w:highlight w:val="white"/>
        </w:rPr>
        <w:t xml:space="preserve">(5), 001333. </w:t>
      </w:r>
      <w:hyperlink r:id="rId28">
        <w:r>
          <w:rPr>
            <w:color w:val="1155CC"/>
            <w:sz w:val="24"/>
            <w:szCs w:val="24"/>
            <w:highlight w:val="white"/>
            <w:u w:val="single"/>
          </w:rPr>
          <w:t>https://doi.org/10.1099/mic.0.001333</w:t>
        </w:r>
      </w:hyperlink>
    </w:p>
    <w:p w14:paraId="49019F4C" w14:textId="77777777" w:rsidR="00527706" w:rsidRDefault="00000000">
      <w:pPr>
        <w:spacing w:after="259" w:line="267" w:lineRule="auto"/>
        <w:ind w:left="-5" w:right="-3"/>
        <w:rPr>
          <w:color w:val="1B1B1B"/>
          <w:sz w:val="24"/>
          <w:szCs w:val="24"/>
          <w:highlight w:val="white"/>
        </w:rPr>
      </w:pPr>
      <w:r>
        <w:rPr>
          <w:color w:val="1B1B1B"/>
          <w:sz w:val="24"/>
          <w:szCs w:val="24"/>
          <w:highlight w:val="white"/>
        </w:rPr>
        <w:t xml:space="preserve">13] Hossain T. J. (2024). Methods for screening and evaluation of antimicrobial activity: A review of protocols, advantages, and limitations. </w:t>
      </w:r>
      <w:r>
        <w:rPr>
          <w:i/>
          <w:iCs/>
          <w:color w:val="1B1B1B"/>
          <w:sz w:val="24"/>
          <w:szCs w:val="24"/>
          <w:highlight w:val="white"/>
        </w:rPr>
        <w:t>European journal of microbiology &amp; immunology</w:t>
      </w:r>
      <w:r>
        <w:rPr>
          <w:color w:val="1B1B1B"/>
          <w:sz w:val="24"/>
          <w:szCs w:val="24"/>
          <w:highlight w:val="white"/>
        </w:rPr>
        <w:t xml:space="preserve">, </w:t>
      </w:r>
      <w:r>
        <w:rPr>
          <w:i/>
          <w:iCs/>
          <w:color w:val="1B1B1B"/>
          <w:sz w:val="24"/>
          <w:szCs w:val="24"/>
          <w:highlight w:val="white"/>
        </w:rPr>
        <w:t>14</w:t>
      </w:r>
      <w:r>
        <w:rPr>
          <w:color w:val="1B1B1B"/>
          <w:sz w:val="24"/>
          <w:szCs w:val="24"/>
          <w:highlight w:val="white"/>
        </w:rPr>
        <w:t xml:space="preserve">(2), 97–115. </w:t>
      </w:r>
      <w:hyperlink r:id="rId29">
        <w:r>
          <w:rPr>
            <w:color w:val="1155CC"/>
            <w:sz w:val="24"/>
            <w:szCs w:val="24"/>
            <w:highlight w:val="white"/>
            <w:u w:val="single"/>
          </w:rPr>
          <w:t>https://doi.org/10.1556/1886.2024.00035</w:t>
        </w:r>
      </w:hyperlink>
    </w:p>
    <w:p w14:paraId="5E48F56F" w14:textId="77777777" w:rsidR="00527706" w:rsidRDefault="00000000">
      <w:pPr>
        <w:spacing w:after="259" w:line="267" w:lineRule="auto"/>
        <w:ind w:left="-5" w:right="-3"/>
        <w:rPr>
          <w:color w:val="1B1B1B"/>
          <w:sz w:val="24"/>
          <w:szCs w:val="24"/>
          <w:highlight w:val="white"/>
        </w:rPr>
      </w:pPr>
      <w:r>
        <w:rPr>
          <w:color w:val="1B1B1B"/>
          <w:sz w:val="24"/>
          <w:szCs w:val="24"/>
          <w:highlight w:val="white"/>
        </w:rPr>
        <w:lastRenderedPageBreak/>
        <w:t xml:space="preserve">14] Fadila Moussaoui, </w:t>
      </w:r>
      <w:proofErr w:type="spellStart"/>
      <w:r>
        <w:rPr>
          <w:color w:val="1B1B1B"/>
          <w:sz w:val="24"/>
          <w:szCs w:val="24"/>
          <w:highlight w:val="white"/>
        </w:rPr>
        <w:t>Tajelmolk</w:t>
      </w:r>
      <w:proofErr w:type="spellEnd"/>
      <w:r>
        <w:rPr>
          <w:color w:val="1B1B1B"/>
          <w:sz w:val="24"/>
          <w:szCs w:val="24"/>
          <w:highlight w:val="white"/>
        </w:rPr>
        <w:t xml:space="preserve"> Alaoui, Evaluation of antibacterial activity and synergistic effect between antibiotic and the essential oils of some medicinal plants, Asian Pacific Journal of Tropical Biomedicine, Volume 6, Issue 1, 2016, Pages 32-37, ISSN 2221-1691, </w:t>
      </w:r>
      <w:hyperlink r:id="rId30">
        <w:r>
          <w:rPr>
            <w:color w:val="1155CC"/>
            <w:sz w:val="24"/>
            <w:szCs w:val="24"/>
            <w:highlight w:val="white"/>
            <w:u w:val="single"/>
          </w:rPr>
          <w:t>https://doi.org/10.1016/j.apjtb.2015.09.024</w:t>
        </w:r>
      </w:hyperlink>
      <w:r>
        <w:rPr>
          <w:color w:val="1B1B1B"/>
          <w:sz w:val="24"/>
          <w:szCs w:val="24"/>
          <w:highlight w:val="white"/>
        </w:rPr>
        <w:t>.</w:t>
      </w:r>
    </w:p>
    <w:p w14:paraId="2FFC8076" w14:textId="77777777" w:rsidR="00527706" w:rsidRDefault="00000000">
      <w:pPr>
        <w:spacing w:after="259" w:line="267" w:lineRule="auto"/>
        <w:ind w:left="-5" w:right="-3"/>
        <w:rPr>
          <w:color w:val="1B1B1B"/>
          <w:sz w:val="24"/>
          <w:szCs w:val="24"/>
          <w:highlight w:val="white"/>
        </w:rPr>
      </w:pPr>
      <w:r>
        <w:rPr>
          <w:color w:val="1B1B1B"/>
          <w:sz w:val="24"/>
          <w:szCs w:val="24"/>
          <w:highlight w:val="white"/>
        </w:rPr>
        <w:t xml:space="preserve">15] Nesru, Y., Ahmed, M., Mengistu, A., &amp; Naimuddin, M. (2025). Phytochemical screening and inhibitory effects of Catha edulis </w:t>
      </w:r>
      <w:proofErr w:type="spellStart"/>
      <w:r>
        <w:rPr>
          <w:color w:val="1B1B1B"/>
          <w:sz w:val="24"/>
          <w:szCs w:val="24"/>
          <w:highlight w:val="white"/>
        </w:rPr>
        <w:t>Forsk</w:t>
      </w:r>
      <w:proofErr w:type="spellEnd"/>
      <w:r>
        <w:rPr>
          <w:color w:val="1B1B1B"/>
          <w:sz w:val="24"/>
          <w:szCs w:val="24"/>
          <w:highlight w:val="white"/>
        </w:rPr>
        <w:t xml:space="preserve"> extracts on oxidation, growth, biofilm and quorum sensing of selected pathogens. </w:t>
      </w:r>
      <w:r>
        <w:rPr>
          <w:i/>
          <w:iCs/>
          <w:color w:val="1B1B1B"/>
          <w:sz w:val="24"/>
          <w:szCs w:val="24"/>
          <w:highlight w:val="white"/>
        </w:rPr>
        <w:t>Journal, genetic engineering &amp; biotechnology</w:t>
      </w:r>
      <w:r>
        <w:rPr>
          <w:color w:val="1B1B1B"/>
          <w:sz w:val="24"/>
          <w:szCs w:val="24"/>
          <w:highlight w:val="white"/>
        </w:rPr>
        <w:t xml:space="preserve">, </w:t>
      </w:r>
      <w:r>
        <w:rPr>
          <w:i/>
          <w:iCs/>
          <w:color w:val="1B1B1B"/>
          <w:sz w:val="24"/>
          <w:szCs w:val="24"/>
          <w:highlight w:val="white"/>
        </w:rPr>
        <w:t>23</w:t>
      </w:r>
      <w:r>
        <w:rPr>
          <w:color w:val="1B1B1B"/>
          <w:sz w:val="24"/>
          <w:szCs w:val="24"/>
          <w:highlight w:val="white"/>
        </w:rPr>
        <w:t xml:space="preserve">(4), 100560. </w:t>
      </w:r>
      <w:hyperlink r:id="rId31">
        <w:r>
          <w:rPr>
            <w:color w:val="1155CC"/>
            <w:sz w:val="24"/>
            <w:szCs w:val="24"/>
            <w:highlight w:val="white"/>
            <w:u w:val="single"/>
          </w:rPr>
          <w:t>https://doi.org/10.1016/j.jgeb.2025.100560</w:t>
        </w:r>
      </w:hyperlink>
    </w:p>
    <w:p w14:paraId="04D9003E" w14:textId="77777777" w:rsidR="00527706" w:rsidRDefault="00000000">
      <w:pPr>
        <w:spacing w:after="259" w:line="267" w:lineRule="auto"/>
        <w:ind w:left="-5" w:right="-3"/>
        <w:rPr>
          <w:color w:val="1B1B1B"/>
          <w:sz w:val="24"/>
          <w:szCs w:val="24"/>
          <w:highlight w:val="white"/>
        </w:rPr>
      </w:pPr>
      <w:r>
        <w:rPr>
          <w:color w:val="1B1B1B"/>
          <w:sz w:val="24"/>
          <w:szCs w:val="24"/>
          <w:highlight w:val="white"/>
        </w:rPr>
        <w:t xml:space="preserve">16] Sasidharan, S., Chen, Y., Saravanan, D., Sundram, K. M., &amp; Yoga Latha, L. (2011). Extraction, isolation and characterization of bioactive compounds from plants' extracts. </w:t>
      </w:r>
      <w:r>
        <w:rPr>
          <w:i/>
          <w:iCs/>
          <w:color w:val="1B1B1B"/>
          <w:sz w:val="24"/>
          <w:szCs w:val="24"/>
          <w:highlight w:val="white"/>
        </w:rPr>
        <w:t xml:space="preserve">African journal of traditional, complementary, and alternative </w:t>
      </w:r>
      <w:proofErr w:type="gramStart"/>
      <w:r>
        <w:rPr>
          <w:i/>
          <w:iCs/>
          <w:color w:val="1B1B1B"/>
          <w:sz w:val="24"/>
          <w:szCs w:val="24"/>
          <w:highlight w:val="white"/>
        </w:rPr>
        <w:t>medicines :</w:t>
      </w:r>
      <w:proofErr w:type="gramEnd"/>
      <w:r>
        <w:rPr>
          <w:i/>
          <w:iCs/>
          <w:color w:val="1B1B1B"/>
          <w:sz w:val="24"/>
          <w:szCs w:val="24"/>
          <w:highlight w:val="white"/>
        </w:rPr>
        <w:t xml:space="preserve"> AJTCAM</w:t>
      </w:r>
      <w:r>
        <w:rPr>
          <w:color w:val="1B1B1B"/>
          <w:sz w:val="24"/>
          <w:szCs w:val="24"/>
          <w:highlight w:val="white"/>
        </w:rPr>
        <w:t xml:space="preserve">, </w:t>
      </w:r>
      <w:r>
        <w:rPr>
          <w:i/>
          <w:iCs/>
          <w:color w:val="1B1B1B"/>
          <w:sz w:val="24"/>
          <w:szCs w:val="24"/>
          <w:highlight w:val="white"/>
        </w:rPr>
        <w:t>8</w:t>
      </w:r>
      <w:r>
        <w:rPr>
          <w:color w:val="1B1B1B"/>
          <w:sz w:val="24"/>
          <w:szCs w:val="24"/>
          <w:highlight w:val="white"/>
        </w:rPr>
        <w:t>(1), 1–10.</w:t>
      </w:r>
    </w:p>
    <w:p w14:paraId="13EB080B" w14:textId="77777777" w:rsidR="00527706" w:rsidRDefault="00000000">
      <w:pPr>
        <w:spacing w:after="259" w:line="267" w:lineRule="auto"/>
        <w:ind w:left="-5" w:right="-3"/>
        <w:rPr>
          <w:color w:val="1B1B1B"/>
          <w:sz w:val="24"/>
          <w:szCs w:val="24"/>
          <w:highlight w:val="white"/>
        </w:rPr>
      </w:pPr>
      <w:r>
        <w:rPr>
          <w:color w:val="1B1B1B"/>
          <w:sz w:val="24"/>
          <w:szCs w:val="24"/>
          <w:highlight w:val="white"/>
        </w:rPr>
        <w:t xml:space="preserve">17] Gajic, I., </w:t>
      </w:r>
      <w:proofErr w:type="spellStart"/>
      <w:r>
        <w:rPr>
          <w:color w:val="1B1B1B"/>
          <w:sz w:val="24"/>
          <w:szCs w:val="24"/>
          <w:highlight w:val="white"/>
        </w:rPr>
        <w:t>Kabic</w:t>
      </w:r>
      <w:proofErr w:type="spellEnd"/>
      <w:r>
        <w:rPr>
          <w:color w:val="1B1B1B"/>
          <w:sz w:val="24"/>
          <w:szCs w:val="24"/>
          <w:highlight w:val="white"/>
        </w:rPr>
        <w:t xml:space="preserve">, J., Kekic, D., </w:t>
      </w:r>
      <w:proofErr w:type="spellStart"/>
      <w:r>
        <w:rPr>
          <w:color w:val="1B1B1B"/>
          <w:sz w:val="24"/>
          <w:szCs w:val="24"/>
          <w:highlight w:val="white"/>
        </w:rPr>
        <w:t>Jovicevic</w:t>
      </w:r>
      <w:proofErr w:type="spellEnd"/>
      <w:r>
        <w:rPr>
          <w:color w:val="1B1B1B"/>
          <w:sz w:val="24"/>
          <w:szCs w:val="24"/>
          <w:highlight w:val="white"/>
        </w:rPr>
        <w:t xml:space="preserve">, M., Milenkovic, M., Mitic </w:t>
      </w:r>
      <w:proofErr w:type="spellStart"/>
      <w:r>
        <w:rPr>
          <w:color w:val="1B1B1B"/>
          <w:sz w:val="24"/>
          <w:szCs w:val="24"/>
          <w:highlight w:val="white"/>
        </w:rPr>
        <w:t>Culafic</w:t>
      </w:r>
      <w:proofErr w:type="spellEnd"/>
      <w:r>
        <w:rPr>
          <w:color w:val="1B1B1B"/>
          <w:sz w:val="24"/>
          <w:szCs w:val="24"/>
          <w:highlight w:val="white"/>
        </w:rPr>
        <w:t xml:space="preserve">, D., </w:t>
      </w:r>
      <w:proofErr w:type="spellStart"/>
      <w:r>
        <w:rPr>
          <w:color w:val="1B1B1B"/>
          <w:sz w:val="24"/>
          <w:szCs w:val="24"/>
          <w:highlight w:val="white"/>
        </w:rPr>
        <w:t>Trudic</w:t>
      </w:r>
      <w:proofErr w:type="spellEnd"/>
      <w:r>
        <w:rPr>
          <w:color w:val="1B1B1B"/>
          <w:sz w:val="24"/>
          <w:szCs w:val="24"/>
          <w:highlight w:val="white"/>
        </w:rPr>
        <w:t xml:space="preserve">, A., Ranin, L., &amp; </w:t>
      </w:r>
      <w:proofErr w:type="spellStart"/>
      <w:r>
        <w:rPr>
          <w:color w:val="1B1B1B"/>
          <w:sz w:val="24"/>
          <w:szCs w:val="24"/>
          <w:highlight w:val="white"/>
        </w:rPr>
        <w:t>Opavski</w:t>
      </w:r>
      <w:proofErr w:type="spellEnd"/>
      <w:r>
        <w:rPr>
          <w:color w:val="1B1B1B"/>
          <w:sz w:val="24"/>
          <w:szCs w:val="24"/>
          <w:highlight w:val="white"/>
        </w:rPr>
        <w:t xml:space="preserve">, N. (2022). Antimicrobial Susceptibility Testing: A Comprehensive Review of Currently Used Methods. </w:t>
      </w:r>
      <w:r>
        <w:rPr>
          <w:i/>
          <w:iCs/>
          <w:color w:val="1B1B1B"/>
          <w:sz w:val="24"/>
          <w:szCs w:val="24"/>
          <w:highlight w:val="white"/>
        </w:rPr>
        <w:t>Antibiotics (Basel, Switzerland)</w:t>
      </w:r>
      <w:r>
        <w:rPr>
          <w:color w:val="1B1B1B"/>
          <w:sz w:val="24"/>
          <w:szCs w:val="24"/>
          <w:highlight w:val="white"/>
        </w:rPr>
        <w:t xml:space="preserve">, </w:t>
      </w:r>
      <w:r>
        <w:rPr>
          <w:i/>
          <w:iCs/>
          <w:color w:val="1B1B1B"/>
          <w:sz w:val="24"/>
          <w:szCs w:val="24"/>
          <w:highlight w:val="white"/>
        </w:rPr>
        <w:t>11</w:t>
      </w:r>
      <w:r>
        <w:rPr>
          <w:color w:val="1B1B1B"/>
          <w:sz w:val="24"/>
          <w:szCs w:val="24"/>
          <w:highlight w:val="white"/>
        </w:rPr>
        <w:t xml:space="preserve">(4), 427. </w:t>
      </w:r>
      <w:hyperlink r:id="rId32">
        <w:r>
          <w:rPr>
            <w:color w:val="1155CC"/>
            <w:sz w:val="24"/>
            <w:szCs w:val="24"/>
            <w:highlight w:val="white"/>
            <w:u w:val="single"/>
          </w:rPr>
          <w:t>https://doi.org/10.3390/antibiotics11040427</w:t>
        </w:r>
      </w:hyperlink>
    </w:p>
    <w:p w14:paraId="3AA04658" w14:textId="77777777" w:rsidR="00527706" w:rsidRDefault="00000000">
      <w:pPr>
        <w:spacing w:after="259" w:line="267" w:lineRule="auto"/>
        <w:ind w:left="-5" w:right="-3"/>
        <w:rPr>
          <w:color w:val="1B1B1B"/>
          <w:sz w:val="24"/>
          <w:szCs w:val="24"/>
          <w:highlight w:val="white"/>
        </w:rPr>
      </w:pPr>
      <w:r>
        <w:rPr>
          <w:color w:val="1B1B1B"/>
          <w:sz w:val="24"/>
          <w:szCs w:val="24"/>
          <w:highlight w:val="white"/>
        </w:rPr>
        <w:t xml:space="preserve">18] Alikhani, M. S., Nazari, M., &amp; </w:t>
      </w:r>
      <w:proofErr w:type="spellStart"/>
      <w:r>
        <w:rPr>
          <w:color w:val="1B1B1B"/>
          <w:sz w:val="24"/>
          <w:szCs w:val="24"/>
          <w:highlight w:val="white"/>
        </w:rPr>
        <w:t>Hatamkhani</w:t>
      </w:r>
      <w:proofErr w:type="spellEnd"/>
      <w:r>
        <w:rPr>
          <w:color w:val="1B1B1B"/>
          <w:sz w:val="24"/>
          <w:szCs w:val="24"/>
          <w:highlight w:val="white"/>
        </w:rPr>
        <w:t xml:space="preserve">, S. (2025). Enhancing antibiotic therapy through comprehensive pharmacokinetic/pharmacodynamic principles. </w:t>
      </w:r>
      <w:r>
        <w:rPr>
          <w:i/>
          <w:iCs/>
          <w:color w:val="1B1B1B"/>
          <w:sz w:val="24"/>
          <w:szCs w:val="24"/>
          <w:highlight w:val="white"/>
        </w:rPr>
        <w:t>Frontiers in cellular and infection microbiology</w:t>
      </w:r>
      <w:r>
        <w:rPr>
          <w:color w:val="1B1B1B"/>
          <w:sz w:val="24"/>
          <w:szCs w:val="24"/>
          <w:highlight w:val="white"/>
        </w:rPr>
        <w:t xml:space="preserve">, </w:t>
      </w:r>
      <w:r>
        <w:rPr>
          <w:i/>
          <w:iCs/>
          <w:color w:val="1B1B1B"/>
          <w:sz w:val="24"/>
          <w:szCs w:val="24"/>
          <w:highlight w:val="white"/>
        </w:rPr>
        <w:t>15</w:t>
      </w:r>
      <w:r>
        <w:rPr>
          <w:color w:val="1B1B1B"/>
          <w:sz w:val="24"/>
          <w:szCs w:val="24"/>
          <w:highlight w:val="white"/>
        </w:rPr>
        <w:t xml:space="preserve">, 1521091. </w:t>
      </w:r>
      <w:hyperlink r:id="rId33">
        <w:r>
          <w:rPr>
            <w:color w:val="1155CC"/>
            <w:sz w:val="24"/>
            <w:szCs w:val="24"/>
            <w:highlight w:val="white"/>
            <w:u w:val="single"/>
          </w:rPr>
          <w:t>https://doi.org/10.3389/fcimb.2025.1521091</w:t>
        </w:r>
      </w:hyperlink>
    </w:p>
    <w:p w14:paraId="31B76839" w14:textId="77777777" w:rsidR="00527706" w:rsidRDefault="00000000">
      <w:pPr>
        <w:spacing w:after="259" w:line="267" w:lineRule="auto"/>
        <w:ind w:left="-5" w:right="-3"/>
        <w:rPr>
          <w:color w:val="212121"/>
          <w:sz w:val="24"/>
          <w:szCs w:val="24"/>
          <w:highlight w:val="white"/>
        </w:rPr>
      </w:pPr>
      <w:r>
        <w:rPr>
          <w:color w:val="212121"/>
          <w:sz w:val="24"/>
          <w:szCs w:val="24"/>
          <w:highlight w:val="white"/>
        </w:rPr>
        <w:t>[</w:t>
      </w:r>
      <w:proofErr w:type="gramStart"/>
      <w:r>
        <w:rPr>
          <w:color w:val="212121"/>
          <w:sz w:val="24"/>
          <w:szCs w:val="24"/>
          <w:highlight w:val="white"/>
        </w:rPr>
        <w:t>19]Hsieh</w:t>
      </w:r>
      <w:proofErr w:type="gramEnd"/>
      <w:r>
        <w:rPr>
          <w:color w:val="212121"/>
          <w:sz w:val="24"/>
          <w:szCs w:val="24"/>
          <w:highlight w:val="white"/>
        </w:rPr>
        <w:t xml:space="preserve">, M. H., Yu, C. M., Yu, V. L., &amp; Chow, J. W. (1993). Synergy assessed by checkerboard. A critical analysis. </w:t>
      </w:r>
      <w:r>
        <w:rPr>
          <w:i/>
          <w:iCs/>
          <w:color w:val="212121"/>
          <w:sz w:val="24"/>
          <w:szCs w:val="24"/>
          <w:highlight w:val="white"/>
        </w:rPr>
        <w:t>Diagnostic microbiology and infectious disease</w:t>
      </w:r>
      <w:r>
        <w:rPr>
          <w:color w:val="212121"/>
          <w:sz w:val="24"/>
          <w:szCs w:val="24"/>
          <w:highlight w:val="white"/>
        </w:rPr>
        <w:t xml:space="preserve">, </w:t>
      </w:r>
      <w:r>
        <w:rPr>
          <w:i/>
          <w:iCs/>
          <w:color w:val="212121"/>
          <w:sz w:val="24"/>
          <w:szCs w:val="24"/>
          <w:highlight w:val="white"/>
        </w:rPr>
        <w:t>16</w:t>
      </w:r>
      <w:r>
        <w:rPr>
          <w:color w:val="212121"/>
          <w:sz w:val="24"/>
          <w:szCs w:val="24"/>
          <w:highlight w:val="white"/>
        </w:rPr>
        <w:t xml:space="preserve">(4), 343–349. </w:t>
      </w:r>
      <w:hyperlink r:id="rId34">
        <w:r>
          <w:rPr>
            <w:color w:val="1155CC"/>
            <w:sz w:val="24"/>
            <w:szCs w:val="24"/>
            <w:highlight w:val="white"/>
            <w:u w:val="single"/>
          </w:rPr>
          <w:t>https://doi.org/10.1016/0732-8893(93)90087-n</w:t>
        </w:r>
      </w:hyperlink>
    </w:p>
    <w:p w14:paraId="64262CC5" w14:textId="77777777" w:rsidR="00527706" w:rsidRDefault="00527706">
      <w:pPr>
        <w:spacing w:after="259" w:line="267" w:lineRule="auto"/>
        <w:ind w:left="-5" w:right="-3"/>
        <w:rPr>
          <w:color w:val="212121"/>
          <w:sz w:val="24"/>
          <w:szCs w:val="24"/>
          <w:highlight w:val="white"/>
        </w:rPr>
      </w:pPr>
    </w:p>
    <w:p w14:paraId="27906825" w14:textId="77777777" w:rsidR="00527706" w:rsidRDefault="00527706">
      <w:pPr>
        <w:spacing w:after="259" w:line="267" w:lineRule="auto"/>
        <w:ind w:left="-5" w:right="-3"/>
        <w:rPr>
          <w:color w:val="212121"/>
          <w:sz w:val="24"/>
          <w:szCs w:val="24"/>
          <w:highlight w:val="white"/>
        </w:rPr>
      </w:pPr>
    </w:p>
    <w:p w14:paraId="69F82077" w14:textId="77777777" w:rsidR="00527706" w:rsidRDefault="00527706">
      <w:pPr>
        <w:spacing w:after="259" w:line="267" w:lineRule="auto"/>
        <w:ind w:left="-5" w:right="-3"/>
        <w:rPr>
          <w:color w:val="1B1B1B"/>
          <w:sz w:val="24"/>
          <w:szCs w:val="24"/>
          <w:highlight w:val="white"/>
        </w:rPr>
      </w:pPr>
    </w:p>
    <w:p w14:paraId="6F026AF1" w14:textId="77777777" w:rsidR="00527706" w:rsidRDefault="00527706">
      <w:pPr>
        <w:spacing w:after="259" w:line="267" w:lineRule="auto"/>
        <w:ind w:left="-5" w:right="-3"/>
        <w:rPr>
          <w:color w:val="1B1B1B"/>
          <w:sz w:val="24"/>
          <w:szCs w:val="24"/>
          <w:highlight w:val="white"/>
        </w:rPr>
      </w:pPr>
    </w:p>
    <w:p w14:paraId="4ACD871A" w14:textId="77777777" w:rsidR="00527706" w:rsidRDefault="00527706">
      <w:pPr>
        <w:spacing w:after="259" w:line="267" w:lineRule="auto"/>
        <w:ind w:left="-5" w:right="-3"/>
        <w:rPr>
          <w:color w:val="1B1B1B"/>
          <w:sz w:val="24"/>
          <w:szCs w:val="24"/>
          <w:highlight w:val="white"/>
        </w:rPr>
      </w:pPr>
    </w:p>
    <w:p w14:paraId="49C4CB7C" w14:textId="77777777" w:rsidR="00527706" w:rsidRDefault="00527706">
      <w:pPr>
        <w:spacing w:after="259" w:line="267" w:lineRule="auto"/>
        <w:ind w:left="-5" w:right="-3"/>
        <w:rPr>
          <w:color w:val="1B1B1B"/>
          <w:sz w:val="24"/>
          <w:szCs w:val="24"/>
          <w:highlight w:val="white"/>
        </w:rPr>
      </w:pPr>
    </w:p>
    <w:p w14:paraId="1DBF2220" w14:textId="77777777" w:rsidR="00527706" w:rsidRDefault="00000000">
      <w:pPr>
        <w:spacing w:after="259" w:line="259" w:lineRule="auto"/>
        <w:ind w:left="0" w:right="0"/>
        <w:jc w:val="left"/>
        <w:rPr>
          <w:sz w:val="24"/>
          <w:szCs w:val="24"/>
        </w:rPr>
      </w:pPr>
      <w:r>
        <w:rPr>
          <w:color w:val="1B1B1B"/>
          <w:sz w:val="24"/>
          <w:szCs w:val="24"/>
        </w:rPr>
        <w:t xml:space="preserve"> </w:t>
      </w:r>
    </w:p>
    <w:p w14:paraId="488CE371" w14:textId="77777777" w:rsidR="00527706" w:rsidRDefault="00000000">
      <w:pPr>
        <w:spacing w:after="245" w:line="259" w:lineRule="auto"/>
        <w:ind w:left="0" w:right="0"/>
        <w:jc w:val="left"/>
        <w:rPr>
          <w:sz w:val="24"/>
          <w:szCs w:val="24"/>
        </w:rPr>
      </w:pPr>
      <w:r>
        <w:rPr>
          <w:color w:val="1B1B1B"/>
          <w:sz w:val="24"/>
          <w:szCs w:val="24"/>
        </w:rPr>
        <w:t xml:space="preserve"> </w:t>
      </w:r>
    </w:p>
    <w:p w14:paraId="5FFE3A45" w14:textId="77777777" w:rsidR="00527706" w:rsidRDefault="00000000">
      <w:pPr>
        <w:spacing w:after="0" w:line="259" w:lineRule="auto"/>
        <w:ind w:left="0" w:right="0"/>
        <w:jc w:val="left"/>
        <w:rPr>
          <w:sz w:val="24"/>
          <w:szCs w:val="24"/>
        </w:rPr>
      </w:pPr>
      <w:r>
        <w:rPr>
          <w:sz w:val="24"/>
          <w:szCs w:val="24"/>
        </w:rPr>
        <w:t xml:space="preserve"> </w:t>
      </w:r>
    </w:p>
    <w:p w14:paraId="370E4933" w14:textId="77777777" w:rsidR="00527706" w:rsidRDefault="00000000">
      <w:pPr>
        <w:spacing w:after="0" w:line="259" w:lineRule="auto"/>
        <w:ind w:left="0" w:right="0"/>
        <w:rPr>
          <w:sz w:val="24"/>
          <w:szCs w:val="24"/>
        </w:rPr>
      </w:pPr>
      <w:r>
        <w:rPr>
          <w:sz w:val="24"/>
          <w:szCs w:val="24"/>
        </w:rPr>
        <w:lastRenderedPageBreak/>
        <w:t xml:space="preserve"> </w:t>
      </w:r>
    </w:p>
    <w:sectPr w:rsidR="00527706">
      <w:headerReference w:type="even" r:id="rId35"/>
      <w:headerReference w:type="default" r:id="rId36"/>
      <w:footerReference w:type="even" r:id="rId37"/>
      <w:footerReference w:type="default" r:id="rId38"/>
      <w:headerReference w:type="first" r:id="rId39"/>
      <w:footerReference w:type="first" r:id="rId40"/>
      <w:pgSz w:w="12240" w:h="15840"/>
      <w:pgMar w:top="1450" w:right="1440" w:bottom="150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55C0F" w14:textId="77777777" w:rsidR="00FE04BA" w:rsidRDefault="00FE04BA">
      <w:pPr>
        <w:spacing w:after="0" w:line="240" w:lineRule="auto"/>
      </w:pPr>
      <w:r>
        <w:separator/>
      </w:r>
    </w:p>
  </w:endnote>
  <w:endnote w:type="continuationSeparator" w:id="0">
    <w:p w14:paraId="5C923284" w14:textId="77777777" w:rsidR="00FE04BA" w:rsidRDefault="00FE0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A1DDBF34-CACF-4258-9692-D7FAC2B89B4D}"/>
  </w:font>
  <w:font w:name="Georgia">
    <w:panose1 w:val="02040502050405020303"/>
    <w:charset w:val="00"/>
    <w:family w:val="roman"/>
    <w:pitch w:val="variable"/>
    <w:sig w:usb0="00000287" w:usb1="00000000" w:usb2="00000000" w:usb3="00000000" w:csb0="0000009F" w:csb1="00000000"/>
    <w:embedItalic r:id="rId2" w:fontKey="{7320D202-F0BC-4886-ACC2-DCC679CBFA6E}"/>
  </w:font>
  <w:font w:name="Calibri">
    <w:panose1 w:val="020F0502020204030204"/>
    <w:charset w:val="00"/>
    <w:family w:val="swiss"/>
    <w:pitch w:val="variable"/>
    <w:sig w:usb0="E4002EFF" w:usb1="C200247B" w:usb2="00000009" w:usb3="00000000" w:csb0="000001FF" w:csb1="00000000"/>
    <w:embedRegular r:id="rId3" w:fontKey="{25E4397C-2B21-4EDD-856B-C7B3A87154CF}"/>
  </w:font>
  <w:font w:name="Cambria">
    <w:panose1 w:val="02040503050406030204"/>
    <w:charset w:val="00"/>
    <w:family w:val="roman"/>
    <w:pitch w:val="variable"/>
    <w:sig w:usb0="E00006FF" w:usb1="420024FF" w:usb2="02000000" w:usb3="00000000" w:csb0="0000019F" w:csb1="00000000"/>
    <w:embedRegular r:id="rId4" w:fontKey="{E4E2AD26-BCF7-4864-BB3F-056A150D70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D7570" w14:textId="77777777" w:rsidR="00527706" w:rsidRDefault="00527706">
    <w:pPr>
      <w:pBdr>
        <w:top w:val="nil"/>
        <w:left w:val="nil"/>
        <w:bottom w:val="nil"/>
        <w:right w:val="nil"/>
        <w:between w:val="nil"/>
      </w:pBdr>
      <w:tabs>
        <w:tab w:val="center" w:pos="4680"/>
        <w:tab w:val="right" w:pos="9360"/>
      </w:tabs>
      <w:spacing w:after="0" w:line="240" w:lineRule="auto"/>
      <w:ind w:hanging="1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AC5FD" w14:textId="77777777" w:rsidR="00527706" w:rsidRDefault="00527706">
    <w:pPr>
      <w:pBdr>
        <w:top w:val="nil"/>
        <w:left w:val="nil"/>
        <w:bottom w:val="nil"/>
        <w:right w:val="nil"/>
        <w:between w:val="nil"/>
      </w:pBdr>
      <w:tabs>
        <w:tab w:val="center" w:pos="4680"/>
        <w:tab w:val="right" w:pos="9360"/>
      </w:tabs>
      <w:spacing w:after="0" w:line="240" w:lineRule="auto"/>
      <w:ind w:hanging="1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DDEE4" w14:textId="77777777" w:rsidR="00527706" w:rsidRDefault="00527706">
    <w:pPr>
      <w:pBdr>
        <w:top w:val="nil"/>
        <w:left w:val="nil"/>
        <w:bottom w:val="nil"/>
        <w:right w:val="nil"/>
        <w:between w:val="nil"/>
      </w:pBdr>
      <w:tabs>
        <w:tab w:val="center" w:pos="4680"/>
        <w:tab w:val="right" w:pos="9360"/>
      </w:tabs>
      <w:spacing w:after="0" w:line="240" w:lineRule="auto"/>
      <w:ind w:hanging="1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C923B" w14:textId="77777777" w:rsidR="00FE04BA" w:rsidRDefault="00FE04BA">
      <w:pPr>
        <w:spacing w:after="0" w:line="240" w:lineRule="auto"/>
      </w:pPr>
      <w:r>
        <w:separator/>
      </w:r>
    </w:p>
  </w:footnote>
  <w:footnote w:type="continuationSeparator" w:id="0">
    <w:p w14:paraId="725E74E0" w14:textId="77777777" w:rsidR="00FE04BA" w:rsidRDefault="00FE0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BE925" w14:textId="77777777" w:rsidR="00527706" w:rsidRDefault="00000000">
    <w:pPr>
      <w:pBdr>
        <w:top w:val="nil"/>
        <w:left w:val="nil"/>
        <w:bottom w:val="nil"/>
        <w:right w:val="nil"/>
        <w:between w:val="nil"/>
      </w:pBdr>
      <w:tabs>
        <w:tab w:val="center" w:pos="4680"/>
        <w:tab w:val="right" w:pos="9360"/>
      </w:tabs>
      <w:spacing w:after="0" w:line="240" w:lineRule="auto"/>
      <w:ind w:hanging="10"/>
      <w:rPr>
        <w:color w:val="000000"/>
      </w:rPr>
    </w:pPr>
    <w:r>
      <w:rPr>
        <w:color w:val="000000"/>
      </w:rPr>
      <w:pict w14:anchorId="52583F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left:0;text-align:left;margin-left:0;margin-top:0;width:593.85pt;height:65.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5F858" w14:textId="77777777" w:rsidR="00527706" w:rsidRDefault="00000000">
    <w:pPr>
      <w:pBdr>
        <w:top w:val="nil"/>
        <w:left w:val="nil"/>
        <w:bottom w:val="nil"/>
        <w:right w:val="nil"/>
        <w:between w:val="nil"/>
      </w:pBdr>
      <w:tabs>
        <w:tab w:val="center" w:pos="4680"/>
        <w:tab w:val="right" w:pos="9360"/>
      </w:tabs>
      <w:spacing w:after="0" w:line="240" w:lineRule="auto"/>
      <w:ind w:hanging="10"/>
      <w:rPr>
        <w:color w:val="000000"/>
      </w:rPr>
    </w:pPr>
    <w:r>
      <w:rPr>
        <w:color w:val="000000"/>
      </w:rPr>
      <w:pict w14:anchorId="1E80AE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left:0;text-align:left;margin-left:0;margin-top:0;width:593.85pt;height:65.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89803" w14:textId="77777777" w:rsidR="00527706" w:rsidRDefault="00000000">
    <w:pPr>
      <w:pBdr>
        <w:top w:val="nil"/>
        <w:left w:val="nil"/>
        <w:bottom w:val="nil"/>
        <w:right w:val="nil"/>
        <w:between w:val="nil"/>
      </w:pBdr>
      <w:tabs>
        <w:tab w:val="center" w:pos="4680"/>
        <w:tab w:val="right" w:pos="9360"/>
      </w:tabs>
      <w:spacing w:after="0" w:line="240" w:lineRule="auto"/>
      <w:ind w:hanging="10"/>
      <w:rPr>
        <w:color w:val="000000"/>
      </w:rPr>
    </w:pPr>
    <w:r>
      <w:rPr>
        <w:color w:val="000000"/>
      </w:rPr>
      <w:pict w14:anchorId="49BF81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left:0;text-align:left;margin-left:0;margin-top:0;width:593.85pt;height:65.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3C5D69"/>
    <w:multiLevelType w:val="multilevel"/>
    <w:tmpl w:val="ABFC57E6"/>
    <w:lvl w:ilvl="0">
      <w:start w:val="1"/>
      <w:numFmt w:val="decimal"/>
      <w:lvlText w:val="%1]"/>
      <w:lvlJc w:val="left"/>
      <w:pPr>
        <w:ind w:left="247" w:hanging="2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num w:numId="1" w16cid:durableId="1970822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706"/>
    <w:rsid w:val="00217A15"/>
    <w:rsid w:val="00527706"/>
    <w:rsid w:val="0078535E"/>
    <w:rsid w:val="00FE0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7CF4B"/>
  <w15:docId w15:val="{F933CCB4-38E7-4CCC-BDC1-FCD5BC49C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pPr>
        <w:spacing w:after="238" w:line="274" w:lineRule="auto"/>
        <w:ind w:left="10" w:right="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248" w:line="267" w:lineRule="auto"/>
      <w:ind w:right="0" w:hanging="10"/>
      <w:jc w:val="left"/>
      <w:outlineLvl w:val="0"/>
    </w:pPr>
    <w:rPr>
      <w:b/>
      <w:bCs/>
      <w:color w:val="00000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after="0"/>
      <w:outlineLvl w:val="2"/>
    </w:pPr>
    <w:rPr>
      <w:rFonts w:ascii="Play" w:eastAsia="Play" w:hAnsi="Play" w:cs="Play"/>
      <w:color w:val="0A2F40"/>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161"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17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3390/antibiotics9090623" TargetMode="External"/><Relationship Id="rId18" Type="http://schemas.openxmlformats.org/officeDocument/2006/relationships/hyperlink" Target="https://doi.org/10.3390/pathogens10121638" TargetMode="External"/><Relationship Id="rId26" Type="http://schemas.openxmlformats.org/officeDocument/2006/relationships/hyperlink" Target="https://doi.org/10.51470/MA.2025.7.2.95" TargetMode="External"/><Relationship Id="rId39" Type="http://schemas.openxmlformats.org/officeDocument/2006/relationships/header" Target="header3.xml"/><Relationship Id="rId21" Type="http://schemas.openxmlformats.org/officeDocument/2006/relationships/hyperlink" Target="https://doi.org/10.3390/antibiotics14100981" TargetMode="External"/><Relationship Id="rId34" Type="http://schemas.openxmlformats.org/officeDocument/2006/relationships/hyperlink" Target="https://doi.org/10.1016/0732-8893(93)90087-n"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7860/JCDR/2013/5010.2737" TargetMode="External"/><Relationship Id="rId20" Type="http://schemas.openxmlformats.org/officeDocument/2006/relationships/hyperlink" Target="https://doi.org/10.3390/antibiotics14100981" TargetMode="External"/><Relationship Id="rId29" Type="http://schemas.openxmlformats.org/officeDocument/2006/relationships/hyperlink" Target="https://doi.org/10.1556/1886.2024.00035"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antibiotics12030487" TargetMode="External"/><Relationship Id="rId24" Type="http://schemas.openxmlformats.org/officeDocument/2006/relationships/hyperlink" Target="https://doi.org/10.1002/fsn3.3834" TargetMode="External"/><Relationship Id="rId32" Type="http://schemas.openxmlformats.org/officeDocument/2006/relationships/hyperlink" Target="https://doi.org/10.3390/antibiotics110404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7860/JCDR/2013/5010.2737" TargetMode="External"/><Relationship Id="rId23" Type="http://schemas.openxmlformats.org/officeDocument/2006/relationships/hyperlink" Target="https://doi.org/10.4103/phrev.phrev_21_17" TargetMode="External"/><Relationship Id="rId28" Type="http://schemas.openxmlformats.org/officeDocument/2006/relationships/hyperlink" Target="https://doi.org/10.1099/mic.0.001333" TargetMode="External"/><Relationship Id="rId36" Type="http://schemas.openxmlformats.org/officeDocument/2006/relationships/header" Target="header2.xml"/><Relationship Id="rId10" Type="http://schemas.openxmlformats.org/officeDocument/2006/relationships/hyperlink" Target="https://doi.org/10.3390/healthcare11131946" TargetMode="External"/><Relationship Id="rId19" Type="http://schemas.openxmlformats.org/officeDocument/2006/relationships/hyperlink" Target="https://doi.org/10.3389/fimmu.2025.1491777" TargetMode="External"/><Relationship Id="rId31" Type="http://schemas.openxmlformats.org/officeDocument/2006/relationships/hyperlink" Target="https://doi.org/10.1016/j.jgeb.2025.100560" TargetMode="External"/><Relationship Id="rId4" Type="http://schemas.openxmlformats.org/officeDocument/2006/relationships/webSettings" Target="webSettings.xml"/><Relationship Id="rId9" Type="http://schemas.openxmlformats.org/officeDocument/2006/relationships/hyperlink" Target="https://doi.org/10.3390/healthcare11131946" TargetMode="External"/><Relationship Id="rId14" Type="http://schemas.openxmlformats.org/officeDocument/2006/relationships/hyperlink" Target="https://doi.org/10.3390/antibiotics9090623" TargetMode="External"/><Relationship Id="rId22" Type="http://schemas.openxmlformats.org/officeDocument/2006/relationships/hyperlink" Target="https://doi.org/10.4103/phrev.phrev_21_17" TargetMode="External"/><Relationship Id="rId27" Type="http://schemas.openxmlformats.org/officeDocument/2006/relationships/hyperlink" Target="https://doi.org/10.2478/aiht-2020-71-3396" TargetMode="External"/><Relationship Id="rId30" Type="http://schemas.openxmlformats.org/officeDocument/2006/relationships/hyperlink" Target="https://doi.org/10.1016/j.apjtb.2015.09.024"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3390/antibiotics12030487" TargetMode="External"/><Relationship Id="rId17" Type="http://schemas.openxmlformats.org/officeDocument/2006/relationships/hyperlink" Target="https://doi.org/10.3390/pathogens10121638" TargetMode="External"/><Relationship Id="rId25" Type="http://schemas.openxmlformats.org/officeDocument/2006/relationships/hyperlink" Target="https://doi.org/10.1002/fsn3.3834" TargetMode="External"/><Relationship Id="rId33" Type="http://schemas.openxmlformats.org/officeDocument/2006/relationships/hyperlink" Target="https://doi.org/10.3389/fcimb.2025.1521091"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4051</Words>
  <Characters>23097</Characters>
  <Application>Microsoft Office Word</Application>
  <DocSecurity>0</DocSecurity>
  <Lines>192</Lines>
  <Paragraphs>54</Paragraphs>
  <ScaleCrop>false</ScaleCrop>
  <Company/>
  <LinksUpToDate>false</LinksUpToDate>
  <CharactersWithSpaces>27094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Editor-90</cp:lastModifiedBy>
  <cp:revision>2</cp:revision>
  <dcterms:created xsi:type="dcterms:W3CDTF">2026-02-02T07:42:00Z</dcterms:created>
  <dcterms:modified xsi:type="dcterms:W3CDTF">2026-02-02T07:44:00Z</dcterms:modified>
</cp:coreProperties>
</file>