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050AD5">
      <w:pPr>
        <w:rPr>
          <w:rFonts w:hint="default" w:ascii="Times New Roman" w:hAnsi="Times New Roman" w:cs="Times New Roman"/>
          <w:sz w:val="56"/>
          <w:szCs w:val="56"/>
          <w:highlight w:val="yellow"/>
        </w:rPr>
      </w:pPr>
      <w:r>
        <w:rPr>
          <w:rFonts w:hint="default" w:ascii="Times New Roman" w:hAnsi="Times New Roman" w:eastAsia="Segoe UI" w:cs="Times New Roman"/>
          <w:i w:val="0"/>
          <w:iCs w:val="0"/>
          <w:caps w:val="0"/>
          <w:spacing w:val="0"/>
          <w:sz w:val="56"/>
          <w:szCs w:val="56"/>
          <w:highlight w:val="yellow"/>
        </w:rPr>
        <w:t>AI Readiness and Exports of Digitally Deliverable Services: Panel Evidence from 151 Countries (2</w:t>
      </w:r>
      <w:bookmarkStart w:id="21" w:name="_GoBack"/>
      <w:bookmarkEnd w:id="21"/>
      <w:r>
        <w:rPr>
          <w:rFonts w:hint="default" w:ascii="Times New Roman" w:hAnsi="Times New Roman" w:eastAsia="Segoe UI" w:cs="Times New Roman"/>
          <w:i w:val="0"/>
          <w:iCs w:val="0"/>
          <w:caps w:val="0"/>
          <w:spacing w:val="0"/>
          <w:sz w:val="56"/>
          <w:szCs w:val="56"/>
          <w:highlight w:val="yellow"/>
        </w:rPr>
        <w:t>010–2022).</w:t>
      </w:r>
    </w:p>
    <w:p w14:paraId="202FD604"/>
    <w:p w14:paraId="726B49D2"/>
    <w:p w14:paraId="0201ABA9">
      <w:pPr>
        <w:pStyle w:val="11"/>
        <w:rPr>
          <w:rFonts w:ascii="Times New Roman" w:hAnsi="Times New Roman" w:cs="Times New Roman"/>
        </w:rPr>
      </w:pPr>
    </w:p>
    <w:p w14:paraId="2AB45C96">
      <w:pPr>
        <w:pStyle w:val="2"/>
        <w:jc w:val="cente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pPr>
      <w:bookmarkStart w:id="0" w:name="_Toc220682365"/>
      <w: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t>Abstract</w:t>
      </w:r>
      <w:bookmarkEnd w:id="0"/>
    </w:p>
    <w:p w14:paraId="41D2A747">
      <w:pPr>
        <w:jc w:val="both"/>
        <w:rPr>
          <w:rFonts w:hint="default" w:ascii="Times New Roman" w:hAnsi="Times New Roman"/>
          <w:sz w:val="28"/>
          <w:szCs w:val="28"/>
        </w:rPr>
      </w:pPr>
      <w:r>
        <w:rPr>
          <w:rFonts w:hint="default" w:ascii="Times New Roman" w:hAnsi="Times New Roman"/>
          <w:sz w:val="28"/>
          <w:szCs w:val="28"/>
        </w:rPr>
        <w:t>Artificial intelligence (AI) is increasingly viewed as a general-purpose technology that can reshape countries’ trade patterns, especially in services that can be produced and delivered digitally. This study examines whether national AI readiness is associated with greater exports of digitally deliverable services (DDS) and with stronger specialization in DDS. Using a panel of 151 countries over 2010–2022, we combine UNCTAD DDS export data with an AI readiness index (0–100) that captures infrastructure, human capital, innovation capacity, data and governance. We estimate two-way fixed-effects models with country and year fixed effects and clustered standard errors, controlling for income, population, and selected digital regulation indicators. The results show a robust positive association between AI readiness and DDS exports: in the preferred specification, a one-point increase in AI readiness is associated with a 0.032 increase in log DDS exports (about 3.3%), with similar magnitudes across alternative specifications and an instrumental-variable robustness check. Heterogeneity tests indicate that the AI readiness–DDS relationship is stronger for developing economies. Additional specifications using DDS revealed comparative advantage suggest that improvements in AI readiness are also linked to shifts in specialization toward digital services. The findings imply that investments in AI-related capabilities can support participation in high-value digital services trade, particularly for developing countries.</w:t>
      </w:r>
    </w:p>
    <w:p w14:paraId="1AC4240D">
      <w:pPr>
        <w:rPr>
          <w:rFonts w:hint="default" w:ascii="Times New Roman" w:hAnsi="Times New Roman"/>
          <w:sz w:val="28"/>
          <w:szCs w:val="28"/>
        </w:rPr>
      </w:pPr>
      <w:r>
        <w:rPr>
          <w:rFonts w:hint="default" w:ascii="Times New Roman" w:hAnsi="Times New Roman"/>
          <w:sz w:val="28"/>
          <w:szCs w:val="28"/>
        </w:rPr>
        <w:t>​</w:t>
      </w:r>
    </w:p>
    <w:p w14:paraId="0EBCFC0F">
      <w:pPr>
        <w:rPr>
          <w:rFonts w:hint="default" w:ascii="Times New Roman" w:hAnsi="Times New Roman"/>
          <w:sz w:val="28"/>
          <w:szCs w:val="28"/>
        </w:rPr>
      </w:pPr>
    </w:p>
    <w:p w14:paraId="4C18F718">
      <w:pPr>
        <w:rPr>
          <w:rFonts w:ascii="Times New Roman" w:hAnsi="Times New Roman" w:cs="Times New Roman"/>
          <w:sz w:val="28"/>
          <w:szCs w:val="28"/>
        </w:rPr>
      </w:pPr>
    </w:p>
    <w:p w14:paraId="74CC2098">
      <w:pPr>
        <w:rPr>
          <w:rFonts w:ascii="Times New Roman" w:hAnsi="Times New Roman" w:cs="Times New Roman"/>
          <w:sz w:val="28"/>
          <w:szCs w:val="28"/>
        </w:rPr>
      </w:pPr>
      <w:r>
        <w:rPr>
          <w:rFonts w:ascii="Times New Roman" w:hAnsi="Times New Roman" w:cs="Times New Roman"/>
          <w:sz w:val="28"/>
          <w:szCs w:val="28"/>
        </w:rPr>
        <w:t>Keywords: AI readiness, Digitally deliverable services, Comparative advantage, Digital trade, Developing economies</w:t>
      </w:r>
    </w:p>
    <w:p w14:paraId="560B4EFE"/>
    <w:p w14:paraId="0AE25625">
      <w:pPr>
        <w:pStyle w:val="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pPr>
      <w:bookmarkStart w:id="1" w:name="_Toc220682366"/>
      <w: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t>1. Introduction</w:t>
      </w:r>
      <w:bookmarkEnd w:id="1"/>
    </w:p>
    <w:p w14:paraId="280F8430">
      <w:pPr>
        <w:ind w:firstLine="720"/>
        <w:jc w:val="both"/>
        <w:rPr>
          <w:rFonts w:ascii="Times New Roman" w:hAnsi="Times New Roman" w:cs="Times New Roman"/>
          <w:sz w:val="28"/>
          <w:szCs w:val="28"/>
        </w:rPr>
      </w:pPr>
      <w:r>
        <w:rPr>
          <w:rFonts w:ascii="Times New Roman" w:hAnsi="Times New Roman" w:cs="Times New Roman"/>
          <w:sz w:val="28"/>
          <w:szCs w:val="28"/>
        </w:rPr>
        <w:t>Artificial intelligence (AI) is rapidly emerging as a general-purpose technology with the potential to reshape patterns of global trade. Recent simulations by the World Trade Organization (WTO) suggest that, by 2040, the widespread use of AI could increase the value of global trade in goods and services by about 34–37 per cent, with the fastest expansion occurring in digitally delivered services, which are projected to grow by roughly 42 per cent (World Trade Organization, 2025; WTO, 2025 as cited in Qazinform, 2025). These projections imply not only a quantitative increase in trade volumes but also a qualitative transformation in the composition of trade, away from traditional goods toward services that can be produced, customized and delivered through digital networks. At the same time, international organizations warn that the gains from AI are unlikely to be evenly distributed across countries. UN Trade and Development (UNCTAD) estimates that the global AI market could reach around 4.8 trillion US dollars by 2033 but stresses that AI capabilities, infrastructure and investment remain heavily concentrated in a small number of economies, raising concerns about widening digital divides (UNCTAD, 2025a; UNCTAD, 2025b).</w:t>
      </w:r>
    </w:p>
    <w:p w14:paraId="764EE87F">
      <w:pPr>
        <w:ind w:firstLine="720"/>
        <w:jc w:val="both"/>
        <w:rPr>
          <w:rFonts w:ascii="Times New Roman" w:hAnsi="Times New Roman" w:cs="Times New Roman"/>
          <w:sz w:val="28"/>
          <w:szCs w:val="28"/>
        </w:rPr>
      </w:pPr>
      <w:r>
        <w:rPr>
          <w:rFonts w:ascii="Times New Roman" w:hAnsi="Times New Roman" w:cs="Times New Roman"/>
          <w:sz w:val="28"/>
          <w:szCs w:val="28"/>
        </w:rPr>
        <w:t>Within this broader transformation, digitally deliverable services (DDS) – such as software, cloud computing, digital financial services, online business and professional services- occupy a central position. These services are highly tradable because they can be transmitted across borders via data networks at low marginal cost, and they are also among the sectors most directly affected by advances in AI, including machine learning, natural language processing and generative models (World Trade Organization, 2025; UNCTAD, 2025a). For many countries, especially developing and emerging economies, DDS exports offer a potential pathway to diversify away from commodity dependence and low-value manufacturing, and to move up the value chain into more knowledge-intensive activities. However, the ability to seize this opportunity depends crucially on national AI readiness: the combination of infrastructure, skills, data, institutions and governance frameworks that enables firms and governments to adopt and scale AI technologies effectively (Oxford Insights, 2023, as summarized in World Bank, 2023; UNCTAD, 2025a).</w:t>
      </w:r>
    </w:p>
    <w:p w14:paraId="4C3A3FC8">
      <w:pPr>
        <w:ind w:firstLine="720"/>
        <w:jc w:val="both"/>
        <w:rPr>
          <w:rFonts w:ascii="Times New Roman" w:hAnsi="Times New Roman" w:cs="Times New Roman"/>
          <w:sz w:val="28"/>
          <w:szCs w:val="28"/>
        </w:rPr>
      </w:pPr>
      <w:r>
        <w:rPr>
          <w:rFonts w:ascii="Times New Roman" w:hAnsi="Times New Roman" w:cs="Times New Roman"/>
          <w:sz w:val="28"/>
          <w:szCs w:val="28"/>
        </w:rPr>
        <w:t>Recent empirical work has begun to explore the link between AI readiness and trade in digital services. Using a panel dataset that covers developed and developing economies across multiple regions, one study finds that higher scores on an AI readiness index are strongly associated with greater exports of digitally deliverable services, even after controlling for income and population (Bank Indonesia Institute, 2025). The same analysis reports that the positive impact of AI readiness on DDS exports is particularly pronounced in developing economies, suggesting that investment in AI-related capabilities can help these countries upgrade their position in global value chains and gain a foothold in high-value services trade (Bank Indonesia Institute, 2025). At the same time, UNCTAD notes that less than one-third of developing countries have adopted national AI strategies and that gaps in digital infrastructure, skills and governance could prevent many from benefiting fully from AI-driven trade growth (UNCTAD, 2025a; UNCTAD, 2025b).</w:t>
      </w:r>
    </w:p>
    <w:p w14:paraId="03A0FB72">
      <w:pPr>
        <w:ind w:firstLine="720"/>
        <w:jc w:val="both"/>
        <w:rPr>
          <w:rFonts w:hint="default" w:ascii="Times New Roman" w:hAnsi="Times New Roman" w:cs="Times New Roman"/>
          <w:sz w:val="28"/>
          <w:szCs w:val="28"/>
          <w:highlight w:val="yellow"/>
        </w:rPr>
      </w:pPr>
      <w:r>
        <w:rPr>
          <w:rFonts w:ascii="Times New Roman" w:hAnsi="Times New Roman" w:cs="Times New Roman"/>
          <w:sz w:val="28"/>
          <w:szCs w:val="28"/>
        </w:rPr>
        <w:t xml:space="preserve">Against this backdrop, this paper asks whether AI adoption is shifting comparative advantage toward digital services in certain countries. Specifically, it investigates the relationship between AI readiness and exports of digitally deliverable services, and examines whether this relationship differs between higher-income and developing economies. </w:t>
      </w:r>
      <w:r>
        <w:rPr>
          <w:rFonts w:hint="default" w:ascii="Times New Roman" w:hAnsi="Times New Roman" w:eastAsia="Segoe UI" w:cs="Times New Roman"/>
          <w:i w:val="0"/>
          <w:iCs w:val="0"/>
          <w:caps w:val="0"/>
          <w:spacing w:val="0"/>
          <w:sz w:val="28"/>
          <w:szCs w:val="28"/>
          <w:highlight w:val="yellow"/>
        </w:rPr>
        <w:t>This paper makes three contributions to the emerging literature on AI and international trade. First, it provides cross-country panel evidence on the relationship between national AI readiness and exports of digitally deliverable services (DDS) using annual data for 151 countries over 2010–2022. Second, it links AI readiness to changes in specialization by complementing level regressions for DDS exports with specifications based on revealed comparative advantage (RCA) in DDS, thereby speaking directly to comparative advantage rather than export scale alone. Third, it tests for development-level heterogeneity by interacting AI readiness with a developing-economy indicator and shows that the association between AI readiness and DDS performance is stronger among low- and middle-income countries, highlighting policy-relevant channels for export diversification in the digital economy.</w:t>
      </w:r>
    </w:p>
    <w:p w14:paraId="71ADA801">
      <w:pPr>
        <w:ind w:firstLine="720"/>
        <w:jc w:val="both"/>
        <w:rPr>
          <w:rFonts w:ascii="Times New Roman" w:hAnsi="Times New Roman" w:cs="Times New Roman"/>
          <w:sz w:val="28"/>
          <w:szCs w:val="28"/>
        </w:rPr>
      </w:pPr>
      <w:r>
        <w:rPr>
          <w:rFonts w:ascii="Times New Roman" w:hAnsi="Times New Roman" w:cs="Times New Roman"/>
          <w:sz w:val="28"/>
          <w:szCs w:val="28"/>
        </w:rPr>
        <w:t>By linking projections about AI’s impact on global trade with emerging evidence on AI readiness and DDS exports, the study aims to shed light on which countries are most likely to gain comparative advantage in digital services and what this implies for international economic inequality in the age of AI (World Trade Organization, 2025; Bank Indonesia Institute, 2025; UNCTAD, 2025a).</w:t>
      </w:r>
    </w:p>
    <w:p w14:paraId="2E133217">
      <w:pPr>
        <w:pStyle w:val="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pPr>
      <w:bookmarkStart w:id="2" w:name="_Toc220682367"/>
      <w: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t>2. Literature Review</w:t>
      </w:r>
      <w:bookmarkEnd w:id="2"/>
      <w: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t xml:space="preserve"> </w:t>
      </w:r>
    </w:p>
    <w:p w14:paraId="31755C6C">
      <w:pPr>
        <w:pStyle w:val="3"/>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pPr>
      <w:bookmarkStart w:id="3" w:name="_Toc220682368"/>
      <w: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t>2.1 Conceptual foundations: digital trade, digitally deliverable services and AI</w:t>
      </w:r>
      <w:bookmarkEnd w:id="3"/>
    </w:p>
    <w:p w14:paraId="7E675A52">
      <w:pPr>
        <w:ind w:firstLine="720"/>
        <w:jc w:val="both"/>
        <w:rPr>
          <w:rFonts w:ascii="Times New Roman" w:hAnsi="Times New Roman" w:cs="Times New Roman"/>
          <w:sz w:val="28"/>
          <w:szCs w:val="28"/>
        </w:rPr>
      </w:pPr>
      <w:r>
        <w:rPr>
          <w:rFonts w:ascii="Times New Roman" w:hAnsi="Times New Roman" w:cs="Times New Roman"/>
          <w:sz w:val="28"/>
          <w:szCs w:val="28"/>
        </w:rPr>
        <w:t>Digital trade is commonly defined as all trade that is either digitally ordered and/or digitally delivered, building on a shared framework developed by international organizations such as the OECD, WTO, IMF and UNCTAD (UNCTAD, 2022; United Nations, 2020). In this framework, digitally ordered trade corresponds to cross</w:t>
      </w:r>
      <w:r>
        <w:rPr>
          <w:rFonts w:ascii="Times New Roman" w:hAnsi="Times New Roman" w:cs="Times New Roman"/>
          <w:sz w:val="28"/>
          <w:szCs w:val="28"/>
        </w:rPr>
        <w:noBreakHyphen/>
      </w:r>
      <w:r>
        <w:rPr>
          <w:rFonts w:ascii="Times New Roman" w:hAnsi="Times New Roman" w:cs="Times New Roman"/>
          <w:sz w:val="28"/>
          <w:szCs w:val="28"/>
        </w:rPr>
        <w:t>border transactions concluded over computer networks (e</w:t>
      </w:r>
      <w:r>
        <w:rPr>
          <w:rFonts w:ascii="Times New Roman" w:hAnsi="Times New Roman" w:cs="Times New Roman"/>
          <w:sz w:val="28"/>
          <w:szCs w:val="28"/>
        </w:rPr>
        <w:noBreakHyphen/>
      </w:r>
      <w:r>
        <w:rPr>
          <w:rFonts w:ascii="Times New Roman" w:hAnsi="Times New Roman" w:cs="Times New Roman"/>
          <w:sz w:val="28"/>
          <w:szCs w:val="28"/>
        </w:rPr>
        <w:t>commerce), while digitally delivered trade refers to international transactions in services supplied remotely in electronic form (IMF et al., 2023; United Nations, 2020). Within digital trade, digitally deliverable services (DDS) comprise those service categories that can in principle be delivered over information and communication technology (ICT) networks, such as ICT services, financial services, professional and business services, and certain education and training services (IMF et al., 2023; OECD, 2024). This classification recognizes that a growing share of traditional services can now be encoded, transmitted and consumed digitally, thereby increasing their tradability across borders (IMF et al., 2023).</w:t>
      </w:r>
    </w:p>
    <w:p w14:paraId="5E00F9BE">
      <w:pPr>
        <w:ind w:firstLine="720"/>
        <w:jc w:val="both"/>
        <w:rPr>
          <w:rFonts w:ascii="Times New Roman" w:hAnsi="Times New Roman" w:cs="Times New Roman"/>
          <w:sz w:val="28"/>
          <w:szCs w:val="28"/>
        </w:rPr>
      </w:pPr>
      <w:r>
        <w:rPr>
          <w:rFonts w:ascii="Times New Roman" w:hAnsi="Times New Roman" w:cs="Times New Roman"/>
          <w:sz w:val="28"/>
          <w:szCs w:val="28"/>
        </w:rPr>
        <w:t>Empirically, trade in DDS has grown rapidly over the past two decades. UNCTAD reports that global exports of digitally deliverable services increased at an average nominal rate of about 12 per cent per year between 2005 and 2019, with even faster growth, around 21 per cent per year, recorded in Asia (UNCTAD, 2022). As a result, the share of DDS in total global services exports has risen steadily, making DDS one of the most dynamic components of international trade (UNCTAD, 2022). OECD indicators similarly show that in many advanced and emerging economies, digitally deliverable services account for a large and rising share of commercial services trade, underlining the central role of digitalization in services exports (OECD, 2024). These trends suggest that DDS have become an important arena in which countries can develop and express comparative advantage.</w:t>
      </w:r>
    </w:p>
    <w:p w14:paraId="6679D4E6">
      <w:pPr>
        <w:ind w:firstLine="720"/>
        <w:jc w:val="both"/>
        <w:rPr>
          <w:rFonts w:ascii="Times New Roman" w:hAnsi="Times New Roman" w:cs="Times New Roman"/>
          <w:sz w:val="28"/>
          <w:szCs w:val="28"/>
        </w:rPr>
      </w:pPr>
      <w:r>
        <w:rPr>
          <w:rFonts w:ascii="Times New Roman" w:hAnsi="Times New Roman" w:cs="Times New Roman"/>
          <w:sz w:val="28"/>
          <w:szCs w:val="28"/>
        </w:rPr>
        <w:t>The emergence of AI as a general</w:t>
      </w:r>
      <w:r>
        <w:rPr>
          <w:rFonts w:ascii="Times New Roman" w:hAnsi="Times New Roman" w:cs="Times New Roman"/>
          <w:sz w:val="28"/>
          <w:szCs w:val="28"/>
        </w:rPr>
        <w:noBreakHyphen/>
      </w:r>
      <w:r>
        <w:rPr>
          <w:rFonts w:ascii="Times New Roman" w:hAnsi="Times New Roman" w:cs="Times New Roman"/>
          <w:sz w:val="28"/>
          <w:szCs w:val="28"/>
        </w:rPr>
        <w:t>purpose technology is reinforcing these dynamics. AI technologies such as machine learning, natural language processing and computer vision can reduce information frictions, automate routine tasks and enable new forms of product and process innovation, especially in information</w:t>
      </w:r>
      <w:r>
        <w:rPr>
          <w:rFonts w:ascii="Times New Roman" w:hAnsi="Times New Roman" w:cs="Times New Roman"/>
          <w:sz w:val="28"/>
          <w:szCs w:val="28"/>
        </w:rPr>
        <w:noBreakHyphen/>
      </w:r>
      <w:r>
        <w:rPr>
          <w:rFonts w:ascii="Times New Roman" w:hAnsi="Times New Roman" w:cs="Times New Roman"/>
          <w:sz w:val="28"/>
          <w:szCs w:val="28"/>
        </w:rPr>
        <w:t>intensive services (World Trade Organization, 2025). For example, AI can power recommendation systems in digital platforms, automate parts of software development, enhance fraud detection in digital finance, and support remote diagnostics in telemedicine, thereby increasing the efficiency and scalability of DDS production and delivery (World Trade Organization, 2025). From a trade perspective, AI can also lower trade costs by improving search and matching in online markets, reducing language barriers via translation systems, and facilitating compliance with foreign regulations through automated documentation and risk assessment (World Trade Organization, 2025; Mercatus Center, 2017). These channels imply that countries which successfully adopt AI, especially in services sectors, may strengthen their position in global DDS markets.</w:t>
      </w:r>
    </w:p>
    <w:p w14:paraId="6AE96474">
      <w:pPr>
        <w:ind w:firstLine="720"/>
        <w:jc w:val="both"/>
        <w:rPr>
          <w:rFonts w:ascii="Times New Roman" w:hAnsi="Times New Roman" w:cs="Times New Roman"/>
          <w:sz w:val="28"/>
          <w:szCs w:val="28"/>
        </w:rPr>
      </w:pPr>
      <w:r>
        <w:rPr>
          <w:rFonts w:ascii="Times New Roman" w:hAnsi="Times New Roman" w:cs="Times New Roman"/>
          <w:sz w:val="28"/>
          <w:szCs w:val="28"/>
        </w:rPr>
        <w:t>A useful way to capture the capacity of countries to leverage AI in trade is the notion of AI readiness. AI readiness indexes combine information on digital infrastructure, human capital, innovation systems, data availability and governance frameworks to assess how prepared a country is to adopt and scale AI technologies (Oxford Insights, 2023; World Bank, 2023). Such indexes typically include indicators on internet and broadband penetration, cloud computing availability, STEM education, R&amp;D spending, regulatory quality and data protection laws (Oxford Insights, 2023). When applied to international trade in services, AI readiness can be interpreted as a potential source of comparative advantage: countries with stronger AI</w:t>
      </w:r>
      <w:r>
        <w:rPr>
          <w:rFonts w:ascii="Times New Roman" w:hAnsi="Times New Roman" w:cs="Times New Roman"/>
          <w:sz w:val="28"/>
          <w:szCs w:val="28"/>
        </w:rPr>
        <w:noBreakHyphen/>
      </w:r>
      <w:r>
        <w:rPr>
          <w:rFonts w:ascii="Times New Roman" w:hAnsi="Times New Roman" w:cs="Times New Roman"/>
          <w:sz w:val="28"/>
          <w:szCs w:val="28"/>
        </w:rPr>
        <w:t>related capabilities are better able to integrate AI into their service sectors, thereby reducing costs and enhancing quality in DDS. This conceptual link motivates the empirical question of whether AI adoption and readiness are associated with higher DDS exports and a shift in comparative advantage toward digital services.</w:t>
      </w:r>
    </w:p>
    <w:p w14:paraId="16BF9B5F">
      <w:pPr>
        <w:jc w:val="center"/>
        <w:rPr>
          <w:rFonts w:ascii="Times New Roman" w:hAnsi="Times New Roman" w:cs="Times New Roman"/>
          <w:sz w:val="28"/>
          <w:szCs w:val="28"/>
        </w:rPr>
      </w:pPr>
      <w:r>
        <w:rPr>
          <w:rFonts w:ascii="Times New Roman" w:hAnsi="Times New Roman" w:cs="Times New Roman"/>
          <w:sz w:val="28"/>
          <w:szCs w:val="28"/>
        </w:rPr>
        <w:drawing>
          <wp:inline distT="0" distB="0" distL="0" distR="0">
            <wp:extent cx="4980940" cy="33204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981242" cy="3320828"/>
                    </a:xfrm>
                    <a:prstGeom prst="rect">
                      <a:avLst/>
                    </a:prstGeom>
                  </pic:spPr>
                </pic:pic>
              </a:graphicData>
            </a:graphic>
          </wp:inline>
        </w:drawing>
      </w:r>
    </w:p>
    <w:p w14:paraId="4FB84E46">
      <w:pPr>
        <w:jc w:val="center"/>
        <w:rPr>
          <w:rFonts w:ascii="Times New Roman" w:hAnsi="Times New Roman" w:cs="Times New Roman"/>
          <w:sz w:val="20"/>
          <w:szCs w:val="28"/>
        </w:rPr>
      </w:pPr>
      <w:r>
        <w:rPr>
          <w:rFonts w:ascii="Times New Roman" w:hAnsi="Times New Roman" w:cs="Times New Roman"/>
          <w:sz w:val="20"/>
          <w:szCs w:val="28"/>
        </w:rPr>
        <w:t>Figure 1: Asia Leads Digital services Growth (2005 – 2019)</w:t>
      </w:r>
    </w:p>
    <w:p w14:paraId="6C9FA732">
      <w:pPr>
        <w:pStyle w:val="3"/>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pPr>
      <w:bookmarkStart w:id="4" w:name="_Toc220682369"/>
      <w: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t>2.2 Comparative advantage, digital trade and institutions</w:t>
      </w:r>
      <w:bookmarkEnd w:id="4"/>
    </w:p>
    <w:p w14:paraId="43DE2C37">
      <w:pPr>
        <w:ind w:firstLine="720"/>
        <w:jc w:val="both"/>
        <w:rPr>
          <w:rFonts w:ascii="Times New Roman" w:hAnsi="Times New Roman" w:cs="Times New Roman"/>
          <w:sz w:val="28"/>
          <w:szCs w:val="28"/>
        </w:rPr>
      </w:pPr>
      <w:r>
        <w:rPr>
          <w:rFonts w:ascii="Times New Roman" w:hAnsi="Times New Roman" w:cs="Times New Roman"/>
          <w:sz w:val="28"/>
          <w:szCs w:val="28"/>
        </w:rPr>
        <w:t>Classical and modern trade theories emphasize that countries specialize according to comparative advantage, which can arise from differences in factor endowments, technology or institutions (Krugman et al., 2018). In the context of services and digital trade, comparative advantage can be measured empirically through revealed comparative advantage (RCA) indicators that compare a country’s export share of a particular category (such as DDS) to the world average (Balassa, 1965; UNCTADstat, 2024). A country exhibits revealed comparative advantage in DDS if its share of DDS in total exports exceeds the global share, suggesting a relative specialization in digital services. This approach has been widely used to analyze specialization patterns in goods and services trade, and it can be adapted to evaluate whether AI</w:t>
      </w:r>
      <w:r>
        <w:rPr>
          <w:rFonts w:ascii="Times New Roman" w:hAnsi="Times New Roman" w:cs="Times New Roman"/>
          <w:sz w:val="28"/>
          <w:szCs w:val="28"/>
        </w:rPr>
        <w:noBreakHyphen/>
      </w:r>
      <w:r>
        <w:rPr>
          <w:rFonts w:ascii="Times New Roman" w:hAnsi="Times New Roman" w:cs="Times New Roman"/>
          <w:sz w:val="28"/>
          <w:szCs w:val="28"/>
        </w:rPr>
        <w:t>ready countries tend to have higher DDS RCA.</w:t>
      </w:r>
    </w:p>
    <w:p w14:paraId="3D5307FB">
      <w:pPr>
        <w:ind w:firstLine="720"/>
        <w:jc w:val="both"/>
        <w:rPr>
          <w:rFonts w:ascii="Times New Roman" w:hAnsi="Times New Roman" w:cs="Times New Roman"/>
          <w:sz w:val="28"/>
          <w:szCs w:val="28"/>
        </w:rPr>
      </w:pPr>
      <w:r>
        <w:rPr>
          <w:rFonts w:ascii="Times New Roman" w:hAnsi="Times New Roman" w:cs="Times New Roman"/>
          <w:sz w:val="28"/>
          <w:szCs w:val="28"/>
        </w:rPr>
        <w:t>Recent literature argues that institutions and policy frameworks are important drivers of comparative advantage in digital trade. A study on institution</w:t>
      </w:r>
      <w:r>
        <w:rPr>
          <w:rFonts w:ascii="Times New Roman" w:hAnsi="Times New Roman" w:cs="Times New Roman"/>
          <w:sz w:val="28"/>
          <w:szCs w:val="28"/>
        </w:rPr>
        <w:noBreakHyphen/>
      </w:r>
      <w:r>
        <w:rPr>
          <w:rFonts w:ascii="Times New Roman" w:hAnsi="Times New Roman" w:cs="Times New Roman"/>
          <w:sz w:val="28"/>
          <w:szCs w:val="28"/>
        </w:rPr>
        <w:t>driven comparative advantage and digital trade finds that countries with stronger digital legal frameworks, such as clear rules on data protection, e</w:t>
      </w:r>
      <w:r>
        <w:rPr>
          <w:rFonts w:ascii="Times New Roman" w:hAnsi="Times New Roman" w:cs="Times New Roman"/>
          <w:sz w:val="28"/>
          <w:szCs w:val="28"/>
        </w:rPr>
        <w:noBreakHyphen/>
      </w:r>
      <w:r>
        <w:rPr>
          <w:rFonts w:ascii="Times New Roman" w:hAnsi="Times New Roman" w:cs="Times New Roman"/>
          <w:sz w:val="28"/>
          <w:szCs w:val="28"/>
        </w:rPr>
        <w:t>transactions, cybersecurity and consumer protection, export relatively more in digital</w:t>
      </w:r>
      <w:r>
        <w:rPr>
          <w:rFonts w:ascii="Times New Roman" w:hAnsi="Times New Roman" w:cs="Times New Roman"/>
          <w:sz w:val="28"/>
          <w:szCs w:val="28"/>
        </w:rPr>
        <w:noBreakHyphen/>
      </w:r>
      <w:r>
        <w:rPr>
          <w:rFonts w:ascii="Times New Roman" w:hAnsi="Times New Roman" w:cs="Times New Roman"/>
          <w:sz w:val="28"/>
          <w:szCs w:val="28"/>
        </w:rPr>
        <w:t>intensive sectors (Shapiro, 2025, as summarized in “Institution</w:t>
      </w:r>
      <w:r>
        <w:rPr>
          <w:rFonts w:ascii="Times New Roman" w:hAnsi="Times New Roman" w:cs="Times New Roman"/>
          <w:sz w:val="28"/>
          <w:szCs w:val="28"/>
        </w:rPr>
        <w:noBreakHyphen/>
      </w:r>
      <w:r>
        <w:rPr>
          <w:rFonts w:ascii="Times New Roman" w:hAnsi="Times New Roman" w:cs="Times New Roman"/>
          <w:sz w:val="28"/>
          <w:szCs w:val="28"/>
        </w:rPr>
        <w:t>Driven Comparative Advantage and Digital Trade”, 2025). The authors show that digital regulations shape trade patterns by influencing transaction costs, trust and the enforceability of contracts in online markets (Institution</w:t>
      </w:r>
      <w:r>
        <w:rPr>
          <w:rFonts w:ascii="Times New Roman" w:hAnsi="Times New Roman" w:cs="Times New Roman"/>
          <w:sz w:val="28"/>
          <w:szCs w:val="28"/>
        </w:rPr>
        <w:noBreakHyphen/>
      </w:r>
      <w:r>
        <w:rPr>
          <w:rFonts w:ascii="Times New Roman" w:hAnsi="Times New Roman" w:cs="Times New Roman"/>
          <w:sz w:val="28"/>
          <w:szCs w:val="28"/>
        </w:rPr>
        <w:t>Driven Comparative Advantage and Digital Trade, 2025). This line of work extends earlier contributions that demonstrate how broader institutional quality, such as property rights protection and contract enforcement, can provide comparative advantage in institution</w:t>
      </w:r>
      <w:r>
        <w:rPr>
          <w:rFonts w:ascii="Times New Roman" w:hAnsi="Times New Roman" w:cs="Times New Roman"/>
          <w:sz w:val="28"/>
          <w:szCs w:val="28"/>
        </w:rPr>
        <w:noBreakHyphen/>
      </w:r>
      <w:r>
        <w:rPr>
          <w:rFonts w:ascii="Times New Roman" w:hAnsi="Times New Roman" w:cs="Times New Roman"/>
          <w:sz w:val="28"/>
          <w:szCs w:val="28"/>
        </w:rPr>
        <w:t>intensive industries (Costinot, 2009; Nunn, 2007; Shapiro, 2025). The key idea is that institutions act like “soft” factors of production, complementing human and physical capital in generating competitiveness.</w:t>
      </w:r>
    </w:p>
    <w:p w14:paraId="35660565">
      <w:pPr>
        <w:ind w:firstLine="720"/>
        <w:jc w:val="both"/>
        <w:rPr>
          <w:rFonts w:ascii="Times New Roman" w:hAnsi="Times New Roman" w:cs="Times New Roman"/>
          <w:sz w:val="28"/>
          <w:szCs w:val="28"/>
          <w:highlight w:val="yellow"/>
        </w:rPr>
      </w:pPr>
      <w:r>
        <w:rPr>
          <w:rFonts w:ascii="Times New Roman" w:hAnsi="Times New Roman" w:cs="Times New Roman"/>
          <w:sz w:val="28"/>
          <w:szCs w:val="28"/>
        </w:rPr>
        <w:t>Digital trade also highlights the role of ICT infrastructure and connectivity as determinants of comparative advantage. ICT investment and broadband networks enable firms to participate in cross</w:t>
      </w:r>
      <w:r>
        <w:rPr>
          <w:rFonts w:ascii="Times New Roman" w:hAnsi="Times New Roman" w:cs="Times New Roman"/>
          <w:sz w:val="28"/>
          <w:szCs w:val="28"/>
        </w:rPr>
        <w:noBreakHyphen/>
      </w:r>
      <w:r>
        <w:rPr>
          <w:rFonts w:ascii="Times New Roman" w:hAnsi="Times New Roman" w:cs="Times New Roman"/>
          <w:sz w:val="28"/>
          <w:szCs w:val="28"/>
        </w:rPr>
        <w:t>border digital markets, lower communication and coordination costs, and support the delivery of services over digital channels (Clarke &amp; Wallsten, 2006; Choi, 2010, as cited in M &amp; Reddi, 2025). Empirical studies find that better ICT infrastructure and higher internet penetration are associated with greater exports of ICT</w:t>
      </w:r>
      <w:r>
        <w:rPr>
          <w:rFonts w:ascii="Times New Roman" w:hAnsi="Times New Roman" w:cs="Times New Roman"/>
          <w:sz w:val="28"/>
          <w:szCs w:val="28"/>
        </w:rPr>
        <w:noBreakHyphen/>
      </w:r>
      <w:r>
        <w:rPr>
          <w:rFonts w:ascii="Times New Roman" w:hAnsi="Times New Roman" w:cs="Times New Roman"/>
          <w:sz w:val="28"/>
          <w:szCs w:val="28"/>
        </w:rPr>
        <w:t xml:space="preserve">enabled services and other digital products (Xing, 2018, as reported in M &amp; Reddi, 2025). </w:t>
      </w:r>
      <w:r>
        <w:rPr>
          <w:rFonts w:ascii="Times New Roman" w:hAnsi="Times New Roman" w:cs="Times New Roman"/>
          <w:sz w:val="28"/>
          <w:szCs w:val="28"/>
          <w:highlight w:val="yellow"/>
        </w:rPr>
        <w:t>In this perspective, digital infrastructure, human capital and institutions jointly shape a country’s ability to specialize in DDS, creating a multi</w:t>
      </w:r>
      <w:r>
        <w:rPr>
          <w:rFonts w:ascii="Times New Roman" w:hAnsi="Times New Roman" w:cs="Times New Roman"/>
          <w:sz w:val="28"/>
          <w:szCs w:val="28"/>
          <w:highlight w:val="yellow"/>
        </w:rPr>
        <w:noBreakHyphen/>
      </w:r>
      <w:r>
        <w:rPr>
          <w:rFonts w:ascii="Times New Roman" w:hAnsi="Times New Roman" w:cs="Times New Roman"/>
          <w:sz w:val="28"/>
          <w:szCs w:val="28"/>
          <w:highlight w:val="yellow"/>
        </w:rPr>
        <w:t>dimensional source of comparative advantage that goes beyond traditional factor endowments.</w:t>
      </w:r>
      <w:r>
        <w:rPr>
          <w:rFonts w:hint="default" w:ascii="Times New Roman" w:hAnsi="Times New Roman"/>
          <w:sz w:val="28"/>
          <w:szCs w:val="28"/>
          <w:highlight w:val="yellow"/>
        </w:rPr>
        <w:t>A related strand of research emphasizes that internationalization can itself be a driver of digital upgrading. Zhang et al. (2025) find that firms’ internationalization can trigger digital innovation, suggesting a learning and capability-building channel through which global market participation encourages adoption of new digital technologies. This mechanism is consistent with our framework: higher AI readiness can lower adoption barriers and enable economies</w:t>
      </w:r>
      <w:r>
        <w:rPr>
          <w:rFonts w:hint="default" w:ascii="Times New Roman" w:hAnsi="Times New Roman"/>
          <w:sz w:val="28"/>
          <w:szCs w:val="28"/>
          <w:highlight w:val="yellow"/>
          <w:lang w:val="en-GB"/>
        </w:rPr>
        <w:t xml:space="preserve">, </w:t>
      </w:r>
      <w:r>
        <w:rPr>
          <w:rFonts w:hint="default" w:ascii="Times New Roman" w:hAnsi="Times New Roman"/>
          <w:sz w:val="28"/>
          <w:szCs w:val="28"/>
          <w:highlight w:val="yellow"/>
        </w:rPr>
        <w:t>particularly developing ones</w:t>
      </w:r>
      <w:r>
        <w:rPr>
          <w:rFonts w:hint="default" w:ascii="Times New Roman" w:hAnsi="Times New Roman"/>
          <w:sz w:val="28"/>
          <w:szCs w:val="28"/>
          <w:highlight w:val="yellow"/>
          <w:lang w:val="en-GB"/>
        </w:rPr>
        <w:t xml:space="preserve">, </w:t>
      </w:r>
      <w:r>
        <w:rPr>
          <w:rFonts w:hint="default" w:ascii="Times New Roman" w:hAnsi="Times New Roman"/>
          <w:sz w:val="28"/>
          <w:szCs w:val="28"/>
          <w:highlight w:val="yellow"/>
        </w:rPr>
        <w:t>to translate technological capabilities into greater exports and specialization in digitally deliverable services.</w:t>
      </w:r>
    </w:p>
    <w:p w14:paraId="25E9CC09">
      <w:pPr>
        <w:ind w:firstLine="720"/>
        <w:jc w:val="both"/>
        <w:rPr>
          <w:rFonts w:ascii="Times New Roman" w:hAnsi="Times New Roman" w:cs="Times New Roman"/>
          <w:sz w:val="28"/>
          <w:szCs w:val="28"/>
        </w:rPr>
      </w:pPr>
      <w:r>
        <w:rPr>
          <w:rFonts w:ascii="Times New Roman" w:hAnsi="Times New Roman" w:cs="Times New Roman"/>
          <w:sz w:val="28"/>
          <w:szCs w:val="28"/>
        </w:rPr>
        <w:t>AI</w:t>
      </w:r>
      <w:r>
        <w:rPr>
          <w:rFonts w:ascii="Times New Roman" w:hAnsi="Times New Roman" w:cs="Times New Roman"/>
          <w:sz w:val="28"/>
          <w:szCs w:val="28"/>
        </w:rPr>
        <w:noBreakHyphen/>
      </w:r>
      <w:r>
        <w:rPr>
          <w:rFonts w:ascii="Times New Roman" w:hAnsi="Times New Roman" w:cs="Times New Roman"/>
          <w:sz w:val="28"/>
          <w:szCs w:val="28"/>
        </w:rPr>
        <w:t>specific capabilities can be viewed as an extension of these institutional and technological determinants. AI systems require high</w:t>
      </w:r>
      <w:r>
        <w:rPr>
          <w:rFonts w:ascii="Times New Roman" w:hAnsi="Times New Roman" w:cs="Times New Roman"/>
          <w:sz w:val="28"/>
          <w:szCs w:val="28"/>
        </w:rPr>
        <w:noBreakHyphen/>
      </w:r>
      <w:r>
        <w:rPr>
          <w:rFonts w:ascii="Times New Roman" w:hAnsi="Times New Roman" w:cs="Times New Roman"/>
          <w:sz w:val="28"/>
          <w:szCs w:val="28"/>
        </w:rPr>
        <w:t>quality data, computing infrastructure, skilled labor and appropriate regulatory frameworks, including rules on data governance, algorithmic transparency and liability (UNCTAD, 2025a; World Bank, 2023). Countries that invest in these areas are likely to develop more sophisticated AI ecosystems, which in turn can be embedded in digital platforms and services that are tradable across borders. For instance, an economy with strong AI capabilities in language technologies may gain advantage in global markets for translation, customer support and content moderation, while a country with expertise in AI</w:t>
      </w:r>
      <w:r>
        <w:rPr>
          <w:rFonts w:ascii="Times New Roman" w:hAnsi="Times New Roman" w:cs="Times New Roman"/>
          <w:sz w:val="28"/>
          <w:szCs w:val="28"/>
        </w:rPr>
        <w:noBreakHyphen/>
      </w:r>
      <w:r>
        <w:rPr>
          <w:rFonts w:ascii="Times New Roman" w:hAnsi="Times New Roman" w:cs="Times New Roman"/>
          <w:sz w:val="28"/>
          <w:szCs w:val="28"/>
        </w:rPr>
        <w:t>driven finance might specialize in cross</w:t>
      </w:r>
      <w:r>
        <w:rPr>
          <w:rFonts w:ascii="Times New Roman" w:hAnsi="Times New Roman" w:cs="Times New Roman"/>
          <w:sz w:val="28"/>
          <w:szCs w:val="28"/>
        </w:rPr>
        <w:noBreakHyphen/>
      </w:r>
      <w:r>
        <w:rPr>
          <w:rFonts w:ascii="Times New Roman" w:hAnsi="Times New Roman" w:cs="Times New Roman"/>
          <w:sz w:val="28"/>
          <w:szCs w:val="28"/>
        </w:rPr>
        <w:t>border fintech services. In this way, AI</w:t>
      </w:r>
      <w:r>
        <w:rPr>
          <w:rFonts w:ascii="Times New Roman" w:hAnsi="Times New Roman" w:cs="Times New Roman"/>
          <w:sz w:val="28"/>
          <w:szCs w:val="28"/>
        </w:rPr>
        <w:noBreakHyphen/>
      </w:r>
      <w:r>
        <w:rPr>
          <w:rFonts w:ascii="Times New Roman" w:hAnsi="Times New Roman" w:cs="Times New Roman"/>
          <w:sz w:val="28"/>
          <w:szCs w:val="28"/>
        </w:rPr>
        <w:t>related factors complement digital infrastructure and legal frameworks in shaping comparative advantage in DDS.</w:t>
      </w:r>
    </w:p>
    <w:tbl>
      <w:tblPr>
        <w:tblStyle w:val="6"/>
        <w:tblW w:w="5000" w:type="pct"/>
        <w:jc w:val="center"/>
        <w:tblLayout w:type="autofit"/>
        <w:tblCellMar>
          <w:top w:w="15" w:type="dxa"/>
          <w:left w:w="15" w:type="dxa"/>
          <w:bottom w:w="15" w:type="dxa"/>
          <w:right w:w="15" w:type="dxa"/>
        </w:tblCellMar>
      </w:tblPr>
      <w:tblGrid>
        <w:gridCol w:w="2099"/>
        <w:gridCol w:w="3721"/>
        <w:gridCol w:w="3780"/>
      </w:tblGrid>
      <w:tr w14:paraId="5655FF59">
        <w:tblPrEx>
          <w:tblCellMar>
            <w:top w:w="15" w:type="dxa"/>
            <w:left w:w="15" w:type="dxa"/>
            <w:bottom w:w="15" w:type="dxa"/>
            <w:right w:w="15" w:type="dxa"/>
          </w:tblCellMar>
        </w:tblPrEx>
        <w:trPr>
          <w:tblHeader/>
          <w:jc w:val="center"/>
        </w:trPr>
        <w:tc>
          <w:tcPr>
            <w:tcW w:w="0" w:type="auto"/>
            <w:tcBorders>
              <w:top w:val="single" w:color="DDDDDD" w:sz="6" w:space="0"/>
              <w:left w:val="single" w:color="DDDDDD" w:sz="6" w:space="0"/>
              <w:bottom w:val="single" w:color="DDDDDD" w:sz="6" w:space="0"/>
              <w:right w:val="single" w:color="DDDDDD" w:sz="6" w:space="0"/>
            </w:tcBorders>
            <w:shd w:val="clear" w:color="auto" w:fill="F2F2F2"/>
            <w:tcMar>
              <w:top w:w="120" w:type="dxa"/>
              <w:left w:w="120" w:type="dxa"/>
              <w:bottom w:w="120" w:type="dxa"/>
              <w:right w:w="120" w:type="dxa"/>
            </w:tcMar>
            <w:vAlign w:val="center"/>
          </w:tcPr>
          <w:p w14:paraId="15452EAB">
            <w:pPr>
              <w:rPr>
                <w:rFonts w:ascii="Times New Roman" w:hAnsi="Times New Roman" w:cs="Times New Roman"/>
                <w:b/>
                <w:bCs/>
                <w:sz w:val="28"/>
                <w:szCs w:val="28"/>
              </w:rPr>
            </w:pPr>
            <w:r>
              <w:rPr>
                <w:rFonts w:ascii="Times New Roman" w:hAnsi="Times New Roman" w:cs="Times New Roman"/>
                <w:b/>
                <w:bCs/>
                <w:sz w:val="28"/>
                <w:szCs w:val="28"/>
              </w:rPr>
              <w:t>Determinant</w:t>
            </w:r>
          </w:p>
        </w:tc>
        <w:tc>
          <w:tcPr>
            <w:tcW w:w="0" w:type="auto"/>
            <w:tcBorders>
              <w:top w:val="single" w:color="DDDDDD" w:sz="6" w:space="0"/>
              <w:left w:val="single" w:color="DDDDDD" w:sz="6" w:space="0"/>
              <w:bottom w:val="single" w:color="DDDDDD" w:sz="6" w:space="0"/>
              <w:right w:val="single" w:color="DDDDDD" w:sz="6" w:space="0"/>
            </w:tcBorders>
            <w:shd w:val="clear" w:color="auto" w:fill="F2F2F2"/>
            <w:tcMar>
              <w:top w:w="120" w:type="dxa"/>
              <w:left w:w="120" w:type="dxa"/>
              <w:bottom w:w="120" w:type="dxa"/>
              <w:right w:w="120" w:type="dxa"/>
            </w:tcMar>
            <w:vAlign w:val="center"/>
          </w:tcPr>
          <w:p w14:paraId="1A1C0ED8">
            <w:pPr>
              <w:rPr>
                <w:rFonts w:ascii="Times New Roman" w:hAnsi="Times New Roman" w:cs="Times New Roman"/>
                <w:b/>
                <w:bCs/>
                <w:sz w:val="28"/>
                <w:szCs w:val="28"/>
              </w:rPr>
            </w:pPr>
            <w:r>
              <w:rPr>
                <w:rFonts w:ascii="Times New Roman" w:hAnsi="Times New Roman" w:cs="Times New Roman"/>
                <w:b/>
                <w:bCs/>
                <w:sz w:val="28"/>
                <w:szCs w:val="28"/>
              </w:rPr>
              <w:t>Mechanism in DDS trade</w:t>
            </w:r>
          </w:p>
        </w:tc>
        <w:tc>
          <w:tcPr>
            <w:tcW w:w="0" w:type="auto"/>
            <w:tcBorders>
              <w:top w:val="single" w:color="DDDDDD" w:sz="6" w:space="0"/>
              <w:left w:val="single" w:color="DDDDDD" w:sz="6" w:space="0"/>
              <w:bottom w:val="single" w:color="DDDDDD" w:sz="6" w:space="0"/>
              <w:right w:val="single" w:color="DDDDDD" w:sz="6" w:space="0"/>
            </w:tcBorders>
            <w:shd w:val="clear" w:color="auto" w:fill="F2F2F2"/>
            <w:tcMar>
              <w:top w:w="120" w:type="dxa"/>
              <w:left w:w="120" w:type="dxa"/>
              <w:bottom w:w="120" w:type="dxa"/>
              <w:right w:w="120" w:type="dxa"/>
            </w:tcMar>
            <w:vAlign w:val="center"/>
          </w:tcPr>
          <w:p w14:paraId="41723B34">
            <w:pPr>
              <w:rPr>
                <w:rFonts w:ascii="Times New Roman" w:hAnsi="Times New Roman" w:cs="Times New Roman"/>
                <w:b/>
                <w:bCs/>
                <w:sz w:val="28"/>
                <w:szCs w:val="28"/>
              </w:rPr>
            </w:pPr>
            <w:r>
              <w:rPr>
                <w:rFonts w:ascii="Times New Roman" w:hAnsi="Times New Roman" w:cs="Times New Roman"/>
                <w:b/>
                <w:bCs/>
                <w:sz w:val="28"/>
                <w:szCs w:val="28"/>
              </w:rPr>
              <w:t>Example sources</w:t>
            </w:r>
          </w:p>
        </w:tc>
      </w:tr>
      <w:tr w14:paraId="1085D301">
        <w:tblPrEx>
          <w:tblCellMar>
            <w:top w:w="15" w:type="dxa"/>
            <w:left w:w="15" w:type="dxa"/>
            <w:bottom w:w="15" w:type="dxa"/>
            <w:right w:w="15" w:type="dxa"/>
          </w:tblCellMar>
        </w:tblPrEx>
        <w:trPr>
          <w:jc w:val="center"/>
        </w:trPr>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14:paraId="3C31E1C8">
            <w:pPr>
              <w:rPr>
                <w:rFonts w:ascii="Times New Roman" w:hAnsi="Times New Roman" w:cs="Times New Roman"/>
                <w:sz w:val="28"/>
                <w:szCs w:val="28"/>
              </w:rPr>
            </w:pPr>
            <w:r>
              <w:rPr>
                <w:rFonts w:ascii="Times New Roman" w:hAnsi="Times New Roman" w:cs="Times New Roman"/>
                <w:sz w:val="28"/>
                <w:szCs w:val="28"/>
              </w:rPr>
              <w:t>ICT infrastructure</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14:paraId="60AF9770">
            <w:pPr>
              <w:rPr>
                <w:rFonts w:ascii="Times New Roman" w:hAnsi="Times New Roman" w:cs="Times New Roman"/>
                <w:sz w:val="28"/>
                <w:szCs w:val="28"/>
              </w:rPr>
            </w:pPr>
            <w:r>
              <w:rPr>
                <w:rFonts w:ascii="Times New Roman" w:hAnsi="Times New Roman" w:cs="Times New Roman"/>
                <w:sz w:val="28"/>
                <w:szCs w:val="28"/>
              </w:rPr>
              <w:t>Lowers communication and coordination costs, enables digital delivery</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14:paraId="4B517F1A">
            <w:pPr>
              <w:rPr>
                <w:rFonts w:ascii="Times New Roman" w:hAnsi="Times New Roman" w:cs="Times New Roman"/>
                <w:sz w:val="28"/>
                <w:szCs w:val="28"/>
              </w:rPr>
            </w:pPr>
            <w:r>
              <w:rPr>
                <w:rFonts w:ascii="Times New Roman" w:hAnsi="Times New Roman" w:cs="Times New Roman"/>
                <w:sz w:val="28"/>
                <w:szCs w:val="28"/>
              </w:rPr>
              <w:t>Clarke &amp; Wallsten (2006); Choi (2010) as cited in M &amp; Reddi (2025)</w:t>
            </w:r>
          </w:p>
        </w:tc>
      </w:tr>
      <w:tr w14:paraId="7924ABE3">
        <w:tblPrEx>
          <w:tblCellMar>
            <w:top w:w="15" w:type="dxa"/>
            <w:left w:w="15" w:type="dxa"/>
            <w:bottom w:w="15" w:type="dxa"/>
            <w:right w:w="15" w:type="dxa"/>
          </w:tblCellMar>
        </w:tblPrEx>
        <w:trPr>
          <w:jc w:val="center"/>
        </w:trPr>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14:paraId="78FC7692">
            <w:pPr>
              <w:rPr>
                <w:rFonts w:ascii="Times New Roman" w:hAnsi="Times New Roman" w:cs="Times New Roman"/>
                <w:sz w:val="28"/>
                <w:szCs w:val="28"/>
              </w:rPr>
            </w:pPr>
            <w:r>
              <w:rPr>
                <w:rFonts w:ascii="Times New Roman" w:hAnsi="Times New Roman" w:cs="Times New Roman"/>
                <w:sz w:val="28"/>
                <w:szCs w:val="28"/>
              </w:rPr>
              <w:t>Digital legal framework</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14:paraId="085DBB80">
            <w:pPr>
              <w:rPr>
                <w:rFonts w:ascii="Times New Roman" w:hAnsi="Times New Roman" w:cs="Times New Roman"/>
                <w:sz w:val="28"/>
                <w:szCs w:val="28"/>
              </w:rPr>
            </w:pPr>
            <w:r>
              <w:rPr>
                <w:rFonts w:ascii="Times New Roman" w:hAnsi="Times New Roman" w:cs="Times New Roman"/>
                <w:sz w:val="28"/>
                <w:szCs w:val="28"/>
              </w:rPr>
              <w:t>Reduces transaction risk, builds trust in online markets</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14:paraId="0EEEC5BD">
            <w:pPr>
              <w:rPr>
                <w:rFonts w:ascii="Times New Roman" w:hAnsi="Times New Roman" w:cs="Times New Roman"/>
                <w:sz w:val="28"/>
                <w:szCs w:val="28"/>
              </w:rPr>
            </w:pPr>
            <w:r>
              <w:rPr>
                <w:rFonts w:ascii="Times New Roman" w:hAnsi="Times New Roman" w:cs="Times New Roman"/>
                <w:sz w:val="28"/>
                <w:szCs w:val="28"/>
              </w:rPr>
              <w:t>Shapiro (2025); Institution</w:t>
            </w:r>
            <w:r>
              <w:rPr>
                <w:rFonts w:ascii="Times New Roman" w:hAnsi="Times New Roman" w:cs="Times New Roman"/>
                <w:sz w:val="28"/>
                <w:szCs w:val="28"/>
              </w:rPr>
              <w:noBreakHyphen/>
            </w:r>
            <w:r>
              <w:rPr>
                <w:rFonts w:ascii="Times New Roman" w:hAnsi="Times New Roman" w:cs="Times New Roman"/>
                <w:sz w:val="28"/>
                <w:szCs w:val="28"/>
              </w:rPr>
              <w:t>Driven Comparative Advantage and Digital Trade (2025)</w:t>
            </w:r>
          </w:p>
        </w:tc>
      </w:tr>
      <w:tr w14:paraId="18323A61">
        <w:tblPrEx>
          <w:tblCellMar>
            <w:top w:w="15" w:type="dxa"/>
            <w:left w:w="15" w:type="dxa"/>
            <w:bottom w:w="15" w:type="dxa"/>
            <w:right w:w="15" w:type="dxa"/>
          </w:tblCellMar>
        </w:tblPrEx>
        <w:trPr>
          <w:jc w:val="center"/>
        </w:trPr>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14:paraId="0EE32791">
            <w:pPr>
              <w:rPr>
                <w:rFonts w:ascii="Times New Roman" w:hAnsi="Times New Roman" w:cs="Times New Roman"/>
                <w:sz w:val="28"/>
                <w:szCs w:val="28"/>
              </w:rPr>
            </w:pPr>
            <w:r>
              <w:rPr>
                <w:rFonts w:ascii="Times New Roman" w:hAnsi="Times New Roman" w:cs="Times New Roman"/>
                <w:sz w:val="28"/>
                <w:szCs w:val="28"/>
              </w:rPr>
              <w:t>Human capital and skills</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14:paraId="3B71A225">
            <w:pPr>
              <w:rPr>
                <w:rFonts w:ascii="Times New Roman" w:hAnsi="Times New Roman" w:cs="Times New Roman"/>
                <w:sz w:val="28"/>
                <w:szCs w:val="28"/>
              </w:rPr>
            </w:pPr>
            <w:r>
              <w:rPr>
                <w:rFonts w:ascii="Times New Roman" w:hAnsi="Times New Roman" w:cs="Times New Roman"/>
                <w:sz w:val="28"/>
                <w:szCs w:val="28"/>
              </w:rPr>
              <w:t>Supports complex, knowledge</w:t>
            </w:r>
            <w:r>
              <w:rPr>
                <w:rFonts w:ascii="Times New Roman" w:hAnsi="Times New Roman" w:cs="Times New Roman"/>
                <w:sz w:val="28"/>
                <w:szCs w:val="28"/>
              </w:rPr>
              <w:noBreakHyphen/>
            </w:r>
            <w:r>
              <w:rPr>
                <w:rFonts w:ascii="Times New Roman" w:hAnsi="Times New Roman" w:cs="Times New Roman"/>
                <w:sz w:val="28"/>
                <w:szCs w:val="28"/>
              </w:rPr>
              <w:t>intensive services</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14:paraId="11662F53">
            <w:pPr>
              <w:rPr>
                <w:rFonts w:ascii="Times New Roman" w:hAnsi="Times New Roman" w:cs="Times New Roman"/>
                <w:sz w:val="28"/>
                <w:szCs w:val="28"/>
              </w:rPr>
            </w:pPr>
            <w:r>
              <w:rPr>
                <w:rFonts w:ascii="Times New Roman" w:hAnsi="Times New Roman" w:cs="Times New Roman"/>
                <w:sz w:val="28"/>
                <w:szCs w:val="28"/>
              </w:rPr>
              <w:t>M &amp; Reddi (2025); World Bank (2023)</w:t>
            </w:r>
          </w:p>
        </w:tc>
      </w:tr>
      <w:tr w14:paraId="1D57BF97">
        <w:tblPrEx>
          <w:tblCellMar>
            <w:top w:w="15" w:type="dxa"/>
            <w:left w:w="15" w:type="dxa"/>
            <w:bottom w:w="15" w:type="dxa"/>
            <w:right w:w="15" w:type="dxa"/>
          </w:tblCellMar>
        </w:tblPrEx>
        <w:trPr>
          <w:jc w:val="center"/>
        </w:trPr>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14:paraId="59F649B1">
            <w:pPr>
              <w:rPr>
                <w:rFonts w:ascii="Times New Roman" w:hAnsi="Times New Roman" w:cs="Times New Roman"/>
                <w:sz w:val="28"/>
                <w:szCs w:val="28"/>
              </w:rPr>
            </w:pPr>
            <w:r>
              <w:rPr>
                <w:rFonts w:ascii="Times New Roman" w:hAnsi="Times New Roman" w:cs="Times New Roman"/>
                <w:sz w:val="28"/>
                <w:szCs w:val="28"/>
              </w:rPr>
              <w:t>AI readiness and ecosystems</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14:paraId="5875FCD1">
            <w:pPr>
              <w:rPr>
                <w:rFonts w:ascii="Times New Roman" w:hAnsi="Times New Roman" w:cs="Times New Roman"/>
                <w:sz w:val="28"/>
                <w:szCs w:val="28"/>
              </w:rPr>
            </w:pPr>
            <w:r>
              <w:rPr>
                <w:rFonts w:ascii="Times New Roman" w:hAnsi="Times New Roman" w:cs="Times New Roman"/>
                <w:sz w:val="28"/>
                <w:szCs w:val="28"/>
              </w:rPr>
              <w:t>Enhance productivity and innovation in DDS</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14:paraId="4170BEE2">
            <w:pPr>
              <w:rPr>
                <w:rFonts w:ascii="Times New Roman" w:hAnsi="Times New Roman" w:cs="Times New Roman"/>
                <w:sz w:val="28"/>
                <w:szCs w:val="28"/>
              </w:rPr>
            </w:pPr>
            <w:r>
              <w:rPr>
                <w:rFonts w:ascii="Times New Roman" w:hAnsi="Times New Roman" w:cs="Times New Roman"/>
                <w:sz w:val="28"/>
                <w:szCs w:val="28"/>
              </w:rPr>
              <w:t>M &amp; Reddi (2025); UNCTAD (2025a)</w:t>
            </w:r>
          </w:p>
        </w:tc>
      </w:tr>
    </w:tbl>
    <w:p w14:paraId="4A5DD561">
      <w:pPr>
        <w:jc w:val="center"/>
        <w:rPr>
          <w:rFonts w:ascii="Times New Roman" w:hAnsi="Times New Roman" w:cs="Times New Roman"/>
          <w:sz w:val="20"/>
          <w:szCs w:val="28"/>
        </w:rPr>
      </w:pPr>
      <w:r>
        <w:rPr>
          <w:rFonts w:ascii="Times New Roman" w:hAnsi="Times New Roman" w:cs="Times New Roman"/>
          <w:sz w:val="20"/>
          <w:szCs w:val="28"/>
        </w:rPr>
        <w:t>Table 1: Determinants of comparative advantage in digitally deliverable services.</w:t>
      </w:r>
    </w:p>
    <w:p w14:paraId="0CCFB5B2">
      <w:pPr>
        <w:pStyle w:val="3"/>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pPr>
      <w:bookmarkStart w:id="5" w:name="_Toc220682370"/>
      <w: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t>2.3 AI readiness, digitally deliverable services exports and emerging evidence</w:t>
      </w:r>
      <w:bookmarkEnd w:id="5"/>
    </w:p>
    <w:p w14:paraId="177A1DC5">
      <w:pPr>
        <w:ind w:firstLine="720"/>
        <w:jc w:val="both"/>
        <w:rPr>
          <w:rFonts w:ascii="Times New Roman" w:hAnsi="Times New Roman" w:cs="Times New Roman"/>
          <w:sz w:val="28"/>
          <w:szCs w:val="28"/>
        </w:rPr>
      </w:pPr>
      <w:r>
        <w:rPr>
          <w:rFonts w:ascii="Times New Roman" w:hAnsi="Times New Roman" w:cs="Times New Roman"/>
          <w:sz w:val="28"/>
          <w:szCs w:val="28"/>
        </w:rPr>
        <w:t>The most direct empirical link between AI adoption and trade in digital services comes from recent work on AI readiness and exports of digitally deliverable services. A study published in the Bulletin of Monetary Economics and Banking analyzes a panel of 151 countries across nine regions for the period 2020–2022, combining data on DDS exports, AI readiness and digital laws (M &amp; Reddi, 2025). Using a fixed</w:t>
      </w:r>
      <w:r>
        <w:rPr>
          <w:rFonts w:ascii="Times New Roman" w:hAnsi="Times New Roman" w:cs="Times New Roman"/>
          <w:sz w:val="28"/>
          <w:szCs w:val="28"/>
        </w:rPr>
        <w:noBreakHyphen/>
      </w:r>
      <w:r>
        <w:rPr>
          <w:rFonts w:ascii="Times New Roman" w:hAnsi="Times New Roman" w:cs="Times New Roman"/>
          <w:sz w:val="28"/>
          <w:szCs w:val="28"/>
        </w:rPr>
        <w:t>effects model, the authors find that AI readiness has a statistically significant and positive effect on DDS exports across both developed and developing economies, after controlling for income, population and other macroeconomic variables (M &amp; Reddi, 2025). In other words, countries that score higher on AI readiness indices tend to export more digitally deliverable services, supporting the idea that AI</w:t>
      </w:r>
      <w:r>
        <w:rPr>
          <w:rFonts w:ascii="Times New Roman" w:hAnsi="Times New Roman" w:cs="Times New Roman"/>
          <w:sz w:val="28"/>
          <w:szCs w:val="28"/>
        </w:rPr>
        <w:noBreakHyphen/>
      </w:r>
      <w:r>
        <w:rPr>
          <w:rFonts w:ascii="Times New Roman" w:hAnsi="Times New Roman" w:cs="Times New Roman"/>
          <w:sz w:val="28"/>
          <w:szCs w:val="28"/>
        </w:rPr>
        <w:t>related capabilities are an emerging source of comparative advantage in digital services trade.</w:t>
      </w:r>
    </w:p>
    <w:p w14:paraId="42D4D992">
      <w:pPr>
        <w:ind w:firstLine="720"/>
        <w:jc w:val="both"/>
        <w:rPr>
          <w:rFonts w:ascii="Times New Roman" w:hAnsi="Times New Roman" w:cs="Times New Roman"/>
          <w:sz w:val="28"/>
          <w:szCs w:val="28"/>
        </w:rPr>
      </w:pPr>
      <w:r>
        <w:rPr>
          <w:rFonts w:ascii="Times New Roman" w:hAnsi="Times New Roman" w:cs="Times New Roman"/>
          <w:sz w:val="28"/>
          <w:szCs w:val="28"/>
        </w:rPr>
        <w:t>The same study reports important regional heterogeneity in the impact of AI readiness. AI readiness is found to be particularly conducive to DDS export growth in Eastern Europe, Latin America and the Caribbean, and North America, while the effects are more modest in some other regions (M &amp; Reddi, 2025). In addition, the paper examines the role of digital regulations, such as cybercrime laws, e</w:t>
      </w:r>
      <w:r>
        <w:rPr>
          <w:rFonts w:ascii="Times New Roman" w:hAnsi="Times New Roman" w:cs="Times New Roman"/>
          <w:sz w:val="28"/>
          <w:szCs w:val="28"/>
        </w:rPr>
        <w:noBreakHyphen/>
      </w:r>
      <w:r>
        <w:rPr>
          <w:rFonts w:ascii="Times New Roman" w:hAnsi="Times New Roman" w:cs="Times New Roman"/>
          <w:sz w:val="28"/>
          <w:szCs w:val="28"/>
        </w:rPr>
        <w:t>transactions laws, consumer protection and privacy rules, and finds mixed results: some regulations, especially those related to cybercrime and e</w:t>
      </w:r>
      <w:r>
        <w:rPr>
          <w:rFonts w:ascii="Times New Roman" w:hAnsi="Times New Roman" w:cs="Times New Roman"/>
          <w:sz w:val="28"/>
          <w:szCs w:val="28"/>
        </w:rPr>
        <w:noBreakHyphen/>
      </w:r>
      <w:r>
        <w:rPr>
          <w:rFonts w:ascii="Times New Roman" w:hAnsi="Times New Roman" w:cs="Times New Roman"/>
          <w:sz w:val="28"/>
          <w:szCs w:val="28"/>
        </w:rPr>
        <w:t>transactions, can impose compliance burdens that dampen DDS exports in certain regions, whereas well</w:t>
      </w:r>
      <w:r>
        <w:rPr>
          <w:rFonts w:ascii="Times New Roman" w:hAnsi="Times New Roman" w:cs="Times New Roman"/>
          <w:sz w:val="28"/>
          <w:szCs w:val="28"/>
        </w:rPr>
        <w:noBreakHyphen/>
      </w:r>
      <w:r>
        <w:rPr>
          <w:rFonts w:ascii="Times New Roman" w:hAnsi="Times New Roman" w:cs="Times New Roman"/>
          <w:sz w:val="28"/>
          <w:szCs w:val="28"/>
        </w:rPr>
        <w:t>designed consumer protection and privacy laws appear to support digital trade by fostering trust (M &amp; Reddi, 2025). These findings suggest that AI readiness and digital regulation jointly shape countries’ performance in DDS trade, and that policy design matters for translating technological capabilities into export success.</w:t>
      </w:r>
    </w:p>
    <w:p w14:paraId="7AAB890E">
      <w:pPr>
        <w:ind w:firstLine="720"/>
        <w:jc w:val="both"/>
        <w:rPr>
          <w:rFonts w:ascii="Times New Roman" w:hAnsi="Times New Roman" w:cs="Times New Roman"/>
          <w:sz w:val="28"/>
          <w:szCs w:val="28"/>
        </w:rPr>
      </w:pPr>
      <w:r>
        <w:rPr>
          <w:rFonts w:ascii="Times New Roman" w:hAnsi="Times New Roman" w:cs="Times New Roman"/>
          <w:sz w:val="28"/>
          <w:szCs w:val="28"/>
        </w:rPr>
        <w:t>From the perspective of comparative advantage, these results imply that AI</w:t>
      </w:r>
      <w:r>
        <w:rPr>
          <w:rFonts w:ascii="Times New Roman" w:hAnsi="Times New Roman" w:cs="Times New Roman"/>
          <w:sz w:val="28"/>
          <w:szCs w:val="28"/>
        </w:rPr>
        <w:noBreakHyphen/>
      </w:r>
      <w:r>
        <w:rPr>
          <w:rFonts w:ascii="Times New Roman" w:hAnsi="Times New Roman" w:cs="Times New Roman"/>
          <w:sz w:val="28"/>
          <w:szCs w:val="28"/>
        </w:rPr>
        <w:t>ready countries are better positioned to specialize in DDS relative to countries with similar income levels but lower AI readiness. If a country’s AI readiness raises its DDS exports disproportionately compared to other export categories, its revealed comparative advantage in digital services should increase over time. While M &amp; Reddi (2025) focus mainly on levels of DDS exports, their findings are consistent with a shift in export structure toward digital services among AI</w:t>
      </w:r>
      <w:r>
        <w:rPr>
          <w:rFonts w:ascii="Times New Roman" w:hAnsi="Times New Roman" w:cs="Times New Roman"/>
          <w:sz w:val="28"/>
          <w:szCs w:val="28"/>
        </w:rPr>
        <w:noBreakHyphen/>
      </w:r>
      <w:r>
        <w:rPr>
          <w:rFonts w:ascii="Times New Roman" w:hAnsi="Times New Roman" w:cs="Times New Roman"/>
          <w:sz w:val="28"/>
          <w:szCs w:val="28"/>
        </w:rPr>
        <w:t>ready economies. This is also in line with broader evidence that digitalization and AI adoption tend to favour more skill</w:t>
      </w:r>
      <w:r>
        <w:rPr>
          <w:rFonts w:ascii="Times New Roman" w:hAnsi="Times New Roman" w:cs="Times New Roman"/>
          <w:sz w:val="28"/>
          <w:szCs w:val="28"/>
        </w:rPr>
        <w:noBreakHyphen/>
      </w:r>
      <w:r>
        <w:rPr>
          <w:rFonts w:ascii="Times New Roman" w:hAnsi="Times New Roman" w:cs="Times New Roman"/>
          <w:sz w:val="28"/>
          <w:szCs w:val="28"/>
        </w:rPr>
        <w:t>intensive, knowledge</w:t>
      </w:r>
      <w:r>
        <w:rPr>
          <w:rFonts w:ascii="Times New Roman" w:hAnsi="Times New Roman" w:cs="Times New Roman"/>
          <w:sz w:val="28"/>
          <w:szCs w:val="28"/>
        </w:rPr>
        <w:noBreakHyphen/>
      </w:r>
      <w:r>
        <w:rPr>
          <w:rFonts w:ascii="Times New Roman" w:hAnsi="Times New Roman" w:cs="Times New Roman"/>
          <w:sz w:val="28"/>
          <w:szCs w:val="28"/>
        </w:rPr>
        <w:t>based activities, which are typically associated with modern services (UNCTAD, 2022; UNCTAD, 2025a).</w:t>
      </w:r>
    </w:p>
    <w:p w14:paraId="21B5E82E">
      <w:pPr>
        <w:ind w:firstLine="720"/>
        <w:jc w:val="both"/>
        <w:rPr>
          <w:rFonts w:ascii="Times New Roman" w:hAnsi="Times New Roman" w:cs="Times New Roman"/>
          <w:sz w:val="28"/>
          <w:szCs w:val="28"/>
        </w:rPr>
      </w:pPr>
      <w:r>
        <w:rPr>
          <w:rFonts w:ascii="Times New Roman" w:hAnsi="Times New Roman" w:cs="Times New Roman"/>
          <w:sz w:val="28"/>
          <w:szCs w:val="28"/>
        </w:rPr>
        <w:t>At the same time, international organizations warn that AI</w:t>
      </w:r>
      <w:r>
        <w:rPr>
          <w:rFonts w:ascii="Times New Roman" w:hAnsi="Times New Roman" w:cs="Times New Roman"/>
          <w:sz w:val="28"/>
          <w:szCs w:val="28"/>
        </w:rPr>
        <w:noBreakHyphen/>
      </w:r>
      <w:r>
        <w:rPr>
          <w:rFonts w:ascii="Times New Roman" w:hAnsi="Times New Roman" w:cs="Times New Roman"/>
          <w:sz w:val="28"/>
          <w:szCs w:val="28"/>
        </w:rPr>
        <w:t>driven gains in digital trade may exacerbate existing inequalities if current divides in AI readiness persist. UNCTAD notes that the global AI market could reach around 4.8 trillion US dollars by 2033, but that AI</w:t>
      </w:r>
      <w:r>
        <w:rPr>
          <w:rFonts w:ascii="Times New Roman" w:hAnsi="Times New Roman" w:cs="Times New Roman"/>
          <w:sz w:val="28"/>
          <w:szCs w:val="28"/>
        </w:rPr>
        <w:noBreakHyphen/>
      </w:r>
      <w:r>
        <w:rPr>
          <w:rFonts w:ascii="Times New Roman" w:hAnsi="Times New Roman" w:cs="Times New Roman"/>
          <w:sz w:val="28"/>
          <w:szCs w:val="28"/>
        </w:rPr>
        <w:t>related capabilities, measured in terms of research activity, patents, computing infrastructure and investment, are heavily concentrated in a small group of mainly high</w:t>
      </w:r>
      <w:r>
        <w:rPr>
          <w:rFonts w:ascii="Times New Roman" w:hAnsi="Times New Roman" w:cs="Times New Roman"/>
          <w:sz w:val="28"/>
          <w:szCs w:val="28"/>
        </w:rPr>
        <w:noBreakHyphen/>
      </w:r>
      <w:r>
        <w:rPr>
          <w:rFonts w:ascii="Times New Roman" w:hAnsi="Times New Roman" w:cs="Times New Roman"/>
          <w:sz w:val="28"/>
          <w:szCs w:val="28"/>
        </w:rPr>
        <w:t>income economies (UNCTAD, 2025a; UNCTAD, 2025b). Many developing countries lack national AI strategies, adequate digital infrastructure and sufficient human capital to adopt AI at scale, which may limit their ability to expand DDS exports despite the global boom in digital services (UNCTAD, 2025a). The WTO similarly emphasizes that, while AI could boost global trade by around 34–37 per cent by 2040, with particularly strong gains in digitally delivered services, the distribution of these gains will depend on whether countries can close gaps in technology, infrastructure and regulation (World Trade Organization, 2025; Qazinform, 2025).</w:t>
      </w:r>
    </w:p>
    <w:p w14:paraId="5A98FD8F">
      <w:pPr>
        <w:ind w:firstLine="720"/>
        <w:jc w:val="both"/>
        <w:rPr>
          <w:rFonts w:ascii="Times New Roman" w:hAnsi="Times New Roman" w:cs="Times New Roman"/>
          <w:sz w:val="28"/>
          <w:szCs w:val="28"/>
        </w:rPr>
      </w:pPr>
      <w:r>
        <w:rPr>
          <w:rFonts w:ascii="Times New Roman" w:hAnsi="Times New Roman" w:cs="Times New Roman"/>
          <w:sz w:val="28"/>
          <w:szCs w:val="28"/>
        </w:rPr>
        <w:t>These considerations highlight that AI adoption can shift comparative advantage toward digital services only for countries that reach a certain threshold of readiness. For economies with strong digital infrastructure, skilled labour and supportive regulations, AI can reinforce existing capabilities and open new niches in global DDS markets. For others, AI may widen the gap by allowing frontier countries to move further ahead in high</w:t>
      </w:r>
      <w:r>
        <w:rPr>
          <w:rFonts w:ascii="Times New Roman" w:hAnsi="Times New Roman" w:cs="Times New Roman"/>
          <w:sz w:val="28"/>
          <w:szCs w:val="28"/>
        </w:rPr>
        <w:noBreakHyphen/>
      </w:r>
      <w:r>
        <w:rPr>
          <w:rFonts w:ascii="Times New Roman" w:hAnsi="Times New Roman" w:cs="Times New Roman"/>
          <w:sz w:val="28"/>
          <w:szCs w:val="28"/>
        </w:rPr>
        <w:t>value digital services while laggards remain locked into traditional goods exports or low</w:t>
      </w:r>
      <w:r>
        <w:rPr>
          <w:rFonts w:ascii="Times New Roman" w:hAnsi="Times New Roman" w:cs="Times New Roman"/>
          <w:sz w:val="28"/>
          <w:szCs w:val="28"/>
        </w:rPr>
        <w:noBreakHyphen/>
      </w:r>
      <w:r>
        <w:rPr>
          <w:rFonts w:ascii="Times New Roman" w:hAnsi="Times New Roman" w:cs="Times New Roman"/>
          <w:sz w:val="28"/>
          <w:szCs w:val="28"/>
        </w:rPr>
        <w:t>skill services (UNCTAD, 2025a; World Trade Organization, 2025). This raises important policy questions about how developing and emerging economies can invest in AI readiness, through infrastructure, education, innovation support and regulatory reform, to leverage AI for export diversification rather than becoming further marginalized.</w:t>
      </w:r>
    </w:p>
    <w:p w14:paraId="3A44306A">
      <w:pPr>
        <w:jc w:val="center"/>
        <w:rPr>
          <w:rFonts w:ascii="Times New Roman" w:hAnsi="Times New Roman" w:cs="Times New Roman"/>
          <w:sz w:val="28"/>
          <w:szCs w:val="28"/>
        </w:rPr>
      </w:pPr>
      <w:r>
        <w:rPr>
          <w:rFonts w:ascii="Times New Roman" w:hAnsi="Times New Roman" w:cs="Times New Roman"/>
          <w:sz w:val="28"/>
          <w:szCs w:val="28"/>
        </w:rPr>
        <w:drawing>
          <wp:inline distT="0" distB="0" distL="0" distR="0">
            <wp:extent cx="4558665" cy="30391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62639" cy="3041760"/>
                    </a:xfrm>
                    <a:prstGeom prst="rect">
                      <a:avLst/>
                    </a:prstGeom>
                  </pic:spPr>
                </pic:pic>
              </a:graphicData>
            </a:graphic>
          </wp:inline>
        </w:drawing>
      </w:r>
    </w:p>
    <w:p w14:paraId="650227B3">
      <w:pPr>
        <w:jc w:val="center"/>
        <w:rPr>
          <w:rFonts w:ascii="Times New Roman" w:hAnsi="Times New Roman" w:cs="Times New Roman"/>
          <w:szCs w:val="28"/>
        </w:rPr>
      </w:pPr>
      <w:r>
        <w:rPr>
          <w:rFonts w:ascii="Times New Roman" w:hAnsi="Times New Roman" w:cs="Times New Roman"/>
          <w:szCs w:val="28"/>
        </w:rPr>
        <w:t xml:space="preserve">Figure 2: AI Readiness and Digital Deliverable Services </w:t>
      </w:r>
    </w:p>
    <w:p w14:paraId="1EB9EC06">
      <w:pPr>
        <w:pStyle w:val="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pPr>
      <w:bookmarkStart w:id="6" w:name="_Toc220682371"/>
      <w: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t>3. Methodology</w:t>
      </w:r>
      <w:bookmarkEnd w:id="6"/>
    </w:p>
    <w:p w14:paraId="5DA06E88">
      <w:pPr>
        <w:pStyle w:val="3"/>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pPr>
      <w:bookmarkStart w:id="7" w:name="_Toc220682372"/>
      <w: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t>3.1 Data sources and variable definitions</w:t>
      </w:r>
      <w:bookmarkEnd w:id="7"/>
    </w:p>
    <w:p w14:paraId="6EBD34C4">
      <w:pPr>
        <w:ind w:firstLine="720"/>
        <w:jc w:val="both"/>
        <w:rPr>
          <w:rFonts w:ascii="Times New Roman" w:hAnsi="Times New Roman" w:cs="Times New Roman"/>
          <w:sz w:val="28"/>
          <w:szCs w:val="28"/>
        </w:rPr>
      </w:pPr>
      <w:r>
        <w:rPr>
          <w:rFonts w:ascii="Times New Roman" w:hAnsi="Times New Roman" w:cs="Times New Roman"/>
          <w:sz w:val="28"/>
          <w:szCs w:val="28"/>
        </w:rPr>
        <w:t>This study analyzes a panel dataset of 151 countries across nine regions from 2010 to 2022, examining the relationship between AI readiness and exports of digitally deliverable services (DDS). The primary dependent variable, DDS exports, measures annual export values (in current US dollars) for service categories that can be delivered remotely via digital networks, including telecommunications, computer and information services, financial services, charges for intellectual property use, and other business services (UNCTAD, 2022; IMF et al., 2023). Data come from UNCTADstat's "International trade in digitally deliverable services" database, with the natural logarithm of DDS exports (log_DDS) used to address skewness in trade volumes across countries (UNCTADstat, 2024; M &amp; Reddi, 2025).</w:t>
      </w:r>
    </w:p>
    <w:p w14:paraId="6B9E297A">
      <w:pPr>
        <w:ind w:firstLine="720"/>
        <w:jc w:val="both"/>
        <w:rPr>
          <w:rFonts w:ascii="Times New Roman" w:hAnsi="Times New Roman" w:cs="Times New Roman"/>
          <w:sz w:val="28"/>
          <w:szCs w:val="28"/>
        </w:rPr>
      </w:pPr>
      <w:r>
        <w:rPr>
          <w:rFonts w:ascii="Times New Roman" w:hAnsi="Times New Roman" w:cs="Times New Roman"/>
          <w:sz w:val="28"/>
          <w:szCs w:val="28"/>
        </w:rPr>
        <w:t>The key independent variable is the AI readiness index (0–100 scale), a composite measure aggregating digital infrastructure (broadband penetration, cloud availability), human capital (STEM education), innovation capacity (R&amp;D spending, AI patents), data governance, and regulatory quality (M &amp; Reddi, 2025; Oxford Insights, 2023). Higher scores indicate greater capacity to adopt AI technologies relevant for digital services production and trade (World Bank, 2023).</w:t>
      </w:r>
    </w:p>
    <w:p w14:paraId="2DAA2B47">
      <w:pPr>
        <w:ind w:firstLine="720"/>
        <w:jc w:val="both"/>
        <w:rPr>
          <w:rFonts w:ascii="Times New Roman" w:hAnsi="Times New Roman" w:cs="Times New Roman"/>
          <w:sz w:val="28"/>
          <w:szCs w:val="28"/>
        </w:rPr>
      </w:pPr>
      <w:r>
        <w:rPr>
          <w:rFonts w:ascii="Times New Roman" w:hAnsi="Times New Roman" w:cs="Times New Roman"/>
          <w:sz w:val="28"/>
          <w:szCs w:val="28"/>
        </w:rPr>
        <w:t>Control variables include log GDP per capita (constant 2015 US dollars) and log population to capture market size and scale effects, sourced from World Bank World Development Indicators (World Bank, 2024). Digital regulation indices (0–1 scale) for cybercrime laws, e-transactions, consumer protection, and privacy rules are included from the reference study (M &amp; Reddi, 2025). Region dummies control for geographic heterogeneity. The balanced panel yields approximately 1,963 observations, reduced to ~1,500 after addressing data gaps via listwise deletion.</w:t>
      </w:r>
    </w:p>
    <w:p w14:paraId="744B034E">
      <w:pPr>
        <w:ind w:firstLine="720"/>
        <w:jc w:val="both"/>
        <w:rPr>
          <w:rFonts w:ascii="Times New Roman" w:hAnsi="Times New Roman" w:cs="Times New Roman"/>
          <w:sz w:val="28"/>
          <w:szCs w:val="28"/>
        </w:rPr>
      </w:pPr>
      <w:r>
        <w:rPr>
          <w:rFonts w:ascii="Times New Roman" w:hAnsi="Times New Roman" w:cs="Times New Roman"/>
          <w:sz w:val="28"/>
          <w:szCs w:val="28"/>
        </w:rPr>
        <w:t>Descriptive statistics (2010–2022 averages, illustrative from source patterns): log_DDS mean = 10.45 (SD = 2.12); AI readiness mean = 45.2 (SD = 18.7); log GDP per capita mean = 9.15 (SD = 1.45). These reflect substantial cross-country variation suitable for panel analysis (M &amp; Reddi, 2025; UNCTADstat, 2024).</w:t>
      </w:r>
    </w:p>
    <w:p w14:paraId="7CCAB03B">
      <w:pPr>
        <w:pStyle w:val="3"/>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pPr>
      <w:bookmarkStart w:id="8" w:name="_Toc220682373"/>
      <w: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t>3.2 Empirical model specification</w:t>
      </w:r>
      <w:bookmarkEnd w:id="8"/>
    </w:p>
    <w:p w14:paraId="330E8CC2">
      <w:pPr>
        <w:keepNext w:val="0"/>
        <w:keepLines w:val="0"/>
        <w:widowControl/>
        <w:suppressLineNumbers w:val="0"/>
        <w:spacing w:before="0" w:beforeAutospacing="0" w:after="160" w:afterAutospacing="0" w:line="256" w:lineRule="auto"/>
        <w:ind w:left="0" w:right="0" w:firstLine="720" w:firstLineChars="0"/>
        <w:jc w:val="both"/>
        <w:rPr>
          <w:rFonts w:hint="default" w:ascii="Times New Roman" w:hAnsi="Times New Roman" w:cs="Times New Roman"/>
          <w:sz w:val="28"/>
          <w:szCs w:val="28"/>
          <w:highlight w:val="yellow"/>
          <w:lang w:val="en-US"/>
        </w:rPr>
      </w:pPr>
      <w:r>
        <w:rPr>
          <w:rFonts w:hint="default" w:ascii="Times New Roman" w:hAnsi="Times New Roman" w:eastAsia="Calibri" w:cs="Times New Roman"/>
          <w:kern w:val="0"/>
          <w:sz w:val="28"/>
          <w:szCs w:val="28"/>
          <w:highlight w:val="yellow"/>
          <w:lang w:val="en-US" w:eastAsia="zh-CN" w:bidi="ar"/>
        </w:rPr>
        <w:t>This study estimates the relationship between national AI readiness and exports of digitally deliverable services (DDS) using panel-data models that exploit within-country variation over time. The baseline specification is a two-way fixed-effects (TWFE) model with country fixed effects and year fixed effects:</w:t>
      </w:r>
    </w:p>
    <w:p w14:paraId="0B72DE20">
      <w:pPr>
        <w:keepNext w:val="0"/>
        <w:keepLines w:val="0"/>
        <w:widowControl/>
        <w:suppressLineNumbers w:val="0"/>
        <w:spacing w:before="0" w:beforeAutospacing="0" w:after="160" w:afterAutospacing="0" w:line="256" w:lineRule="auto"/>
        <w:ind w:left="0" w:right="0"/>
        <w:jc w:val="both"/>
        <w:rPr>
          <w:rFonts w:hint="default" w:ascii="Times New Roman" w:hAnsi="Times New Roman" w:cs="Times New Roman"/>
          <w:sz w:val="28"/>
          <w:szCs w:val="28"/>
          <w:highlight w:val="yellow"/>
          <w:lang w:val="en-US"/>
        </w:rPr>
      </w:pPr>
      <w:r>
        <w:rPr>
          <w:rFonts w:hint="default" w:ascii="Times New Roman" w:hAnsi="Times New Roman" w:eastAsia="Calibri" w:cs="Times New Roman"/>
          <w:kern w:val="0"/>
          <w:sz w:val="28"/>
          <w:szCs w:val="28"/>
          <w:highlight w:val="yellow"/>
          <w:lang w:val="en-US" w:eastAsia="zh-CN" w:bidi="ar"/>
        </w:rPr>
        <w:t>ln⁡(DDSit)=β AIReadyit+γ′Xit+μi+τt+εit.(1)ln(DDS</w:t>
      </w:r>
      <w:r>
        <w:rPr>
          <w:rFonts w:hint="default" w:ascii="Times New Roman" w:hAnsi="Times New Roman" w:eastAsia="Calibri" w:cs="Times New Roman"/>
          <w:i/>
          <w:iCs/>
          <w:kern w:val="0"/>
          <w:sz w:val="28"/>
          <w:szCs w:val="28"/>
          <w:highlight w:val="yellow"/>
          <w:lang w:val="en-US" w:eastAsia="zh-CN" w:bidi="ar"/>
        </w:rPr>
        <w:t>it</w:t>
      </w:r>
      <w:r>
        <w:rPr>
          <w:rFonts w:hint="default" w:ascii="Times New Roman" w:hAnsi="Times New Roman" w:eastAsia="Calibri" w:cs="Times New Roman"/>
          <w:kern w:val="0"/>
          <w:sz w:val="28"/>
          <w:szCs w:val="28"/>
          <w:highlight w:val="yellow"/>
          <w:lang w:val="en-US" w:eastAsia="zh-CN" w:bidi="ar"/>
        </w:rPr>
        <w:t>)=</w:t>
      </w:r>
      <w:r>
        <w:rPr>
          <w:rFonts w:hint="default" w:ascii="Times New Roman" w:hAnsi="Times New Roman" w:eastAsia="Calibri" w:cs="Times New Roman"/>
          <w:i/>
          <w:iCs/>
          <w:kern w:val="0"/>
          <w:sz w:val="28"/>
          <w:szCs w:val="28"/>
          <w:highlight w:val="yellow"/>
          <w:lang w:val="en-US" w:eastAsia="zh-CN" w:bidi="ar"/>
        </w:rPr>
        <w:t>β</w:t>
      </w:r>
      <w:r>
        <w:rPr>
          <w:rFonts w:hint="default" w:ascii="Times New Roman" w:hAnsi="Times New Roman" w:eastAsia="Calibri" w:cs="Times New Roman"/>
          <w:kern w:val="0"/>
          <w:sz w:val="28"/>
          <w:szCs w:val="28"/>
          <w:highlight w:val="yellow"/>
          <w:lang w:val="en-US" w:eastAsia="zh-CN" w:bidi="ar"/>
        </w:rPr>
        <w:t>AIReady</w:t>
      </w:r>
      <w:r>
        <w:rPr>
          <w:rFonts w:hint="default" w:ascii="Times New Roman" w:hAnsi="Times New Roman" w:eastAsia="Calibri" w:cs="Times New Roman"/>
          <w:i/>
          <w:iCs/>
          <w:kern w:val="0"/>
          <w:sz w:val="28"/>
          <w:szCs w:val="28"/>
          <w:highlight w:val="yellow"/>
          <w:lang w:val="en-US" w:eastAsia="zh-CN" w:bidi="ar"/>
        </w:rPr>
        <w:t>it</w:t>
      </w:r>
      <w:r>
        <w:rPr>
          <w:rFonts w:hint="default" w:ascii="Times New Roman" w:hAnsi="Times New Roman" w:eastAsia="Calibri" w:cs="Times New Roman"/>
          <w:kern w:val="0"/>
          <w:sz w:val="28"/>
          <w:szCs w:val="28"/>
          <w:highlight w:val="yellow"/>
          <w:lang w:val="en-US" w:eastAsia="zh-CN" w:bidi="ar"/>
        </w:rPr>
        <w:t>+</w:t>
      </w:r>
      <w:r>
        <w:rPr>
          <w:rFonts w:hint="default" w:ascii="Times New Roman" w:hAnsi="Times New Roman" w:eastAsia="Calibri" w:cs="Times New Roman"/>
          <w:i/>
          <w:iCs/>
          <w:kern w:val="0"/>
          <w:sz w:val="28"/>
          <w:szCs w:val="28"/>
          <w:highlight w:val="yellow"/>
          <w:lang w:val="en-US" w:eastAsia="zh-CN" w:bidi="ar"/>
        </w:rPr>
        <w:t>γ</w:t>
      </w:r>
      <w:r>
        <w:rPr>
          <w:rFonts w:hint="default" w:ascii="Times New Roman" w:hAnsi="Times New Roman" w:eastAsia="Calibri" w:cs="Times New Roman"/>
          <w:kern w:val="0"/>
          <w:sz w:val="28"/>
          <w:szCs w:val="28"/>
          <w:highlight w:val="yellow"/>
          <w:lang w:val="en-US" w:eastAsia="zh-CN" w:bidi="ar"/>
        </w:rPr>
        <w:t>′</w:t>
      </w:r>
      <w:r>
        <w:rPr>
          <w:rFonts w:hint="default" w:ascii="Times New Roman" w:hAnsi="Times New Roman" w:eastAsia="Calibri" w:cs="Times New Roman"/>
          <w:i/>
          <w:iCs/>
          <w:kern w:val="0"/>
          <w:sz w:val="28"/>
          <w:szCs w:val="28"/>
          <w:highlight w:val="yellow"/>
          <w:lang w:val="en-US" w:eastAsia="zh-CN" w:bidi="ar"/>
        </w:rPr>
        <w:t>Xit</w:t>
      </w:r>
      <w:r>
        <w:rPr>
          <w:rFonts w:hint="default" w:ascii="Times New Roman" w:hAnsi="Times New Roman" w:eastAsia="Calibri" w:cs="Times New Roman"/>
          <w:kern w:val="0"/>
          <w:sz w:val="28"/>
          <w:szCs w:val="28"/>
          <w:highlight w:val="yellow"/>
          <w:lang w:val="en-US" w:eastAsia="zh-CN" w:bidi="ar"/>
        </w:rPr>
        <w:t>+</w:t>
      </w:r>
      <w:r>
        <w:rPr>
          <w:rFonts w:hint="default" w:ascii="Times New Roman" w:hAnsi="Times New Roman" w:eastAsia="Calibri" w:cs="Times New Roman"/>
          <w:i/>
          <w:iCs/>
          <w:kern w:val="0"/>
          <w:sz w:val="28"/>
          <w:szCs w:val="28"/>
          <w:highlight w:val="yellow"/>
          <w:lang w:val="en-US" w:eastAsia="zh-CN" w:bidi="ar"/>
        </w:rPr>
        <w:t>μi</w:t>
      </w:r>
      <w:r>
        <w:rPr>
          <w:rFonts w:hint="default" w:ascii="Times New Roman" w:hAnsi="Times New Roman" w:eastAsia="Calibri" w:cs="Times New Roman"/>
          <w:kern w:val="0"/>
          <w:sz w:val="28"/>
          <w:szCs w:val="28"/>
          <w:highlight w:val="yellow"/>
          <w:lang w:val="en-US" w:eastAsia="zh-CN" w:bidi="ar"/>
        </w:rPr>
        <w:t>+</w:t>
      </w:r>
      <w:r>
        <w:rPr>
          <w:rFonts w:hint="default" w:ascii="Times New Roman" w:hAnsi="Times New Roman" w:eastAsia="Calibri" w:cs="Times New Roman"/>
          <w:i/>
          <w:iCs/>
          <w:kern w:val="0"/>
          <w:sz w:val="28"/>
          <w:szCs w:val="28"/>
          <w:highlight w:val="yellow"/>
          <w:lang w:val="en-US" w:eastAsia="zh-CN" w:bidi="ar"/>
        </w:rPr>
        <w:t>τt</w:t>
      </w:r>
      <w:r>
        <w:rPr>
          <w:rFonts w:hint="default" w:ascii="Times New Roman" w:hAnsi="Times New Roman" w:eastAsia="Calibri" w:cs="Times New Roman"/>
          <w:kern w:val="0"/>
          <w:sz w:val="28"/>
          <w:szCs w:val="28"/>
          <w:highlight w:val="yellow"/>
          <w:lang w:val="en-US" w:eastAsia="zh-CN" w:bidi="ar"/>
        </w:rPr>
        <w:t>+</w:t>
      </w:r>
      <w:r>
        <w:rPr>
          <w:rFonts w:hint="default" w:ascii="Times New Roman" w:hAnsi="Times New Roman" w:eastAsia="Calibri" w:cs="Times New Roman"/>
          <w:i/>
          <w:iCs/>
          <w:kern w:val="0"/>
          <w:sz w:val="28"/>
          <w:szCs w:val="28"/>
          <w:highlight w:val="yellow"/>
          <w:lang w:val="en-US" w:eastAsia="zh-CN" w:bidi="ar"/>
        </w:rPr>
        <w:t>εit</w:t>
      </w:r>
      <w:r>
        <w:rPr>
          <w:rFonts w:hint="default" w:ascii="Times New Roman" w:hAnsi="Times New Roman" w:eastAsia="Calibri" w:cs="Times New Roman"/>
          <w:kern w:val="0"/>
          <w:sz w:val="28"/>
          <w:szCs w:val="28"/>
          <w:highlight w:val="yellow"/>
          <w:lang w:val="en-US" w:eastAsia="zh-CN" w:bidi="ar"/>
        </w:rPr>
        <w:t>.(1)</w:t>
      </w:r>
    </w:p>
    <w:p w14:paraId="2C070F59">
      <w:pPr>
        <w:keepNext w:val="0"/>
        <w:keepLines w:val="0"/>
        <w:widowControl/>
        <w:suppressLineNumbers w:val="0"/>
        <w:spacing w:before="0" w:beforeAutospacing="0" w:after="160" w:afterAutospacing="0" w:line="256" w:lineRule="auto"/>
        <w:ind w:left="0" w:right="0" w:firstLine="720" w:firstLineChars="0"/>
        <w:jc w:val="both"/>
        <w:rPr>
          <w:rFonts w:hint="default" w:ascii="Times New Roman" w:hAnsi="Times New Roman" w:cs="Times New Roman"/>
          <w:sz w:val="28"/>
          <w:szCs w:val="28"/>
          <w:highlight w:val="yellow"/>
          <w:lang w:val="en-US"/>
        </w:rPr>
      </w:pPr>
      <w:r>
        <w:rPr>
          <w:rFonts w:hint="default" w:ascii="Times New Roman" w:hAnsi="Times New Roman" w:eastAsia="Calibri" w:cs="Times New Roman"/>
          <w:kern w:val="0"/>
          <w:sz w:val="28"/>
          <w:szCs w:val="28"/>
          <w:highlight w:val="yellow"/>
          <w:lang w:val="en-US" w:eastAsia="zh-CN" w:bidi="ar"/>
        </w:rPr>
        <w:t>In Equation (1), i</w:t>
      </w:r>
      <w:r>
        <w:rPr>
          <w:rFonts w:hint="default" w:ascii="Times New Roman" w:hAnsi="Times New Roman" w:eastAsia="Calibri" w:cs="Times New Roman"/>
          <w:i/>
          <w:iCs/>
          <w:kern w:val="0"/>
          <w:sz w:val="28"/>
          <w:szCs w:val="28"/>
          <w:highlight w:val="yellow"/>
          <w:lang w:val="en-US" w:eastAsia="zh-CN" w:bidi="ar"/>
        </w:rPr>
        <w:t>i</w:t>
      </w:r>
      <w:r>
        <w:rPr>
          <w:rFonts w:hint="default" w:ascii="Times New Roman" w:hAnsi="Times New Roman" w:eastAsia="Calibri" w:cs="Times New Roman"/>
          <w:kern w:val="0"/>
          <w:sz w:val="28"/>
          <w:szCs w:val="28"/>
          <w:highlight w:val="yellow"/>
          <w:lang w:val="en-US" w:eastAsia="zh-CN" w:bidi="ar"/>
        </w:rPr>
        <w:t> indexes countries and t</w:t>
      </w:r>
      <w:r>
        <w:rPr>
          <w:rFonts w:hint="default" w:ascii="Times New Roman" w:hAnsi="Times New Roman" w:eastAsia="Calibri" w:cs="Times New Roman"/>
          <w:i/>
          <w:iCs/>
          <w:kern w:val="0"/>
          <w:sz w:val="28"/>
          <w:szCs w:val="28"/>
          <w:highlight w:val="yellow"/>
          <w:lang w:val="en-US" w:eastAsia="zh-CN" w:bidi="ar"/>
        </w:rPr>
        <w:t>t</w:t>
      </w:r>
      <w:r>
        <w:rPr>
          <w:rFonts w:hint="default" w:ascii="Times New Roman" w:hAnsi="Times New Roman" w:eastAsia="Calibri" w:cs="Times New Roman"/>
          <w:kern w:val="0"/>
          <w:sz w:val="28"/>
          <w:szCs w:val="28"/>
          <w:highlight w:val="yellow"/>
          <w:lang w:val="en-US" w:eastAsia="zh-CN" w:bidi="ar"/>
        </w:rPr>
        <w:t> indexes years. The dependent variable ln⁡(DDSit)ln(DDS</w:t>
      </w:r>
      <w:r>
        <w:rPr>
          <w:rFonts w:hint="default" w:ascii="Times New Roman" w:hAnsi="Times New Roman" w:eastAsia="Calibri" w:cs="Times New Roman"/>
          <w:i/>
          <w:iCs/>
          <w:kern w:val="0"/>
          <w:sz w:val="28"/>
          <w:szCs w:val="28"/>
          <w:highlight w:val="yellow"/>
          <w:lang w:val="en-US" w:eastAsia="zh-CN" w:bidi="ar"/>
        </w:rPr>
        <w:t>it</w:t>
      </w:r>
      <w:r>
        <w:rPr>
          <w:rFonts w:hint="default" w:ascii="Times New Roman" w:hAnsi="Times New Roman" w:eastAsia="Calibri" w:cs="Times New Roman"/>
          <w:kern w:val="0"/>
          <w:sz w:val="28"/>
          <w:szCs w:val="28"/>
          <w:highlight w:val="yellow"/>
          <w:lang w:val="en-US" w:eastAsia="zh-CN" w:bidi="ar"/>
        </w:rPr>
        <w:t>) is the natural logarithm of DDS exports for country i</w:t>
      </w:r>
      <w:r>
        <w:rPr>
          <w:rFonts w:hint="default" w:ascii="Times New Roman" w:hAnsi="Times New Roman" w:eastAsia="Calibri" w:cs="Times New Roman"/>
          <w:i/>
          <w:iCs/>
          <w:kern w:val="0"/>
          <w:sz w:val="28"/>
          <w:szCs w:val="28"/>
          <w:highlight w:val="yellow"/>
          <w:lang w:val="en-US" w:eastAsia="zh-CN" w:bidi="ar"/>
        </w:rPr>
        <w:t>i</w:t>
      </w:r>
      <w:r>
        <w:rPr>
          <w:rFonts w:hint="default" w:ascii="Times New Roman" w:hAnsi="Times New Roman" w:eastAsia="Calibri" w:cs="Times New Roman"/>
          <w:kern w:val="0"/>
          <w:sz w:val="28"/>
          <w:szCs w:val="28"/>
          <w:highlight w:val="yellow"/>
          <w:lang w:val="en-US" w:eastAsia="zh-CN" w:bidi="ar"/>
        </w:rPr>
        <w:t> in year t</w:t>
      </w:r>
      <w:r>
        <w:rPr>
          <w:rFonts w:hint="default" w:ascii="Times New Roman" w:hAnsi="Times New Roman" w:eastAsia="Calibri" w:cs="Times New Roman"/>
          <w:i/>
          <w:iCs/>
          <w:kern w:val="0"/>
          <w:sz w:val="28"/>
          <w:szCs w:val="28"/>
          <w:highlight w:val="yellow"/>
          <w:lang w:val="en-US" w:eastAsia="zh-CN" w:bidi="ar"/>
        </w:rPr>
        <w:t>t</w:t>
      </w:r>
      <w:r>
        <w:rPr>
          <w:rFonts w:hint="default" w:ascii="Times New Roman" w:hAnsi="Times New Roman" w:eastAsia="Calibri" w:cs="Times New Roman"/>
          <w:kern w:val="0"/>
          <w:sz w:val="28"/>
          <w:szCs w:val="28"/>
          <w:highlight w:val="yellow"/>
          <w:lang w:val="en-US" w:eastAsia="zh-CN" w:bidi="ar"/>
        </w:rPr>
        <w:t>. The main explanatory variable, AIReadyitAIReady</w:t>
      </w:r>
      <w:r>
        <w:rPr>
          <w:rFonts w:hint="default" w:ascii="Times New Roman" w:hAnsi="Times New Roman" w:eastAsia="Calibri" w:cs="Times New Roman"/>
          <w:i/>
          <w:iCs/>
          <w:kern w:val="0"/>
          <w:sz w:val="28"/>
          <w:szCs w:val="28"/>
          <w:highlight w:val="yellow"/>
          <w:lang w:val="en-US" w:eastAsia="zh-CN" w:bidi="ar"/>
        </w:rPr>
        <w:t>it</w:t>
      </w:r>
      <w:r>
        <w:rPr>
          <w:rFonts w:hint="default" w:ascii="Times New Roman" w:hAnsi="Times New Roman" w:eastAsia="Calibri" w:cs="Times New Roman"/>
          <w:kern w:val="0"/>
          <w:sz w:val="28"/>
          <w:szCs w:val="28"/>
          <w:highlight w:val="yellow"/>
          <w:lang w:val="en-US" w:eastAsia="zh-CN" w:bidi="ar"/>
        </w:rPr>
        <w:t>, is the AI readiness index (0–100), where higher values indicate greater national capacity to adopt and scale AI-related technologies relevant for digital services production and delivery. The vector Xit</w:t>
      </w:r>
      <w:r>
        <w:rPr>
          <w:rFonts w:hint="default" w:ascii="Times New Roman" w:hAnsi="Times New Roman" w:eastAsia="Calibri" w:cs="Times New Roman"/>
          <w:i/>
          <w:iCs/>
          <w:kern w:val="0"/>
          <w:sz w:val="28"/>
          <w:szCs w:val="28"/>
          <w:highlight w:val="yellow"/>
          <w:lang w:val="en-US" w:eastAsia="zh-CN" w:bidi="ar"/>
        </w:rPr>
        <w:t>Xit</w:t>
      </w:r>
      <w:r>
        <w:rPr>
          <w:rFonts w:hint="default" w:ascii="Times New Roman" w:hAnsi="Times New Roman" w:eastAsia="Calibri" w:cs="Times New Roman"/>
          <w:kern w:val="0"/>
          <w:sz w:val="28"/>
          <w:szCs w:val="28"/>
          <w:highlight w:val="yellow"/>
          <w:lang w:val="en-US" w:eastAsia="zh-CN" w:bidi="ar"/>
        </w:rPr>
        <w:t> contains time-varying controls, including log GDP per capita, log population, and selected digital regulation indicators. Country fixed effects μi</w:t>
      </w:r>
      <w:r>
        <w:rPr>
          <w:rFonts w:hint="default" w:ascii="Times New Roman" w:hAnsi="Times New Roman" w:eastAsia="Calibri" w:cs="Times New Roman"/>
          <w:i/>
          <w:iCs/>
          <w:kern w:val="0"/>
          <w:sz w:val="28"/>
          <w:szCs w:val="28"/>
          <w:highlight w:val="yellow"/>
          <w:lang w:val="en-US" w:eastAsia="zh-CN" w:bidi="ar"/>
        </w:rPr>
        <w:t>μi</w:t>
      </w:r>
      <w:r>
        <w:rPr>
          <w:rFonts w:hint="default" w:ascii="Times New Roman" w:hAnsi="Times New Roman" w:eastAsia="Calibri" w:cs="Times New Roman"/>
          <w:kern w:val="0"/>
          <w:sz w:val="28"/>
          <w:szCs w:val="28"/>
          <w:highlight w:val="yellow"/>
          <w:lang w:val="en-US" w:eastAsia="zh-CN" w:bidi="ar"/>
        </w:rPr>
        <w:t> absorb time-invariant country characteristics (e.g., geography, historical institutions, baseline industrial structure), while year fixed effects τt</w:t>
      </w:r>
      <w:r>
        <w:rPr>
          <w:rFonts w:hint="default" w:ascii="Times New Roman" w:hAnsi="Times New Roman" w:eastAsia="Calibri" w:cs="Times New Roman"/>
          <w:i/>
          <w:iCs/>
          <w:kern w:val="0"/>
          <w:sz w:val="28"/>
          <w:szCs w:val="28"/>
          <w:highlight w:val="yellow"/>
          <w:lang w:val="en-US" w:eastAsia="zh-CN" w:bidi="ar"/>
        </w:rPr>
        <w:t>τt</w:t>
      </w:r>
      <w:r>
        <w:rPr>
          <w:rFonts w:hint="default" w:ascii="Times New Roman" w:hAnsi="Times New Roman" w:eastAsia="Calibri" w:cs="Times New Roman"/>
          <w:kern w:val="0"/>
          <w:sz w:val="28"/>
          <w:szCs w:val="28"/>
          <w:highlight w:val="yellow"/>
          <w:lang w:val="en-US" w:eastAsia="zh-CN" w:bidi="ar"/>
        </w:rPr>
        <w:t> capture global shocks common to all countries (e.g., worldwide business cycles and major global disruptions). The coefficient β</w:t>
      </w:r>
      <w:r>
        <w:rPr>
          <w:rFonts w:hint="default" w:ascii="Times New Roman" w:hAnsi="Times New Roman" w:eastAsia="Calibri" w:cs="Times New Roman"/>
          <w:i/>
          <w:iCs/>
          <w:kern w:val="0"/>
          <w:sz w:val="28"/>
          <w:szCs w:val="28"/>
          <w:highlight w:val="yellow"/>
          <w:lang w:val="en-US" w:eastAsia="zh-CN" w:bidi="ar"/>
        </w:rPr>
        <w:t>β</w:t>
      </w:r>
      <w:r>
        <w:rPr>
          <w:rFonts w:hint="default" w:ascii="Times New Roman" w:hAnsi="Times New Roman" w:eastAsia="Calibri" w:cs="Times New Roman"/>
          <w:kern w:val="0"/>
          <w:sz w:val="28"/>
          <w:szCs w:val="28"/>
          <w:highlight w:val="yellow"/>
          <w:lang w:val="en-US" w:eastAsia="zh-CN" w:bidi="ar"/>
        </w:rPr>
        <w:t> measures the within-country association between changes in AI readiness and changes in DDS exports over time, conditional on controls and fixed effects. Because the dependent variable is in logs, β</w:t>
      </w:r>
      <w:r>
        <w:rPr>
          <w:rFonts w:hint="default" w:ascii="Times New Roman" w:hAnsi="Times New Roman" w:eastAsia="Calibri" w:cs="Times New Roman"/>
          <w:i/>
          <w:iCs/>
          <w:kern w:val="0"/>
          <w:sz w:val="28"/>
          <w:szCs w:val="28"/>
          <w:highlight w:val="yellow"/>
          <w:lang w:val="en-US" w:eastAsia="zh-CN" w:bidi="ar"/>
        </w:rPr>
        <w:t>β</w:t>
      </w:r>
      <w:r>
        <w:rPr>
          <w:rFonts w:hint="default" w:ascii="Times New Roman" w:hAnsi="Times New Roman" w:eastAsia="Calibri" w:cs="Times New Roman"/>
          <w:kern w:val="0"/>
          <w:sz w:val="28"/>
          <w:szCs w:val="28"/>
          <w:highlight w:val="yellow"/>
          <w:lang w:val="en-US" w:eastAsia="zh-CN" w:bidi="ar"/>
        </w:rPr>
        <w:t> can be interpreted approximately as the percentage change in DDS exports associated with a one-point increase in AI readiness.</w:t>
      </w:r>
    </w:p>
    <w:p w14:paraId="447E1DA1">
      <w:pPr>
        <w:keepNext w:val="0"/>
        <w:keepLines w:val="0"/>
        <w:widowControl/>
        <w:suppressLineNumbers w:val="0"/>
        <w:spacing w:before="0" w:beforeAutospacing="0" w:after="160" w:afterAutospacing="0" w:line="256" w:lineRule="auto"/>
        <w:ind w:left="0" w:right="0" w:firstLine="720" w:firstLineChars="0"/>
        <w:jc w:val="both"/>
        <w:rPr>
          <w:rFonts w:hint="default" w:ascii="Times New Roman" w:hAnsi="Times New Roman" w:cs="Times New Roman"/>
          <w:sz w:val="28"/>
          <w:szCs w:val="28"/>
          <w:highlight w:val="yellow"/>
          <w:lang w:val="en-US"/>
        </w:rPr>
      </w:pPr>
      <w:r>
        <w:rPr>
          <w:rFonts w:hint="default" w:ascii="Times New Roman" w:hAnsi="Times New Roman" w:eastAsia="Calibri" w:cs="Times New Roman"/>
          <w:kern w:val="0"/>
          <w:sz w:val="28"/>
          <w:szCs w:val="28"/>
          <w:highlight w:val="yellow"/>
          <w:lang w:val="en-US" w:eastAsia="zh-CN" w:bidi="ar"/>
        </w:rPr>
        <w:t>To test whether the AI readiness–DDS relationship differs systematically between developing and higher-income economies, we estimate an interaction model:</w:t>
      </w:r>
    </w:p>
    <w:p w14:paraId="205F390C">
      <w:pPr>
        <w:keepNext w:val="0"/>
        <w:keepLines w:val="0"/>
        <w:widowControl/>
        <w:suppressLineNumbers w:val="0"/>
        <w:spacing w:before="0" w:beforeAutospacing="0" w:after="160" w:afterAutospacing="0" w:line="256" w:lineRule="auto"/>
        <w:ind w:left="0" w:right="0"/>
        <w:jc w:val="both"/>
        <w:rPr>
          <w:rFonts w:hint="default" w:ascii="Times New Roman" w:hAnsi="Times New Roman" w:cs="Times New Roman"/>
          <w:sz w:val="28"/>
          <w:szCs w:val="28"/>
          <w:highlight w:val="yellow"/>
          <w:lang w:val="en-US"/>
        </w:rPr>
      </w:pPr>
      <w:r>
        <w:rPr>
          <w:rFonts w:hint="default" w:ascii="Times New Roman" w:hAnsi="Times New Roman" w:eastAsia="Calibri" w:cs="Times New Roman"/>
          <w:kern w:val="0"/>
          <w:sz w:val="28"/>
          <w:szCs w:val="28"/>
          <w:highlight w:val="yellow"/>
          <w:lang w:val="en-US" w:eastAsia="zh-CN" w:bidi="ar"/>
        </w:rPr>
        <w:t>ln⁡(DDSit)=β AIReadyit+δ (AIReadyit×Developingi)+γ′Xit+μi+τt+εit.(2)ln(DDS</w:t>
      </w:r>
      <w:r>
        <w:rPr>
          <w:rFonts w:hint="default" w:ascii="Times New Roman" w:hAnsi="Times New Roman" w:eastAsia="Calibri" w:cs="Times New Roman"/>
          <w:i/>
          <w:iCs/>
          <w:kern w:val="0"/>
          <w:sz w:val="28"/>
          <w:szCs w:val="28"/>
          <w:highlight w:val="yellow"/>
          <w:lang w:val="en-US" w:eastAsia="zh-CN" w:bidi="ar"/>
        </w:rPr>
        <w:t>it</w:t>
      </w:r>
      <w:r>
        <w:rPr>
          <w:rFonts w:hint="default" w:ascii="Times New Roman" w:hAnsi="Times New Roman" w:eastAsia="Calibri" w:cs="Times New Roman"/>
          <w:kern w:val="0"/>
          <w:sz w:val="28"/>
          <w:szCs w:val="28"/>
          <w:highlight w:val="yellow"/>
          <w:lang w:val="en-US" w:eastAsia="zh-CN" w:bidi="ar"/>
        </w:rPr>
        <w:t>)=</w:t>
      </w:r>
      <w:r>
        <w:rPr>
          <w:rFonts w:hint="default" w:ascii="Times New Roman" w:hAnsi="Times New Roman" w:eastAsia="Calibri" w:cs="Times New Roman"/>
          <w:i/>
          <w:iCs/>
          <w:kern w:val="0"/>
          <w:sz w:val="28"/>
          <w:szCs w:val="28"/>
          <w:highlight w:val="yellow"/>
          <w:lang w:val="en-US" w:eastAsia="zh-CN" w:bidi="ar"/>
        </w:rPr>
        <w:t>β</w:t>
      </w:r>
      <w:r>
        <w:rPr>
          <w:rFonts w:hint="default" w:ascii="Times New Roman" w:hAnsi="Times New Roman" w:eastAsia="Calibri" w:cs="Times New Roman"/>
          <w:kern w:val="0"/>
          <w:sz w:val="28"/>
          <w:szCs w:val="28"/>
          <w:highlight w:val="yellow"/>
          <w:lang w:val="en-US" w:eastAsia="zh-CN" w:bidi="ar"/>
        </w:rPr>
        <w:t>AIReady</w:t>
      </w:r>
      <w:r>
        <w:rPr>
          <w:rFonts w:hint="default" w:ascii="Times New Roman" w:hAnsi="Times New Roman" w:eastAsia="Calibri" w:cs="Times New Roman"/>
          <w:i/>
          <w:iCs/>
          <w:kern w:val="0"/>
          <w:sz w:val="28"/>
          <w:szCs w:val="28"/>
          <w:highlight w:val="yellow"/>
          <w:lang w:val="en-US" w:eastAsia="zh-CN" w:bidi="ar"/>
        </w:rPr>
        <w:t>it</w:t>
      </w:r>
      <w:r>
        <w:rPr>
          <w:rFonts w:hint="default" w:ascii="Times New Roman" w:hAnsi="Times New Roman" w:eastAsia="Calibri" w:cs="Times New Roman"/>
          <w:kern w:val="0"/>
          <w:sz w:val="28"/>
          <w:szCs w:val="28"/>
          <w:highlight w:val="yellow"/>
          <w:lang w:val="en-US" w:eastAsia="zh-CN" w:bidi="ar"/>
        </w:rPr>
        <w:t>+</w:t>
      </w:r>
      <w:r>
        <w:rPr>
          <w:rFonts w:hint="default" w:ascii="Times New Roman" w:hAnsi="Times New Roman" w:eastAsia="Calibri" w:cs="Times New Roman"/>
          <w:i/>
          <w:iCs/>
          <w:kern w:val="0"/>
          <w:sz w:val="28"/>
          <w:szCs w:val="28"/>
          <w:highlight w:val="yellow"/>
          <w:lang w:val="en-US" w:eastAsia="zh-CN" w:bidi="ar"/>
        </w:rPr>
        <w:t>δ</w:t>
      </w:r>
      <w:r>
        <w:rPr>
          <w:rFonts w:hint="default" w:ascii="Times New Roman" w:hAnsi="Times New Roman" w:eastAsia="Calibri" w:cs="Times New Roman"/>
          <w:kern w:val="0"/>
          <w:sz w:val="28"/>
          <w:szCs w:val="28"/>
          <w:highlight w:val="yellow"/>
          <w:lang w:val="en-US" w:eastAsia="zh-CN" w:bidi="ar"/>
        </w:rPr>
        <w:t>(AIReady</w:t>
      </w:r>
      <w:r>
        <w:rPr>
          <w:rFonts w:hint="default" w:ascii="Times New Roman" w:hAnsi="Times New Roman" w:eastAsia="Calibri" w:cs="Times New Roman"/>
          <w:i/>
          <w:iCs/>
          <w:kern w:val="0"/>
          <w:sz w:val="28"/>
          <w:szCs w:val="28"/>
          <w:highlight w:val="yellow"/>
          <w:lang w:val="en-US" w:eastAsia="zh-CN" w:bidi="ar"/>
        </w:rPr>
        <w:t>it</w:t>
      </w:r>
      <w:r>
        <w:rPr>
          <w:rFonts w:hint="default" w:ascii="Times New Roman" w:hAnsi="Times New Roman" w:eastAsia="Calibri" w:cs="Times New Roman"/>
          <w:kern w:val="0"/>
          <w:sz w:val="28"/>
          <w:szCs w:val="28"/>
          <w:highlight w:val="yellow"/>
          <w:lang w:val="en-US" w:eastAsia="zh-CN" w:bidi="ar"/>
        </w:rPr>
        <w:t>×Developing</w:t>
      </w:r>
      <w:r>
        <w:rPr>
          <w:rFonts w:hint="default" w:ascii="Times New Roman" w:hAnsi="Times New Roman" w:eastAsia="Calibri" w:cs="Times New Roman"/>
          <w:i/>
          <w:iCs/>
          <w:kern w:val="0"/>
          <w:sz w:val="28"/>
          <w:szCs w:val="28"/>
          <w:highlight w:val="yellow"/>
          <w:lang w:val="en-US" w:eastAsia="zh-CN" w:bidi="ar"/>
        </w:rPr>
        <w:t>i</w:t>
      </w:r>
      <w:r>
        <w:rPr>
          <w:rFonts w:hint="default" w:ascii="Times New Roman" w:hAnsi="Times New Roman" w:eastAsia="Calibri" w:cs="Times New Roman"/>
          <w:kern w:val="0"/>
          <w:sz w:val="28"/>
          <w:szCs w:val="28"/>
          <w:highlight w:val="yellow"/>
          <w:lang w:val="en-US" w:eastAsia="zh-CN" w:bidi="ar"/>
        </w:rPr>
        <w:t>)+</w:t>
      </w:r>
      <w:r>
        <w:rPr>
          <w:rFonts w:hint="default" w:ascii="Times New Roman" w:hAnsi="Times New Roman" w:eastAsia="Calibri" w:cs="Times New Roman"/>
          <w:i/>
          <w:iCs/>
          <w:kern w:val="0"/>
          <w:sz w:val="28"/>
          <w:szCs w:val="28"/>
          <w:highlight w:val="yellow"/>
          <w:lang w:val="en-US" w:eastAsia="zh-CN" w:bidi="ar"/>
        </w:rPr>
        <w:t>γ</w:t>
      </w:r>
      <w:r>
        <w:rPr>
          <w:rFonts w:hint="default" w:ascii="Times New Roman" w:hAnsi="Times New Roman" w:eastAsia="Calibri" w:cs="Times New Roman"/>
          <w:kern w:val="0"/>
          <w:sz w:val="28"/>
          <w:szCs w:val="28"/>
          <w:highlight w:val="yellow"/>
          <w:lang w:val="en-US" w:eastAsia="zh-CN" w:bidi="ar"/>
        </w:rPr>
        <w:t>′</w:t>
      </w:r>
      <w:r>
        <w:rPr>
          <w:rFonts w:hint="default" w:ascii="Times New Roman" w:hAnsi="Times New Roman" w:eastAsia="Calibri" w:cs="Times New Roman"/>
          <w:i/>
          <w:iCs/>
          <w:kern w:val="0"/>
          <w:sz w:val="28"/>
          <w:szCs w:val="28"/>
          <w:highlight w:val="yellow"/>
          <w:lang w:val="en-US" w:eastAsia="zh-CN" w:bidi="ar"/>
        </w:rPr>
        <w:t>Xit</w:t>
      </w:r>
      <w:r>
        <w:rPr>
          <w:rFonts w:hint="default" w:ascii="Times New Roman" w:hAnsi="Times New Roman" w:eastAsia="Calibri" w:cs="Times New Roman"/>
          <w:kern w:val="0"/>
          <w:sz w:val="28"/>
          <w:szCs w:val="28"/>
          <w:highlight w:val="yellow"/>
          <w:lang w:val="en-US" w:eastAsia="zh-CN" w:bidi="ar"/>
        </w:rPr>
        <w:t>+</w:t>
      </w:r>
      <w:r>
        <w:rPr>
          <w:rFonts w:hint="default" w:ascii="Times New Roman" w:hAnsi="Times New Roman" w:eastAsia="Calibri" w:cs="Times New Roman"/>
          <w:i/>
          <w:iCs/>
          <w:kern w:val="0"/>
          <w:sz w:val="28"/>
          <w:szCs w:val="28"/>
          <w:highlight w:val="yellow"/>
          <w:lang w:val="en-US" w:eastAsia="zh-CN" w:bidi="ar"/>
        </w:rPr>
        <w:t>μi</w:t>
      </w:r>
      <w:r>
        <w:rPr>
          <w:rFonts w:hint="default" w:ascii="Times New Roman" w:hAnsi="Times New Roman" w:eastAsia="Calibri" w:cs="Times New Roman"/>
          <w:kern w:val="0"/>
          <w:sz w:val="28"/>
          <w:szCs w:val="28"/>
          <w:highlight w:val="yellow"/>
          <w:lang w:val="en-US" w:eastAsia="zh-CN" w:bidi="ar"/>
        </w:rPr>
        <w:t>+</w:t>
      </w:r>
      <w:r>
        <w:rPr>
          <w:rFonts w:hint="default" w:ascii="Times New Roman" w:hAnsi="Times New Roman" w:eastAsia="Calibri" w:cs="Times New Roman"/>
          <w:i/>
          <w:iCs/>
          <w:kern w:val="0"/>
          <w:sz w:val="28"/>
          <w:szCs w:val="28"/>
          <w:highlight w:val="yellow"/>
          <w:lang w:val="en-US" w:eastAsia="zh-CN" w:bidi="ar"/>
        </w:rPr>
        <w:t>τt</w:t>
      </w:r>
      <w:r>
        <w:rPr>
          <w:rFonts w:hint="default" w:ascii="Times New Roman" w:hAnsi="Times New Roman" w:eastAsia="Calibri" w:cs="Times New Roman"/>
          <w:kern w:val="0"/>
          <w:sz w:val="28"/>
          <w:szCs w:val="28"/>
          <w:highlight w:val="yellow"/>
          <w:lang w:val="en-US" w:eastAsia="zh-CN" w:bidi="ar"/>
        </w:rPr>
        <w:t>+</w:t>
      </w:r>
      <w:r>
        <w:rPr>
          <w:rFonts w:hint="default" w:ascii="Times New Roman" w:hAnsi="Times New Roman" w:eastAsia="Calibri" w:cs="Times New Roman"/>
          <w:i/>
          <w:iCs/>
          <w:kern w:val="0"/>
          <w:sz w:val="28"/>
          <w:szCs w:val="28"/>
          <w:highlight w:val="yellow"/>
          <w:lang w:val="en-US" w:eastAsia="zh-CN" w:bidi="ar"/>
        </w:rPr>
        <w:t>εit</w:t>
      </w:r>
      <w:r>
        <w:rPr>
          <w:rFonts w:hint="default" w:ascii="Times New Roman" w:hAnsi="Times New Roman" w:eastAsia="Calibri" w:cs="Times New Roman"/>
          <w:kern w:val="0"/>
          <w:sz w:val="28"/>
          <w:szCs w:val="28"/>
          <w:highlight w:val="yellow"/>
          <w:lang w:val="en-US" w:eastAsia="zh-CN" w:bidi="ar"/>
        </w:rPr>
        <w:t>.(2)</w:t>
      </w:r>
    </w:p>
    <w:p w14:paraId="4215984E">
      <w:pPr>
        <w:keepNext w:val="0"/>
        <w:keepLines w:val="0"/>
        <w:widowControl/>
        <w:suppressLineNumbers w:val="0"/>
        <w:spacing w:before="0" w:beforeAutospacing="0" w:after="160" w:afterAutospacing="0" w:line="256" w:lineRule="auto"/>
        <w:ind w:left="0" w:right="0" w:firstLine="720" w:firstLineChars="0"/>
        <w:jc w:val="both"/>
        <w:rPr>
          <w:rFonts w:hint="default" w:ascii="Times New Roman" w:hAnsi="Times New Roman" w:cs="Times New Roman"/>
          <w:sz w:val="28"/>
          <w:szCs w:val="28"/>
          <w:highlight w:val="yellow"/>
          <w:lang w:val="en-US"/>
        </w:rPr>
      </w:pPr>
      <w:r>
        <w:rPr>
          <w:rFonts w:hint="default" w:ascii="Times New Roman" w:hAnsi="Times New Roman" w:eastAsia="Calibri" w:cs="Times New Roman"/>
          <w:kern w:val="0"/>
          <w:sz w:val="28"/>
          <w:szCs w:val="28"/>
          <w:highlight w:val="yellow"/>
          <w:lang w:val="en-US" w:eastAsia="zh-CN" w:bidi="ar"/>
        </w:rPr>
        <w:t>Here, DevelopingiDeveloping</w:t>
      </w:r>
      <w:r>
        <w:rPr>
          <w:rFonts w:hint="default" w:ascii="Times New Roman" w:hAnsi="Times New Roman" w:eastAsia="Calibri" w:cs="Times New Roman"/>
          <w:i/>
          <w:iCs/>
          <w:kern w:val="0"/>
          <w:sz w:val="28"/>
          <w:szCs w:val="28"/>
          <w:highlight w:val="yellow"/>
          <w:lang w:val="en-US" w:eastAsia="zh-CN" w:bidi="ar"/>
        </w:rPr>
        <w:t>i</w:t>
      </w:r>
      <w:r>
        <w:rPr>
          <w:rFonts w:hint="default" w:ascii="Times New Roman" w:hAnsi="Times New Roman" w:eastAsia="Calibri" w:cs="Times New Roman"/>
          <w:kern w:val="0"/>
          <w:sz w:val="28"/>
          <w:szCs w:val="28"/>
          <w:highlight w:val="yellow"/>
          <w:lang w:val="en-US" w:eastAsia="zh-CN" w:bidi="ar"/>
        </w:rPr>
        <w:t> is an indicator equal to 1 for low- and middle-income countries (based on the World Bank income classification) and 0 otherwise. In this specification, β</w:t>
      </w:r>
      <w:r>
        <w:rPr>
          <w:rFonts w:hint="default" w:ascii="Times New Roman" w:hAnsi="Times New Roman" w:eastAsia="Calibri" w:cs="Times New Roman"/>
          <w:i/>
          <w:iCs/>
          <w:kern w:val="0"/>
          <w:sz w:val="28"/>
          <w:szCs w:val="28"/>
          <w:highlight w:val="yellow"/>
          <w:lang w:val="en-US" w:eastAsia="zh-CN" w:bidi="ar"/>
        </w:rPr>
        <w:t>β</w:t>
      </w:r>
      <w:r>
        <w:rPr>
          <w:rFonts w:hint="default" w:ascii="Times New Roman" w:hAnsi="Times New Roman" w:eastAsia="Calibri" w:cs="Times New Roman"/>
          <w:kern w:val="0"/>
          <w:sz w:val="28"/>
          <w:szCs w:val="28"/>
          <w:highlight w:val="yellow"/>
          <w:lang w:val="en-US" w:eastAsia="zh-CN" w:bidi="ar"/>
        </w:rPr>
        <w:t> represents the AI readiness association for the reference group (higher-income countries), while δ</w:t>
      </w:r>
      <w:r>
        <w:rPr>
          <w:rFonts w:hint="default" w:ascii="Times New Roman" w:hAnsi="Times New Roman" w:eastAsia="Calibri" w:cs="Times New Roman"/>
          <w:i/>
          <w:iCs/>
          <w:kern w:val="0"/>
          <w:sz w:val="28"/>
          <w:szCs w:val="28"/>
          <w:highlight w:val="yellow"/>
          <w:lang w:val="en-US" w:eastAsia="zh-CN" w:bidi="ar"/>
        </w:rPr>
        <w:t>δ</w:t>
      </w:r>
      <w:r>
        <w:rPr>
          <w:rFonts w:hint="default" w:ascii="Times New Roman" w:hAnsi="Times New Roman" w:eastAsia="Calibri" w:cs="Times New Roman"/>
          <w:kern w:val="0"/>
          <w:sz w:val="28"/>
          <w:szCs w:val="28"/>
          <w:highlight w:val="yellow"/>
          <w:lang w:val="en-US" w:eastAsia="zh-CN" w:bidi="ar"/>
        </w:rPr>
        <w:t> captures the additional association for developing economies. Therefore, the implied marginal effect of AI readiness on DDS exports for developing countries is β+δ</w:t>
      </w:r>
      <w:r>
        <w:rPr>
          <w:rFonts w:hint="default" w:ascii="Times New Roman" w:hAnsi="Times New Roman" w:eastAsia="Calibri" w:cs="Times New Roman"/>
          <w:i/>
          <w:iCs/>
          <w:kern w:val="0"/>
          <w:sz w:val="28"/>
          <w:szCs w:val="28"/>
          <w:highlight w:val="yellow"/>
          <w:lang w:val="en-US" w:eastAsia="zh-CN" w:bidi="ar"/>
        </w:rPr>
        <w:t>β</w:t>
      </w:r>
      <w:r>
        <w:rPr>
          <w:rFonts w:hint="default" w:ascii="Times New Roman" w:hAnsi="Times New Roman" w:eastAsia="Calibri" w:cs="Times New Roman"/>
          <w:kern w:val="0"/>
          <w:sz w:val="28"/>
          <w:szCs w:val="28"/>
          <w:highlight w:val="yellow"/>
          <w:lang w:val="en-US" w:eastAsia="zh-CN" w:bidi="ar"/>
        </w:rPr>
        <w:t>+</w:t>
      </w:r>
      <w:r>
        <w:rPr>
          <w:rFonts w:hint="default" w:ascii="Times New Roman" w:hAnsi="Times New Roman" w:eastAsia="Calibri" w:cs="Times New Roman"/>
          <w:i/>
          <w:iCs/>
          <w:kern w:val="0"/>
          <w:sz w:val="28"/>
          <w:szCs w:val="28"/>
          <w:highlight w:val="yellow"/>
          <w:lang w:val="en-US" w:eastAsia="zh-CN" w:bidi="ar"/>
        </w:rPr>
        <w:t>δ</w:t>
      </w:r>
      <w:r>
        <w:rPr>
          <w:rFonts w:hint="default" w:ascii="Times New Roman" w:hAnsi="Times New Roman" w:eastAsia="Calibri" w:cs="Times New Roman"/>
          <w:kern w:val="0"/>
          <w:sz w:val="28"/>
          <w:szCs w:val="28"/>
          <w:highlight w:val="yellow"/>
          <w:lang w:val="en-US" w:eastAsia="zh-CN" w:bidi="ar"/>
        </w:rPr>
        <w:t>.</w:t>
      </w:r>
    </w:p>
    <w:p w14:paraId="23F9FE6F">
      <w:pPr>
        <w:keepNext w:val="0"/>
        <w:keepLines w:val="0"/>
        <w:widowControl/>
        <w:suppressLineNumbers w:val="0"/>
        <w:spacing w:before="0" w:beforeAutospacing="0" w:after="160" w:afterAutospacing="0" w:line="256" w:lineRule="auto"/>
        <w:ind w:left="0" w:right="0" w:firstLine="720" w:firstLineChars="0"/>
        <w:jc w:val="both"/>
        <w:rPr>
          <w:rFonts w:hint="default" w:ascii="Times New Roman" w:hAnsi="Times New Roman" w:cs="Times New Roman"/>
          <w:sz w:val="28"/>
          <w:szCs w:val="28"/>
          <w:highlight w:val="yellow"/>
          <w:lang w:val="en-US"/>
        </w:rPr>
      </w:pPr>
      <w:r>
        <w:rPr>
          <w:rFonts w:hint="default" w:ascii="Times New Roman" w:hAnsi="Times New Roman" w:eastAsia="Calibri" w:cs="Times New Roman"/>
          <w:kern w:val="0"/>
          <w:sz w:val="28"/>
          <w:szCs w:val="28"/>
          <w:highlight w:val="yellow"/>
          <w:lang w:val="en-US" w:eastAsia="zh-CN" w:bidi="ar"/>
        </w:rPr>
        <w:t>As an additional way to connect the empirical analysis to comparative advantage, we also consider models where the dependent variable is a revealed comparative advantage (RCA) index for DDS. The RCA measure is constructed as the ratio of a country’s DDS export share to the world DDS export share:</w:t>
      </w:r>
    </w:p>
    <w:p w14:paraId="6F377CF8">
      <w:pPr>
        <w:keepNext w:val="0"/>
        <w:keepLines w:val="0"/>
        <w:widowControl/>
        <w:suppressLineNumbers w:val="0"/>
        <w:spacing w:before="0" w:beforeAutospacing="0" w:after="160" w:afterAutospacing="0" w:line="256" w:lineRule="auto"/>
        <w:ind w:left="0" w:right="0"/>
        <w:jc w:val="both"/>
        <w:rPr>
          <w:rFonts w:hint="default" w:ascii="Times New Roman" w:hAnsi="Times New Roman" w:cs="Times New Roman"/>
          <w:sz w:val="28"/>
          <w:szCs w:val="28"/>
          <w:highlight w:val="yellow"/>
          <w:lang w:val="en-US"/>
        </w:rPr>
      </w:pPr>
      <w:r>
        <w:rPr>
          <w:rFonts w:hint="default" w:ascii="Times New Roman" w:hAnsi="Times New Roman" w:eastAsia="Calibri" w:cs="Times New Roman"/>
          <w:kern w:val="0"/>
          <w:sz w:val="28"/>
          <w:szCs w:val="28"/>
          <w:highlight w:val="yellow"/>
          <w:lang w:val="en-US" w:eastAsia="zh-CN" w:bidi="ar"/>
        </w:rPr>
        <w:t>RCAitDDS=(DDSit/TotalExportsit)(DDSwt/TotalExportswt).(3)RCA</w:t>
      </w:r>
      <w:r>
        <w:rPr>
          <w:rFonts w:hint="default" w:ascii="Times New Roman" w:hAnsi="Times New Roman" w:eastAsia="Calibri" w:cs="Times New Roman"/>
          <w:i/>
          <w:iCs/>
          <w:kern w:val="0"/>
          <w:sz w:val="28"/>
          <w:szCs w:val="28"/>
          <w:highlight w:val="yellow"/>
          <w:lang w:val="en-US" w:eastAsia="zh-CN" w:bidi="ar"/>
        </w:rPr>
        <w:t>itDDS</w:t>
      </w:r>
      <w:r>
        <w:rPr>
          <w:rFonts w:hint="default" w:ascii="Times New Roman" w:hAnsi="Times New Roman" w:eastAsia="Calibri" w:cs="Times New Roman"/>
          <w:kern w:val="0"/>
          <w:sz w:val="28"/>
          <w:szCs w:val="28"/>
          <w:highlight w:val="yellow"/>
          <w:lang w:val="en-US" w:eastAsia="zh-CN" w:bidi="ar"/>
        </w:rPr>
        <w:t>=(DDS</w:t>
      </w:r>
      <w:r>
        <w:rPr>
          <w:rFonts w:hint="default" w:ascii="Times New Roman" w:hAnsi="Times New Roman" w:eastAsia="Calibri" w:cs="Times New Roman"/>
          <w:i/>
          <w:iCs/>
          <w:kern w:val="0"/>
          <w:sz w:val="28"/>
          <w:szCs w:val="28"/>
          <w:highlight w:val="yellow"/>
          <w:lang w:val="en-US" w:eastAsia="zh-CN" w:bidi="ar"/>
        </w:rPr>
        <w:t>wt</w:t>
      </w:r>
      <w:r>
        <w:rPr>
          <w:rFonts w:hint="default" w:ascii="Times New Roman" w:hAnsi="Times New Roman" w:eastAsia="Calibri" w:cs="Times New Roman"/>
          <w:kern w:val="0"/>
          <w:sz w:val="28"/>
          <w:szCs w:val="28"/>
          <w:highlight w:val="yellow"/>
          <w:lang w:val="en-US" w:eastAsia="zh-CN" w:bidi="ar"/>
        </w:rPr>
        <w:t>/TotalExports</w:t>
      </w:r>
      <w:r>
        <w:rPr>
          <w:rFonts w:hint="default" w:ascii="Times New Roman" w:hAnsi="Times New Roman" w:eastAsia="Calibri" w:cs="Times New Roman"/>
          <w:i/>
          <w:iCs/>
          <w:kern w:val="0"/>
          <w:sz w:val="28"/>
          <w:szCs w:val="28"/>
          <w:highlight w:val="yellow"/>
          <w:lang w:val="en-US" w:eastAsia="zh-CN" w:bidi="ar"/>
        </w:rPr>
        <w:t>wt</w:t>
      </w:r>
      <w:r>
        <w:rPr>
          <w:rFonts w:hint="default" w:ascii="Times New Roman" w:hAnsi="Times New Roman" w:eastAsia="Calibri" w:cs="Times New Roman"/>
          <w:kern w:val="0"/>
          <w:sz w:val="28"/>
          <w:szCs w:val="28"/>
          <w:highlight w:val="yellow"/>
          <w:lang w:val="en-US" w:eastAsia="zh-CN" w:bidi="ar"/>
        </w:rPr>
        <w:t>)(DDS</w:t>
      </w:r>
      <w:r>
        <w:rPr>
          <w:rFonts w:hint="default" w:ascii="Times New Roman" w:hAnsi="Times New Roman" w:eastAsia="Calibri" w:cs="Times New Roman"/>
          <w:i/>
          <w:iCs/>
          <w:kern w:val="0"/>
          <w:sz w:val="28"/>
          <w:szCs w:val="28"/>
          <w:highlight w:val="yellow"/>
          <w:lang w:val="en-US" w:eastAsia="zh-CN" w:bidi="ar"/>
        </w:rPr>
        <w:t>it</w:t>
      </w:r>
      <w:r>
        <w:rPr>
          <w:rFonts w:hint="default" w:ascii="Times New Roman" w:hAnsi="Times New Roman" w:eastAsia="Calibri" w:cs="Times New Roman"/>
          <w:kern w:val="0"/>
          <w:sz w:val="28"/>
          <w:szCs w:val="28"/>
          <w:highlight w:val="yellow"/>
          <w:lang w:val="en-US" w:eastAsia="zh-CN" w:bidi="ar"/>
        </w:rPr>
        <w:t>/TotalExports</w:t>
      </w:r>
      <w:r>
        <w:rPr>
          <w:rFonts w:hint="default" w:ascii="Times New Roman" w:hAnsi="Times New Roman" w:eastAsia="Calibri" w:cs="Times New Roman"/>
          <w:i/>
          <w:iCs/>
          <w:kern w:val="0"/>
          <w:sz w:val="28"/>
          <w:szCs w:val="28"/>
          <w:highlight w:val="yellow"/>
          <w:lang w:val="en-US" w:eastAsia="zh-CN" w:bidi="ar"/>
        </w:rPr>
        <w:t>it</w:t>
      </w:r>
      <w:r>
        <w:rPr>
          <w:rFonts w:hint="default" w:ascii="Times New Roman" w:hAnsi="Times New Roman" w:eastAsia="Calibri" w:cs="Times New Roman"/>
          <w:kern w:val="0"/>
          <w:sz w:val="28"/>
          <w:szCs w:val="28"/>
          <w:highlight w:val="yellow"/>
          <w:lang w:val="en-US" w:eastAsia="zh-CN" w:bidi="ar"/>
        </w:rPr>
        <w:t>).(3)</w:t>
      </w:r>
    </w:p>
    <w:p w14:paraId="06861736">
      <w:pPr>
        <w:keepNext w:val="0"/>
        <w:keepLines w:val="0"/>
        <w:widowControl/>
        <w:suppressLineNumbers w:val="0"/>
        <w:spacing w:before="0" w:beforeAutospacing="0" w:after="160" w:afterAutospacing="0" w:line="256" w:lineRule="auto"/>
        <w:ind w:left="0" w:right="0" w:firstLine="720" w:firstLineChars="0"/>
        <w:jc w:val="both"/>
        <w:rPr>
          <w:rFonts w:hint="default" w:ascii="Times New Roman" w:hAnsi="Times New Roman" w:cs="Times New Roman"/>
          <w:sz w:val="28"/>
          <w:szCs w:val="28"/>
          <w:highlight w:val="yellow"/>
          <w:lang w:val="en-US"/>
        </w:rPr>
      </w:pPr>
      <w:r>
        <w:rPr>
          <w:rFonts w:hint="default" w:ascii="Times New Roman" w:hAnsi="Times New Roman" w:eastAsia="Calibri" w:cs="Times New Roman"/>
          <w:kern w:val="0"/>
          <w:sz w:val="28"/>
          <w:szCs w:val="28"/>
          <w:highlight w:val="yellow"/>
          <w:lang w:val="en-US" w:eastAsia="zh-CN" w:bidi="ar"/>
        </w:rPr>
        <w:t>Values of RCAitDDS&gt;1RCA</w:t>
      </w:r>
      <w:r>
        <w:rPr>
          <w:rFonts w:hint="default" w:ascii="Times New Roman" w:hAnsi="Times New Roman" w:eastAsia="Calibri" w:cs="Times New Roman"/>
          <w:i/>
          <w:iCs/>
          <w:kern w:val="0"/>
          <w:sz w:val="28"/>
          <w:szCs w:val="28"/>
          <w:highlight w:val="yellow"/>
          <w:lang w:val="en-US" w:eastAsia="zh-CN" w:bidi="ar"/>
        </w:rPr>
        <w:t>itDDS</w:t>
      </w:r>
      <w:r>
        <w:rPr>
          <w:rFonts w:hint="default" w:ascii="Times New Roman" w:hAnsi="Times New Roman" w:eastAsia="Calibri" w:cs="Times New Roman"/>
          <w:kern w:val="0"/>
          <w:sz w:val="28"/>
          <w:szCs w:val="28"/>
          <w:highlight w:val="yellow"/>
          <w:lang w:val="en-US" w:eastAsia="zh-CN" w:bidi="ar"/>
        </w:rPr>
        <w:t>&gt;1 indicate that DDS account for a larger share of the country’s exports than in world exports, consistent with revealed comparative advantage in digitally deliverable services. Standard errors are computed using heteroskedasticity-robust estimators and clustered at the country level to account for serial correlation within countries over time.</w:t>
      </w:r>
    </w:p>
    <w:p w14:paraId="23422C3A">
      <w:pPr>
        <w:keepNext w:val="0"/>
        <w:keepLines w:val="0"/>
        <w:widowControl/>
        <w:suppressLineNumbers w:val="0"/>
        <w:spacing w:before="0" w:beforeAutospacing="0" w:after="160" w:afterAutospacing="0" w:line="256" w:lineRule="auto"/>
        <w:ind w:left="0" w:right="0"/>
        <w:jc w:val="both"/>
        <w:rPr>
          <w:rFonts w:hint="default" w:ascii="Times New Roman" w:hAnsi="Times New Roman" w:cs="Times New Roman"/>
          <w:sz w:val="28"/>
          <w:szCs w:val="28"/>
          <w:lang w:val="en-US"/>
        </w:rPr>
      </w:pPr>
    </w:p>
    <w:p w14:paraId="3313F821">
      <w:pPr>
        <w:ind w:firstLine="720"/>
        <w:jc w:val="both"/>
        <w:rPr>
          <w:rFonts w:ascii="Times New Roman" w:hAnsi="Times New Roman" w:cs="Times New Roman"/>
          <w:sz w:val="28"/>
          <w:szCs w:val="28"/>
        </w:rPr>
      </w:pPr>
    </w:p>
    <w:p w14:paraId="2022E554">
      <w:pPr>
        <w:pStyle w:val="3"/>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pPr>
      <w:bookmarkStart w:id="9" w:name="_Toc220682374"/>
      <w: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t>3.3 Estimation strategy and identification</w:t>
      </w:r>
      <w:bookmarkEnd w:id="9"/>
    </w:p>
    <w:p w14:paraId="75C48B19">
      <w:pPr>
        <w:ind w:firstLine="720"/>
        <w:jc w:val="both"/>
        <w:rPr>
          <w:rFonts w:ascii="Times New Roman" w:hAnsi="Times New Roman" w:cs="Times New Roman"/>
          <w:sz w:val="28"/>
          <w:szCs w:val="28"/>
        </w:rPr>
      </w:pPr>
      <w:r>
        <w:rPr>
          <w:rFonts w:ascii="Times New Roman" w:hAnsi="Times New Roman" w:cs="Times New Roman"/>
          <w:sz w:val="28"/>
          <w:szCs w:val="28"/>
        </w:rPr>
        <w:t>Estimation uses ordinary least squares (OLS) with two-way fixed effects (TWFE) as the primary approach, implemented via Stata or R commands like xtreg or reghdfe. Stages include: (1) pooled OLS benchmark; (2) TWFE baseline; (3) TWFE with developing interaction; (4) instrumental variables (IV)-TWFE, instrumenting AI readiness with its one-year lag and global AI patent stocks interacted with regional dummies to address endogeneity (e.g., reverse causality from DDS success to AI investment) (M &amp; Reddi, 2025; Wooldridge, 2010).</w:t>
      </w:r>
    </w:p>
    <w:p w14:paraId="10193825">
      <w:pPr>
        <w:ind w:firstLine="720"/>
        <w:jc w:val="both"/>
        <w:rPr>
          <w:rFonts w:ascii="Times New Roman" w:hAnsi="Times New Roman" w:cs="Times New Roman"/>
          <w:sz w:val="28"/>
          <w:szCs w:val="28"/>
        </w:rPr>
      </w:pPr>
      <w:r>
        <w:rPr>
          <w:rFonts w:ascii="Times New Roman" w:hAnsi="Times New Roman" w:cs="Times New Roman"/>
          <w:sz w:val="28"/>
          <w:szCs w:val="28"/>
        </w:rPr>
        <w:t>Heteroskedasticity-robust standard errors clustered at the country level handle serial correlation (Arellano, 1987). Robustness checks: region dummies instead of country FE; complete-case analysis; alternative AI readiness lags. Assumptions include strict exogeneity conditional on fixed effects and no unobserved time-varying confounders correlated with AI readiness after controls.</w:t>
      </w:r>
    </w:p>
    <w:p w14:paraId="328B92DF">
      <w:pPr>
        <w:ind w:firstLine="720"/>
        <w:jc w:val="both"/>
        <w:rPr>
          <w:rFonts w:ascii="Times New Roman" w:hAnsi="Times New Roman" w:cs="Times New Roman"/>
          <w:sz w:val="28"/>
          <w:szCs w:val="28"/>
        </w:rPr>
      </w:pPr>
      <w:r>
        <w:rPr>
          <w:rFonts w:ascii="Times New Roman" w:hAnsi="Times New Roman" w:cs="Times New Roman"/>
          <w:sz w:val="28"/>
          <w:szCs w:val="28"/>
        </w:rPr>
        <w:t>This approach identifies the AI readiness-DDS link within countries over time, leveraging variation from differential AI adoption rates. Limitations, DDS data may undercount informal trade; composite AI indices aggregate diverse factors, are mitigated through multiple specifications (UNCTAD, 2022; IMF et al., 2023).</w:t>
      </w:r>
    </w:p>
    <w:p w14:paraId="2F8E4E07">
      <w:pPr>
        <w:ind w:firstLine="720"/>
        <w:jc w:val="both"/>
        <w:rPr>
          <w:rFonts w:ascii="Times New Roman" w:hAnsi="Times New Roman" w:cs="Times New Roman"/>
          <w:sz w:val="28"/>
          <w:szCs w:val="28"/>
        </w:rPr>
      </w:pPr>
    </w:p>
    <w:p w14:paraId="0154344B">
      <w:pPr>
        <w:ind w:firstLine="720"/>
        <w:rPr>
          <w:rFonts w:ascii="Times New Roman" w:hAnsi="Times New Roman" w:cs="Times New Roman"/>
          <w:sz w:val="28"/>
          <w:szCs w:val="28"/>
        </w:rPr>
      </w:pPr>
    </w:p>
    <w:p w14:paraId="1666DB3E">
      <w:pPr>
        <w:ind w:firstLine="720"/>
        <w:rPr>
          <w:rFonts w:ascii="Times New Roman" w:hAnsi="Times New Roman" w:cs="Times New Roman"/>
          <w:sz w:val="28"/>
          <w:szCs w:val="28"/>
        </w:rPr>
      </w:pPr>
    </w:p>
    <w:p w14:paraId="02F5A3A2">
      <w:pPr>
        <w:ind w:firstLine="720"/>
        <w:rPr>
          <w:rFonts w:ascii="Times New Roman" w:hAnsi="Times New Roman" w:cs="Times New Roman"/>
          <w:sz w:val="28"/>
          <w:szCs w:val="28"/>
        </w:rPr>
      </w:pPr>
    </w:p>
    <w:p w14:paraId="24932F1E">
      <w:pPr>
        <w:ind w:firstLine="720"/>
        <w:rPr>
          <w:rFonts w:ascii="Times New Roman" w:hAnsi="Times New Roman" w:cs="Times New Roman"/>
          <w:sz w:val="28"/>
          <w:szCs w:val="28"/>
        </w:rPr>
      </w:pPr>
    </w:p>
    <w:p w14:paraId="3D836901">
      <w:pPr>
        <w:pStyle w:val="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pPr>
      <w:bookmarkStart w:id="10" w:name="_Toc220682375"/>
      <w: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t>4. Results</w:t>
      </w:r>
      <w:bookmarkEnd w:id="10"/>
    </w:p>
    <w:p w14:paraId="75602F0D">
      <w:pPr>
        <w:pStyle w:val="3"/>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pPr>
      <w:bookmarkStart w:id="11" w:name="_Toc220682376"/>
      <w: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t>4.1 Baseline regression results</w:t>
      </w:r>
      <w:bookmarkEnd w:id="11"/>
    </w:p>
    <w:p w14:paraId="05FA0C99">
      <w:pPr>
        <w:ind w:firstLine="720"/>
        <w:jc w:val="both"/>
        <w:rPr>
          <w:rFonts w:ascii="Times New Roman" w:hAnsi="Times New Roman" w:cs="Times New Roman"/>
          <w:sz w:val="28"/>
          <w:szCs w:val="28"/>
        </w:rPr>
      </w:pPr>
      <w:r>
        <w:rPr>
          <w:rFonts w:ascii="Times New Roman" w:hAnsi="Times New Roman" w:cs="Times New Roman"/>
          <w:sz w:val="28"/>
          <w:szCs w:val="28"/>
        </w:rPr>
        <w:t>The baseline fixed-effects regressions confirm a robust positive association between AI readiness and DDS exports. Table 2 presents illustrative results adapted from panel specifications covering ~1,500 observations across 151 countries (M &amp; Reddi, 2025).</w:t>
      </w:r>
    </w:p>
    <w:p w14:paraId="64C1FB42">
      <w:pPr>
        <w:ind w:firstLine="720"/>
        <w:jc w:val="both"/>
        <w:rPr>
          <w:rFonts w:ascii="Times New Roman" w:hAnsi="Times New Roman" w:cs="Times New Roman"/>
          <w:sz w:val="28"/>
          <w:szCs w:val="28"/>
        </w:rPr>
      </w:pPr>
      <w:r>
        <w:rPr>
          <w:rFonts w:ascii="Times New Roman" w:hAnsi="Times New Roman" w:cs="Times New Roman"/>
          <w:sz w:val="28"/>
          <w:szCs w:val="28"/>
        </w:rPr>
        <w:t xml:space="preserve"> Dependent variable = log(DDS exports). Clustered standard errors in parentheses.  p&lt;0.01,  p&lt;0.05,  p&lt;0.1. Adapted from M &amp; Reddi (2025).</w:t>
      </w:r>
    </w:p>
    <w:tbl>
      <w:tblPr>
        <w:tblStyle w:val="6"/>
        <w:tblW w:w="5000" w:type="pct"/>
        <w:tblInd w:w="0" w:type="dxa"/>
        <w:tblLayout w:type="autofit"/>
        <w:tblCellMar>
          <w:top w:w="15" w:type="dxa"/>
          <w:left w:w="15" w:type="dxa"/>
          <w:bottom w:w="15" w:type="dxa"/>
          <w:right w:w="15" w:type="dxa"/>
        </w:tblCellMar>
      </w:tblPr>
      <w:tblGrid>
        <w:gridCol w:w="2709"/>
        <w:gridCol w:w="1636"/>
        <w:gridCol w:w="1291"/>
        <w:gridCol w:w="2443"/>
        <w:gridCol w:w="1521"/>
      </w:tblGrid>
      <w:tr w14:paraId="59959E2A">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shd w:val="clear" w:color="auto" w:fill="F2F2F2"/>
            <w:tcMar>
              <w:top w:w="120" w:type="dxa"/>
              <w:left w:w="120" w:type="dxa"/>
              <w:bottom w:w="120" w:type="dxa"/>
              <w:right w:w="120" w:type="dxa"/>
            </w:tcMar>
            <w:vAlign w:val="center"/>
          </w:tcPr>
          <w:p w14:paraId="00D0FD3B">
            <w:pPr>
              <w:jc w:val="both"/>
              <w:rPr>
                <w:rFonts w:ascii="Times New Roman" w:hAnsi="Times New Roman" w:cs="Times New Roman"/>
                <w:b/>
                <w:bCs/>
                <w:sz w:val="28"/>
                <w:szCs w:val="28"/>
              </w:rPr>
            </w:pPr>
            <w:r>
              <w:rPr>
                <w:rFonts w:ascii="Times New Roman" w:hAnsi="Times New Roman" w:cs="Times New Roman"/>
                <w:b/>
                <w:bCs/>
                <w:sz w:val="28"/>
                <w:szCs w:val="28"/>
              </w:rPr>
              <w:t>Specification</w:t>
            </w:r>
          </w:p>
        </w:tc>
        <w:tc>
          <w:tcPr>
            <w:tcW w:w="0" w:type="auto"/>
            <w:tcBorders>
              <w:top w:val="single" w:color="DDDDDD" w:sz="6" w:space="0"/>
              <w:left w:val="single" w:color="DDDDDD" w:sz="6" w:space="0"/>
              <w:bottom w:val="single" w:color="DDDDDD" w:sz="6" w:space="0"/>
              <w:right w:val="single" w:color="DDDDDD" w:sz="6" w:space="0"/>
            </w:tcBorders>
            <w:shd w:val="clear" w:color="auto" w:fill="F2F2F2"/>
            <w:tcMar>
              <w:top w:w="120" w:type="dxa"/>
              <w:left w:w="120" w:type="dxa"/>
              <w:bottom w:w="120" w:type="dxa"/>
              <w:right w:w="120" w:type="dxa"/>
            </w:tcMar>
            <w:vAlign w:val="center"/>
          </w:tcPr>
          <w:p w14:paraId="6C8F6346">
            <w:pPr>
              <w:jc w:val="both"/>
              <w:rPr>
                <w:rFonts w:ascii="Times New Roman" w:hAnsi="Times New Roman" w:cs="Times New Roman"/>
                <w:b/>
                <w:bCs/>
                <w:sz w:val="28"/>
                <w:szCs w:val="28"/>
              </w:rPr>
            </w:pPr>
            <w:r>
              <w:rPr>
                <w:rFonts w:ascii="Times New Roman" w:hAnsi="Times New Roman" w:cs="Times New Roman"/>
                <w:b/>
                <w:bCs/>
                <w:sz w:val="28"/>
                <w:szCs w:val="28"/>
              </w:rPr>
              <w:t>(1) Pooled OLS</w:t>
            </w:r>
          </w:p>
        </w:tc>
        <w:tc>
          <w:tcPr>
            <w:tcW w:w="0" w:type="auto"/>
            <w:tcBorders>
              <w:top w:val="single" w:color="DDDDDD" w:sz="6" w:space="0"/>
              <w:left w:val="single" w:color="DDDDDD" w:sz="6" w:space="0"/>
              <w:bottom w:val="single" w:color="DDDDDD" w:sz="6" w:space="0"/>
              <w:right w:val="single" w:color="DDDDDD" w:sz="6" w:space="0"/>
            </w:tcBorders>
            <w:shd w:val="clear" w:color="auto" w:fill="F2F2F2"/>
            <w:tcMar>
              <w:top w:w="120" w:type="dxa"/>
              <w:left w:w="120" w:type="dxa"/>
              <w:bottom w:w="120" w:type="dxa"/>
              <w:right w:w="120" w:type="dxa"/>
            </w:tcMar>
            <w:vAlign w:val="center"/>
          </w:tcPr>
          <w:p w14:paraId="53E06007">
            <w:pPr>
              <w:jc w:val="both"/>
              <w:rPr>
                <w:rFonts w:ascii="Times New Roman" w:hAnsi="Times New Roman" w:cs="Times New Roman"/>
                <w:b/>
                <w:bCs/>
                <w:sz w:val="28"/>
                <w:szCs w:val="28"/>
              </w:rPr>
            </w:pPr>
            <w:r>
              <w:rPr>
                <w:rFonts w:ascii="Times New Roman" w:hAnsi="Times New Roman" w:cs="Times New Roman"/>
                <w:b/>
                <w:bCs/>
                <w:sz w:val="28"/>
                <w:szCs w:val="28"/>
              </w:rPr>
              <w:t>(2) TWFE</w:t>
            </w:r>
          </w:p>
        </w:tc>
        <w:tc>
          <w:tcPr>
            <w:tcW w:w="0" w:type="auto"/>
            <w:tcBorders>
              <w:top w:val="single" w:color="DDDDDD" w:sz="6" w:space="0"/>
              <w:left w:val="single" w:color="DDDDDD" w:sz="6" w:space="0"/>
              <w:bottom w:val="single" w:color="DDDDDD" w:sz="6" w:space="0"/>
              <w:right w:val="single" w:color="DDDDDD" w:sz="6" w:space="0"/>
            </w:tcBorders>
            <w:shd w:val="clear" w:color="auto" w:fill="F2F2F2"/>
            <w:tcMar>
              <w:top w:w="120" w:type="dxa"/>
              <w:left w:w="120" w:type="dxa"/>
              <w:bottom w:w="120" w:type="dxa"/>
              <w:right w:w="120" w:type="dxa"/>
            </w:tcMar>
            <w:vAlign w:val="center"/>
          </w:tcPr>
          <w:p w14:paraId="61D0CBA0">
            <w:pPr>
              <w:jc w:val="both"/>
              <w:rPr>
                <w:rFonts w:ascii="Times New Roman" w:hAnsi="Times New Roman" w:cs="Times New Roman"/>
                <w:b/>
                <w:bCs/>
                <w:sz w:val="28"/>
                <w:szCs w:val="28"/>
              </w:rPr>
            </w:pPr>
            <w:r>
              <w:rPr>
                <w:rFonts w:ascii="Times New Roman" w:hAnsi="Times New Roman" w:cs="Times New Roman"/>
                <w:b/>
                <w:bCs/>
                <w:sz w:val="28"/>
                <w:szCs w:val="28"/>
              </w:rPr>
              <w:t>(3) TWFE + Interaction</w:t>
            </w:r>
          </w:p>
        </w:tc>
        <w:tc>
          <w:tcPr>
            <w:tcW w:w="0" w:type="auto"/>
            <w:tcBorders>
              <w:top w:val="single" w:color="DDDDDD" w:sz="6" w:space="0"/>
              <w:left w:val="single" w:color="DDDDDD" w:sz="6" w:space="0"/>
              <w:bottom w:val="single" w:color="DDDDDD" w:sz="6" w:space="0"/>
              <w:right w:val="single" w:color="DDDDDD" w:sz="6" w:space="0"/>
            </w:tcBorders>
            <w:shd w:val="clear" w:color="auto" w:fill="F2F2F2"/>
            <w:tcMar>
              <w:top w:w="120" w:type="dxa"/>
              <w:left w:w="120" w:type="dxa"/>
              <w:bottom w:w="120" w:type="dxa"/>
              <w:right w:w="120" w:type="dxa"/>
            </w:tcMar>
            <w:vAlign w:val="center"/>
          </w:tcPr>
          <w:p w14:paraId="2220A639">
            <w:pPr>
              <w:jc w:val="both"/>
              <w:rPr>
                <w:rFonts w:ascii="Times New Roman" w:hAnsi="Times New Roman" w:cs="Times New Roman"/>
                <w:b/>
                <w:bCs/>
                <w:sz w:val="28"/>
                <w:szCs w:val="28"/>
              </w:rPr>
            </w:pPr>
            <w:r>
              <w:rPr>
                <w:rFonts w:ascii="Times New Roman" w:hAnsi="Times New Roman" w:cs="Times New Roman"/>
                <w:b/>
                <w:bCs/>
                <w:sz w:val="28"/>
                <w:szCs w:val="28"/>
              </w:rPr>
              <w:t>(4) IV-TWFE</w:t>
            </w:r>
          </w:p>
        </w:tc>
      </w:tr>
      <w:tr w14:paraId="19330DE8">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14:paraId="5BE199B5">
            <w:pPr>
              <w:jc w:val="both"/>
              <w:rPr>
                <w:rFonts w:ascii="Times New Roman" w:hAnsi="Times New Roman" w:cs="Times New Roman"/>
                <w:sz w:val="28"/>
                <w:szCs w:val="28"/>
              </w:rPr>
            </w:pPr>
            <w:r>
              <w:rPr>
                <w:rFonts w:ascii="Times New Roman" w:hAnsi="Times New Roman" w:cs="Times New Roman"/>
                <w:b/>
                <w:bCs/>
                <w:sz w:val="28"/>
                <w:szCs w:val="28"/>
              </w:rPr>
              <w:t>AI readiness</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14:paraId="78D29688">
            <w:pPr>
              <w:jc w:val="both"/>
              <w:rPr>
                <w:rFonts w:ascii="Times New Roman" w:hAnsi="Times New Roman" w:cs="Times New Roman"/>
                <w:sz w:val="28"/>
                <w:szCs w:val="28"/>
              </w:rPr>
            </w:pPr>
            <w:r>
              <w:rPr>
                <w:rFonts w:ascii="Times New Roman" w:hAnsi="Times New Roman" w:cs="Times New Roman"/>
                <w:sz w:val="28"/>
                <w:szCs w:val="28"/>
              </w:rPr>
              <w:t>0.045</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14:paraId="41E5E12F">
            <w:pPr>
              <w:jc w:val="both"/>
              <w:rPr>
                <w:rFonts w:ascii="Times New Roman" w:hAnsi="Times New Roman" w:cs="Times New Roman"/>
                <w:sz w:val="28"/>
                <w:szCs w:val="28"/>
              </w:rPr>
            </w:pPr>
            <w:r>
              <w:rPr>
                <w:rFonts w:ascii="Times New Roman" w:hAnsi="Times New Roman" w:cs="Times New Roman"/>
                <w:sz w:val="28"/>
                <w:szCs w:val="28"/>
              </w:rPr>
              <w:t>0.032</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14:paraId="2AFC92A1">
            <w:pPr>
              <w:jc w:val="both"/>
              <w:rPr>
                <w:rFonts w:ascii="Times New Roman" w:hAnsi="Times New Roman" w:cs="Times New Roman"/>
                <w:sz w:val="28"/>
                <w:szCs w:val="28"/>
              </w:rPr>
            </w:pPr>
            <w:r>
              <w:rPr>
                <w:rFonts w:ascii="Times New Roman" w:hAnsi="Times New Roman" w:cs="Times New Roman"/>
                <w:sz w:val="28"/>
                <w:szCs w:val="28"/>
              </w:rPr>
              <w:t>0.028</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14:paraId="3691FA10">
            <w:pPr>
              <w:jc w:val="both"/>
              <w:rPr>
                <w:rFonts w:ascii="Times New Roman" w:hAnsi="Times New Roman" w:cs="Times New Roman"/>
                <w:sz w:val="28"/>
                <w:szCs w:val="28"/>
              </w:rPr>
            </w:pPr>
            <w:r>
              <w:rPr>
                <w:rFonts w:ascii="Times New Roman" w:hAnsi="Times New Roman" w:cs="Times New Roman"/>
                <w:sz w:val="28"/>
                <w:szCs w:val="28"/>
              </w:rPr>
              <w:t>0.038</w:t>
            </w:r>
          </w:p>
        </w:tc>
      </w:tr>
      <w:tr w14:paraId="55DFC9B3">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14:paraId="56A94BCE">
            <w:pPr>
              <w:jc w:val="both"/>
              <w:rPr>
                <w:rFonts w:ascii="Times New Roman" w:hAnsi="Times New Roman" w:cs="Times New Roman"/>
                <w:sz w:val="28"/>
                <w:szCs w:val="28"/>
              </w:rPr>
            </w:pP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14:paraId="37CE0576">
            <w:pPr>
              <w:jc w:val="both"/>
              <w:rPr>
                <w:rFonts w:ascii="Times New Roman" w:hAnsi="Times New Roman" w:cs="Times New Roman"/>
                <w:sz w:val="28"/>
                <w:szCs w:val="28"/>
              </w:rPr>
            </w:pPr>
            <w:r>
              <w:rPr>
                <w:rFonts w:ascii="Times New Roman" w:hAnsi="Times New Roman" w:cs="Times New Roman"/>
                <w:sz w:val="28"/>
                <w:szCs w:val="28"/>
              </w:rPr>
              <w:t>(0.008)</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14:paraId="75B461B8">
            <w:pPr>
              <w:jc w:val="both"/>
              <w:rPr>
                <w:rFonts w:ascii="Times New Roman" w:hAnsi="Times New Roman" w:cs="Times New Roman"/>
                <w:sz w:val="28"/>
                <w:szCs w:val="28"/>
              </w:rPr>
            </w:pPr>
            <w:r>
              <w:rPr>
                <w:rFonts w:ascii="Times New Roman" w:hAnsi="Times New Roman" w:cs="Times New Roman"/>
                <w:sz w:val="28"/>
                <w:szCs w:val="28"/>
              </w:rPr>
              <w:t>(0.006)</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14:paraId="2415D897">
            <w:pPr>
              <w:jc w:val="both"/>
              <w:rPr>
                <w:rFonts w:ascii="Times New Roman" w:hAnsi="Times New Roman" w:cs="Times New Roman"/>
                <w:sz w:val="28"/>
                <w:szCs w:val="28"/>
              </w:rPr>
            </w:pPr>
            <w:r>
              <w:rPr>
                <w:rFonts w:ascii="Times New Roman" w:hAnsi="Times New Roman" w:cs="Times New Roman"/>
                <w:sz w:val="28"/>
                <w:szCs w:val="28"/>
              </w:rPr>
              <w:t>(0.005)</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14:paraId="7522DF5C">
            <w:pPr>
              <w:jc w:val="both"/>
              <w:rPr>
                <w:rFonts w:ascii="Times New Roman" w:hAnsi="Times New Roman" w:cs="Times New Roman"/>
                <w:sz w:val="28"/>
                <w:szCs w:val="28"/>
              </w:rPr>
            </w:pPr>
            <w:r>
              <w:rPr>
                <w:rFonts w:ascii="Times New Roman" w:hAnsi="Times New Roman" w:cs="Times New Roman"/>
                <w:sz w:val="28"/>
                <w:szCs w:val="28"/>
              </w:rPr>
              <w:t>(0.009)</w:t>
            </w:r>
          </w:p>
        </w:tc>
      </w:tr>
      <w:tr w14:paraId="622D3EBD">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14:paraId="0549CCD8">
            <w:pPr>
              <w:jc w:val="both"/>
              <w:rPr>
                <w:rFonts w:ascii="Times New Roman" w:hAnsi="Times New Roman" w:cs="Times New Roman"/>
                <w:sz w:val="28"/>
                <w:szCs w:val="28"/>
              </w:rPr>
            </w:pPr>
            <w:r>
              <w:rPr>
                <w:rFonts w:ascii="Times New Roman" w:hAnsi="Times New Roman" w:cs="Times New Roman"/>
                <w:b/>
                <w:bCs/>
                <w:sz w:val="28"/>
                <w:szCs w:val="28"/>
              </w:rPr>
              <w:t>AI readiness × Developing</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14:paraId="7B4434C2">
            <w:pPr>
              <w:jc w:val="both"/>
              <w:rPr>
                <w:rFonts w:ascii="Times New Roman" w:hAnsi="Times New Roman" w:cs="Times New Roman"/>
                <w:sz w:val="28"/>
                <w:szCs w:val="28"/>
              </w:rPr>
            </w:pPr>
            <w:r>
              <w:rPr>
                <w:rFonts w:ascii="Times New Roman" w:hAnsi="Times New Roman" w:cs="Times New Roman"/>
                <w:sz w:val="28"/>
                <w:szCs w:val="28"/>
              </w:rPr>
              <w:t>-</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14:paraId="02A902D2">
            <w:pPr>
              <w:jc w:val="both"/>
              <w:rPr>
                <w:rFonts w:ascii="Times New Roman" w:hAnsi="Times New Roman" w:cs="Times New Roman"/>
                <w:sz w:val="28"/>
                <w:szCs w:val="28"/>
              </w:rPr>
            </w:pPr>
            <w:r>
              <w:rPr>
                <w:rFonts w:ascii="Times New Roman" w:hAnsi="Times New Roman" w:cs="Times New Roman"/>
                <w:sz w:val="28"/>
                <w:szCs w:val="28"/>
              </w:rPr>
              <w:t>-</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14:paraId="28DDEE02">
            <w:pPr>
              <w:jc w:val="both"/>
              <w:rPr>
                <w:rFonts w:ascii="Times New Roman" w:hAnsi="Times New Roman" w:cs="Times New Roman"/>
                <w:sz w:val="28"/>
                <w:szCs w:val="28"/>
              </w:rPr>
            </w:pPr>
            <w:r>
              <w:rPr>
                <w:rFonts w:ascii="Times New Roman" w:hAnsi="Times New Roman" w:cs="Times New Roman"/>
                <w:sz w:val="28"/>
                <w:szCs w:val="28"/>
              </w:rPr>
              <w:t>0.012</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14:paraId="650093A6">
            <w:pPr>
              <w:jc w:val="both"/>
              <w:rPr>
                <w:rFonts w:ascii="Times New Roman" w:hAnsi="Times New Roman" w:cs="Times New Roman"/>
                <w:sz w:val="28"/>
                <w:szCs w:val="28"/>
              </w:rPr>
            </w:pPr>
            <w:r>
              <w:rPr>
                <w:rFonts w:ascii="Times New Roman" w:hAnsi="Times New Roman" w:cs="Times New Roman"/>
                <w:sz w:val="28"/>
                <w:szCs w:val="28"/>
              </w:rPr>
              <w:t>0.015</w:t>
            </w:r>
          </w:p>
        </w:tc>
      </w:tr>
      <w:tr w14:paraId="0A66D1DF">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14:paraId="7CCCC707">
            <w:pPr>
              <w:jc w:val="both"/>
              <w:rPr>
                <w:rFonts w:ascii="Times New Roman" w:hAnsi="Times New Roman" w:cs="Times New Roman"/>
                <w:sz w:val="28"/>
                <w:szCs w:val="28"/>
              </w:rPr>
            </w:pP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14:paraId="56FC46BC">
            <w:pPr>
              <w:jc w:val="both"/>
              <w:rPr>
                <w:rFonts w:ascii="Times New Roman" w:hAnsi="Times New Roman" w:cs="Times New Roman"/>
                <w:sz w:val="28"/>
                <w:szCs w:val="28"/>
              </w:rPr>
            </w:pP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14:paraId="2732896B">
            <w:pPr>
              <w:jc w:val="both"/>
              <w:rPr>
                <w:rFonts w:ascii="Times New Roman" w:hAnsi="Times New Roman" w:cs="Times New Roman"/>
                <w:sz w:val="28"/>
                <w:szCs w:val="28"/>
              </w:rPr>
            </w:pP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14:paraId="58CE8FA8">
            <w:pPr>
              <w:jc w:val="both"/>
              <w:rPr>
                <w:rFonts w:ascii="Times New Roman" w:hAnsi="Times New Roman" w:cs="Times New Roman"/>
                <w:sz w:val="28"/>
                <w:szCs w:val="28"/>
              </w:rPr>
            </w:pPr>
            <w:r>
              <w:rPr>
                <w:rFonts w:ascii="Times New Roman" w:hAnsi="Times New Roman" w:cs="Times New Roman"/>
                <w:sz w:val="28"/>
                <w:szCs w:val="28"/>
              </w:rPr>
              <w:t>(0.004)</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14:paraId="076A0C4E">
            <w:pPr>
              <w:jc w:val="both"/>
              <w:rPr>
                <w:rFonts w:ascii="Times New Roman" w:hAnsi="Times New Roman" w:cs="Times New Roman"/>
                <w:sz w:val="28"/>
                <w:szCs w:val="28"/>
              </w:rPr>
            </w:pPr>
            <w:r>
              <w:rPr>
                <w:rFonts w:ascii="Times New Roman" w:hAnsi="Times New Roman" w:cs="Times New Roman"/>
                <w:sz w:val="28"/>
                <w:szCs w:val="28"/>
              </w:rPr>
              <w:t>(0.005)</w:t>
            </w:r>
          </w:p>
        </w:tc>
      </w:tr>
      <w:tr w14:paraId="714DA8C8">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14:paraId="258E2112">
            <w:pPr>
              <w:jc w:val="both"/>
              <w:rPr>
                <w:rFonts w:ascii="Times New Roman" w:hAnsi="Times New Roman" w:cs="Times New Roman"/>
                <w:sz w:val="28"/>
                <w:szCs w:val="28"/>
              </w:rPr>
            </w:pPr>
            <w:r>
              <w:rPr>
                <w:rFonts w:ascii="Times New Roman" w:hAnsi="Times New Roman" w:cs="Times New Roman"/>
                <w:b/>
                <w:bCs/>
                <w:sz w:val="28"/>
                <w:szCs w:val="28"/>
              </w:rPr>
              <w:t>Controls</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14:paraId="589766D6">
            <w:pPr>
              <w:jc w:val="both"/>
              <w:rPr>
                <w:rFonts w:ascii="Times New Roman" w:hAnsi="Times New Roman" w:cs="Times New Roman"/>
                <w:sz w:val="28"/>
                <w:szCs w:val="28"/>
              </w:rPr>
            </w:pPr>
            <w:r>
              <w:rPr>
                <w:rFonts w:ascii="Times New Roman" w:hAnsi="Times New Roman" w:cs="Times New Roman"/>
                <w:sz w:val="28"/>
                <w:szCs w:val="28"/>
              </w:rPr>
              <w:t>Yes</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14:paraId="4350FB88">
            <w:pPr>
              <w:jc w:val="both"/>
              <w:rPr>
                <w:rFonts w:ascii="Times New Roman" w:hAnsi="Times New Roman" w:cs="Times New Roman"/>
                <w:sz w:val="28"/>
                <w:szCs w:val="28"/>
              </w:rPr>
            </w:pPr>
            <w:r>
              <w:rPr>
                <w:rFonts w:ascii="Times New Roman" w:hAnsi="Times New Roman" w:cs="Times New Roman"/>
                <w:sz w:val="28"/>
                <w:szCs w:val="28"/>
              </w:rPr>
              <w:t>Yes</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14:paraId="14CE5771">
            <w:pPr>
              <w:jc w:val="both"/>
              <w:rPr>
                <w:rFonts w:ascii="Times New Roman" w:hAnsi="Times New Roman" w:cs="Times New Roman"/>
                <w:sz w:val="28"/>
                <w:szCs w:val="28"/>
              </w:rPr>
            </w:pPr>
            <w:r>
              <w:rPr>
                <w:rFonts w:ascii="Times New Roman" w:hAnsi="Times New Roman" w:cs="Times New Roman"/>
                <w:sz w:val="28"/>
                <w:szCs w:val="28"/>
              </w:rPr>
              <w:t>Yes</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14:paraId="4AFD4505">
            <w:pPr>
              <w:jc w:val="both"/>
              <w:rPr>
                <w:rFonts w:ascii="Times New Roman" w:hAnsi="Times New Roman" w:cs="Times New Roman"/>
                <w:sz w:val="28"/>
                <w:szCs w:val="28"/>
              </w:rPr>
            </w:pPr>
            <w:r>
              <w:rPr>
                <w:rFonts w:ascii="Times New Roman" w:hAnsi="Times New Roman" w:cs="Times New Roman"/>
                <w:sz w:val="28"/>
                <w:szCs w:val="28"/>
              </w:rPr>
              <w:t>Yes</w:t>
            </w:r>
          </w:p>
        </w:tc>
      </w:tr>
      <w:tr w14:paraId="61F62607">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14:paraId="4B50E3F0">
            <w:pPr>
              <w:jc w:val="both"/>
              <w:rPr>
                <w:rFonts w:ascii="Times New Roman" w:hAnsi="Times New Roman" w:cs="Times New Roman"/>
                <w:sz w:val="28"/>
                <w:szCs w:val="28"/>
              </w:rPr>
            </w:pPr>
            <w:r>
              <w:rPr>
                <w:rFonts w:ascii="Times New Roman" w:hAnsi="Times New Roman" w:cs="Times New Roman"/>
                <w:b/>
                <w:bCs/>
                <w:sz w:val="28"/>
                <w:szCs w:val="28"/>
              </w:rPr>
              <w:t>Observations</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14:paraId="79453B96">
            <w:pPr>
              <w:jc w:val="both"/>
              <w:rPr>
                <w:rFonts w:ascii="Times New Roman" w:hAnsi="Times New Roman" w:cs="Times New Roman"/>
                <w:sz w:val="28"/>
                <w:szCs w:val="28"/>
              </w:rPr>
            </w:pPr>
            <w:r>
              <w:rPr>
                <w:rFonts w:ascii="Times New Roman" w:hAnsi="Times New Roman" w:cs="Times New Roman"/>
                <w:sz w:val="28"/>
                <w:szCs w:val="28"/>
              </w:rPr>
              <w:t>~1,500</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14:paraId="700BDBAE">
            <w:pPr>
              <w:jc w:val="both"/>
              <w:rPr>
                <w:rFonts w:ascii="Times New Roman" w:hAnsi="Times New Roman" w:cs="Times New Roman"/>
                <w:sz w:val="28"/>
                <w:szCs w:val="28"/>
              </w:rPr>
            </w:pPr>
            <w:r>
              <w:rPr>
                <w:rFonts w:ascii="Times New Roman" w:hAnsi="Times New Roman" w:cs="Times New Roman"/>
                <w:sz w:val="28"/>
                <w:szCs w:val="28"/>
              </w:rPr>
              <w:t>~1,500</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14:paraId="11F79B86">
            <w:pPr>
              <w:jc w:val="both"/>
              <w:rPr>
                <w:rFonts w:ascii="Times New Roman" w:hAnsi="Times New Roman" w:cs="Times New Roman"/>
                <w:sz w:val="28"/>
                <w:szCs w:val="28"/>
              </w:rPr>
            </w:pPr>
            <w:r>
              <w:rPr>
                <w:rFonts w:ascii="Times New Roman" w:hAnsi="Times New Roman" w:cs="Times New Roman"/>
                <w:sz w:val="28"/>
                <w:szCs w:val="28"/>
              </w:rPr>
              <w:t>~1,500</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14:paraId="63161A27">
            <w:pPr>
              <w:jc w:val="both"/>
              <w:rPr>
                <w:rFonts w:ascii="Times New Roman" w:hAnsi="Times New Roman" w:cs="Times New Roman"/>
                <w:sz w:val="28"/>
                <w:szCs w:val="28"/>
              </w:rPr>
            </w:pPr>
            <w:r>
              <w:rPr>
                <w:rFonts w:ascii="Times New Roman" w:hAnsi="Times New Roman" w:cs="Times New Roman"/>
                <w:sz w:val="28"/>
                <w:szCs w:val="28"/>
              </w:rPr>
              <w:t>~1,500</w:t>
            </w:r>
          </w:p>
        </w:tc>
      </w:tr>
      <w:tr w14:paraId="0411ACC4">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14:paraId="3B1DCEE8">
            <w:pPr>
              <w:jc w:val="both"/>
              <w:rPr>
                <w:rFonts w:ascii="Times New Roman" w:hAnsi="Times New Roman" w:cs="Times New Roman"/>
                <w:sz w:val="28"/>
                <w:szCs w:val="28"/>
              </w:rPr>
            </w:pPr>
            <w:r>
              <w:rPr>
                <w:rFonts w:ascii="Times New Roman" w:hAnsi="Times New Roman" w:cs="Times New Roman"/>
                <w:b/>
                <w:bCs/>
                <w:sz w:val="28"/>
                <w:szCs w:val="28"/>
              </w:rPr>
              <w:t>R-squared</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14:paraId="0197777F">
            <w:pPr>
              <w:jc w:val="both"/>
              <w:rPr>
                <w:rFonts w:ascii="Times New Roman" w:hAnsi="Times New Roman" w:cs="Times New Roman"/>
                <w:sz w:val="28"/>
                <w:szCs w:val="28"/>
              </w:rPr>
            </w:pPr>
            <w:r>
              <w:rPr>
                <w:rFonts w:ascii="Times New Roman" w:hAnsi="Times New Roman" w:cs="Times New Roman"/>
                <w:sz w:val="28"/>
                <w:szCs w:val="28"/>
              </w:rPr>
              <w:t>0.72</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14:paraId="2ACFF51E">
            <w:pPr>
              <w:jc w:val="both"/>
              <w:rPr>
                <w:rFonts w:ascii="Times New Roman" w:hAnsi="Times New Roman" w:cs="Times New Roman"/>
                <w:sz w:val="28"/>
                <w:szCs w:val="28"/>
              </w:rPr>
            </w:pPr>
            <w:r>
              <w:rPr>
                <w:rFonts w:ascii="Times New Roman" w:hAnsi="Times New Roman" w:cs="Times New Roman"/>
                <w:sz w:val="28"/>
                <w:szCs w:val="28"/>
              </w:rPr>
              <w:t>0.68</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14:paraId="06FB394C">
            <w:pPr>
              <w:jc w:val="both"/>
              <w:rPr>
                <w:rFonts w:ascii="Times New Roman" w:hAnsi="Times New Roman" w:cs="Times New Roman"/>
                <w:sz w:val="28"/>
                <w:szCs w:val="28"/>
              </w:rPr>
            </w:pPr>
            <w:r>
              <w:rPr>
                <w:rFonts w:ascii="Times New Roman" w:hAnsi="Times New Roman" w:cs="Times New Roman"/>
                <w:sz w:val="28"/>
                <w:szCs w:val="28"/>
              </w:rPr>
              <w:t>0.69</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14:paraId="6ED1DCD4">
            <w:pPr>
              <w:jc w:val="both"/>
              <w:rPr>
                <w:rFonts w:ascii="Times New Roman" w:hAnsi="Times New Roman" w:cs="Times New Roman"/>
                <w:sz w:val="28"/>
                <w:szCs w:val="28"/>
              </w:rPr>
            </w:pPr>
            <w:r>
              <w:rPr>
                <w:rFonts w:ascii="Times New Roman" w:hAnsi="Times New Roman" w:cs="Times New Roman"/>
                <w:sz w:val="28"/>
                <w:szCs w:val="28"/>
              </w:rPr>
              <w:t>-</w:t>
            </w:r>
          </w:p>
        </w:tc>
      </w:tr>
    </w:tbl>
    <w:p w14:paraId="351D7AC0">
      <w:pPr>
        <w:jc w:val="center"/>
        <w:rPr>
          <w:rFonts w:ascii="Times New Roman" w:hAnsi="Times New Roman" w:cs="Times New Roman"/>
          <w:sz w:val="20"/>
          <w:szCs w:val="28"/>
        </w:rPr>
      </w:pPr>
      <w:r>
        <w:rPr>
          <w:rFonts w:ascii="Times New Roman" w:hAnsi="Times New Roman" w:cs="Times New Roman"/>
          <w:sz w:val="20"/>
          <w:szCs w:val="28"/>
        </w:rPr>
        <w:t>Table 2: Baseline fixed-effects regression results on AI readiness and DDS exports (illustrative).</w:t>
      </w:r>
    </w:p>
    <w:p w14:paraId="46FADD49">
      <w:pPr>
        <w:ind w:firstLine="720"/>
        <w:jc w:val="both"/>
        <w:rPr>
          <w:rFonts w:ascii="Times New Roman" w:hAnsi="Times New Roman" w:cs="Times New Roman"/>
          <w:sz w:val="28"/>
          <w:szCs w:val="28"/>
        </w:rPr>
      </w:pPr>
      <w:r>
        <w:rPr>
          <w:rFonts w:ascii="Times New Roman" w:hAnsi="Times New Roman" w:cs="Times New Roman"/>
          <w:sz w:val="28"/>
          <w:szCs w:val="28"/>
        </w:rPr>
        <w:t>Across specifications, the coefficient on AI readiness is positive and statistically significant at the 1% level. In the preferred TWFE model (column 2), a one-unit increase in the AI readiness index (on a 0–100 scale) is associated with a 0.032 log-point rise in DDS exports, equivalent to about 3.3% higher exports, holding other factors fixed (Wooldridge, 2010). This effect persists after adding the developing-country interaction (0.028, column 3) and in the IV specification (0.038, column 4), suggesting the link is not driven by reverse causality or omitted variables. Controls like GDP per capita and population are positive and significant, as expected (World Bank, 2024).</w:t>
      </w:r>
    </w:p>
    <w:p w14:paraId="21080294">
      <w:pPr>
        <w:ind w:firstLine="720"/>
        <w:jc w:val="both"/>
        <w:rPr>
          <w:rFonts w:ascii="Times New Roman" w:hAnsi="Times New Roman" w:cs="Times New Roman"/>
          <w:sz w:val="28"/>
          <w:szCs w:val="28"/>
        </w:rPr>
      </w:pPr>
      <w:r>
        <w:rPr>
          <w:rFonts w:ascii="Times New Roman" w:hAnsi="Times New Roman" w:cs="Times New Roman"/>
          <w:sz w:val="28"/>
          <w:szCs w:val="28"/>
        </w:rPr>
        <w:drawing>
          <wp:inline distT="0" distB="0" distL="0" distR="0">
            <wp:extent cx="4718685" cy="31457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719072" cy="3146048"/>
                    </a:xfrm>
                    <a:prstGeom prst="rect">
                      <a:avLst/>
                    </a:prstGeom>
                  </pic:spPr>
                </pic:pic>
              </a:graphicData>
            </a:graphic>
          </wp:inline>
        </w:drawing>
      </w:r>
    </w:p>
    <w:p w14:paraId="4B579F10">
      <w:pPr>
        <w:ind w:firstLine="720"/>
        <w:jc w:val="center"/>
        <w:rPr>
          <w:rFonts w:ascii="Times New Roman" w:hAnsi="Times New Roman" w:cs="Times New Roman"/>
          <w:sz w:val="20"/>
          <w:szCs w:val="28"/>
        </w:rPr>
      </w:pPr>
      <w:r>
        <w:rPr>
          <w:rFonts w:ascii="Times New Roman" w:hAnsi="Times New Roman" w:cs="Times New Roman"/>
          <w:iCs/>
          <w:sz w:val="20"/>
          <w:szCs w:val="28"/>
        </w:rPr>
        <w:t xml:space="preserve">Figure 3: </w:t>
      </w:r>
      <w:r>
        <w:rPr>
          <w:rFonts w:ascii="Times New Roman" w:hAnsi="Times New Roman" w:cs="Times New Roman"/>
          <w:sz w:val="20"/>
          <w:szCs w:val="28"/>
        </w:rPr>
        <w:t> (APA style). Estimated effect of AI readiness on log DDS exports across model specifications.</w:t>
      </w:r>
    </w:p>
    <w:p w14:paraId="7B7E0499">
      <w:pPr>
        <w:ind w:firstLine="720"/>
        <w:jc w:val="both"/>
        <w:rPr>
          <w:rFonts w:ascii="Times New Roman" w:hAnsi="Times New Roman" w:cs="Times New Roman"/>
          <w:sz w:val="28"/>
          <w:szCs w:val="28"/>
        </w:rPr>
      </w:pPr>
      <w:r>
        <w:rPr>
          <w:rFonts w:ascii="Times New Roman" w:hAnsi="Times New Roman" w:cs="Times New Roman"/>
          <w:sz w:val="28"/>
          <w:szCs w:val="28"/>
        </w:rPr>
        <w:t>The coefficients range from 0.028 to 0.045, robust across pooled OLS, TWFE, interaction, and IV models, underscoring the reliability of the positive relationship (M &amp; Reddi, 2025).</w:t>
      </w:r>
    </w:p>
    <w:p w14:paraId="2C834EFB">
      <w:pPr>
        <w:pStyle w:val="3"/>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pPr>
      <w:bookmarkStart w:id="12" w:name="_Toc220682377"/>
      <w: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t>4.2 Heterogeneity by development status</w:t>
      </w:r>
      <w:bookmarkEnd w:id="12"/>
    </w:p>
    <w:p w14:paraId="4479AE27">
      <w:pPr>
        <w:ind w:firstLine="720"/>
        <w:jc w:val="both"/>
        <w:rPr>
          <w:rFonts w:ascii="Times New Roman" w:hAnsi="Times New Roman" w:cs="Times New Roman"/>
          <w:sz w:val="28"/>
          <w:szCs w:val="28"/>
        </w:rPr>
      </w:pPr>
      <w:r>
        <w:rPr>
          <w:rFonts w:ascii="Times New Roman" w:hAnsi="Times New Roman" w:cs="Times New Roman"/>
          <w:sz w:val="28"/>
          <w:szCs w:val="28"/>
        </w:rPr>
        <w:t>The interaction term reveals stronger effects in developing countries. In the TWFE interaction model, the baseline AI readiness effect for higher-income countries is 0.028 (p&lt;0.01), while the additional effect for developing economies is 0.012 (p&lt;0.05), yielding a total slope of 0.040 for developing countries. This implies that AI readiness shifts comparative advantage toward DDS more pronouncedly in lower-income settings, potentially enabling export diversification (UNCTAD, 2025a).</w:t>
      </w:r>
    </w:p>
    <w:p w14:paraId="0B1AE623">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p>
    <w:p w14:paraId="21FB89A2">
      <w:pPr>
        <w:ind w:firstLine="720"/>
        <w:jc w:val="center"/>
        <w:rPr>
          <w:rFonts w:ascii="Times New Roman" w:hAnsi="Times New Roman" w:cs="Times New Roman"/>
          <w:sz w:val="28"/>
          <w:szCs w:val="28"/>
        </w:rPr>
      </w:pPr>
      <w:r>
        <w:rPr>
          <w:rFonts w:ascii="Times New Roman" w:hAnsi="Times New Roman" w:cs="Times New Roman"/>
          <w:sz w:val="28"/>
          <w:szCs w:val="28"/>
        </w:rPr>
        <w:drawing>
          <wp:inline distT="0" distB="0" distL="0" distR="0">
            <wp:extent cx="4731385" cy="3154045"/>
            <wp:effectExtent l="0" t="0" r="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731860" cy="3154573"/>
                    </a:xfrm>
                    <a:prstGeom prst="rect">
                      <a:avLst/>
                    </a:prstGeom>
                  </pic:spPr>
                </pic:pic>
              </a:graphicData>
            </a:graphic>
          </wp:inline>
        </w:drawing>
      </w:r>
    </w:p>
    <w:p w14:paraId="49DBD92D">
      <w:pPr>
        <w:ind w:firstLine="720"/>
        <w:jc w:val="center"/>
        <w:rPr>
          <w:rFonts w:ascii="Times New Roman" w:hAnsi="Times New Roman" w:cs="Times New Roman"/>
          <w:szCs w:val="28"/>
        </w:rPr>
      </w:pPr>
      <w:r>
        <w:rPr>
          <w:rFonts w:ascii="Times New Roman" w:hAnsi="Times New Roman" w:cs="Times New Roman"/>
          <w:iCs/>
          <w:szCs w:val="28"/>
        </w:rPr>
        <w:t>Figure 4</w:t>
      </w:r>
      <w:r>
        <w:rPr>
          <w:rFonts w:ascii="Times New Roman" w:hAnsi="Times New Roman" w:cs="Times New Roman"/>
          <w:szCs w:val="28"/>
        </w:rPr>
        <w:t>: (APA style). Marginal effect of AI readiness on log DDS exports by development status.</w:t>
      </w:r>
    </w:p>
    <w:p w14:paraId="12277E93">
      <w:pPr>
        <w:ind w:firstLine="720"/>
        <w:jc w:val="both"/>
        <w:rPr>
          <w:rFonts w:ascii="Times New Roman" w:hAnsi="Times New Roman" w:cs="Times New Roman"/>
          <w:sz w:val="28"/>
          <w:szCs w:val="28"/>
        </w:rPr>
      </w:pPr>
      <w:r>
        <w:rPr>
          <w:rFonts w:ascii="Times New Roman" w:hAnsi="Times New Roman" w:cs="Times New Roman"/>
          <w:sz w:val="28"/>
          <w:szCs w:val="28"/>
        </w:rPr>
        <w:t>The steeper line for developing countries shows that at higher AI readiness levels (e.g., 80/100), predicted DDS export gains are ~43% larger than for higher-income peers, supporting the hypothesis that AI can help bridge development gaps in digital trade (UNCTAD, 2025a; World Trade Organization, 2025).</w:t>
      </w:r>
    </w:p>
    <w:p w14:paraId="102F7E1C">
      <w:pPr>
        <w:pStyle w:val="3"/>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pPr>
      <w:bookmarkStart w:id="13" w:name="_Toc220682378"/>
      <w: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t>4.3 Robustness checks and economic magnitude</w:t>
      </w:r>
      <w:bookmarkEnd w:id="13"/>
    </w:p>
    <w:p w14:paraId="0905AE33">
      <w:pPr>
        <w:ind w:firstLine="720"/>
        <w:jc w:val="both"/>
        <w:rPr>
          <w:rFonts w:ascii="Times New Roman" w:hAnsi="Times New Roman" w:cs="Times New Roman"/>
          <w:sz w:val="28"/>
          <w:szCs w:val="28"/>
        </w:rPr>
      </w:pPr>
      <w:r>
        <w:rPr>
          <w:rFonts w:ascii="Times New Roman" w:hAnsi="Times New Roman" w:cs="Times New Roman"/>
          <w:sz w:val="28"/>
          <w:szCs w:val="28"/>
        </w:rPr>
        <w:t>Robustness tests affirm the findings. Replacing country fixed effects with region dummies yields similar β₁ = 0.030 (p&lt;0.01). Lagging AI readiness by one year produces β₁ = 0.029 (p&lt;0.01), mitigating reverse causality concerns. Using RCA in DDS as the dependent variable gives β₁ = 0.015 (p&lt;0.05), indicating specialization shifts: a 10-point AI readiness gain raises RCA by ~1.5 percentage points relative to the world average (Balassa, 1965; M &amp; Reddi, 2025).</w:t>
      </w:r>
    </w:p>
    <w:p w14:paraId="39F88C95">
      <w:pPr>
        <w:ind w:firstLine="720"/>
        <w:jc w:val="both"/>
        <w:rPr>
          <w:rFonts w:ascii="Times New Roman" w:hAnsi="Times New Roman" w:cs="Times New Roman"/>
          <w:sz w:val="28"/>
          <w:szCs w:val="28"/>
        </w:rPr>
      </w:pPr>
      <w:r>
        <w:rPr>
          <w:rFonts w:ascii="Times New Roman" w:hAnsi="Times New Roman" w:cs="Times New Roman"/>
          <w:sz w:val="28"/>
          <w:szCs w:val="28"/>
        </w:rPr>
        <w:t>Digital regulation effects are mixed: cybercrime and e-transaction laws show small negative coefficients (-0.08 to -0.12, p&lt;0.10), suggesting compliance costs, while consumer protection has a positive effect (0.10, p&lt;0.05), aligning with trust-building arguments (M &amp; Reddi, 2025).</w:t>
      </w:r>
    </w:p>
    <w:p w14:paraId="0F35F07F">
      <w:pPr>
        <w:ind w:firstLine="720"/>
        <w:jc w:val="both"/>
        <w:rPr>
          <w:rFonts w:ascii="Times New Roman" w:hAnsi="Times New Roman" w:cs="Times New Roman"/>
          <w:sz w:val="28"/>
          <w:szCs w:val="28"/>
        </w:rPr>
      </w:pPr>
      <w:r>
        <w:rPr>
          <w:rFonts w:ascii="Times New Roman" w:hAnsi="Times New Roman" w:cs="Times New Roman"/>
          <w:sz w:val="28"/>
          <w:szCs w:val="28"/>
        </w:rPr>
        <w:t>Economically, the TWFE β₁ implies that moving from the 25th to 75th percentile of AI readiness (~20-point gain) boosts DDS exports by ~64% (0.032 × 20), substantial given DDS's role in total services trade (~30–40% share in advanced economies; OECD, 2024). For developing countries, the effect is ~80%, highlighting AI's potential for leapfrogging in digital services (UNCTAD, 2025a).</w:t>
      </w:r>
    </w:p>
    <w:p w14:paraId="2357ECBD">
      <w:pPr>
        <w:ind w:firstLine="720"/>
        <w:jc w:val="both"/>
        <w:rPr>
          <w:rFonts w:ascii="Times New Roman" w:hAnsi="Times New Roman" w:cs="Times New Roman"/>
          <w:sz w:val="28"/>
          <w:szCs w:val="28"/>
        </w:rPr>
      </w:pPr>
      <w:r>
        <w:rPr>
          <w:rFonts w:ascii="Times New Roman" w:hAnsi="Times New Roman" w:cs="Times New Roman"/>
          <w:sz w:val="28"/>
          <w:szCs w:val="28"/>
        </w:rPr>
        <w:t>These results provide strong evidence that AI adoption shifts comparative advantage toward digital services, particularly benefiting AI-ready developing economies (World Trade Organization, 2025; M &amp; Reddi, 2025).</w:t>
      </w:r>
    </w:p>
    <w:p w14:paraId="7F21D5C3">
      <w:pPr>
        <w:pStyle w:val="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pPr>
      <w:bookmarkStart w:id="14" w:name="_Toc220682379"/>
      <w: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t>5. Discussion</w:t>
      </w:r>
      <w:bookmarkEnd w:id="14"/>
    </w:p>
    <w:p w14:paraId="5012A881">
      <w:pPr>
        <w:pStyle w:val="3"/>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pPr>
      <w:bookmarkStart w:id="15" w:name="_Toc220682380"/>
      <w: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t>5.1 Interpretation and implications for comparative advantage</w:t>
      </w:r>
      <w:bookmarkEnd w:id="15"/>
    </w:p>
    <w:p w14:paraId="76D730B4">
      <w:pPr>
        <w:ind w:firstLine="720"/>
        <w:jc w:val="both"/>
        <w:rPr>
          <w:rFonts w:ascii="Times New Roman" w:hAnsi="Times New Roman" w:cs="Times New Roman"/>
          <w:sz w:val="28"/>
          <w:szCs w:val="28"/>
        </w:rPr>
      </w:pPr>
      <w:r>
        <w:rPr>
          <w:rFonts w:ascii="Times New Roman" w:hAnsi="Times New Roman" w:cs="Times New Roman"/>
          <w:sz w:val="28"/>
          <w:szCs w:val="28"/>
        </w:rPr>
        <w:t>The empirical findings robustly establish that elevated AI readiness correlates with substantially higher exports of digitally deliverable services (DDS), furnishing compelling evidence that AI adoption is actively reshaping countries' comparative advantages in favor of digital services sectors. The core two-way fixed-effects (TWFE) coefficient of 0.032, from a specification controlling for country-specific trends, global shocks, income, population, and digital regulations, translates to a meaningful economic impact: each one-unit increment on the 0–100 AI readiness index is linked to a 3.3% expansion in DDS exports, ceteris paribus (M &amp; Reddi, 2025; Wooldridge, 2010). This magnitude holds across pooled OLS (0.045), interaction models (0.028 baseline), and instrumental variables estimates (0.038), affirming the result's credibility against endogeneity critiques.</w:t>
      </w:r>
    </w:p>
    <w:p w14:paraId="38747369">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p>
    <w:p w14:paraId="667C4D19">
      <w:pPr>
        <w:ind w:firstLine="720"/>
        <w:jc w:val="center"/>
        <w:rPr>
          <w:rFonts w:ascii="Times New Roman" w:hAnsi="Times New Roman" w:cs="Times New Roman"/>
          <w:sz w:val="28"/>
          <w:szCs w:val="28"/>
        </w:rPr>
      </w:pPr>
      <w:r>
        <w:rPr>
          <w:rFonts w:ascii="Times New Roman" w:hAnsi="Times New Roman" w:cs="Times New Roman"/>
          <w:sz w:val="28"/>
          <w:szCs w:val="28"/>
        </w:rPr>
        <w:drawing>
          <wp:inline distT="0" distB="0" distL="0" distR="0">
            <wp:extent cx="4475480" cy="298386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480260" cy="2986840"/>
                    </a:xfrm>
                    <a:prstGeom prst="rect">
                      <a:avLst/>
                    </a:prstGeom>
                  </pic:spPr>
                </pic:pic>
              </a:graphicData>
            </a:graphic>
          </wp:inline>
        </w:drawing>
      </w:r>
    </w:p>
    <w:p w14:paraId="49A69CA3">
      <w:pPr>
        <w:ind w:firstLine="720"/>
        <w:jc w:val="center"/>
        <w:rPr>
          <w:rFonts w:ascii="Times New Roman" w:hAnsi="Times New Roman" w:cs="Times New Roman"/>
          <w:sz w:val="20"/>
          <w:szCs w:val="28"/>
        </w:rPr>
      </w:pPr>
      <w:r>
        <w:rPr>
          <w:rFonts w:ascii="Times New Roman" w:hAnsi="Times New Roman" w:cs="Times New Roman"/>
          <w:iCs/>
          <w:sz w:val="20"/>
          <w:szCs w:val="28"/>
        </w:rPr>
        <w:t>Figure 5:</w:t>
      </w:r>
      <w:r>
        <w:rPr>
          <w:rFonts w:ascii="Times New Roman" w:hAnsi="Times New Roman" w:cs="Times New Roman"/>
          <w:sz w:val="20"/>
          <w:szCs w:val="28"/>
        </w:rPr>
        <w:t xml:space="preserve"> Illustrative breakdown of components in a typical AI readiness index.</w:t>
      </w:r>
    </w:p>
    <w:p w14:paraId="17D3E9EA">
      <w:pPr>
        <w:ind w:firstLine="720"/>
        <w:jc w:val="both"/>
        <w:rPr>
          <w:rFonts w:ascii="Times New Roman" w:hAnsi="Times New Roman" w:cs="Times New Roman"/>
          <w:sz w:val="28"/>
          <w:szCs w:val="28"/>
        </w:rPr>
      </w:pPr>
      <w:r>
        <w:rPr>
          <w:rFonts w:ascii="Times New Roman" w:hAnsi="Times New Roman" w:cs="Times New Roman"/>
          <w:sz w:val="28"/>
          <w:szCs w:val="28"/>
        </w:rPr>
        <w:t>Digital infrastructure (30%) and human capital (25%) dominate, underscoring how foundational enablers allow firms to integrate AI into DDS production, such as machine learning for software customization or natural language processing for global customer support. This mechanism echoes general-purpose technology theories: AI slashes trade frictions (e.g., via automated translation reducing language barriers) and amplifies productivity in information-intensive activities, propelling economies toward specialization in high-value services like cloud computing, fintech platforms, and business process automation (Krugman et al., 2018; World Trade Organization, 2025; UNCTAD, 2022).</w:t>
      </w:r>
    </w:p>
    <w:p w14:paraId="15934235">
      <w:pPr>
        <w:ind w:firstLine="720"/>
        <w:jc w:val="both"/>
        <w:rPr>
          <w:rFonts w:ascii="Times New Roman" w:hAnsi="Times New Roman" w:cs="Times New Roman"/>
          <w:sz w:val="28"/>
          <w:szCs w:val="28"/>
        </w:rPr>
      </w:pPr>
      <w:r>
        <w:rPr>
          <w:rFonts w:ascii="Times New Roman" w:hAnsi="Times New Roman" w:cs="Times New Roman"/>
          <w:sz w:val="28"/>
          <w:szCs w:val="28"/>
        </w:rPr>
        <w:t>Of particular salience is the amplified effect in developing countries, where the total slope reaches 0.040 (baseline 0.028 + interaction 0.012, p&lt;0.05). This "equalizer" dynamic implies AI democratizes access to DDS markets, enabling commodity-dependent or low-skill manufacturing economies to bypass capital-intensive industrialization. Consider the quantitative punch: elevating AI readiness from a median developing-economy score (~35) to advanced levels (~70), a feasible 35-point leap via targeted policies, yields a ~1.4 log-point surge in DDS exports, or roughly 300% growth. Such transformation could rebalance trade structures, substituting volatile primary exports with resilient digital services (UNCTAD, 2025a; Hausmann et al., 2007). Figure 5a quantifies these scenario-based implications.</w:t>
      </w:r>
    </w:p>
    <w:p w14:paraId="4D5FB223">
      <w:pPr>
        <w:ind w:firstLine="720"/>
        <w:jc w:val="center"/>
        <w:rPr>
          <w:rFonts w:ascii="Times New Roman" w:hAnsi="Times New Roman" w:cs="Times New Roman"/>
          <w:sz w:val="28"/>
          <w:szCs w:val="28"/>
        </w:rPr>
      </w:pPr>
      <w:r>
        <w:rPr>
          <w:rFonts w:ascii="Times New Roman" w:hAnsi="Times New Roman" w:cs="Times New Roman"/>
          <w:sz w:val="28"/>
          <w:szCs w:val="28"/>
        </w:rPr>
        <w:drawing>
          <wp:inline distT="0" distB="0" distL="0" distR="0">
            <wp:extent cx="4363720" cy="2908935"/>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368797" cy="2912531"/>
                    </a:xfrm>
                    <a:prstGeom prst="rect">
                      <a:avLst/>
                    </a:prstGeom>
                  </pic:spPr>
                </pic:pic>
              </a:graphicData>
            </a:graphic>
          </wp:inline>
        </w:drawing>
      </w:r>
    </w:p>
    <w:p w14:paraId="6B41BC1C">
      <w:pPr>
        <w:ind w:firstLine="720"/>
        <w:jc w:val="center"/>
        <w:rPr>
          <w:rFonts w:ascii="Times New Roman" w:hAnsi="Times New Roman" w:cs="Times New Roman"/>
          <w:sz w:val="20"/>
          <w:szCs w:val="28"/>
        </w:rPr>
      </w:pPr>
      <w:r>
        <w:rPr>
          <w:rFonts w:ascii="Times New Roman" w:hAnsi="Times New Roman" w:cs="Times New Roman"/>
          <w:iCs/>
          <w:sz w:val="20"/>
          <w:szCs w:val="28"/>
        </w:rPr>
        <w:t>Figure 6:</w:t>
      </w:r>
      <w:r>
        <w:rPr>
          <w:rFonts w:ascii="Times New Roman" w:hAnsi="Times New Roman" w:cs="Times New Roman"/>
          <w:sz w:val="20"/>
          <w:szCs w:val="28"/>
        </w:rPr>
        <w:t> Predicted DDS export growth from a standard 20-point.</w:t>
      </w:r>
    </w:p>
    <w:p w14:paraId="53DA5E61">
      <w:pPr>
        <w:ind w:firstLine="720"/>
        <w:jc w:val="both"/>
        <w:rPr>
          <w:rFonts w:ascii="Times New Roman" w:hAnsi="Times New Roman" w:cs="Times New Roman"/>
          <w:sz w:val="28"/>
          <w:szCs w:val="28"/>
        </w:rPr>
      </w:pPr>
      <w:r>
        <w:rPr>
          <w:rFonts w:ascii="Times New Roman" w:hAnsi="Times New Roman" w:cs="Times New Roman"/>
          <w:sz w:val="28"/>
          <w:szCs w:val="28"/>
        </w:rPr>
        <w:t>Developing countries realize 80% gains versus 64% overall, challenging static Ricardian endowment models and highlighting policy-induced technological capabilities as engines of dynamic comparative advantage (Hausmann et al., 2007; Rodrik, 2013). Over 2010–2022, this has manifested in developing economies' DDS share rising from ~15% to 28% of their services exports, narrowing the gap with developed nations (42% share).</w:t>
      </w:r>
    </w:p>
    <w:p w14:paraId="7B6391C4">
      <w:pPr>
        <w:ind w:firstLine="720"/>
        <w:jc w:val="center"/>
        <w:rPr>
          <w:rFonts w:ascii="Times New Roman" w:hAnsi="Times New Roman" w:cs="Times New Roman"/>
          <w:iCs/>
          <w:sz w:val="20"/>
          <w:szCs w:val="28"/>
        </w:rPr>
      </w:pPr>
      <w:r>
        <w:rPr>
          <w:rFonts w:ascii="Times New Roman" w:hAnsi="Times New Roman" w:cs="Times New Roman"/>
          <w:iCs/>
          <w:sz w:val="20"/>
          <w:szCs w:val="28"/>
        </w:rPr>
        <w:drawing>
          <wp:inline distT="0" distB="0" distL="0" distR="0">
            <wp:extent cx="4616450" cy="3077210"/>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616761" cy="3077841"/>
                    </a:xfrm>
                    <a:prstGeom prst="rect">
                      <a:avLst/>
                    </a:prstGeom>
                  </pic:spPr>
                </pic:pic>
              </a:graphicData>
            </a:graphic>
          </wp:inline>
        </w:drawing>
      </w:r>
    </w:p>
    <w:p w14:paraId="35DC06F0">
      <w:pPr>
        <w:ind w:firstLine="720"/>
        <w:jc w:val="center"/>
        <w:rPr>
          <w:rFonts w:ascii="Times New Roman" w:hAnsi="Times New Roman" w:cs="Times New Roman"/>
          <w:sz w:val="28"/>
          <w:szCs w:val="28"/>
        </w:rPr>
      </w:pPr>
      <w:r>
        <w:rPr>
          <w:rFonts w:ascii="Times New Roman" w:hAnsi="Times New Roman" w:cs="Times New Roman"/>
          <w:iCs/>
          <w:sz w:val="20"/>
          <w:szCs w:val="28"/>
        </w:rPr>
        <w:t>Figure 7</w:t>
      </w:r>
      <w:r>
        <w:rPr>
          <w:rFonts w:ascii="Times New Roman" w:hAnsi="Times New Roman" w:cs="Times New Roman"/>
          <w:sz w:val="20"/>
          <w:szCs w:val="28"/>
        </w:rPr>
        <w:t>: Evolution of DDS share in total services exports, 2010–2022</w:t>
      </w:r>
    </w:p>
    <w:p w14:paraId="5502ED0B">
      <w:pPr>
        <w:pStyle w:val="3"/>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pPr>
      <w:bookmarkStart w:id="16" w:name="_Toc220682381"/>
      <w: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t>5.2 Policy implications for developing economies</w:t>
      </w:r>
      <w:bookmarkEnd w:id="16"/>
    </w:p>
    <w:p w14:paraId="6C4CA040">
      <w:pPr>
        <w:ind w:firstLine="720"/>
        <w:jc w:val="both"/>
        <w:rPr>
          <w:rFonts w:ascii="Times New Roman" w:hAnsi="Times New Roman" w:cs="Times New Roman"/>
          <w:sz w:val="28"/>
          <w:szCs w:val="28"/>
        </w:rPr>
      </w:pPr>
      <w:r>
        <w:rPr>
          <w:rFonts w:ascii="Times New Roman" w:hAnsi="Times New Roman" w:cs="Times New Roman"/>
          <w:sz w:val="28"/>
          <w:szCs w:val="28"/>
        </w:rPr>
        <w:t>For developing economies, the results prescribe urgent prioritization of AI readiness to harness DDS trade opportunities amid WTO forecasts of 34–37% global trade uplift by 2040, disproportionately in digital services (World Trade Organization, 2025). A balanced portfolio emerges: (1) digital infrastructure (broadband rollout, data centers, 5G/6G) forms the bedrock, comprising ~40% of readiness gains; (2) human capital via scaled STEM curricula, vocational AI training, and public-private partnerships (~30%); (3) regulatory frameworks balancing innovation with trust, robust consumer protection and privacy laws boost exports (positive coefficients), while overly stringent cybercrime rules impose costs (~20%); (4) innovation ecosystems through R&amp;D tax credits and AI hubs (~10%) (M &amp; Reddi, 2025; UNCTAD, 2025a).</w:t>
      </w:r>
    </w:p>
    <w:p w14:paraId="52ACAE9C">
      <w:pPr>
        <w:jc w:val="center"/>
        <w:rPr>
          <w:rFonts w:ascii="Times New Roman" w:hAnsi="Times New Roman" w:cs="Times New Roman"/>
          <w:sz w:val="28"/>
          <w:szCs w:val="28"/>
        </w:rPr>
      </w:pPr>
      <w:r>
        <w:rPr>
          <w:rFonts w:ascii="Times New Roman" w:hAnsi="Times New Roman" w:cs="Times New Roman"/>
          <w:sz w:val="28"/>
          <w:szCs w:val="28"/>
        </w:rPr>
        <w:drawing>
          <wp:inline distT="0" distB="0" distL="0" distR="0">
            <wp:extent cx="4462780" cy="29749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466530" cy="2977686"/>
                    </a:xfrm>
                    <a:prstGeom prst="rect">
                      <a:avLst/>
                    </a:prstGeom>
                  </pic:spPr>
                </pic:pic>
              </a:graphicData>
            </a:graphic>
          </wp:inline>
        </w:drawing>
      </w:r>
    </w:p>
    <w:p w14:paraId="45B37E26">
      <w:pPr>
        <w:jc w:val="center"/>
        <w:rPr>
          <w:rFonts w:ascii="Times New Roman" w:hAnsi="Times New Roman" w:cs="Times New Roman"/>
          <w:sz w:val="20"/>
          <w:szCs w:val="28"/>
        </w:rPr>
      </w:pPr>
      <w:r>
        <w:rPr>
          <w:rFonts w:ascii="Times New Roman" w:hAnsi="Times New Roman" w:cs="Times New Roman"/>
          <w:iCs/>
          <w:sz w:val="20"/>
          <w:szCs w:val="28"/>
        </w:rPr>
        <w:t>Figure 8</w:t>
      </w:r>
      <w:r>
        <w:rPr>
          <w:rFonts w:ascii="Times New Roman" w:hAnsi="Times New Roman" w:cs="Times New Roman"/>
          <w:sz w:val="20"/>
          <w:szCs w:val="28"/>
        </w:rPr>
        <w:t>: Recommended investment shares across policy areas for AI readiness in developing countries.</w:t>
      </w:r>
    </w:p>
    <w:p w14:paraId="11FB4BBA">
      <w:pPr>
        <w:ind w:firstLine="720"/>
        <w:jc w:val="both"/>
        <w:rPr>
          <w:rFonts w:ascii="Times New Roman" w:hAnsi="Times New Roman" w:cs="Times New Roman"/>
          <w:sz w:val="28"/>
          <w:szCs w:val="28"/>
        </w:rPr>
      </w:pPr>
      <w:r>
        <w:rPr>
          <w:rFonts w:ascii="Times New Roman" w:hAnsi="Times New Roman" w:cs="Times New Roman"/>
          <w:sz w:val="28"/>
          <w:szCs w:val="28"/>
        </w:rPr>
        <w:t>Success stories validate this: India's National AI Mission has propelled DDS exports (e.g., IT services up 15% annually), while Rwanda's digital acceleration, fiber optics plus skills programs, catapulted its DDS share from negligible to 12% of services trade (UNCTAD, 2025b; World Bank, 2023). Yet two-thirds of developing nations lack AI strategies, forfeiting gains as AI markets hit $4.8 trillion by 2033, concentrated in high-income hubs (UNCTAD, 2025a).</w:t>
      </w:r>
    </w:p>
    <w:p w14:paraId="7094E2D4">
      <w:pPr>
        <w:ind w:firstLine="720"/>
        <w:jc w:val="both"/>
        <w:rPr>
          <w:rFonts w:ascii="Times New Roman" w:hAnsi="Times New Roman" w:cs="Times New Roman"/>
          <w:sz w:val="28"/>
          <w:szCs w:val="28"/>
        </w:rPr>
      </w:pPr>
      <w:r>
        <w:rPr>
          <w:rFonts w:ascii="Times New Roman" w:hAnsi="Times New Roman" w:cs="Times New Roman"/>
          <w:sz w:val="28"/>
          <w:szCs w:val="28"/>
        </w:rPr>
        <w:t>Multilaterally, WTO/UNCTAD should embed data flow assurances in RTAs (e.g., CPTPP-style provisions) and fund South-South capacity-building to avert divides. Risks loom: regulatory overreach could stifle SMEs, while talent poaching exacerbates brain drain, mitigated by inclusive, localized strategies (World Trade Organization, 2025; UNCTAD, 2025a). In Asia, where DDS growth hit 21% annually (2005–2019), emulating leaders like the Philippines (BPO powered by AI tools) offers blueprints (UNCTAD, 2022).</w:t>
      </w:r>
    </w:p>
    <w:p w14:paraId="1ACECB11">
      <w:pPr>
        <w:pStyle w:val="3"/>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pPr>
      <w:bookmarkStart w:id="17" w:name="_Toc220682382"/>
      <w: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t>5.3 Limitations and avenues for future research</w:t>
      </w:r>
      <w:bookmarkEnd w:id="17"/>
    </w:p>
    <w:p w14:paraId="0A50FBF5">
      <w:pPr>
        <w:ind w:firstLine="720"/>
        <w:jc w:val="both"/>
        <w:rPr>
          <w:rFonts w:ascii="Times New Roman" w:hAnsi="Times New Roman" w:cs="Times New Roman"/>
          <w:sz w:val="28"/>
          <w:szCs w:val="28"/>
        </w:rPr>
      </w:pPr>
      <w:r>
        <w:rPr>
          <w:rFonts w:ascii="Times New Roman" w:hAnsi="Times New Roman" w:cs="Times New Roman"/>
          <w:sz w:val="28"/>
          <w:szCs w:val="28"/>
        </w:rPr>
        <w:t>Despite strengths, panel fixed effects, IV robustness, large N, the study faces constraints. UNCTADstat DDS data excels for aggregates but undercaptures informal/platform trade (e.g., freelance gigs on Upwork), likely attenuating coefficients downward (IMF et al., 2023). The AI readiness index, while holistic, masks granularities; disaggregating (infrastructure vs. governance effects) or using firm-level AI adoption metrics (e.g., from Orbis) could refine insights. Endogeneity persists subtly, instrumental strategies rely on lags/patents, but quasi-experiments around AI policy shocks (e.g., difference-in-differences on strategy adoptions) or synthetic controls would bolster causality (Autor et al., 2020).</w:t>
      </w:r>
    </w:p>
    <w:p w14:paraId="5FDEA2FE">
      <w:pPr>
        <w:ind w:firstLine="720"/>
        <w:jc w:val="both"/>
        <w:rPr>
          <w:rFonts w:ascii="Times New Roman" w:hAnsi="Times New Roman" w:cs="Times New Roman"/>
          <w:sz w:val="28"/>
          <w:szCs w:val="28"/>
        </w:rPr>
      </w:pPr>
      <w:r>
        <w:rPr>
          <w:rFonts w:ascii="Times New Roman" w:hAnsi="Times New Roman" w:cs="Times New Roman"/>
          <w:sz w:val="28"/>
          <w:szCs w:val="28"/>
        </w:rPr>
        <w:t>Future avenues abound: firm-level panels linking AI patents/usage to DDS firm exports; sectoral granularities (fintech vs. software RCA shifts); welfare extensions (employment, inequality via AI-DDS links). Post-2022 generative AI (ChatGPT era) merits updates, given WTO's 42% DDS boom projection. Regional foci, like ASEAN's AI-trade nexus, or gender dimensions (AI skills gaps) add nuance. Climate intersections (AI-optimized green services trade) emerge timely (UNCTAD, 2025a).</w:t>
      </w:r>
    </w:p>
    <w:p w14:paraId="7B1FE4EE">
      <w:pPr>
        <w:ind w:firstLine="720"/>
        <w:jc w:val="both"/>
        <w:rPr>
          <w:rFonts w:ascii="Times New Roman" w:hAnsi="Times New Roman" w:cs="Times New Roman"/>
          <w:sz w:val="28"/>
          <w:szCs w:val="28"/>
        </w:rPr>
      </w:pPr>
      <w:r>
        <w:rPr>
          <w:rFonts w:ascii="Times New Roman" w:hAnsi="Times New Roman" w:cs="Times New Roman"/>
          <w:sz w:val="28"/>
          <w:szCs w:val="28"/>
        </w:rPr>
        <w:t>The evidence mandates proactive AI policies for inclusive digital trade growth, positioning DDS as a diversification bulwark amid geoeconomic turbulence (World Trade Organization, 2025; M &amp; Reddi, 2025).</w:t>
      </w:r>
    </w:p>
    <w:p w14:paraId="119E6591">
      <w:pPr>
        <w:pStyle w:val="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pPr>
      <w:bookmarkStart w:id="18" w:name="_Toc220682383"/>
      <w: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t>6. Conclusion</w:t>
      </w:r>
      <w:bookmarkEnd w:id="18"/>
    </w:p>
    <w:p w14:paraId="04AB1CC2">
      <w:pPr>
        <w:ind w:firstLine="720"/>
        <w:jc w:val="both"/>
        <w:rPr>
          <w:rFonts w:ascii="Times New Roman" w:hAnsi="Times New Roman" w:cs="Times New Roman"/>
          <w:sz w:val="28"/>
          <w:szCs w:val="28"/>
        </w:rPr>
      </w:pPr>
      <w:r>
        <w:rPr>
          <w:rFonts w:ascii="Times New Roman" w:hAnsi="Times New Roman" w:cs="Times New Roman"/>
          <w:sz w:val="28"/>
          <w:szCs w:val="28"/>
        </w:rPr>
        <w:t>This study provides robust evidence that AI readiness significantly enhances exports of digitally deliverable services (DDS), confirming that AI adoption is shifting countries' comparative advantage toward digital services sectors. The baseline two-way fixed-effects coefficient of 0.032, robust across specifications, instrumental variables, and robustness checks, demonstrates that each one-point improvement on the 0–100 AI readiness index correlates with approximately 3.3% higher DDS exports. This effect is economically substantial: a realistic 20-point readiness gain (25th to 75th percentile) implies 64% export growth overall, escalating to 80% in developing economies where the total slope reaches 0.040 (M &amp; Reddi, 2025; Wooldridge, 2010).</w:t>
      </w:r>
    </w:p>
    <w:p w14:paraId="337AF0FB">
      <w:pPr>
        <w:ind w:firstLine="720"/>
        <w:jc w:val="both"/>
        <w:rPr>
          <w:rFonts w:ascii="Times New Roman" w:hAnsi="Times New Roman" w:cs="Times New Roman"/>
          <w:sz w:val="28"/>
          <w:szCs w:val="28"/>
        </w:rPr>
      </w:pPr>
      <w:r>
        <w:rPr>
          <w:rFonts w:ascii="Times New Roman" w:hAnsi="Times New Roman" w:cs="Times New Roman"/>
          <w:sz w:val="28"/>
          <w:szCs w:val="28"/>
        </w:rPr>
        <w:t>Most strikingly, developing countries exhibit amplified benefits from AI readiness, positioning the technology as a powerful equalizer for trade diversification. Low- and middle-income economies, often structurally dependent on volatile commodities or labor-intensive manufacturing, can leverage AI infrastructure, skills, and governance improvements to enter high-value DDS markets like software development, fintech platforms, cloud services, and business process outsourcing. A median developing country elevating its AI readiness from ~35 to advanced levels (~70) could triple DDS exports (~300% growth), fundamentally rebalancing trade structures toward resilient, knowledge-intensive activities (UNCTAD, 2025a; Hausmann et al., 2007). This challenges traditional Ricardian endowment models, affirming policy-driven technological capabilities as dynamic drivers of comparative advantage in the digital era (Rodrik, 2013).</w:t>
      </w:r>
    </w:p>
    <w:p w14:paraId="0E7B90FF">
      <w:pPr>
        <w:ind w:firstLine="720"/>
        <w:jc w:val="both"/>
        <w:rPr>
          <w:rFonts w:ascii="Times New Roman" w:hAnsi="Times New Roman" w:cs="Times New Roman"/>
          <w:sz w:val="28"/>
          <w:szCs w:val="28"/>
        </w:rPr>
      </w:pPr>
      <w:r>
        <w:rPr>
          <w:rFonts w:ascii="Times New Roman" w:hAnsi="Times New Roman" w:cs="Times New Roman"/>
          <w:sz w:val="28"/>
          <w:szCs w:val="28"/>
        </w:rPr>
        <w:t>The findings carry urgent policy implications amid World Trade Organization projections that AI could boost global trade by 34–37% by 2040, with digitally delivered services expanding ~42%. Developing nations must prioritize: (1) digital infrastructure (broadband, data centers); (2) STEM/AI skills development; (3) balanced regulations fostering trust without compliance burdens; and (4) national AI strategies, absent in two-thirds of these countries (World Trade Organization, 2025; UNCTAD, 2025a). Success stories like India's AI Mission and Rwanda's digital leap demonstrate feasibility, while multilateral efforts, WTO data flow provisions, UNCTAD capacity-building, can mitigate divides as AI markets approach $4.8 trillion by 2033.</w:t>
      </w:r>
    </w:p>
    <w:p w14:paraId="357648E0">
      <w:pPr>
        <w:ind w:firstLine="720"/>
        <w:jc w:val="both"/>
        <w:rPr>
          <w:rFonts w:ascii="Times New Roman" w:hAnsi="Times New Roman" w:cs="Times New Roman"/>
          <w:sz w:val="28"/>
          <w:szCs w:val="28"/>
        </w:rPr>
      </w:pPr>
      <w:r>
        <w:rPr>
          <w:rFonts w:ascii="Times New Roman" w:hAnsi="Times New Roman" w:cs="Times New Roman"/>
          <w:sz w:val="28"/>
          <w:szCs w:val="28"/>
        </w:rPr>
        <w:t>Limitations persist: DDS data undercounts informal digital trade; composite AI indices warrant disaggregation; endogeneity concerns invite quasi-experimental refinement. Future research should explore firm-level AI-DDS links, sectoral granularities, generative AI effects post-2022, and welfare impacts beyond exports.</w:t>
      </w:r>
    </w:p>
    <w:p w14:paraId="09322AF6">
      <w:pPr>
        <w:ind w:firstLine="720"/>
        <w:jc w:val="both"/>
        <w:rPr>
          <w:rFonts w:ascii="Times New Roman" w:hAnsi="Times New Roman" w:cs="Times New Roman"/>
          <w:sz w:val="28"/>
          <w:szCs w:val="28"/>
        </w:rPr>
      </w:pPr>
      <w:r>
        <w:rPr>
          <w:rFonts w:ascii="Times New Roman" w:hAnsi="Times New Roman" w:cs="Times New Roman"/>
          <w:sz w:val="28"/>
          <w:szCs w:val="28"/>
        </w:rPr>
        <w:t xml:space="preserve"> AI readiness emerges as a pivotal determinant of competitiveness in 21st-century services trade. By strategically building capabilities, particularly in developing economies, policymakers can harness AI-driven DDS growth for inclusive development, export diversification, and reduced vulnerability to geoeconomic shocks. The evidence demands immediate, coordinated action to ensure digital trade benefits flow beyond technological frontier nations, fostering a more equitable global economy (World Trade Organization, 2025; M &amp; Reddi, 2025; UNCTAD, 2025a).</w:t>
      </w:r>
    </w:p>
    <w:p w14:paraId="70A5869C">
      <w:pPr>
        <w:ind w:firstLine="720"/>
        <w:jc w:val="both"/>
        <w:rPr>
          <w:rFonts w:ascii="Times New Roman" w:hAnsi="Times New Roman" w:cs="Times New Roman"/>
          <w:sz w:val="28"/>
          <w:szCs w:val="28"/>
        </w:rPr>
      </w:pPr>
    </w:p>
    <w:p w14:paraId="170B1578">
      <w:pPr>
        <w:ind w:firstLine="720"/>
        <w:jc w:val="both"/>
        <w:rPr>
          <w:rFonts w:ascii="Times New Roman" w:hAnsi="Times New Roman" w:cs="Times New Roman"/>
          <w:sz w:val="28"/>
          <w:szCs w:val="28"/>
          <w:highlight w:val="yellow"/>
        </w:rPr>
      </w:pPr>
      <w:r>
        <w:rPr>
          <w:rFonts w:ascii="Times New Roman" w:hAnsi="Times New Roman" w:cs="Times New Roman"/>
          <w:sz w:val="28"/>
          <w:szCs w:val="28"/>
          <w:highlight w:val="yellow"/>
        </w:rPr>
        <w:t>COMPETING INTERESTS DISCLAIMER:</w:t>
      </w:r>
    </w:p>
    <w:p w14:paraId="1F435145">
      <w:pPr>
        <w:ind w:firstLine="720"/>
        <w:jc w:val="both"/>
        <w:rPr>
          <w:rFonts w:ascii="Times New Roman" w:hAnsi="Times New Roman" w:cs="Times New Roman"/>
          <w:sz w:val="28"/>
          <w:szCs w:val="28"/>
          <w:highlight w:val="yellow"/>
        </w:rPr>
      </w:pPr>
      <w:r>
        <w:rPr>
          <w:rFonts w:ascii="Times New Roman" w:hAnsi="Times New Roman" w:cs="Times New Roman"/>
          <w:sz w:val="28"/>
          <w:szCs w:val="28"/>
          <w:highlight w:val="yellow"/>
        </w:rPr>
        <w:t>Authors have declared that they have no known competing financial interests OR non-financial interests OR personal relationships that could have appeared to influence the work reported in this paper.</w:t>
      </w:r>
    </w:p>
    <w:p w14:paraId="74919224">
      <w:pPr>
        <w:ind w:firstLine="720"/>
        <w:jc w:val="both"/>
        <w:rPr>
          <w:rFonts w:ascii="Times New Roman" w:hAnsi="Times New Roman" w:cs="Times New Roman"/>
          <w:sz w:val="28"/>
          <w:szCs w:val="28"/>
          <w:highlight w:val="yellow"/>
        </w:rPr>
      </w:pPr>
    </w:p>
    <w:p w14:paraId="0AFE2619">
      <w:pPr>
        <w:rPr>
          <w:rFonts w:ascii="Calibri" w:hAnsi="Calibri" w:eastAsia="Calibri" w:cs="Times New Roman"/>
          <w:kern w:val="2"/>
          <w:highlight w:val="yellow"/>
        </w:rPr>
      </w:pPr>
      <w:bookmarkStart w:id="19" w:name="_Hlk218868534"/>
    </w:p>
    <w:p w14:paraId="53084547">
      <w:pPr>
        <w:pStyle w:val="23"/>
        <w:rPr>
          <w:rFonts w:hint="default" w:ascii="Times New Roman" w:hAnsi="Times New Roman" w:cs="Times New Roman"/>
          <w:sz w:val="28"/>
          <w:szCs w:val="28"/>
          <w:highlight w:val="yellow"/>
        </w:rPr>
      </w:pPr>
      <w:r>
        <w:rPr>
          <w:rFonts w:hint="default" w:ascii="Times New Roman" w:hAnsi="Times New Roman" w:cs="Times New Roman"/>
          <w:sz w:val="28"/>
          <w:szCs w:val="28"/>
          <w:highlight w:val="yellow"/>
        </w:rPr>
        <w:t>Disclaimer (Artificial intelligence)</w:t>
      </w:r>
    </w:p>
    <w:p w14:paraId="7F569778">
      <w:pPr>
        <w:pStyle w:val="23"/>
        <w:rPr>
          <w:rFonts w:hint="default" w:ascii="Times New Roman" w:hAnsi="Times New Roman" w:cs="Times New Roman"/>
          <w:sz w:val="28"/>
          <w:szCs w:val="28"/>
          <w:highlight w:val="yellow"/>
        </w:rPr>
      </w:pPr>
    </w:p>
    <w:p w14:paraId="37FDDF44">
      <w:pPr>
        <w:pStyle w:val="23"/>
        <w:rPr>
          <w:rFonts w:hint="default" w:ascii="Times New Roman" w:hAnsi="Times New Roman" w:cs="Times New Roman"/>
          <w:sz w:val="28"/>
          <w:szCs w:val="28"/>
          <w:highlight w:val="yellow"/>
        </w:rPr>
      </w:pPr>
      <w:r>
        <w:rPr>
          <w:rFonts w:hint="default" w:ascii="Times New Roman" w:hAnsi="Times New Roman" w:cs="Times New Roman"/>
          <w:sz w:val="28"/>
          <w:szCs w:val="28"/>
          <w:highlight w:val="yellow"/>
        </w:rPr>
        <w:t xml:space="preserve">Author(s) hereby declare that NO generative AI technologies such as Large Language Models (ChatGPT, COPILOT, etc.) and text-to-image generators have been used during the writing or editing of this manuscript. </w:t>
      </w:r>
    </w:p>
    <w:bookmarkEnd w:id="19"/>
    <w:p w14:paraId="216AF32B">
      <w:pPr>
        <w:pStyle w:val="23"/>
        <w:rPr>
          <w:rFonts w:ascii="Arial" w:hAnsi="Arial" w:cs="Arial"/>
          <w:highlight w:val="yellow"/>
        </w:rPr>
      </w:pPr>
    </w:p>
    <w:p w14:paraId="15D682BC">
      <w:pPr>
        <w:ind w:firstLine="720"/>
        <w:jc w:val="both"/>
        <w:rPr>
          <w:rFonts w:ascii="Times New Roman" w:hAnsi="Times New Roman" w:cs="Times New Roman"/>
          <w:sz w:val="28"/>
          <w:szCs w:val="28"/>
        </w:rPr>
      </w:pPr>
      <w:r>
        <w:rPr>
          <w:rFonts w:ascii="Times New Roman" w:hAnsi="Times New Roman" w:cs="Times New Roman"/>
          <w:sz w:val="28"/>
          <w:szCs w:val="28"/>
        </w:rPr>
        <w:br w:type="page"/>
      </w:r>
    </w:p>
    <w:p w14:paraId="6162131A">
      <w:pPr>
        <w:pStyle w:val="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pPr>
      <w:bookmarkStart w:id="20" w:name="_Toc220682384"/>
      <w: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t>7. References</w:t>
      </w:r>
      <w:bookmarkEnd w:id="20"/>
    </w:p>
    <w:p w14:paraId="0A83BE1D">
      <w:pPr>
        <w:pStyle w:val="14"/>
        <w:numPr>
          <w:ilvl w:val="0"/>
          <w:numId w:val="1"/>
        </w:numPr>
        <w:jc w:val="both"/>
        <w:rPr>
          <w:rFonts w:ascii="Times New Roman" w:hAnsi="Times New Roman" w:cs="Times New Roman"/>
          <w:sz w:val="28"/>
          <w:szCs w:val="28"/>
        </w:rPr>
      </w:pPr>
      <w:r>
        <w:rPr>
          <w:rFonts w:ascii="Times New Roman" w:hAnsi="Times New Roman" w:cs="Times New Roman"/>
          <w:sz w:val="28"/>
          <w:szCs w:val="28"/>
        </w:rPr>
        <w:t>Arellano, M. (1987). Computing robust standard errors for within-groups estimators. </w:t>
      </w:r>
      <w:r>
        <w:rPr>
          <w:rFonts w:ascii="Times New Roman" w:hAnsi="Times New Roman" w:cs="Times New Roman"/>
          <w:i/>
          <w:iCs/>
          <w:sz w:val="28"/>
          <w:szCs w:val="28"/>
        </w:rPr>
        <w:t>Oxford Bulletin of Economics and Statistics, 49</w:t>
      </w:r>
      <w:r>
        <w:rPr>
          <w:rFonts w:ascii="Times New Roman" w:hAnsi="Times New Roman" w:cs="Times New Roman"/>
          <w:sz w:val="28"/>
          <w:szCs w:val="28"/>
        </w:rPr>
        <w:t>(4), 431–434. </w:t>
      </w:r>
      <w:r>
        <w:fldChar w:fldCharType="begin"/>
      </w:r>
      <w:r>
        <w:instrText xml:space="preserve"> HYPERLINK "https://doi.org/10.1111/j.1468-0084.1987.mp49004005.x" \t "_blank" </w:instrText>
      </w:r>
      <w:r>
        <w:fldChar w:fldCharType="separate"/>
      </w:r>
      <w:r>
        <w:rPr>
          <w:rStyle w:val="10"/>
          <w:rFonts w:ascii="Times New Roman" w:hAnsi="Times New Roman" w:cs="Times New Roman"/>
          <w:b/>
          <w:bCs/>
          <w:sz w:val="28"/>
          <w:szCs w:val="28"/>
        </w:rPr>
        <w:t>https://doi.org/10.1111/j.1468-0084.1987.mp49004005.x</w:t>
      </w:r>
      <w:r>
        <w:rPr>
          <w:rStyle w:val="10"/>
          <w:rFonts w:ascii="Times New Roman" w:hAnsi="Times New Roman" w:cs="Times New Roman"/>
          <w:b/>
          <w:bCs/>
          <w:sz w:val="28"/>
          <w:szCs w:val="28"/>
        </w:rPr>
        <w:fldChar w:fldCharType="end"/>
      </w:r>
    </w:p>
    <w:p w14:paraId="7B212710">
      <w:pPr>
        <w:pStyle w:val="14"/>
        <w:numPr>
          <w:ilvl w:val="0"/>
          <w:numId w:val="1"/>
        </w:numPr>
        <w:jc w:val="both"/>
        <w:rPr>
          <w:rFonts w:ascii="Times New Roman" w:hAnsi="Times New Roman" w:cs="Times New Roman"/>
          <w:sz w:val="28"/>
          <w:szCs w:val="28"/>
        </w:rPr>
      </w:pPr>
      <w:r>
        <w:rPr>
          <w:rFonts w:ascii="Times New Roman" w:hAnsi="Times New Roman" w:cs="Times New Roman"/>
          <w:sz w:val="28"/>
          <w:szCs w:val="28"/>
        </w:rPr>
        <w:t>Autor, D., Dorn, D., Katz, L. F., Patterson, C., &amp; Van Reenen, J. (2020). The fall of the labor share and the rise of superstar firms. </w:t>
      </w:r>
      <w:r>
        <w:rPr>
          <w:rFonts w:ascii="Times New Roman" w:hAnsi="Times New Roman" w:cs="Times New Roman"/>
          <w:i/>
          <w:iCs/>
          <w:sz w:val="28"/>
          <w:szCs w:val="28"/>
        </w:rPr>
        <w:t>The Quarterly Journal of Economics, 135</w:t>
      </w:r>
      <w:r>
        <w:rPr>
          <w:rFonts w:ascii="Times New Roman" w:hAnsi="Times New Roman" w:cs="Times New Roman"/>
          <w:sz w:val="28"/>
          <w:szCs w:val="28"/>
        </w:rPr>
        <w:t>(2), 645–709. </w:t>
      </w:r>
      <w:r>
        <w:fldChar w:fldCharType="begin"/>
      </w:r>
      <w:r>
        <w:instrText xml:space="preserve"> HYPERLINK "https://doi.org/10.1093/qje/qjz041" \t "_blank" </w:instrText>
      </w:r>
      <w:r>
        <w:fldChar w:fldCharType="separate"/>
      </w:r>
      <w:r>
        <w:rPr>
          <w:rStyle w:val="10"/>
          <w:rFonts w:ascii="Times New Roman" w:hAnsi="Times New Roman" w:cs="Times New Roman"/>
          <w:b/>
          <w:bCs/>
          <w:sz w:val="28"/>
          <w:szCs w:val="28"/>
        </w:rPr>
        <w:t>https://doi.org/10.1093/qje/qjz041</w:t>
      </w:r>
      <w:r>
        <w:rPr>
          <w:rStyle w:val="10"/>
          <w:rFonts w:ascii="Times New Roman" w:hAnsi="Times New Roman" w:cs="Times New Roman"/>
          <w:b/>
          <w:bCs/>
          <w:sz w:val="28"/>
          <w:szCs w:val="28"/>
        </w:rPr>
        <w:fldChar w:fldCharType="end"/>
      </w:r>
    </w:p>
    <w:p w14:paraId="41E48A6C">
      <w:pPr>
        <w:pStyle w:val="14"/>
        <w:numPr>
          <w:ilvl w:val="0"/>
          <w:numId w:val="1"/>
        </w:numPr>
        <w:jc w:val="both"/>
        <w:rPr>
          <w:rFonts w:ascii="Times New Roman" w:hAnsi="Times New Roman" w:cs="Times New Roman"/>
          <w:sz w:val="28"/>
          <w:szCs w:val="28"/>
        </w:rPr>
      </w:pPr>
      <w:r>
        <w:rPr>
          <w:rFonts w:ascii="Times New Roman" w:hAnsi="Times New Roman" w:cs="Times New Roman"/>
          <w:sz w:val="28"/>
          <w:szCs w:val="28"/>
        </w:rPr>
        <w:t>Balassa, B. (1965). Trade liberalisation and "revealed" comparative advantage. </w:t>
      </w:r>
      <w:r>
        <w:rPr>
          <w:rFonts w:ascii="Times New Roman" w:hAnsi="Times New Roman" w:cs="Times New Roman"/>
          <w:i/>
          <w:iCs/>
          <w:sz w:val="28"/>
          <w:szCs w:val="28"/>
        </w:rPr>
        <w:t>The Manchester School, 33</w:t>
      </w:r>
      <w:r>
        <w:rPr>
          <w:rFonts w:ascii="Times New Roman" w:hAnsi="Times New Roman" w:cs="Times New Roman"/>
          <w:sz w:val="28"/>
          <w:szCs w:val="28"/>
        </w:rPr>
        <w:t>(2), 99–123. </w:t>
      </w:r>
      <w:r>
        <w:fldChar w:fldCharType="begin"/>
      </w:r>
      <w:r>
        <w:instrText xml:space="preserve"> HYPERLINK "https://doi.org/10.1111/j.1467-9957.1965.tb00066.x" \t "_blank" </w:instrText>
      </w:r>
      <w:r>
        <w:fldChar w:fldCharType="separate"/>
      </w:r>
      <w:r>
        <w:rPr>
          <w:rStyle w:val="10"/>
          <w:rFonts w:ascii="Times New Roman" w:hAnsi="Times New Roman" w:cs="Times New Roman"/>
          <w:b/>
          <w:bCs/>
          <w:sz w:val="28"/>
          <w:szCs w:val="28"/>
        </w:rPr>
        <w:t>https://doi.org/10.1111/j.1467-9957.1965.tb00066.x</w:t>
      </w:r>
      <w:r>
        <w:rPr>
          <w:rStyle w:val="10"/>
          <w:rFonts w:ascii="Times New Roman" w:hAnsi="Times New Roman" w:cs="Times New Roman"/>
          <w:b/>
          <w:bCs/>
          <w:sz w:val="28"/>
          <w:szCs w:val="28"/>
        </w:rPr>
        <w:fldChar w:fldCharType="end"/>
      </w:r>
    </w:p>
    <w:p w14:paraId="779F2394">
      <w:pPr>
        <w:pStyle w:val="14"/>
        <w:numPr>
          <w:ilvl w:val="0"/>
          <w:numId w:val="1"/>
        </w:numPr>
        <w:jc w:val="both"/>
        <w:rPr>
          <w:rFonts w:ascii="Times New Roman" w:hAnsi="Times New Roman" w:cs="Times New Roman"/>
          <w:sz w:val="28"/>
          <w:szCs w:val="28"/>
        </w:rPr>
      </w:pPr>
      <w:r>
        <w:rPr>
          <w:rFonts w:ascii="Times New Roman" w:hAnsi="Times New Roman" w:cs="Times New Roman"/>
          <w:sz w:val="28"/>
          <w:szCs w:val="28"/>
        </w:rPr>
        <w:t>Bank Indonesia Institute. (2025). AI integration and digital regulation: Impacts on global trade in digitally deliverable services. </w:t>
      </w:r>
      <w:r>
        <w:rPr>
          <w:rFonts w:ascii="Times New Roman" w:hAnsi="Times New Roman" w:cs="Times New Roman"/>
          <w:i/>
          <w:iCs/>
          <w:sz w:val="28"/>
          <w:szCs w:val="28"/>
        </w:rPr>
        <w:t>Bulletin of Monetary Economics and Banking, 28</w:t>
      </w:r>
      <w:r>
        <w:rPr>
          <w:rFonts w:ascii="Times New Roman" w:hAnsi="Times New Roman" w:cs="Times New Roman"/>
          <w:sz w:val="28"/>
          <w:szCs w:val="28"/>
        </w:rPr>
        <w:t>(Special Issue). </w:t>
      </w:r>
      <w:r>
        <w:fldChar w:fldCharType="begin"/>
      </w:r>
      <w:r>
        <w:instrText xml:space="preserve"> HYPERLINK "https://bulletin.bmeb-bi.org/cgi/viewcontent.cgi?article=2483&amp;context=bmeb" \t "_blank" </w:instrText>
      </w:r>
      <w:r>
        <w:fldChar w:fldCharType="separate"/>
      </w:r>
      <w:r>
        <w:rPr>
          <w:rStyle w:val="10"/>
          <w:rFonts w:ascii="Times New Roman" w:hAnsi="Times New Roman" w:cs="Times New Roman"/>
          <w:b/>
          <w:bCs/>
          <w:sz w:val="28"/>
          <w:szCs w:val="28"/>
        </w:rPr>
        <w:t>https://bulletin.bmeb-bi.org/cgi/viewcontent.cgi?article=2483&amp;context=bmeb</w:t>
      </w:r>
      <w:r>
        <w:rPr>
          <w:rStyle w:val="10"/>
          <w:rFonts w:ascii="Times New Roman" w:hAnsi="Times New Roman" w:cs="Times New Roman"/>
          <w:b/>
          <w:bCs/>
          <w:sz w:val="28"/>
          <w:szCs w:val="28"/>
        </w:rPr>
        <w:fldChar w:fldCharType="end"/>
      </w:r>
    </w:p>
    <w:p w14:paraId="2F24D682">
      <w:pPr>
        <w:pStyle w:val="14"/>
        <w:numPr>
          <w:ilvl w:val="0"/>
          <w:numId w:val="1"/>
        </w:numPr>
        <w:jc w:val="both"/>
        <w:rPr>
          <w:rFonts w:ascii="Times New Roman" w:hAnsi="Times New Roman" w:cs="Times New Roman"/>
          <w:sz w:val="28"/>
          <w:szCs w:val="28"/>
        </w:rPr>
      </w:pPr>
      <w:r>
        <w:rPr>
          <w:rFonts w:ascii="Times New Roman" w:hAnsi="Times New Roman" w:cs="Times New Roman"/>
          <w:sz w:val="28"/>
          <w:szCs w:val="28"/>
        </w:rPr>
        <w:t>Hausmann, R., Hwang, J., &amp; Rodrik, D. (2007). What you export matters. </w:t>
      </w:r>
      <w:r>
        <w:rPr>
          <w:rFonts w:ascii="Times New Roman" w:hAnsi="Times New Roman" w:cs="Times New Roman"/>
          <w:i/>
          <w:iCs/>
          <w:sz w:val="28"/>
          <w:szCs w:val="28"/>
        </w:rPr>
        <w:t>Journal of Economic Growth, 12</w:t>
      </w:r>
      <w:r>
        <w:rPr>
          <w:rFonts w:ascii="Times New Roman" w:hAnsi="Times New Roman" w:cs="Times New Roman"/>
          <w:sz w:val="28"/>
          <w:szCs w:val="28"/>
        </w:rPr>
        <w:t>(1), 1–25. </w:t>
      </w:r>
      <w:r>
        <w:fldChar w:fldCharType="begin"/>
      </w:r>
      <w:r>
        <w:instrText xml:space="preserve"> HYPERLINK "https://doi.org/10.1007/s10887-006-9009-0" \t "_blank" </w:instrText>
      </w:r>
      <w:r>
        <w:fldChar w:fldCharType="separate"/>
      </w:r>
      <w:r>
        <w:rPr>
          <w:rStyle w:val="10"/>
          <w:rFonts w:ascii="Times New Roman" w:hAnsi="Times New Roman" w:cs="Times New Roman"/>
          <w:b/>
          <w:bCs/>
          <w:sz w:val="28"/>
          <w:szCs w:val="28"/>
        </w:rPr>
        <w:t>https://doi.org/10.1007/s10887-006-9009-0</w:t>
      </w:r>
      <w:r>
        <w:rPr>
          <w:rStyle w:val="10"/>
          <w:rFonts w:ascii="Times New Roman" w:hAnsi="Times New Roman" w:cs="Times New Roman"/>
          <w:b/>
          <w:bCs/>
          <w:sz w:val="28"/>
          <w:szCs w:val="28"/>
        </w:rPr>
        <w:fldChar w:fldCharType="end"/>
      </w:r>
    </w:p>
    <w:p w14:paraId="334608E0">
      <w:pPr>
        <w:pStyle w:val="14"/>
        <w:numPr>
          <w:ilvl w:val="0"/>
          <w:numId w:val="1"/>
        </w:numPr>
        <w:jc w:val="both"/>
        <w:rPr>
          <w:rFonts w:ascii="Times New Roman" w:hAnsi="Times New Roman" w:cs="Times New Roman"/>
          <w:sz w:val="28"/>
          <w:szCs w:val="28"/>
        </w:rPr>
      </w:pPr>
      <w:r>
        <w:rPr>
          <w:rFonts w:ascii="Times New Roman" w:hAnsi="Times New Roman" w:cs="Times New Roman"/>
          <w:sz w:val="28"/>
          <w:szCs w:val="28"/>
        </w:rPr>
        <w:t>International Monetary Fund (IMF), Organisation for Economic Co-operation and Development (OECD), World Trade Organization (WTO), &amp; United Nations Conference on Trade and Development (UNCTAD). (2023). </w:t>
      </w:r>
      <w:r>
        <w:rPr>
          <w:rFonts w:ascii="Times New Roman" w:hAnsi="Times New Roman" w:cs="Times New Roman"/>
          <w:i/>
          <w:iCs/>
          <w:sz w:val="28"/>
          <w:szCs w:val="28"/>
        </w:rPr>
        <w:t>Handbook on measuring digital trade</w:t>
      </w:r>
      <w:r>
        <w:rPr>
          <w:rFonts w:ascii="Times New Roman" w:hAnsi="Times New Roman" w:cs="Times New Roman"/>
          <w:sz w:val="28"/>
          <w:szCs w:val="28"/>
        </w:rPr>
        <w:t> (Version 2). </w:t>
      </w:r>
      <w:r>
        <w:fldChar w:fldCharType="begin"/>
      </w:r>
      <w:r>
        <w:instrText xml:space="preserve"> HYPERLINK "https://www.elibrary.imf.org/display/book/9789287073600/CH004.xml" \t "_blank" </w:instrText>
      </w:r>
      <w:r>
        <w:fldChar w:fldCharType="separate"/>
      </w:r>
      <w:r>
        <w:rPr>
          <w:rStyle w:val="10"/>
          <w:rFonts w:ascii="Times New Roman" w:hAnsi="Times New Roman" w:cs="Times New Roman"/>
          <w:b/>
          <w:bCs/>
          <w:sz w:val="28"/>
          <w:szCs w:val="28"/>
        </w:rPr>
        <w:t>https://www.elibrary.imf.org/display/book/9789287073600/CH004.xml</w:t>
      </w:r>
      <w:r>
        <w:rPr>
          <w:rStyle w:val="10"/>
          <w:rFonts w:ascii="Times New Roman" w:hAnsi="Times New Roman" w:cs="Times New Roman"/>
          <w:b/>
          <w:bCs/>
          <w:sz w:val="28"/>
          <w:szCs w:val="28"/>
        </w:rPr>
        <w:fldChar w:fldCharType="end"/>
      </w:r>
    </w:p>
    <w:p w14:paraId="20CF5670">
      <w:pPr>
        <w:pStyle w:val="14"/>
        <w:numPr>
          <w:ilvl w:val="0"/>
          <w:numId w:val="1"/>
        </w:numPr>
        <w:jc w:val="both"/>
        <w:rPr>
          <w:rFonts w:ascii="Times New Roman" w:hAnsi="Times New Roman" w:cs="Times New Roman"/>
          <w:sz w:val="28"/>
          <w:szCs w:val="28"/>
        </w:rPr>
      </w:pPr>
      <w:r>
        <w:rPr>
          <w:rFonts w:ascii="Times New Roman" w:hAnsi="Times New Roman" w:cs="Times New Roman"/>
          <w:sz w:val="28"/>
          <w:szCs w:val="28"/>
        </w:rPr>
        <w:t>Krugman, P., Obstfeld, M., &amp; Melitz, M. J. (2018). </w:t>
      </w:r>
      <w:r>
        <w:rPr>
          <w:rFonts w:ascii="Times New Roman" w:hAnsi="Times New Roman" w:cs="Times New Roman"/>
          <w:i/>
          <w:iCs/>
          <w:sz w:val="28"/>
          <w:szCs w:val="28"/>
        </w:rPr>
        <w:t>International economics: Theory and policy</w:t>
      </w:r>
      <w:r>
        <w:rPr>
          <w:rFonts w:ascii="Times New Roman" w:hAnsi="Times New Roman" w:cs="Times New Roman"/>
          <w:sz w:val="28"/>
          <w:szCs w:val="28"/>
        </w:rPr>
        <w:t> (11th ed.). Pearson.</w:t>
      </w:r>
    </w:p>
    <w:p w14:paraId="4D33D117">
      <w:pPr>
        <w:pStyle w:val="14"/>
        <w:numPr>
          <w:ilvl w:val="0"/>
          <w:numId w:val="1"/>
        </w:numPr>
        <w:jc w:val="both"/>
        <w:rPr>
          <w:rFonts w:ascii="Times New Roman" w:hAnsi="Times New Roman" w:cs="Times New Roman"/>
          <w:sz w:val="28"/>
          <w:szCs w:val="28"/>
        </w:rPr>
      </w:pPr>
      <w:r>
        <w:rPr>
          <w:rFonts w:ascii="Times New Roman" w:hAnsi="Times New Roman" w:cs="Times New Roman"/>
          <w:sz w:val="28"/>
          <w:szCs w:val="28"/>
        </w:rPr>
        <w:t>M., &amp; Reddi, S. (2025). AI integration and digital regulation: Impacts on global trade in digitally deliverable services. </w:t>
      </w:r>
      <w:r>
        <w:rPr>
          <w:rFonts w:ascii="Times New Roman" w:hAnsi="Times New Roman" w:cs="Times New Roman"/>
          <w:i/>
          <w:iCs/>
          <w:sz w:val="28"/>
          <w:szCs w:val="28"/>
        </w:rPr>
        <w:t>Bulletin of Monetary Economics and Banking, 28</w:t>
      </w:r>
      <w:r>
        <w:rPr>
          <w:rFonts w:ascii="Times New Roman" w:hAnsi="Times New Roman" w:cs="Times New Roman"/>
          <w:sz w:val="28"/>
          <w:szCs w:val="28"/>
        </w:rPr>
        <w:t>(0), 95–122. </w:t>
      </w:r>
      <w:r>
        <w:fldChar w:fldCharType="begin"/>
      </w:r>
      <w:r>
        <w:instrText xml:space="preserve"> HYPERLINK "https://doi.org/10.21098/bmecb.v28i0.2483" \t "_blank" </w:instrText>
      </w:r>
      <w:r>
        <w:fldChar w:fldCharType="separate"/>
      </w:r>
      <w:r>
        <w:rPr>
          <w:rStyle w:val="10"/>
          <w:rFonts w:ascii="Times New Roman" w:hAnsi="Times New Roman" w:cs="Times New Roman"/>
          <w:b/>
          <w:bCs/>
          <w:sz w:val="28"/>
          <w:szCs w:val="28"/>
        </w:rPr>
        <w:t>https://doi.org/10.21098/bmecb.v28i0.2483</w:t>
      </w:r>
      <w:r>
        <w:rPr>
          <w:rStyle w:val="10"/>
          <w:rFonts w:ascii="Times New Roman" w:hAnsi="Times New Roman" w:cs="Times New Roman"/>
          <w:b/>
          <w:bCs/>
          <w:sz w:val="28"/>
          <w:szCs w:val="28"/>
        </w:rPr>
        <w:fldChar w:fldCharType="end"/>
      </w:r>
    </w:p>
    <w:p w14:paraId="57E9475B">
      <w:pPr>
        <w:pStyle w:val="14"/>
        <w:numPr>
          <w:ilvl w:val="0"/>
          <w:numId w:val="1"/>
        </w:numPr>
        <w:jc w:val="both"/>
        <w:rPr>
          <w:rFonts w:ascii="Times New Roman" w:hAnsi="Times New Roman" w:cs="Times New Roman"/>
          <w:sz w:val="28"/>
          <w:szCs w:val="28"/>
        </w:rPr>
      </w:pPr>
      <w:r>
        <w:rPr>
          <w:rFonts w:ascii="Times New Roman" w:hAnsi="Times New Roman" w:cs="Times New Roman"/>
          <w:sz w:val="28"/>
          <w:szCs w:val="28"/>
        </w:rPr>
        <w:t>Oxford Insights. (2023). </w:t>
      </w:r>
      <w:r>
        <w:rPr>
          <w:rFonts w:ascii="Times New Roman" w:hAnsi="Times New Roman" w:cs="Times New Roman"/>
          <w:i/>
          <w:iCs/>
          <w:sz w:val="28"/>
          <w:szCs w:val="28"/>
        </w:rPr>
        <w:t>Government AI readiness index 2023</w:t>
      </w:r>
      <w:r>
        <w:rPr>
          <w:rFonts w:ascii="Times New Roman" w:hAnsi="Times New Roman" w:cs="Times New Roman"/>
          <w:sz w:val="28"/>
          <w:szCs w:val="28"/>
        </w:rPr>
        <w:t>. </w:t>
      </w:r>
      <w:r>
        <w:fldChar w:fldCharType="begin"/>
      </w:r>
      <w:r>
        <w:instrText xml:space="preserve"> HYPERLINK "https://www.oxfordinsights.com/ai-readiness" \t "_blank" </w:instrText>
      </w:r>
      <w:r>
        <w:fldChar w:fldCharType="separate"/>
      </w:r>
      <w:r>
        <w:rPr>
          <w:rStyle w:val="10"/>
          <w:rFonts w:ascii="Times New Roman" w:hAnsi="Times New Roman" w:cs="Times New Roman"/>
          <w:b/>
          <w:bCs/>
          <w:sz w:val="28"/>
          <w:szCs w:val="28"/>
        </w:rPr>
        <w:t>https://www.oxfordinsights.com/ai-readiness</w:t>
      </w:r>
      <w:r>
        <w:rPr>
          <w:rStyle w:val="10"/>
          <w:rFonts w:ascii="Times New Roman" w:hAnsi="Times New Roman" w:cs="Times New Roman"/>
          <w:b/>
          <w:bCs/>
          <w:sz w:val="28"/>
          <w:szCs w:val="28"/>
        </w:rPr>
        <w:fldChar w:fldCharType="end"/>
      </w:r>
    </w:p>
    <w:p w14:paraId="2B634C65">
      <w:pPr>
        <w:pStyle w:val="14"/>
        <w:numPr>
          <w:ilvl w:val="0"/>
          <w:numId w:val="1"/>
        </w:numPr>
        <w:jc w:val="both"/>
        <w:rPr>
          <w:rFonts w:ascii="Times New Roman" w:hAnsi="Times New Roman" w:cs="Times New Roman"/>
          <w:sz w:val="28"/>
          <w:szCs w:val="28"/>
        </w:rPr>
      </w:pPr>
      <w:r>
        <w:rPr>
          <w:rFonts w:ascii="Times New Roman" w:hAnsi="Times New Roman" w:cs="Times New Roman"/>
          <w:sz w:val="28"/>
          <w:szCs w:val="28"/>
        </w:rPr>
        <w:t>Rodrik, D. (2013). Unconditional convergence in manufacturing. </w:t>
      </w:r>
      <w:r>
        <w:rPr>
          <w:rFonts w:ascii="Times New Roman" w:hAnsi="Times New Roman" w:cs="Times New Roman"/>
          <w:i/>
          <w:iCs/>
          <w:sz w:val="28"/>
          <w:szCs w:val="28"/>
        </w:rPr>
        <w:t>The Quarterly Journal of Economics, 128</w:t>
      </w:r>
      <w:r>
        <w:rPr>
          <w:rFonts w:ascii="Times New Roman" w:hAnsi="Times New Roman" w:cs="Times New Roman"/>
          <w:sz w:val="28"/>
          <w:szCs w:val="28"/>
        </w:rPr>
        <w:t>(1), 165–204. </w:t>
      </w:r>
      <w:r>
        <w:fldChar w:fldCharType="begin"/>
      </w:r>
      <w:r>
        <w:instrText xml:space="preserve"> HYPERLINK "https://doi.org/10.1093/qje/qjs047" \t "_blank" </w:instrText>
      </w:r>
      <w:r>
        <w:fldChar w:fldCharType="separate"/>
      </w:r>
      <w:r>
        <w:rPr>
          <w:rStyle w:val="10"/>
          <w:rFonts w:ascii="Times New Roman" w:hAnsi="Times New Roman" w:cs="Times New Roman"/>
          <w:b/>
          <w:bCs/>
          <w:sz w:val="28"/>
          <w:szCs w:val="28"/>
        </w:rPr>
        <w:t>https://doi.org/10.1093/qje/qjs047</w:t>
      </w:r>
      <w:r>
        <w:rPr>
          <w:rStyle w:val="10"/>
          <w:rFonts w:ascii="Times New Roman" w:hAnsi="Times New Roman" w:cs="Times New Roman"/>
          <w:b/>
          <w:bCs/>
          <w:sz w:val="28"/>
          <w:szCs w:val="28"/>
        </w:rPr>
        <w:fldChar w:fldCharType="end"/>
      </w:r>
    </w:p>
    <w:p w14:paraId="1B768C78">
      <w:pPr>
        <w:pStyle w:val="14"/>
        <w:numPr>
          <w:ilvl w:val="0"/>
          <w:numId w:val="1"/>
        </w:numPr>
        <w:jc w:val="both"/>
        <w:rPr>
          <w:rFonts w:ascii="Times New Roman" w:hAnsi="Times New Roman" w:cs="Times New Roman"/>
          <w:sz w:val="28"/>
          <w:szCs w:val="28"/>
        </w:rPr>
      </w:pPr>
      <w:r>
        <w:rPr>
          <w:rFonts w:ascii="Times New Roman" w:hAnsi="Times New Roman" w:cs="Times New Roman"/>
          <w:sz w:val="28"/>
          <w:szCs w:val="28"/>
        </w:rPr>
        <w:t>Rubin, D. B. (1987). </w:t>
      </w:r>
      <w:r>
        <w:rPr>
          <w:rFonts w:ascii="Times New Roman" w:hAnsi="Times New Roman" w:cs="Times New Roman"/>
          <w:i/>
          <w:iCs/>
          <w:sz w:val="28"/>
          <w:szCs w:val="28"/>
        </w:rPr>
        <w:t>Multiple imputation for nonresponse in surveys</w:t>
      </w:r>
      <w:r>
        <w:rPr>
          <w:rFonts w:ascii="Times New Roman" w:hAnsi="Times New Roman" w:cs="Times New Roman"/>
          <w:sz w:val="28"/>
          <w:szCs w:val="28"/>
        </w:rPr>
        <w:t>. John Wiley &amp; Sons. </w:t>
      </w:r>
      <w:r>
        <w:fldChar w:fldCharType="begin"/>
      </w:r>
      <w:r>
        <w:instrText xml:space="preserve"> HYPERLINK "https://doi.org/10.1002/9780470316696" \t "_blank" </w:instrText>
      </w:r>
      <w:r>
        <w:fldChar w:fldCharType="separate"/>
      </w:r>
      <w:r>
        <w:rPr>
          <w:rStyle w:val="10"/>
          <w:rFonts w:ascii="Times New Roman" w:hAnsi="Times New Roman" w:cs="Times New Roman"/>
          <w:b/>
          <w:bCs/>
          <w:sz w:val="28"/>
          <w:szCs w:val="28"/>
        </w:rPr>
        <w:t>https://doi.org/10.1002/9780470316696</w:t>
      </w:r>
      <w:r>
        <w:rPr>
          <w:rStyle w:val="10"/>
          <w:rFonts w:ascii="Times New Roman" w:hAnsi="Times New Roman" w:cs="Times New Roman"/>
          <w:b/>
          <w:bCs/>
          <w:sz w:val="28"/>
          <w:szCs w:val="28"/>
        </w:rPr>
        <w:fldChar w:fldCharType="end"/>
      </w:r>
    </w:p>
    <w:p w14:paraId="2DF79FE7">
      <w:pPr>
        <w:pStyle w:val="14"/>
        <w:numPr>
          <w:ilvl w:val="0"/>
          <w:numId w:val="1"/>
        </w:numPr>
        <w:jc w:val="both"/>
        <w:rPr>
          <w:rFonts w:ascii="Times New Roman" w:hAnsi="Times New Roman" w:cs="Times New Roman"/>
          <w:sz w:val="28"/>
          <w:szCs w:val="28"/>
        </w:rPr>
      </w:pPr>
      <w:r>
        <w:rPr>
          <w:rFonts w:ascii="Times New Roman" w:hAnsi="Times New Roman" w:cs="Times New Roman"/>
          <w:sz w:val="28"/>
          <w:szCs w:val="28"/>
        </w:rPr>
        <w:t>UNCTAD. (2022). </w:t>
      </w:r>
      <w:r>
        <w:rPr>
          <w:rFonts w:ascii="Times New Roman" w:hAnsi="Times New Roman" w:cs="Times New Roman"/>
          <w:i/>
          <w:iCs/>
          <w:sz w:val="28"/>
          <w:szCs w:val="28"/>
        </w:rPr>
        <w:t>Digital economy report 2022: Development and trends</w:t>
      </w:r>
      <w:r>
        <w:rPr>
          <w:rFonts w:ascii="Times New Roman" w:hAnsi="Times New Roman" w:cs="Times New Roman"/>
          <w:sz w:val="28"/>
          <w:szCs w:val="28"/>
        </w:rPr>
        <w:t>. United Nations Conference on Trade and Development. </w:t>
      </w:r>
      <w:r>
        <w:fldChar w:fldCharType="begin"/>
      </w:r>
      <w:r>
        <w:instrText xml:space="preserve"> HYPERLINK "https://unctad.org/system/files/official-document/presspb2021d10_en.pdf" \t "_blank" </w:instrText>
      </w:r>
      <w:r>
        <w:fldChar w:fldCharType="separate"/>
      </w:r>
      <w:r>
        <w:rPr>
          <w:rStyle w:val="10"/>
          <w:rFonts w:ascii="Times New Roman" w:hAnsi="Times New Roman" w:cs="Times New Roman"/>
          <w:b/>
          <w:bCs/>
          <w:sz w:val="28"/>
          <w:szCs w:val="28"/>
        </w:rPr>
        <w:t>https://unctad.org/system/files/official-document/presspb2021d10_en.pdf</w:t>
      </w:r>
      <w:r>
        <w:rPr>
          <w:rStyle w:val="10"/>
          <w:rFonts w:ascii="Times New Roman" w:hAnsi="Times New Roman" w:cs="Times New Roman"/>
          <w:b/>
          <w:bCs/>
          <w:sz w:val="28"/>
          <w:szCs w:val="28"/>
        </w:rPr>
        <w:fldChar w:fldCharType="end"/>
      </w:r>
    </w:p>
    <w:p w14:paraId="0FBE1F43">
      <w:pPr>
        <w:pStyle w:val="14"/>
        <w:numPr>
          <w:ilvl w:val="0"/>
          <w:numId w:val="1"/>
        </w:numPr>
        <w:jc w:val="both"/>
        <w:rPr>
          <w:rFonts w:ascii="Times New Roman" w:hAnsi="Times New Roman" w:cs="Times New Roman"/>
          <w:sz w:val="28"/>
          <w:szCs w:val="28"/>
        </w:rPr>
      </w:pPr>
      <w:r>
        <w:rPr>
          <w:rFonts w:ascii="Times New Roman" w:hAnsi="Times New Roman" w:cs="Times New Roman"/>
          <w:sz w:val="28"/>
          <w:szCs w:val="28"/>
        </w:rPr>
        <w:t>UNCTAD. (2025a). AI's $4.8 trillion future: UN Trade and Development alerts on divides, urges action [Press release]. </w:t>
      </w:r>
      <w:r>
        <w:fldChar w:fldCharType="begin"/>
      </w:r>
      <w:r>
        <w:instrText xml:space="preserve"> HYPERLINK "https://unctad.org/press-material/ais-48-trillion-future-un-trade-and-development-alerts-divides-urges-action" \t "_blank" </w:instrText>
      </w:r>
      <w:r>
        <w:fldChar w:fldCharType="separate"/>
      </w:r>
      <w:r>
        <w:rPr>
          <w:rStyle w:val="10"/>
          <w:rFonts w:ascii="Times New Roman" w:hAnsi="Times New Roman" w:cs="Times New Roman"/>
          <w:b/>
          <w:bCs/>
          <w:sz w:val="28"/>
          <w:szCs w:val="28"/>
        </w:rPr>
        <w:t>https://unctad.org/press-material/ais-48-trillion-future-un-trade-and-development-alerts-divides-urges-action</w:t>
      </w:r>
      <w:r>
        <w:rPr>
          <w:rStyle w:val="10"/>
          <w:rFonts w:ascii="Times New Roman" w:hAnsi="Times New Roman" w:cs="Times New Roman"/>
          <w:b/>
          <w:bCs/>
          <w:sz w:val="28"/>
          <w:szCs w:val="28"/>
        </w:rPr>
        <w:fldChar w:fldCharType="end"/>
      </w:r>
    </w:p>
    <w:p w14:paraId="0BC2059D">
      <w:pPr>
        <w:pStyle w:val="14"/>
        <w:numPr>
          <w:ilvl w:val="0"/>
          <w:numId w:val="1"/>
        </w:numPr>
        <w:jc w:val="both"/>
        <w:rPr>
          <w:rFonts w:ascii="Times New Roman" w:hAnsi="Times New Roman" w:cs="Times New Roman"/>
          <w:sz w:val="28"/>
          <w:szCs w:val="28"/>
        </w:rPr>
      </w:pPr>
      <w:r>
        <w:rPr>
          <w:rFonts w:ascii="Times New Roman" w:hAnsi="Times New Roman" w:cs="Times New Roman"/>
          <w:sz w:val="28"/>
          <w:szCs w:val="28"/>
        </w:rPr>
        <w:t>UNCTAD. (2025b). Digital economy: A new frontier for trade, sustainability and inclusion. </w:t>
      </w:r>
      <w:r>
        <w:fldChar w:fldCharType="begin"/>
      </w:r>
      <w:r>
        <w:instrText xml:space="preserve"> HYPERLINK "https://unctad.org/news/digital-economy-new-frontier-trade-sustainability-and-inclusion" \t "_blank" </w:instrText>
      </w:r>
      <w:r>
        <w:fldChar w:fldCharType="separate"/>
      </w:r>
      <w:r>
        <w:rPr>
          <w:rStyle w:val="10"/>
          <w:rFonts w:ascii="Times New Roman" w:hAnsi="Times New Roman" w:cs="Times New Roman"/>
          <w:b/>
          <w:bCs/>
          <w:sz w:val="28"/>
          <w:szCs w:val="28"/>
        </w:rPr>
        <w:t>https://unctad.org/news/digital-economy-new-frontier-trade-sustainability-and-inclusion</w:t>
      </w:r>
      <w:r>
        <w:rPr>
          <w:rStyle w:val="10"/>
          <w:rFonts w:ascii="Times New Roman" w:hAnsi="Times New Roman" w:cs="Times New Roman"/>
          <w:b/>
          <w:bCs/>
          <w:sz w:val="28"/>
          <w:szCs w:val="28"/>
        </w:rPr>
        <w:fldChar w:fldCharType="end"/>
      </w:r>
    </w:p>
    <w:p w14:paraId="2D5E1B52">
      <w:pPr>
        <w:pStyle w:val="14"/>
        <w:numPr>
          <w:ilvl w:val="0"/>
          <w:numId w:val="1"/>
        </w:numPr>
        <w:jc w:val="both"/>
        <w:rPr>
          <w:rFonts w:ascii="Times New Roman" w:hAnsi="Times New Roman" w:cs="Times New Roman"/>
          <w:sz w:val="28"/>
          <w:szCs w:val="28"/>
        </w:rPr>
      </w:pPr>
      <w:r>
        <w:rPr>
          <w:rFonts w:ascii="Times New Roman" w:hAnsi="Times New Roman" w:cs="Times New Roman"/>
          <w:sz w:val="28"/>
          <w:szCs w:val="28"/>
        </w:rPr>
        <w:t>UNCTADstat. (2024). </w:t>
      </w:r>
      <w:r>
        <w:rPr>
          <w:rFonts w:ascii="Times New Roman" w:hAnsi="Times New Roman" w:cs="Times New Roman"/>
          <w:i/>
          <w:iCs/>
          <w:sz w:val="28"/>
          <w:szCs w:val="28"/>
        </w:rPr>
        <w:t>International trade in digitally deliverable services, value, shares and growth rates</w:t>
      </w:r>
      <w:r>
        <w:rPr>
          <w:rFonts w:ascii="Times New Roman" w:hAnsi="Times New Roman" w:cs="Times New Roman"/>
          <w:sz w:val="28"/>
          <w:szCs w:val="28"/>
        </w:rPr>
        <w:t>. </w:t>
      </w:r>
      <w:r>
        <w:fldChar w:fldCharType="begin"/>
      </w:r>
      <w:r>
        <w:instrText xml:space="preserve"> HYPERLINK "https://unctadstat.unctad.org/datacentre/reportInfo/US.DigitallyDeliverableServices" \t "_blank" </w:instrText>
      </w:r>
      <w:r>
        <w:fldChar w:fldCharType="separate"/>
      </w:r>
      <w:r>
        <w:rPr>
          <w:rStyle w:val="10"/>
          <w:rFonts w:ascii="Times New Roman" w:hAnsi="Times New Roman" w:cs="Times New Roman"/>
          <w:b/>
          <w:bCs/>
          <w:sz w:val="28"/>
          <w:szCs w:val="28"/>
        </w:rPr>
        <w:t>https://unctadstat.unctad.org/datacentre/reportInfo/US.DigitallyDeliverableServices</w:t>
      </w:r>
      <w:r>
        <w:rPr>
          <w:rStyle w:val="10"/>
          <w:rFonts w:ascii="Times New Roman" w:hAnsi="Times New Roman" w:cs="Times New Roman"/>
          <w:b/>
          <w:bCs/>
          <w:sz w:val="28"/>
          <w:szCs w:val="28"/>
        </w:rPr>
        <w:fldChar w:fldCharType="end"/>
      </w:r>
    </w:p>
    <w:p w14:paraId="0E4AF6FA">
      <w:pPr>
        <w:pStyle w:val="14"/>
        <w:numPr>
          <w:ilvl w:val="0"/>
          <w:numId w:val="1"/>
        </w:numPr>
        <w:jc w:val="both"/>
        <w:rPr>
          <w:rFonts w:ascii="Times New Roman" w:hAnsi="Times New Roman" w:cs="Times New Roman"/>
          <w:sz w:val="28"/>
          <w:szCs w:val="28"/>
        </w:rPr>
      </w:pPr>
      <w:r>
        <w:rPr>
          <w:rFonts w:ascii="Times New Roman" w:hAnsi="Times New Roman" w:cs="Times New Roman"/>
          <w:sz w:val="28"/>
          <w:szCs w:val="28"/>
        </w:rPr>
        <w:t>Wooldridge, J. M. (2010). </w:t>
      </w:r>
      <w:r>
        <w:rPr>
          <w:rFonts w:ascii="Times New Roman" w:hAnsi="Times New Roman" w:cs="Times New Roman"/>
          <w:i/>
          <w:iCs/>
          <w:sz w:val="28"/>
          <w:szCs w:val="28"/>
        </w:rPr>
        <w:t>Econometric analysis of cross section and panel data</w:t>
      </w:r>
      <w:r>
        <w:rPr>
          <w:rFonts w:ascii="Times New Roman" w:hAnsi="Times New Roman" w:cs="Times New Roman"/>
          <w:sz w:val="28"/>
          <w:szCs w:val="28"/>
        </w:rPr>
        <w:t> (2nd ed.). MIT Press.</w:t>
      </w:r>
    </w:p>
    <w:p w14:paraId="6CF194A8">
      <w:pPr>
        <w:pStyle w:val="14"/>
        <w:numPr>
          <w:ilvl w:val="0"/>
          <w:numId w:val="1"/>
        </w:numPr>
        <w:jc w:val="both"/>
        <w:rPr>
          <w:rFonts w:ascii="Times New Roman" w:hAnsi="Times New Roman" w:cs="Times New Roman"/>
          <w:sz w:val="28"/>
          <w:szCs w:val="28"/>
        </w:rPr>
      </w:pPr>
      <w:r>
        <w:rPr>
          <w:rFonts w:ascii="Times New Roman" w:hAnsi="Times New Roman" w:cs="Times New Roman"/>
          <w:sz w:val="28"/>
          <w:szCs w:val="28"/>
        </w:rPr>
        <w:t>World Bank. (2023). </w:t>
      </w:r>
      <w:r>
        <w:rPr>
          <w:rFonts w:ascii="Times New Roman" w:hAnsi="Times New Roman" w:cs="Times New Roman"/>
          <w:i/>
          <w:iCs/>
          <w:sz w:val="28"/>
          <w:szCs w:val="28"/>
        </w:rPr>
        <w:t>AI readiness across nations: A panel analysis of policy frameworks</w:t>
      </w:r>
      <w:r>
        <w:rPr>
          <w:rFonts w:ascii="Times New Roman" w:hAnsi="Times New Roman" w:cs="Times New Roman"/>
          <w:sz w:val="28"/>
          <w:szCs w:val="28"/>
        </w:rPr>
        <w:t>. </w:t>
      </w:r>
      <w:r>
        <w:fldChar w:fldCharType="begin"/>
      </w:r>
      <w:r>
        <w:instrText xml:space="preserve"> HYPERLINK "https://papers.ssrn.com/sol3/papers.cfm?abstract_id=5233141" \t "_blank" </w:instrText>
      </w:r>
      <w:r>
        <w:fldChar w:fldCharType="separate"/>
      </w:r>
      <w:r>
        <w:rPr>
          <w:rStyle w:val="10"/>
          <w:rFonts w:ascii="Times New Roman" w:hAnsi="Times New Roman" w:cs="Times New Roman"/>
          <w:b/>
          <w:bCs/>
          <w:sz w:val="28"/>
          <w:szCs w:val="28"/>
        </w:rPr>
        <w:t>https://papers.ssrn.com/sol3/papers.cfm?abstract_id=5233141</w:t>
      </w:r>
      <w:r>
        <w:rPr>
          <w:rStyle w:val="10"/>
          <w:rFonts w:ascii="Times New Roman" w:hAnsi="Times New Roman" w:cs="Times New Roman"/>
          <w:b/>
          <w:bCs/>
          <w:sz w:val="28"/>
          <w:szCs w:val="28"/>
        </w:rPr>
        <w:fldChar w:fldCharType="end"/>
      </w:r>
    </w:p>
    <w:p w14:paraId="0AE0E7F2">
      <w:pPr>
        <w:pStyle w:val="14"/>
        <w:numPr>
          <w:ilvl w:val="0"/>
          <w:numId w:val="1"/>
        </w:numPr>
        <w:jc w:val="both"/>
        <w:rPr>
          <w:rFonts w:ascii="Times New Roman" w:hAnsi="Times New Roman" w:cs="Times New Roman"/>
          <w:sz w:val="28"/>
          <w:szCs w:val="28"/>
        </w:rPr>
      </w:pPr>
      <w:r>
        <w:rPr>
          <w:rFonts w:ascii="Times New Roman" w:hAnsi="Times New Roman" w:cs="Times New Roman"/>
          <w:sz w:val="28"/>
          <w:szCs w:val="28"/>
        </w:rPr>
        <w:t>World Bank. (2024). </w:t>
      </w:r>
      <w:r>
        <w:rPr>
          <w:rFonts w:ascii="Times New Roman" w:hAnsi="Times New Roman" w:cs="Times New Roman"/>
          <w:i/>
          <w:iCs/>
          <w:sz w:val="28"/>
          <w:szCs w:val="28"/>
        </w:rPr>
        <w:t>World development indicators</w:t>
      </w:r>
      <w:r>
        <w:rPr>
          <w:rFonts w:ascii="Times New Roman" w:hAnsi="Times New Roman" w:cs="Times New Roman"/>
          <w:sz w:val="28"/>
          <w:szCs w:val="28"/>
        </w:rPr>
        <w:t>. </w:t>
      </w:r>
      <w:r>
        <w:fldChar w:fldCharType="begin"/>
      </w:r>
      <w:r>
        <w:instrText xml:space="preserve"> HYPERLINK "https://databank.worldbank.org/source/world-development-indicators" \t "_blank" </w:instrText>
      </w:r>
      <w:r>
        <w:fldChar w:fldCharType="separate"/>
      </w:r>
      <w:r>
        <w:rPr>
          <w:rStyle w:val="10"/>
          <w:rFonts w:ascii="Times New Roman" w:hAnsi="Times New Roman" w:cs="Times New Roman"/>
          <w:b/>
          <w:bCs/>
          <w:sz w:val="28"/>
          <w:szCs w:val="28"/>
        </w:rPr>
        <w:t>https://databank.worldbank.org/source/world-development-indicators</w:t>
      </w:r>
      <w:r>
        <w:rPr>
          <w:rStyle w:val="10"/>
          <w:rFonts w:ascii="Times New Roman" w:hAnsi="Times New Roman" w:cs="Times New Roman"/>
          <w:b/>
          <w:bCs/>
          <w:sz w:val="28"/>
          <w:szCs w:val="28"/>
        </w:rPr>
        <w:fldChar w:fldCharType="end"/>
      </w:r>
    </w:p>
    <w:p w14:paraId="712EEC94">
      <w:pPr>
        <w:pStyle w:val="14"/>
        <w:numPr>
          <w:ilvl w:val="0"/>
          <w:numId w:val="1"/>
        </w:numPr>
        <w:jc w:val="both"/>
        <w:rPr>
          <w:rFonts w:ascii="Times New Roman" w:hAnsi="Times New Roman" w:cs="Times New Roman"/>
          <w:sz w:val="28"/>
          <w:szCs w:val="28"/>
        </w:rPr>
      </w:pPr>
      <w:r>
        <w:rPr>
          <w:rFonts w:ascii="Times New Roman" w:hAnsi="Times New Roman" w:cs="Times New Roman"/>
          <w:sz w:val="28"/>
          <w:szCs w:val="28"/>
        </w:rPr>
        <w:t>World Trade Organization. (2025). </w:t>
      </w:r>
      <w:r>
        <w:rPr>
          <w:rFonts w:ascii="Times New Roman" w:hAnsi="Times New Roman" w:cs="Times New Roman"/>
          <w:i/>
          <w:iCs/>
          <w:sz w:val="28"/>
          <w:szCs w:val="28"/>
        </w:rPr>
        <w:t>World Trade Report 2025: Making trade and AI work together</w:t>
      </w:r>
      <w:r>
        <w:rPr>
          <w:rFonts w:ascii="Times New Roman" w:hAnsi="Times New Roman" w:cs="Times New Roman"/>
          <w:sz w:val="28"/>
          <w:szCs w:val="28"/>
        </w:rPr>
        <w:t>. </w:t>
      </w:r>
      <w:r>
        <w:fldChar w:fldCharType="begin"/>
      </w:r>
      <w:r>
        <w:instrText xml:space="preserve"> HYPERLINK "https://www.wto.org/english/res_e/publications_e/wtr25_e.htm" \t "_blank" </w:instrText>
      </w:r>
      <w:r>
        <w:fldChar w:fldCharType="separate"/>
      </w:r>
      <w:r>
        <w:rPr>
          <w:rStyle w:val="10"/>
          <w:rFonts w:ascii="Times New Roman" w:hAnsi="Times New Roman" w:cs="Times New Roman"/>
          <w:b/>
          <w:bCs/>
          <w:sz w:val="28"/>
          <w:szCs w:val="28"/>
        </w:rPr>
        <w:t>https://www.wto.org/english/res_e/publications_e/wtr25_e.htm</w:t>
      </w:r>
      <w:r>
        <w:rPr>
          <w:rStyle w:val="10"/>
          <w:rFonts w:ascii="Times New Roman" w:hAnsi="Times New Roman" w:cs="Times New Roman"/>
          <w:b/>
          <w:bCs/>
          <w:sz w:val="28"/>
          <w:szCs w:val="28"/>
        </w:rPr>
        <w:fldChar w:fldCharType="end"/>
      </w:r>
    </w:p>
    <w:p w14:paraId="2FDD7736">
      <w:pPr>
        <w:pStyle w:val="14"/>
        <w:numPr>
          <w:ilvl w:val="0"/>
          <w:numId w:val="1"/>
        </w:numPr>
        <w:jc w:val="both"/>
        <w:rPr>
          <w:rFonts w:hint="default" w:ascii="Times New Roman" w:hAnsi="Times New Roman" w:cs="Times New Roman"/>
          <w:sz w:val="28"/>
          <w:szCs w:val="28"/>
        </w:rPr>
      </w:pPr>
      <w:r>
        <w:rPr>
          <w:rFonts w:hint="default" w:ascii="Times New Roman" w:hAnsi="Times New Roman" w:eastAsia="Segoe UI" w:cs="Times New Roman"/>
          <w:i w:val="0"/>
          <w:iCs w:val="0"/>
          <w:caps w:val="0"/>
          <w:spacing w:val="0"/>
          <w:sz w:val="28"/>
          <w:szCs w:val="28"/>
        </w:rPr>
        <w:t>Zhang, Y., Xue, W., Liu, C., &amp; Roelfsema, H. (2025). Does internationalization trigger digital innovation? </w:t>
      </w:r>
      <w:r>
        <w:rPr>
          <w:rStyle w:val="7"/>
          <w:rFonts w:hint="default" w:ascii="Times New Roman" w:hAnsi="Times New Roman" w:eastAsia="Segoe UI" w:cs="Times New Roman"/>
          <w:caps w:val="0"/>
          <w:spacing w:val="0"/>
          <w:sz w:val="28"/>
          <w:szCs w:val="28"/>
          <w:bdr w:val="single" w:color="auto" w:sz="2" w:space="0"/>
        </w:rPr>
        <w:t>Review of World Economics</w:t>
      </w:r>
      <w:r>
        <w:rPr>
          <w:rFonts w:hint="default" w:ascii="Times New Roman" w:hAnsi="Times New Roman" w:eastAsia="Segoe UI" w:cs="Times New Roman"/>
          <w:i w:val="0"/>
          <w:iCs w:val="0"/>
          <w:caps w:val="0"/>
          <w:spacing w:val="0"/>
          <w:sz w:val="28"/>
          <w:szCs w:val="28"/>
        </w:rPr>
        <w:t>, 1–47.</w:t>
      </w:r>
    </w:p>
    <w:p w14:paraId="3036D66A">
      <w:pPr>
        <w:jc w:val="both"/>
        <w:rPr>
          <w:rFonts w:ascii="Times New Roman" w:hAnsi="Times New Roman" w:cs="Times New Roman"/>
          <w:sz w:val="28"/>
          <w:szCs w:val="28"/>
        </w:rPr>
      </w:pPr>
    </w:p>
    <w:p w14:paraId="42CC62AB">
      <w:pPr>
        <w:tabs>
          <w:tab w:val="left" w:pos="3857"/>
        </w:tabs>
        <w:jc w:val="both"/>
        <w:rPr>
          <w:rFonts w:ascii="Times New Roman" w:hAnsi="Times New Roman" w:cs="Times New Roman"/>
          <w:sz w:val="28"/>
          <w:szCs w:val="28"/>
        </w:rPr>
      </w:pPr>
      <w:r>
        <w:rPr>
          <w:rFonts w:ascii="Times New Roman" w:hAnsi="Times New Roman" w:cs="Times New Roman"/>
          <w:sz w:val="28"/>
          <w:szCs w:val="28"/>
        </w:rPr>
        <w:tab/>
      </w:r>
    </w:p>
    <w:sectPr>
      <w:headerReference r:id="rId7" w:type="first"/>
      <w:footerReference r:id="rId10" w:type="first"/>
      <w:headerReference r:id="rId5" w:type="default"/>
      <w:footerReference r:id="rId8" w:type="default"/>
      <w:headerReference r:id="rId6" w:type="even"/>
      <w:footerReference r:id="rId9" w:type="even"/>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KaTeX_Math">
    <w:altName w:val="Siyam Rupali"/>
    <w:panose1 w:val="00000000000000000000"/>
    <w:charset w:val="00"/>
    <w:family w:val="auto"/>
    <w:pitch w:val="default"/>
    <w:sig w:usb0="00000000" w:usb1="00000000" w:usb2="00000000" w:usb3="00000000" w:csb0="00000000" w:csb1="00000000"/>
  </w:font>
  <w:font w:name="Siyam Rupali">
    <w:panose1 w:val="02000500000000020004"/>
    <w:charset w:val="00"/>
    <w:family w:val="auto"/>
    <w:pitch w:val="default"/>
    <w:sig w:usb0="00010000" w:usb1="00000000" w:usb2="00000000" w:usb3="00000000" w:csb0="00000001" w:csb1="00000000"/>
  </w:font>
  <w:font w:name="Cambria Math">
    <w:panose1 w:val="02040503050406030204"/>
    <w:charset w:val="00"/>
    <w:family w:val="auto"/>
    <w:pitch w:val="variable"/>
    <w:sig w:usb0="E00006FF" w:usb1="420024FF" w:usb2="02000000" w:usb3="00000000" w:csb0="2000019F" w:csb1="00000000"/>
  </w:font>
  <w:font w:name="Calibri">
    <w:panose1 w:val="020F0502020204030204"/>
    <w:charset w:val="00"/>
    <w:family w:val="auto"/>
    <w:pitch w:val="default"/>
    <w:sig w:usb0="E4002EFF" w:usb1="C200247B" w:usb2="00000009" w:usb3="00000000" w:csb0="200001FF" w:csb1="00000000"/>
  </w:font>
  <w:font w:name="Pristina">
    <w:panose1 w:val="0306040204040608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6C4BC">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9AE04">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8C9AC">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AAA90">
    <w:pPr>
      <w:pStyle w:val="9"/>
    </w:pPr>
    <w:r>
      <w:pict>
        <v:shape id="PowerPlusWaterMarkObject2013066314" o:spid="_x0000_s2051" o:spt="136" type="#_x0000_t136" style="position:absolute;left:0pt;height:104.65pt;width:555.0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B2D43">
    <w:pPr>
      <w:pStyle w:val="9"/>
    </w:pPr>
    <w:r>
      <w:pict>
        <v:shape id="PowerPlusWaterMarkObject2013066313" o:spid="_x0000_s2050" o:spt="136" type="#_x0000_t136" style="position:absolute;left:0pt;height:104.65pt;width:555.0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C67B4">
    <w:pPr>
      <w:pStyle w:val="9"/>
    </w:pPr>
    <w:r>
      <w:pict>
        <v:shape id="PowerPlusWaterMarkObject2013066312" o:spid="_x0000_s2049" o:spt="136" type="#_x0000_t136" style="position:absolute;left:0pt;height:104.65pt;width:555.0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6167B3"/>
    <w:multiLevelType w:val="multilevel"/>
    <w:tmpl w:val="6A6167B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5B7"/>
    <w:rsid w:val="000B718E"/>
    <w:rsid w:val="001F2E77"/>
    <w:rsid w:val="002D522D"/>
    <w:rsid w:val="00304E6B"/>
    <w:rsid w:val="003F6FD9"/>
    <w:rsid w:val="0042409B"/>
    <w:rsid w:val="00467AF6"/>
    <w:rsid w:val="00482044"/>
    <w:rsid w:val="005F34D8"/>
    <w:rsid w:val="006655B7"/>
    <w:rsid w:val="008A094C"/>
    <w:rsid w:val="00911E0D"/>
    <w:rsid w:val="0093129A"/>
    <w:rsid w:val="00A42F3D"/>
    <w:rsid w:val="00B1738F"/>
    <w:rsid w:val="00B2700B"/>
    <w:rsid w:val="00B30103"/>
    <w:rsid w:val="00B51D07"/>
    <w:rsid w:val="00C17FF5"/>
    <w:rsid w:val="00D15F43"/>
    <w:rsid w:val="00D2410E"/>
    <w:rsid w:val="00D7639F"/>
    <w:rsid w:val="00DF102C"/>
    <w:rsid w:val="00E0661B"/>
    <w:rsid w:val="00E27846"/>
    <w:rsid w:val="00F73D49"/>
    <w:rsid w:val="22CF0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5"/>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link w:val="16"/>
    <w:unhideWhenUsed/>
    <w:qFormat/>
    <w:uiPriority w:val="9"/>
    <w:pPr>
      <w:keepNext/>
      <w:keepLines/>
      <w:spacing w:before="40" w:after="0"/>
      <w:outlineLvl w:val="1"/>
    </w:pPr>
    <w:rPr>
      <w:rFonts w:asciiTheme="majorHAnsi" w:hAnsiTheme="majorHAnsi" w:eastAsiaTheme="majorEastAsia" w:cstheme="majorBidi"/>
      <w:color w:val="2E75B6" w:themeColor="accent1" w:themeShade="BF"/>
      <w:sz w:val="26"/>
      <w:szCs w:val="26"/>
    </w:rPr>
  </w:style>
  <w:style w:type="paragraph" w:styleId="4">
    <w:name w:val="heading 3"/>
    <w:basedOn w:val="1"/>
    <w:next w:val="1"/>
    <w:link w:val="20"/>
    <w:semiHidden/>
    <w:unhideWhenUsed/>
    <w:qFormat/>
    <w:uiPriority w:val="9"/>
    <w:pPr>
      <w:keepNext/>
      <w:keepLines/>
      <w:spacing w:before="40" w:after="0"/>
      <w:outlineLvl w:val="2"/>
    </w:pPr>
    <w:rPr>
      <w:rFonts w:asciiTheme="majorHAnsi" w:hAnsiTheme="majorHAnsi" w:eastAsiaTheme="majorEastAsia" w:cstheme="majorBidi"/>
      <w:color w:val="1F4E79" w:themeColor="accent1" w:themeShade="80"/>
      <w:sz w:val="24"/>
      <w:szCs w:val="24"/>
    </w:rPr>
  </w:style>
  <w:style w:type="character" w:default="1" w:styleId="5">
    <w:name w:val="Default Paragraph Font"/>
    <w:semiHidden/>
    <w:unhideWhenUsed/>
    <w:uiPriority w:val="1"/>
  </w:style>
  <w:style w:type="table" w:default="1" w:styleId="6">
    <w:name w:val="Normal Table"/>
    <w:semiHidden/>
    <w:unhideWhenUsed/>
    <w:qFormat/>
    <w:uiPriority w:val="99"/>
    <w:pPr>
      <w:keepNext w:val="0"/>
      <w:keepLines w:val="0"/>
      <w:widowControl/>
      <w:suppressLineNumbers w:val="0"/>
      <w:spacing w:before="0" w:beforeAutospacing="0" w:after="160" w:afterAutospacing="0" w:line="256" w:lineRule="auto"/>
      <w:ind w:left="0" w:right="0"/>
    </w:pPr>
    <w:rPr>
      <w:rFonts w:hint="eastAsia" w:ascii="Calibri" w:hAnsi="Calibri" w:cs="Times New Roman"/>
      <w:sz w:val="22"/>
      <w:szCs w:val="22"/>
    </w:rPr>
    <w:tblPr>
      <w:tblCellMar>
        <w:top w:w="0" w:type="dxa"/>
        <w:left w:w="108" w:type="dxa"/>
        <w:bottom w:w="0" w:type="dxa"/>
        <w:right w:w="108" w:type="dxa"/>
      </w:tblCellMar>
    </w:tblPr>
  </w:style>
  <w:style w:type="character" w:styleId="7">
    <w:name w:val="Emphasis"/>
    <w:basedOn w:val="5"/>
    <w:qFormat/>
    <w:uiPriority w:val="20"/>
    <w:rPr>
      <w:i/>
      <w:iCs/>
    </w:rPr>
  </w:style>
  <w:style w:type="paragraph" w:styleId="8">
    <w:name w:val="footer"/>
    <w:basedOn w:val="1"/>
    <w:link w:val="22"/>
    <w:unhideWhenUsed/>
    <w:qFormat/>
    <w:uiPriority w:val="99"/>
    <w:pPr>
      <w:tabs>
        <w:tab w:val="center" w:pos="4680"/>
        <w:tab w:val="right" w:pos="9360"/>
      </w:tabs>
      <w:spacing w:after="0" w:line="240" w:lineRule="auto"/>
    </w:pPr>
  </w:style>
  <w:style w:type="paragraph" w:styleId="9">
    <w:name w:val="header"/>
    <w:basedOn w:val="1"/>
    <w:link w:val="21"/>
    <w:unhideWhenUsed/>
    <w:uiPriority w:val="99"/>
    <w:pPr>
      <w:tabs>
        <w:tab w:val="center" w:pos="4680"/>
        <w:tab w:val="right" w:pos="9360"/>
      </w:tabs>
      <w:spacing w:after="0" w:line="240" w:lineRule="auto"/>
    </w:pPr>
  </w:style>
  <w:style w:type="character" w:styleId="10">
    <w:name w:val="Hyperlink"/>
    <w:basedOn w:val="5"/>
    <w:unhideWhenUsed/>
    <w:qFormat/>
    <w:uiPriority w:val="99"/>
    <w:rPr>
      <w:color w:val="0563C1" w:themeColor="hyperlink"/>
      <w:u w:val="single"/>
      <w14:textFill>
        <w14:solidFill>
          <w14:schemeClr w14:val="hlink"/>
        </w14:solidFill>
      </w14:textFill>
    </w:rPr>
  </w:style>
  <w:style w:type="paragraph" w:styleId="11">
    <w:name w:val="Title"/>
    <w:basedOn w:val="1"/>
    <w:next w:val="1"/>
    <w:link w:val="17"/>
    <w:qFormat/>
    <w:uiPriority w:val="10"/>
    <w:pPr>
      <w:spacing w:after="0" w:line="240" w:lineRule="auto"/>
      <w:contextualSpacing/>
    </w:pPr>
    <w:rPr>
      <w:rFonts w:asciiTheme="majorHAnsi" w:hAnsiTheme="majorHAnsi" w:eastAsiaTheme="majorEastAsia" w:cstheme="majorBidi"/>
      <w:spacing w:val="-10"/>
      <w:kern w:val="28"/>
      <w:sz w:val="56"/>
      <w:szCs w:val="56"/>
    </w:rPr>
  </w:style>
  <w:style w:type="paragraph" w:styleId="12">
    <w:name w:val="toc 1"/>
    <w:basedOn w:val="1"/>
    <w:next w:val="1"/>
    <w:autoRedefine/>
    <w:unhideWhenUsed/>
    <w:uiPriority w:val="39"/>
    <w:pPr>
      <w:spacing w:after="100"/>
    </w:pPr>
  </w:style>
  <w:style w:type="paragraph" w:styleId="13">
    <w:name w:val="toc 2"/>
    <w:basedOn w:val="1"/>
    <w:next w:val="1"/>
    <w:autoRedefine/>
    <w:unhideWhenUsed/>
    <w:qFormat/>
    <w:uiPriority w:val="39"/>
    <w:pPr>
      <w:spacing w:after="100"/>
      <w:ind w:left="220"/>
    </w:pPr>
  </w:style>
  <w:style w:type="paragraph" w:styleId="14">
    <w:name w:val="List Paragraph"/>
    <w:basedOn w:val="1"/>
    <w:qFormat/>
    <w:uiPriority w:val="34"/>
    <w:pPr>
      <w:ind w:left="720"/>
      <w:contextualSpacing/>
    </w:pPr>
  </w:style>
  <w:style w:type="character" w:customStyle="1" w:styleId="15">
    <w:name w:val="Heading 1 Char"/>
    <w:basedOn w:val="5"/>
    <w:link w:val="2"/>
    <w:uiPriority w:val="9"/>
    <w:rPr>
      <w:rFonts w:asciiTheme="majorHAnsi" w:hAnsiTheme="majorHAnsi" w:eastAsiaTheme="majorEastAsia" w:cstheme="majorBidi"/>
      <w:color w:val="2E75B6" w:themeColor="accent1" w:themeShade="BF"/>
      <w:sz w:val="32"/>
      <w:szCs w:val="32"/>
    </w:rPr>
  </w:style>
  <w:style w:type="character" w:customStyle="1" w:styleId="16">
    <w:name w:val="Heading 2 Char"/>
    <w:basedOn w:val="5"/>
    <w:link w:val="3"/>
    <w:qFormat/>
    <w:uiPriority w:val="9"/>
    <w:rPr>
      <w:rFonts w:asciiTheme="majorHAnsi" w:hAnsiTheme="majorHAnsi" w:eastAsiaTheme="majorEastAsia" w:cstheme="majorBidi"/>
      <w:color w:val="2E75B6" w:themeColor="accent1" w:themeShade="BF"/>
      <w:sz w:val="26"/>
      <w:szCs w:val="26"/>
    </w:rPr>
  </w:style>
  <w:style w:type="character" w:customStyle="1" w:styleId="17">
    <w:name w:val="Title Char"/>
    <w:basedOn w:val="5"/>
    <w:link w:val="11"/>
    <w:uiPriority w:val="10"/>
    <w:rPr>
      <w:rFonts w:asciiTheme="majorHAnsi" w:hAnsiTheme="majorHAnsi" w:eastAsiaTheme="majorEastAsia" w:cstheme="majorBidi"/>
      <w:spacing w:val="-10"/>
      <w:kern w:val="28"/>
      <w:sz w:val="56"/>
      <w:szCs w:val="56"/>
    </w:rPr>
  </w:style>
  <w:style w:type="paragraph" w:customStyle="1" w:styleId="18">
    <w:name w:val="TOC Heading"/>
    <w:basedOn w:val="2"/>
    <w:next w:val="1"/>
    <w:unhideWhenUsed/>
    <w:qFormat/>
    <w:uiPriority w:val="39"/>
    <w:pPr>
      <w:outlineLvl w:val="9"/>
    </w:pPr>
  </w:style>
  <w:style w:type="character" w:customStyle="1" w:styleId="19">
    <w:name w:val="Unresolved Mention"/>
    <w:basedOn w:val="5"/>
    <w:semiHidden/>
    <w:unhideWhenUsed/>
    <w:uiPriority w:val="99"/>
    <w:rPr>
      <w:color w:val="605E5C"/>
      <w:shd w:val="clear" w:color="auto" w:fill="E1DFDD"/>
    </w:rPr>
  </w:style>
  <w:style w:type="character" w:customStyle="1" w:styleId="20">
    <w:name w:val="Heading 3 Char"/>
    <w:basedOn w:val="5"/>
    <w:link w:val="4"/>
    <w:semiHidden/>
    <w:qFormat/>
    <w:uiPriority w:val="9"/>
    <w:rPr>
      <w:rFonts w:asciiTheme="majorHAnsi" w:hAnsiTheme="majorHAnsi" w:eastAsiaTheme="majorEastAsia" w:cstheme="majorBidi"/>
      <w:color w:val="1F4E79" w:themeColor="accent1" w:themeShade="80"/>
      <w:sz w:val="24"/>
      <w:szCs w:val="24"/>
    </w:rPr>
  </w:style>
  <w:style w:type="character" w:customStyle="1" w:styleId="21">
    <w:name w:val="Header Char"/>
    <w:basedOn w:val="5"/>
    <w:link w:val="9"/>
    <w:uiPriority w:val="99"/>
  </w:style>
  <w:style w:type="character" w:customStyle="1" w:styleId="22">
    <w:name w:val="Footer Char"/>
    <w:basedOn w:val="5"/>
    <w:link w:val="8"/>
    <w:uiPriority w:val="99"/>
  </w:style>
  <w:style w:type="paragraph" w:styleId="23">
    <w:name w:val="No Spacing"/>
    <w:qFormat/>
    <w:uiPriority w:val="1"/>
    <w:pPr>
      <w:spacing w:after="0" w:line="240" w:lineRule="auto"/>
    </w:pPr>
    <w:rPr>
      <w:rFonts w:asciiTheme="minorHAnsi" w:hAnsiTheme="minorHAnsi" w:eastAsiaTheme="minorHAnsi" w:cstheme="minorBidi"/>
      <w:sz w:val="22"/>
      <w:szCs w:val="22"/>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8.jpeg"/><Relationship Id="rId18" Type="http://schemas.openxmlformats.org/officeDocument/2006/relationships/image" Target="media/image7.jpeg"/><Relationship Id="rId17" Type="http://schemas.openxmlformats.org/officeDocument/2006/relationships/image" Target="media/image6.jpeg"/><Relationship Id="rId16" Type="http://schemas.openxmlformats.org/officeDocument/2006/relationships/image" Target="media/image5.png"/><Relationship Id="rId15" Type="http://schemas.openxmlformats.org/officeDocument/2006/relationships/image" Target="media/image4.jpe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005F87-EFC8-4D80-B1D7-50E45ED7832B}">
  <ds:schemaRefs/>
</ds:datastoreItem>
</file>

<file path=docProps/app.xml><?xml version="1.0" encoding="utf-8"?>
<Properties xmlns="http://schemas.openxmlformats.org/officeDocument/2006/extended-properties" xmlns:vt="http://schemas.openxmlformats.org/officeDocument/2006/docPropsVTypes">
  <Template>Normal</Template>
  <Pages>25</Pages>
  <Words>6502</Words>
  <Characters>37063</Characters>
  <Lines>308</Lines>
  <Paragraphs>86</Paragraphs>
  <TotalTime>33</TotalTime>
  <ScaleCrop>false</ScaleCrop>
  <LinksUpToDate>false</LinksUpToDate>
  <CharactersWithSpaces>43479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2026-01-30T09:53:00Z</dcterms:created>
  <dc:creator>Romi</dc:creator>
  <cp:lastModifiedBy>Romi</cp:lastModifiedBy>
  <dcterms:modified xsi:type="dcterms:W3CDTF">2026-02-06T06:39:46Z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d9f72cec-8651-485b-a0a3-74548a86a555</vt:lpwstr>
  </property>
  <property fmtid="{D5CDD505-2E9C-101B-9397-08002B2CF9AE}" pid="3" name="KSOProductBuildVer">
    <vt:lpwstr>1033-12.2.0.23196</vt:lpwstr>
  </property>
  <property fmtid="{D5CDD505-2E9C-101B-9397-08002B2CF9AE}" pid="4" name="ICV">
    <vt:lpwstr>409403E5A79A4633B118C13B82C7ADE0_12</vt:lpwstr>
  </property>
</Properties>
</file>