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3374" w14:textId="77777777" w:rsidR="00A46DE1" w:rsidRDefault="00A46DE1" w:rsidP="003F4CD8">
      <w:pPr>
        <w:pStyle w:val="Title"/>
      </w:pPr>
      <w:r w:rsidRPr="00A46DE1">
        <w:t xml:space="preserve">Original Research Article </w:t>
      </w:r>
    </w:p>
    <w:p w14:paraId="07BBB624" w14:textId="77777777" w:rsidR="00A46DE1" w:rsidRDefault="00A46DE1" w:rsidP="003F4CD8">
      <w:pPr>
        <w:pStyle w:val="Title"/>
      </w:pPr>
    </w:p>
    <w:p w14:paraId="6FD0283F" w14:textId="2674705F" w:rsidR="00A258C3" w:rsidRPr="00790ADA" w:rsidRDefault="001C1A21" w:rsidP="003F4CD8">
      <w:pPr>
        <w:pStyle w:val="Title"/>
      </w:pPr>
      <w:r w:rsidRPr="001C1A21">
        <w:rPr>
          <w:bCs/>
          <w:szCs w:val="36"/>
          <w:lang w:val="en-GB"/>
        </w:rPr>
        <w:t>The Mediating Role of Brand Equity in Social Media Marketing</w:t>
      </w:r>
      <w:r w:rsidR="00E04D35">
        <w:rPr>
          <w:bCs/>
          <w:szCs w:val="36"/>
          <w:lang w:val="en-GB"/>
        </w:rPr>
        <w:t>, Brand Trust,</w:t>
      </w:r>
      <w:r w:rsidRPr="001C1A21">
        <w:rPr>
          <w:bCs/>
          <w:szCs w:val="36"/>
          <w:lang w:val="en-GB"/>
        </w:rPr>
        <w:t xml:space="preserve"> and Purchase Intention: Evidence from Bangladesh</w:t>
      </w:r>
      <w:r w:rsidRPr="001C1A21">
        <w:rPr>
          <w:sz w:val="56"/>
          <w:szCs w:val="36"/>
        </w:rPr>
        <w:t xml:space="preserve"> </w:t>
      </w:r>
    </w:p>
    <w:p w14:paraId="3ABBD285" w14:textId="77777777" w:rsidR="00B01FCD" w:rsidRPr="00FB3A86" w:rsidRDefault="00000000" w:rsidP="00441B6F">
      <w:pPr>
        <w:pStyle w:val="Copyright"/>
        <w:spacing w:after="0" w:line="240" w:lineRule="auto"/>
        <w:jc w:val="both"/>
        <w:rPr>
          <w:rFonts w:ascii="Arial" w:hAnsi="Arial" w:cs="Arial"/>
        </w:rPr>
        <w:sectPr w:rsidR="00B01FCD" w:rsidRPr="00FB3A86" w:rsidSect="00004D2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4623C17">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28806D7" w14:textId="64F6D56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77B4DB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DD5EAA2" w14:textId="77777777" w:rsidTr="001E44FE">
        <w:tc>
          <w:tcPr>
            <w:tcW w:w="9576" w:type="dxa"/>
            <w:shd w:val="clear" w:color="auto" w:fill="F2F2F2"/>
          </w:tcPr>
          <w:p w14:paraId="59A1FCD8" w14:textId="25BCCC5F" w:rsidR="00A0322D" w:rsidRDefault="009E0E21" w:rsidP="006B6FA4">
            <w:pPr>
              <w:jc w:val="both"/>
              <w:rPr>
                <w:rFonts w:ascii="Arial" w:eastAsia="Calibri" w:hAnsi="Arial" w:cs="Arial"/>
              </w:rPr>
            </w:pPr>
            <w:r w:rsidRPr="00FD180E">
              <w:rPr>
                <w:rFonts w:ascii="Arial" w:eastAsia="Calibri" w:hAnsi="Arial" w:cs="Arial"/>
                <w:b/>
                <w:bCs/>
              </w:rPr>
              <w:t>Purpose:</w:t>
            </w:r>
            <w:r w:rsidRPr="00FD180E">
              <w:rPr>
                <w:rFonts w:ascii="Arial" w:eastAsia="Calibri" w:hAnsi="Arial" w:cs="Arial"/>
              </w:rPr>
              <w:t xml:space="preserve"> T</w:t>
            </w:r>
            <w:r w:rsidR="00A0322D" w:rsidRPr="00A0322D">
              <w:rPr>
                <w:rFonts w:ascii="Arial" w:eastAsia="Calibri" w:hAnsi="Arial" w:cs="Arial"/>
              </w:rPr>
              <w:t>his study investigates the role of brand equity (BE) in bridging the gap between social media marketing (SMM) and consumer purchase intention (PI) in Bangladesh. It further examines the direct and indirect relationships among SMM, brand trust (BT), BE, and PI.</w:t>
            </w:r>
          </w:p>
          <w:p w14:paraId="46909FD1" w14:textId="7D9D9397" w:rsidR="009E0E21" w:rsidRPr="00FD180E" w:rsidRDefault="009E0E21" w:rsidP="006B6FA4">
            <w:pPr>
              <w:jc w:val="both"/>
              <w:rPr>
                <w:rFonts w:ascii="Arial" w:eastAsia="Calibri" w:hAnsi="Arial" w:cs="Arial"/>
              </w:rPr>
            </w:pPr>
            <w:r w:rsidRPr="00FD180E">
              <w:rPr>
                <w:rFonts w:ascii="Arial" w:eastAsia="Calibri" w:hAnsi="Arial" w:cs="Arial"/>
                <w:b/>
                <w:bCs/>
              </w:rPr>
              <w:t>Design/methodology/approach:</w:t>
            </w:r>
            <w:r w:rsidRPr="00FD180E">
              <w:rPr>
                <w:rFonts w:ascii="Arial" w:eastAsia="Calibri" w:hAnsi="Arial" w:cs="Arial"/>
              </w:rPr>
              <w:t xml:space="preserve"> </w:t>
            </w:r>
            <w:r w:rsidR="00A0322D" w:rsidRPr="00A0322D">
              <w:rPr>
                <w:rFonts w:ascii="Arial" w:eastAsia="Calibri" w:hAnsi="Arial" w:cs="Arial"/>
              </w:rPr>
              <w:t>A total of 500 questionnaires were distributed among active users of social media platforms in Bangladesh, and 460 valid responses were collected for analysis. The proposed model was validated using structural equation modeling (SEM). Additionally, demographic and behavioral characteristics of respondents were examined to ensure representativeness of the sample.</w:t>
            </w:r>
          </w:p>
          <w:p w14:paraId="354FEB05" w14:textId="455AAA4E" w:rsidR="009E0E21" w:rsidRPr="00FD180E" w:rsidRDefault="009E0E21" w:rsidP="006B6FA4">
            <w:pPr>
              <w:jc w:val="both"/>
              <w:rPr>
                <w:rFonts w:ascii="Arial" w:eastAsia="Calibri" w:hAnsi="Arial" w:cs="Arial"/>
              </w:rPr>
            </w:pPr>
            <w:r w:rsidRPr="00FD180E">
              <w:rPr>
                <w:rFonts w:ascii="Arial" w:eastAsia="Calibri" w:hAnsi="Arial" w:cs="Arial"/>
                <w:b/>
                <w:bCs/>
              </w:rPr>
              <w:t>Findings:</w:t>
            </w:r>
            <w:r w:rsidRPr="00FD180E">
              <w:rPr>
                <w:rFonts w:ascii="Arial" w:eastAsia="Calibri" w:hAnsi="Arial" w:cs="Arial"/>
              </w:rPr>
              <w:t xml:space="preserve"> </w:t>
            </w:r>
            <w:r w:rsidR="000839DC" w:rsidRPr="000839DC">
              <w:rPr>
                <w:rFonts w:ascii="Arial" w:eastAsia="Calibri" w:hAnsi="Arial" w:cs="Arial"/>
              </w:rPr>
              <w:t>The findings indicate that the relationship between social media marketing (SMM) and purchase intention (PI) is significantly positive, with brand equity (BE) serving as a partial mediator. Consistent with this result, social media (SM) plays an important role in influencing consumers’ buying decisions. The results further show that brand trust (BT) has a positive and significant effect on brand equity; however, its direct relationship with purchase intention is negative and statistically insignificant, suggesting that BT contributes to PI only indirectly through brand equity rather than through a direct influence.</w:t>
            </w:r>
          </w:p>
          <w:p w14:paraId="0FFBE6E7" w14:textId="2E48195B" w:rsidR="00505F06" w:rsidRPr="00FD180E" w:rsidRDefault="009E0E21" w:rsidP="006B6FA4">
            <w:pPr>
              <w:jc w:val="both"/>
              <w:rPr>
                <w:rFonts w:eastAsia="Calibri"/>
              </w:rPr>
            </w:pPr>
            <w:r w:rsidRPr="006B6FA4">
              <w:rPr>
                <w:rFonts w:ascii="Arial" w:eastAsia="Calibri" w:hAnsi="Arial" w:cs="Arial"/>
                <w:b/>
                <w:bCs/>
              </w:rPr>
              <w:t>Originality/value:</w:t>
            </w:r>
            <w:r w:rsidRPr="00FD180E">
              <w:rPr>
                <w:rFonts w:ascii="Arial" w:eastAsia="Calibri" w:hAnsi="Arial" w:cs="Arial"/>
              </w:rPr>
              <w:t xml:space="preserve"> </w:t>
            </w:r>
            <w:r w:rsidR="00A0322D" w:rsidRPr="00A0322D">
              <w:rPr>
                <w:rFonts w:ascii="Arial" w:eastAsia="Calibri" w:hAnsi="Arial" w:cs="Arial"/>
              </w:rPr>
              <w:t>This study highlights how brand equity mediates the impact of social media marketing on purchase intention, offering insights for organizations to refine online strategies. It also contributes to the literature on consumer behavior in emerging markets like Bangladesh.</w:t>
            </w:r>
          </w:p>
        </w:tc>
      </w:tr>
    </w:tbl>
    <w:p w14:paraId="229723F7" w14:textId="77777777" w:rsidR="00636EB2" w:rsidRDefault="00636EB2" w:rsidP="00441B6F">
      <w:pPr>
        <w:pStyle w:val="Body"/>
        <w:spacing w:after="0"/>
        <w:rPr>
          <w:rFonts w:ascii="Arial" w:hAnsi="Arial" w:cs="Arial"/>
          <w:i/>
        </w:rPr>
      </w:pPr>
    </w:p>
    <w:p w14:paraId="1B4B8FC7" w14:textId="7518D230" w:rsidR="00A24E7E" w:rsidRDefault="00A24E7E" w:rsidP="00441B6F">
      <w:pPr>
        <w:pStyle w:val="Body"/>
        <w:spacing w:after="0"/>
        <w:rPr>
          <w:rFonts w:ascii="Arial" w:hAnsi="Arial" w:cs="Arial"/>
          <w:i/>
        </w:rPr>
      </w:pPr>
      <w:r>
        <w:rPr>
          <w:rFonts w:ascii="Arial" w:hAnsi="Arial" w:cs="Arial"/>
          <w:i/>
        </w:rPr>
        <w:t>Keywords:</w:t>
      </w:r>
      <w:r w:rsidR="006B6FA4">
        <w:rPr>
          <w:rFonts w:ascii="Arial" w:hAnsi="Arial" w:cs="Arial"/>
          <w:i/>
        </w:rPr>
        <w:t xml:space="preserve"> </w:t>
      </w:r>
      <w:r w:rsidR="006B6FA4" w:rsidRPr="006B6FA4">
        <w:rPr>
          <w:rFonts w:ascii="Arial" w:hAnsi="Arial" w:cs="Arial"/>
          <w:i/>
        </w:rPr>
        <w:t>Purchase Intention (PI), Social Media Marketing (SMM), Brand Trust (BT), Brand Equity (BE).</w:t>
      </w:r>
    </w:p>
    <w:p w14:paraId="3CD77EFD" w14:textId="77777777" w:rsidR="00790ADA" w:rsidRDefault="00790ADA" w:rsidP="00441B6F">
      <w:pPr>
        <w:pStyle w:val="Body"/>
        <w:spacing w:after="0"/>
        <w:rPr>
          <w:rFonts w:ascii="Arial" w:hAnsi="Arial" w:cs="Arial"/>
          <w:i/>
        </w:rPr>
      </w:pPr>
    </w:p>
    <w:p w14:paraId="60048D9F" w14:textId="778BE750" w:rsidR="00634E74"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E6F9106" w14:textId="5C07A2D5" w:rsidR="004452EA" w:rsidRPr="00BA106D" w:rsidRDefault="00BA106D" w:rsidP="00BA106D">
      <w:pPr>
        <w:pStyle w:val="NormalWeb"/>
        <w:jc w:val="both"/>
        <w:rPr>
          <w:rFonts w:ascii="Arial" w:hAnsi="Arial" w:cs="Arial"/>
          <w:sz w:val="16"/>
          <w:szCs w:val="16"/>
        </w:rPr>
      </w:pPr>
      <w:r w:rsidRPr="00BA106D">
        <w:rPr>
          <w:rFonts w:ascii="Arial" w:hAnsi="Arial" w:cs="Arial"/>
          <w:sz w:val="20"/>
          <w:szCs w:val="20"/>
        </w:rPr>
        <w:t>Understanding how Brand Equity works as a mediator between Social Media Marketing (SMM) and Purchase Intention is crucial for marketers in emerging economies. The attempt to link Brand Trust and SMM through Brand Equity adds some value to the existing literature on consumer behavior in South Asia.</w:t>
      </w:r>
      <w:r>
        <w:rPr>
          <w:rFonts w:ascii="Arial" w:hAnsi="Arial" w:cs="Arial"/>
          <w:sz w:val="20"/>
          <w:szCs w:val="20"/>
        </w:rPr>
        <w:t xml:space="preserve"> </w:t>
      </w:r>
      <w:r w:rsidR="004452EA" w:rsidRPr="00BA106D">
        <w:rPr>
          <w:rFonts w:ascii="Arial" w:hAnsi="Arial" w:cs="Arial"/>
          <w:sz w:val="20"/>
          <w:szCs w:val="20"/>
        </w:rPr>
        <w:t>The interactive and viral nature of social media marketing helps companies to connect with customers at a one-on-one level that develops loyalty and trust</w:t>
      </w:r>
      <w:r w:rsidR="00AD24E8" w:rsidRPr="00BA106D">
        <w:rPr>
          <w:rFonts w:ascii="Arial" w:hAnsi="Arial" w:cs="Arial"/>
          <w:sz w:val="20"/>
          <w:szCs w:val="20"/>
        </w:rPr>
        <w:t xml:space="preserve"> </w:t>
      </w:r>
      <w:r w:rsidR="000223A2" w:rsidRPr="00BA106D">
        <w:rPr>
          <w:rFonts w:ascii="Arial" w:hAnsi="Arial" w:cs="Arial"/>
          <w:sz w:val="20"/>
          <w:szCs w:val="20"/>
        </w:rPr>
        <w:fldChar w:fldCharType="begin"/>
      </w:r>
      <w:r w:rsidR="000223A2" w:rsidRPr="00BA106D">
        <w:rPr>
          <w:rFonts w:ascii="Arial" w:hAnsi="Arial" w:cs="Arial"/>
          <w:sz w:val="20"/>
          <w:szCs w:val="20"/>
        </w:rPr>
        <w:instrText xml:space="preserve"> ADDIN ZOTERO_ITEM CSL_CITATION {"citationID":"uCITZc5o","properties":{"formattedCitation":"(Zeng et al., 2009)","plainCitation":"(Zeng et al., 2009)","noteIndex":0},"citationItems":[{"id":1141,"uris":["http://zotero.org/users/local/02HQEtik/items/92MABPZK"],"itemData":{"id":1141,"type":"article-journal","container-title":"Journal of Interactive Advertising","DOI":"10.1080/15252019.2009.10722159","ISSN":"1525-2019","issue":"1","journalAbbreviation":"Journal of Interactive Advertising","language":"en","page":"1-13","source":"DOI.org (Crossref)","title":"Social Factors in User Perceptions and Responses to Advertising in Online Social Networking Communities","volume":"10","author":[{"family":"Zeng","given":"Fue"},{"family":"Huang","given":"Li"},{"family":"Dou","given":"Wenyu"}],"issued":{"date-parts":[["2009",9]]}}}],"schema":"https://github.com/citation-style-language/schema/raw/master/csl-citation.json"} </w:instrText>
      </w:r>
      <w:r w:rsidR="000223A2" w:rsidRPr="00BA106D">
        <w:rPr>
          <w:rFonts w:ascii="Arial" w:hAnsi="Arial" w:cs="Arial"/>
          <w:sz w:val="20"/>
          <w:szCs w:val="20"/>
        </w:rPr>
        <w:fldChar w:fldCharType="separate"/>
      </w:r>
      <w:r w:rsidR="000223A2" w:rsidRPr="00BA106D">
        <w:rPr>
          <w:rFonts w:ascii="Arial" w:hAnsi="Arial" w:cs="Arial"/>
          <w:sz w:val="20"/>
          <w:szCs w:val="20"/>
        </w:rPr>
        <w:t>(Zeng et al., 2009)</w:t>
      </w:r>
      <w:r w:rsidR="000223A2" w:rsidRPr="00BA106D">
        <w:rPr>
          <w:rFonts w:ascii="Arial" w:hAnsi="Arial" w:cs="Arial"/>
          <w:sz w:val="20"/>
          <w:szCs w:val="20"/>
        </w:rPr>
        <w:fldChar w:fldCharType="end"/>
      </w:r>
      <w:r w:rsidR="004452EA" w:rsidRPr="00BA106D">
        <w:rPr>
          <w:rFonts w:ascii="Arial" w:hAnsi="Arial" w:cs="Arial"/>
          <w:sz w:val="20"/>
          <w:szCs w:val="20"/>
        </w:rPr>
        <w:t xml:space="preserve">. Although the direct impact of SMM on customer behavior is undeniable, there is often a need to establish a good brand equity in order to reap all the benefits of the marketing communication strategy. The brand equity, which is the value that a name creates for the product, is imperative to increase the level of consumer loyalty, along with influencing buying behavior </w:t>
      </w:r>
      <w:r w:rsidR="003B7DD8" w:rsidRPr="00BA106D">
        <w:rPr>
          <w:rFonts w:ascii="Arial" w:hAnsi="Arial" w:cs="Arial"/>
          <w:sz w:val="20"/>
          <w:szCs w:val="20"/>
        </w:rPr>
        <w:fldChar w:fldCharType="begin"/>
      </w:r>
      <w:r w:rsidR="00806725" w:rsidRPr="00BA106D">
        <w:rPr>
          <w:rFonts w:ascii="Arial" w:hAnsi="Arial" w:cs="Arial"/>
          <w:sz w:val="20"/>
          <w:szCs w:val="20"/>
        </w:rPr>
        <w:instrText xml:space="preserve"> ADDIN ZOTERO_ITEM CSL_CITATION {"citationID":"qnO2I72a","properties":{"formattedCitation":"(Zubiaga et al., 2019)","plainCitation":"(Zubiaga et al., 2019)","noteIndex":0},"citationItems":[{"id":1242,"uris":["http://zotero.org/users/local/02HQEtik/items/PB2TIU7I"],"itemData":{"id":1242,"type":"article-journal","abstract":"Despite the increasing use of social media platforms for information and news gathering, its unmoderated nature often leads to the emergence and spread of rumours, i.e., items of information that are unverified at the time of posting. At the same time, the openness of social media platforms provides opportunities to study how users share and discuss rumours, and to explore how to automatically assess their veracity, using natural language processing and data mining techniques. In this article, we introduce and discuss two types of rumours that circulate on social media: long-standing rumours that circulate for long periods of time, and newly emerging rumours spawned during fast-paced events such as breaking news, where reports are released piecemeal and often with an unverified status in their early stages. We provide an overview of research into social media rumours with the ultimate goal of developing a rumour classification system that consists of four components: rumour detection, rumour tracking, rumour stance classification, and rumour veracity classification. We delve into the approaches presented in the scientific literature for the development of each of these four components. We summarise the efforts and achievements so far toward the development of rumour classification systems and conclude with suggestions for avenues for future research in social media mining for the detection and resolution of rumours.","container-title":"ACM Computing Surveys","DOI":"10.1145/3161603","ISSN":"0360-0300, 1557-7341","issue":"2","journalAbbreviation":"ACM Comput. Surv.","language":"en","page":"1-36","source":"DOI.org (Crossref)","title":"Detection and Resolution of Rumours in Social Media: A Survey","title-short":"Detection and Resolution of Rumours in Social Media","volume":"51","author":[{"family":"Zubiaga","given":"Arkaitz"},{"family":"Aker","given":"Ahmet"},{"family":"Bontcheva","given":"Kalina"},{"family":"Liakata","given":"Maria"},{"family":"Procter","given":"Rob"}],"issued":{"date-parts":[["2019",3,31]]}}}],"schema":"https://github.com/citation-style-language/schema/raw/master/csl-citation.json"} </w:instrText>
      </w:r>
      <w:r w:rsidR="003B7DD8" w:rsidRPr="00BA106D">
        <w:rPr>
          <w:rFonts w:ascii="Arial" w:hAnsi="Arial" w:cs="Arial"/>
          <w:sz w:val="20"/>
          <w:szCs w:val="20"/>
        </w:rPr>
        <w:fldChar w:fldCharType="separate"/>
      </w:r>
      <w:r w:rsidR="00806725" w:rsidRPr="00BA106D">
        <w:rPr>
          <w:rFonts w:ascii="Arial" w:hAnsi="Arial" w:cs="Arial"/>
          <w:sz w:val="20"/>
          <w:szCs w:val="20"/>
        </w:rPr>
        <w:t>(Zubiaga et al., 2019)</w:t>
      </w:r>
      <w:r w:rsidR="003B7DD8" w:rsidRPr="00BA106D">
        <w:rPr>
          <w:rFonts w:ascii="Arial" w:hAnsi="Arial" w:cs="Arial"/>
          <w:sz w:val="20"/>
          <w:szCs w:val="20"/>
        </w:rPr>
        <w:fldChar w:fldCharType="end"/>
      </w:r>
      <w:r w:rsidR="003B7DD8" w:rsidRPr="00BA106D">
        <w:rPr>
          <w:rFonts w:ascii="Arial" w:hAnsi="Arial" w:cs="Arial"/>
          <w:sz w:val="20"/>
          <w:szCs w:val="20"/>
        </w:rPr>
        <w:t>.</w:t>
      </w:r>
    </w:p>
    <w:p w14:paraId="391B5D6F" w14:textId="7814C21E" w:rsidR="004452EA" w:rsidRPr="004452EA" w:rsidRDefault="004452EA" w:rsidP="004452EA">
      <w:pPr>
        <w:pStyle w:val="Body"/>
        <w:spacing w:after="0"/>
        <w:rPr>
          <w:rFonts w:ascii="Arial" w:hAnsi="Arial" w:cs="Arial"/>
        </w:rPr>
      </w:pPr>
      <w:r w:rsidRPr="004452EA">
        <w:rPr>
          <w:rFonts w:ascii="Arial" w:hAnsi="Arial" w:cs="Arial"/>
        </w:rPr>
        <w:lastRenderedPageBreak/>
        <w:t>Social networking is fast becoming a convenient method by which consumers communicate and exchange information as technology continues to be technology-filled everywhere in everyday life</w:t>
      </w:r>
      <w:r w:rsidR="001B0E9F">
        <w:rPr>
          <w:rFonts w:ascii="Arial" w:hAnsi="Arial" w:cs="Arial"/>
        </w:rPr>
        <w:t xml:space="preserve"> </w:t>
      </w:r>
      <w:r w:rsidR="001B0E9F">
        <w:rPr>
          <w:rFonts w:ascii="Arial" w:hAnsi="Arial" w:cs="Arial"/>
        </w:rPr>
        <w:fldChar w:fldCharType="begin"/>
      </w:r>
      <w:r w:rsidR="001B0E9F">
        <w:rPr>
          <w:rFonts w:ascii="Arial" w:hAnsi="Arial" w:cs="Arial"/>
        </w:rPr>
        <w:instrText xml:space="preserve"> ADDIN ZOTERO_ITEM CSL_CITATION {"citationID":"U0bnnHyT","properties":{"formattedCitation":"(Verhoef et al., 2017; Zaitseva &amp; Zhosan, 2025)","plainCitation":"(Verhoef et al., 2017; Zaitseva &amp; Zhosan, 2025)","noteIndex":0},"citationItems":[{"id":1147,"uris":["http://zotero.org/users/local/02HQEtik/items/IIY6LHE8"],"itemData":{"id":1147,"type":"article-journal","abstract":"Today's consumers are immersed in a vast and complex array of networks. Each network features an interconnected mesh of people and firms, and now, with the rise of the Internet of Things (IoT), also objects. Technology (particularly mobile devices) enables such connections, and facilitates many kinds of interactions in these networks—from transactions, to social information sharing, to people interfacing with connected devices (e.g., wearable technology).\n            We introduce the POP-framework, discuss how People, Objects and the Physical world inter-connect with each other and how it results in an increasing amount of connected data, and briefly summarize existing knowledge on these inter-connections. We also provide an agenda for future research focused on examining potential impact of IoT and smart products on consumer behavior and firm strategies.","container-title":"Journal of Interactive Marketing","DOI":"10.1016/j.intmar.2017.06.001","ISSN":"1094-9968, 1520-6653","issue":"1","journalAbbreviation":"Journal of Interactive Marketing","language":"en","page":"1-8","source":"DOI.org (Crossref)","title":"Consumer Connectivity in a Complex, Technology-enabled, and Mobile-oriented World with Smart Products","volume":"40","author":[{"family":"Verhoef","given":"Peter C."},{"family":"Stephen","given":"Andrew T."},{"family":"Kannan","given":"P.K."},{"family":"Luo","given":"Xueming"},{"family":"Abhishek","given":"Vibhanshu"},{"family":"Andrews","given":"Michelle"},{"family":"Bart","given":"Yakov"},{"family":"Datta","given":"Hannes"},{"family":"Fong","given":"Nathan"},{"family":"Hoffman","given":"Donna L."},{"family":"Hu","given":"Mandy Mantian"},{"family":"Novak","given":"Tom"},{"family":"Rand","given":"William"},{"family":"Zhang","given":"Yuchi"}],"issued":{"date-parts":[["2017",11]]}}},{"id":1146,"uris":["http://zotero.org/users/local/02HQEtik/items/965CWBAU"],"itemData":{"id":1146,"type":"article-journal","abstract":"The rapid digitalization of society has radically transformed the behavior of the modern consumer, as social networks are not only a communication tool, but also a full-fledged channel that influences the process of consumer decision-making. This necessitated the need for an interdisciplinary study of the dynamics of consumer decision-making in a digi­tal environment in which social platforms act as leading sources of information, shapers of consumer preferences, and channels of emotion­nal engagement. The aim of the research is to identify the mechanisms of influence of social networks on consumer decision-making in the digital environment in the context of changing their behavior and forming digital trust in inte­raction with brands. The research is based on the hypothesis that brands use social media to influence consumers at every stage of their digital journey in order to increase awareness and create a socially responsible image. The hypothesis was tested using the following research methods: systems analysis, interdis­ciplinary synthesis, content analysis of visual and text materials, and comparative analysis of business cases. An analysis of digital trust factors was conducted, including user-generated content (UGC), quantitative metrics (likes, shares, subscriptions), interactive reviews, and the role of influencers as digital thought leaders was identified. It examines how social media influences each phase of the consumerʼs digital journey: need identification, search for alterna­tives, evaluation, purchase decisions, and post-sales behavior. Particular attention is paid to the analysis of current trends in the use of social platforms by various demographic groups, in particular in Ukraine, which is experiencing transformational challenges caused by the war, market adaptation to new technologies, and the formation of a new culture of digital consum­ption. The results of surveys, statistical data from international analytical centers (GWI, DataReportal, Statista, Nielsen) are presented, and cases of brands that have successfully applied marketing strategies in the social media ecosystem are considered. The conclusions emphasize the need to build long-term relation­ships between the brand and the consumer through personalization mechanisms, emotional engagement, and the use of neuromarketing technologies. Practical recommendations are offered for the effective use of social networks as a tool for digital interaction and the formation of consumer loyalty","container-title":"Scientia fructuosa","DOI":"10.31617/1.2025(162)09","ISSN":"2786-7986, 2786-7978","issue":"4","journalAbbreviation":"SF","license":"https://creativecommons.org/licenses/by/4.0/?ref=chooser-v1","page":"150-162","source":"DOI.org (Crossref)","title":"The impact of social media on consumer choice","volume":"162","author":[{"family":"Zaitseva","given":"Olena"},{"family":"Zhosan","given":"Hanna"}],"issued":{"date-parts":[["2025",9,16]]}}}],"schema":"https://github.com/citation-style-language/schema/raw/master/csl-citation.json"} </w:instrText>
      </w:r>
      <w:r w:rsidR="001B0E9F">
        <w:rPr>
          <w:rFonts w:ascii="Arial" w:hAnsi="Arial" w:cs="Arial"/>
        </w:rPr>
        <w:fldChar w:fldCharType="separate"/>
      </w:r>
      <w:r w:rsidR="001B0E9F" w:rsidRPr="001B0E9F">
        <w:rPr>
          <w:rFonts w:ascii="Arial" w:hAnsi="Arial" w:cs="Arial"/>
        </w:rPr>
        <w:t>(Verhoef et al., 2017; Zaitseva &amp; Zhosan, 2025)</w:t>
      </w:r>
      <w:r w:rsidR="001B0E9F">
        <w:rPr>
          <w:rFonts w:ascii="Arial" w:hAnsi="Arial" w:cs="Arial"/>
        </w:rPr>
        <w:fldChar w:fldCharType="end"/>
      </w:r>
      <w:r w:rsidRPr="004452EA">
        <w:rPr>
          <w:rFonts w:ascii="Arial" w:hAnsi="Arial" w:cs="Arial"/>
        </w:rPr>
        <w:t>. Social media can be regarded as all the platforms and services related to the internet that are controlled by companies</w:t>
      </w:r>
      <w:r w:rsidR="00EC2FCC">
        <w:rPr>
          <w:rFonts w:ascii="Arial" w:hAnsi="Arial" w:cs="Arial"/>
        </w:rPr>
        <w:t xml:space="preserve"> </w:t>
      </w:r>
      <w:r w:rsidR="00EC2FCC">
        <w:rPr>
          <w:rFonts w:ascii="Arial" w:hAnsi="Arial" w:cs="Arial"/>
        </w:rPr>
        <w:fldChar w:fldCharType="begin"/>
      </w:r>
      <w:r w:rsidR="00EC2FCC">
        <w:rPr>
          <w:rFonts w:ascii="Arial" w:hAnsi="Arial" w:cs="Arial"/>
        </w:rPr>
        <w:instrText xml:space="preserve"> ADDIN ZOTERO_ITEM CSL_CITATION {"citationID":"Tk7A6bkH","properties":{"formattedCitation":"(Basuki et al., 2021)","plainCitation":"(Basuki et al., 2021)","noteIndex":0},"citationItems":[{"id":1149,"uris":["http://zotero.org/users/local/02HQEtik/items/UWIL24WY"],"itemData":{"id":1149,"type":"article-journal","container-title":"Polish Journal of Management Studies","DOI":"10.17512/pjms.2021.24.2.03","ISSN":"20817452, 20817452","issue":"2","journalAbbreviation":"PJMS","page":"41-54","source":"DOI.org (Crossref)","title":"Boosting Sustainability Performance Through Supply Chain Quality Management in the Mining Industry","volume":"24","author":[{"family":"Basuki","given":"Basuki"},{"family":"Rajiani","given":"Ismi"},{"family":"Widyanti","given":"Rahmi"}],"issued":{"date-parts":[["2021",12]]}}}],"schema":"https://github.com/citation-style-language/schema/raw/master/csl-citation.json"} </w:instrText>
      </w:r>
      <w:r w:rsidR="00EC2FCC">
        <w:rPr>
          <w:rFonts w:ascii="Arial" w:hAnsi="Arial" w:cs="Arial"/>
        </w:rPr>
        <w:fldChar w:fldCharType="separate"/>
      </w:r>
      <w:r w:rsidR="00EC2FCC" w:rsidRPr="00EC2FCC">
        <w:rPr>
          <w:rFonts w:ascii="Arial" w:hAnsi="Arial" w:cs="Arial"/>
        </w:rPr>
        <w:t>(Basuki et al., 2021)</w:t>
      </w:r>
      <w:r w:rsidR="00EC2FCC">
        <w:rPr>
          <w:rFonts w:ascii="Arial" w:hAnsi="Arial" w:cs="Arial"/>
        </w:rPr>
        <w:fldChar w:fldCharType="end"/>
      </w:r>
      <w:r w:rsidRPr="004452EA">
        <w:rPr>
          <w:rFonts w:ascii="Arial" w:hAnsi="Arial" w:cs="Arial"/>
        </w:rPr>
        <w:t>. It has become an indispensable component of the operations and transactions of corporations because social media now supports the processing of e-wallets and product information</w:t>
      </w:r>
      <w:r w:rsidR="00844810">
        <w:rPr>
          <w:rFonts w:ascii="Arial" w:hAnsi="Arial" w:cs="Arial"/>
        </w:rPr>
        <w:t xml:space="preserve"> </w:t>
      </w:r>
      <w:r w:rsidR="00844810">
        <w:rPr>
          <w:rFonts w:ascii="Arial" w:hAnsi="Arial" w:cs="Arial"/>
        </w:rPr>
        <w:fldChar w:fldCharType="begin"/>
      </w:r>
      <w:r w:rsidR="00844810">
        <w:rPr>
          <w:rFonts w:ascii="Arial" w:hAnsi="Arial" w:cs="Arial"/>
        </w:rPr>
        <w:instrText xml:space="preserve"> ADDIN ZOTERO_ITEM CSL_CITATION {"citationID":"VJmH8RkC","properties":{"formattedCitation":"(Basuki et al., 2021)","plainCitation":"(Basuki et al., 2021)","noteIndex":0},"citationItems":[{"id":1149,"uris":["http://zotero.org/users/local/02HQEtik/items/UWIL24WY"],"itemData":{"id":1149,"type":"article-journal","container-title":"Polish Journal of Management Studies","DOI":"10.17512/pjms.2021.24.2.03","ISSN":"20817452, 20817452","issue":"2","journalAbbreviation":"PJMS","page":"41-54","source":"DOI.org (Crossref)","title":"Boosting Sustainability Performance Through Supply Chain Quality Management in the Mining Industry","volume":"24","author":[{"family":"Basuki","given":"Basuki"},{"family":"Rajiani","given":"Ismi"},{"family":"Widyanti","given":"Rahmi"}],"issued":{"date-parts":[["2021",12]]}}}],"schema":"https://github.com/citation-style-language/schema/raw/master/csl-citation.json"} </w:instrText>
      </w:r>
      <w:r w:rsidR="00844810">
        <w:rPr>
          <w:rFonts w:ascii="Arial" w:hAnsi="Arial" w:cs="Arial"/>
        </w:rPr>
        <w:fldChar w:fldCharType="separate"/>
      </w:r>
      <w:r w:rsidR="00844810" w:rsidRPr="00844810">
        <w:rPr>
          <w:rFonts w:ascii="Arial" w:hAnsi="Arial" w:cs="Arial"/>
        </w:rPr>
        <w:t>(Basuki et al., 2021)</w:t>
      </w:r>
      <w:r w:rsidR="00844810">
        <w:rPr>
          <w:rFonts w:ascii="Arial" w:hAnsi="Arial" w:cs="Arial"/>
        </w:rPr>
        <w:fldChar w:fldCharType="end"/>
      </w:r>
      <w:r w:rsidRPr="004452EA">
        <w:rPr>
          <w:rFonts w:ascii="Arial" w:hAnsi="Arial" w:cs="Arial"/>
        </w:rPr>
        <w:t xml:space="preserve">. The increased use of modern technology and internet means that individuals can use it to serve a number of needs, such as online trading, access to information, and communication. The sale of social media is novel method of advertising that allows companies to create entertaining and meaningful content for customers, which leads to increased customer interest and brand awareness </w:t>
      </w:r>
      <w:r w:rsidR="00AF6269">
        <w:rPr>
          <w:rFonts w:ascii="Arial" w:hAnsi="Arial" w:cs="Arial"/>
        </w:rPr>
        <w:fldChar w:fldCharType="begin"/>
      </w:r>
      <w:r w:rsidR="00AF6269">
        <w:rPr>
          <w:rFonts w:ascii="Arial" w:hAnsi="Arial" w:cs="Arial"/>
        </w:rPr>
        <w:instrText xml:space="preserve"> ADDIN ZOTERO_ITEM CSL_CITATION {"citationID":"dIVyMMMz","properties":{"formattedCitation":"(Azhar et al., 2023)","plainCitation":"(Azhar et al., 2023)","noteIndex":0},"citationItems":[{"id":1150,"uris":["http://zotero.org/users/local/02HQEtik/items/QDS95ZIZ"],"itemData":{"id":1150,"type":"article-journal","abstract":"Abstract\n            The present study intends to unleash the influence of social media marketing (SMM) on purchase intention (PI), brand trust (BT) and brand loyalty (BL) in the setting of online travel booking websites. It also analyses the mediating effect of BT and BL in the relationship between SMM and PI. This study also examines the importance of trust and loyalty in the suggested model, which adds to the current research in this area. A self-administered questionnaire was employed to collect the data from the users of online travel booking websites, and the study rested upon 397 valid responses. Data were analyzed using partial least squares structural equation modeling (PLS-SEM) through Smart PLS v.3.2.6. The findings reveal that SMM has a favorable and substantial impact on BT and BL, influencing COVID-19 purchase intention. As per the findings, BT and BL's beneficial influence on the purchase intention of arranging travel on social media was discovered. Moreover, it was also confirmed from the results that BT and BL mediate the relationship between SMM and PI. Therefore, SMM significantly impacts online trip booking purchase intentions with increased BT and BL levels. Finally, several theoretical and managerial implications can be delineated from the findings of this study for industry and academia.","container-title":"Future Business Journal","DOI":"10.1186/s43093-023-00192-6","ISSN":"2314-7210","issue":"1","journalAbbreviation":"Futur Bus J","language":"en","page":"13","source":"DOI.org (Crossref)","title":"Effect of social media marketing on online travel purchase behavior post-COVID-19: mediating role of brand trust and brand loyalty","title-short":"Effect of social media marketing on online travel purchase behavior post-COVID-19","volume":"9","author":[{"family":"Azhar","given":"Mohd"},{"family":"Husain","given":"Rehan"},{"family":"Hamid","given":"Sheeba"},{"family":"Rahman","given":"Mohd Nayyer"}],"issued":{"date-parts":[["2023",3,28]]}}}],"schema":"https://github.com/citation-style-language/schema/raw/master/csl-citation.json"} </w:instrText>
      </w:r>
      <w:r w:rsidR="00AF6269">
        <w:rPr>
          <w:rFonts w:ascii="Arial" w:hAnsi="Arial" w:cs="Arial"/>
        </w:rPr>
        <w:fldChar w:fldCharType="separate"/>
      </w:r>
      <w:r w:rsidR="00AF6269" w:rsidRPr="00AF6269">
        <w:rPr>
          <w:rFonts w:ascii="Arial" w:hAnsi="Arial" w:cs="Arial"/>
        </w:rPr>
        <w:t>(Azhar et al., 2023)</w:t>
      </w:r>
      <w:r w:rsidR="00AF6269">
        <w:rPr>
          <w:rFonts w:ascii="Arial" w:hAnsi="Arial" w:cs="Arial"/>
        </w:rPr>
        <w:fldChar w:fldCharType="end"/>
      </w:r>
      <w:r w:rsidRPr="004452EA">
        <w:rPr>
          <w:rFonts w:ascii="Arial" w:hAnsi="Arial" w:cs="Arial"/>
        </w:rPr>
        <w:t xml:space="preserve">. </w:t>
      </w:r>
    </w:p>
    <w:p w14:paraId="69DC4563" w14:textId="54799527" w:rsidR="004452EA" w:rsidRPr="004452EA" w:rsidRDefault="004452EA" w:rsidP="004452EA">
      <w:pPr>
        <w:pStyle w:val="Body"/>
        <w:spacing w:after="0"/>
        <w:rPr>
          <w:rFonts w:ascii="Arial" w:hAnsi="Arial" w:cs="Arial"/>
        </w:rPr>
      </w:pPr>
      <w:r w:rsidRPr="004452EA">
        <w:rPr>
          <w:rFonts w:ascii="Arial" w:hAnsi="Arial" w:cs="Arial"/>
        </w:rPr>
        <w:t>Small and medium enterprises (SMEs) are comprehensively using social networking in Bangladesh to better perceive their brands, develop customer trust, and improve buying intentions</w:t>
      </w:r>
      <w:r w:rsidR="00DF538B">
        <w:rPr>
          <w:rFonts w:ascii="Arial" w:hAnsi="Arial" w:cs="Arial"/>
        </w:rPr>
        <w:t xml:space="preserve"> </w:t>
      </w:r>
      <w:r w:rsidR="00DF538B">
        <w:rPr>
          <w:rFonts w:ascii="Arial" w:hAnsi="Arial" w:cs="Arial"/>
        </w:rPr>
        <w:fldChar w:fldCharType="begin"/>
      </w:r>
      <w:r w:rsidR="00DF538B">
        <w:rPr>
          <w:rFonts w:ascii="Arial" w:hAnsi="Arial" w:cs="Arial"/>
        </w:rPr>
        <w:instrText xml:space="preserve"> ADDIN ZOTERO_ITEM CSL_CITATION {"citationID":"LSWIB1sv","properties":{"formattedCitation":"(Salhab et al., 2023)","plainCitation":"(Salhab et al., 2023)","noteIndex":0},"citationItems":[{"id":1152,"uris":["http://zotero.org/users/local/02HQEtik/items/THSRGZPA"],"itemData":{"id":1152,"type":"article-journal","abstract":"This research examines how social media marketing affects brand image, brand trust, and purchase intention in the context of beauty centers in Jordan. The study presents a model that outlines the influence of social media marketing strategies on customer behavior. To support the proposed model, a quantitative method was employed to collect data through online surveys. The sample consisted of 374 respondents selected through non-probability convenience sampling techniques. The data was analyzed using PLS-SEM methodologies by Smart PLS, which is appropriate for exploratory research. The findings indicate that social media marketing has a noteworthy effect on brand image and brand trust. In addition, the study found that brand trust and brand image have a substantial influence on purchase intention. The relationship between brand image and brand trust accounts for 70% of the variance in purchase intention. Furthermore, social media marketing explains 45% of the variance in brand image, while it explains 55% of the variance in brand trust.","container-title":"International Journal of Data and Network Science","DOI":"10.5267/j.ijdns.2023.3.012","ISSN":"25618148, 25618156","issue":"2","journalAbbreviation":"10.5267/j.ijdns","page":"591-600","source":"DOI.org (Crossref)","title":"The impact of social media marketing on purchase intention: The mediating role of brand trust and image","title-short":"The impact of social media marketing on purchase intention","volume":"7","author":[{"family":"Salhab","given":"Hanadi A."},{"family":"Al-Amarneh","given":"Asma’a"},{"family":"Aljabaly","given":"Sameer M."},{"family":"Zoubi","given":"Munif M. Al"},{"family":"Othman","given":"Mohammed D."}],"issued":{"date-parts":[["2023"]]}}}],"schema":"https://github.com/citation-style-language/schema/raw/master/csl-citation.json"} </w:instrText>
      </w:r>
      <w:r w:rsidR="00DF538B">
        <w:rPr>
          <w:rFonts w:ascii="Arial" w:hAnsi="Arial" w:cs="Arial"/>
        </w:rPr>
        <w:fldChar w:fldCharType="separate"/>
      </w:r>
      <w:r w:rsidR="00DF538B" w:rsidRPr="00DF538B">
        <w:rPr>
          <w:rFonts w:ascii="Arial" w:hAnsi="Arial" w:cs="Arial"/>
        </w:rPr>
        <w:t>(Salhab et al., 2023)</w:t>
      </w:r>
      <w:r w:rsidR="00DF538B">
        <w:rPr>
          <w:rFonts w:ascii="Arial" w:hAnsi="Arial" w:cs="Arial"/>
        </w:rPr>
        <w:fldChar w:fldCharType="end"/>
      </w:r>
      <w:r w:rsidRPr="004452EA">
        <w:rPr>
          <w:rFonts w:ascii="Arial" w:hAnsi="Arial" w:cs="Arial"/>
        </w:rPr>
        <w:t>. The argument is that the more a product is exposed to digital social media, the more products that are being talked about, hence resulting in word-of-mouth (WOM) advertising. Companies are forced to compete to remain in business, and owing to high competition in a specific industry, companies have to fight to hold market share</w:t>
      </w:r>
      <w:r w:rsidR="004A7234">
        <w:rPr>
          <w:rFonts w:ascii="Arial" w:hAnsi="Arial" w:cs="Arial"/>
        </w:rPr>
        <w:t xml:space="preserve"> </w:t>
      </w:r>
      <w:r w:rsidR="004A7234">
        <w:rPr>
          <w:rFonts w:ascii="Arial" w:hAnsi="Arial" w:cs="Arial"/>
        </w:rPr>
        <w:fldChar w:fldCharType="begin"/>
      </w:r>
      <w:r w:rsidR="00A76533">
        <w:rPr>
          <w:rFonts w:ascii="Arial" w:hAnsi="Arial" w:cs="Arial"/>
        </w:rPr>
        <w:instrText xml:space="preserve"> ADDIN ZOTERO_ITEM CSL_CITATION {"citationID":"Tl9RG649","properties":{"formattedCitation":"(Haudi et al., 2022)","plainCitation":"(Haudi et al., 2022)","noteIndex":0},"citationItems":[{"id":1244,"uris":["http://zotero.org/users/local/02HQEtik/items/QR2E3BAU"],"itemData":{"id":1244,"type":"article-journal","abstract":"This study aims to determine the effect of social media marketing activities on brand trust, brand equity and brand loyalty in social media. The study uses the Structural Equation Modeling (SEM) method with SPSS 3.3.3 software with a sample of 450 respondents determined by the simple random sampling method who had experience of using social media for at least six months. Data was obtained by distributing online questionnaires using google form. The results show that social media marketing has a positive effect on brand trust, social media marketing has a positive influence on brand equity, and social media marketing has a positive influence on brand loyalty. Brand trust has a positive influence on SMEs Performance, Brand equity has a positive influence on SMEs Performance and finally brand loyalty has a positive influence on SMEs Performance.","container-title":"International Journal of Data and Network Science","DOI":"10.5267/j.ijdns.2022.1.015","ISSN":"25618148, 25618156","issue":"3","journalAbbreviation":"10.5267/j.ijdns","page":"961-972","source":"DOI.org (Crossref)","title":"The effect of social media marketing on brand trust, brand equity and brand loyalty","volume":"6","author":[{"family":"Haudi","given":"Haudi"},{"family":"Handayani","given":"Wiwik"},{"family":"Suyoto","given":"Yohanes Totok"},{"family":"Praseti","given":"Teguh"},{"family":"Pitaloka","given":"Endang"},{"family":"Wijoyo","given":"Hadion"},{"family":"Yonata","given":"Hendrian"},{"family":"Koho","given":"Intan Rachmina"},{"family":"Cahyono","given":"Yoyok"}],"issued":{"date-parts":[["2022"]]}}}],"schema":"https://github.com/citation-style-language/schema/raw/master/csl-citation.json"} </w:instrText>
      </w:r>
      <w:r w:rsidR="004A7234">
        <w:rPr>
          <w:rFonts w:ascii="Arial" w:hAnsi="Arial" w:cs="Arial"/>
        </w:rPr>
        <w:fldChar w:fldCharType="separate"/>
      </w:r>
      <w:r w:rsidR="004A7234" w:rsidRPr="004A7234">
        <w:rPr>
          <w:rFonts w:ascii="Arial" w:hAnsi="Arial" w:cs="Arial"/>
        </w:rPr>
        <w:t>(Haudi et al., 2022)</w:t>
      </w:r>
      <w:r w:rsidR="004A7234">
        <w:rPr>
          <w:rFonts w:ascii="Arial" w:hAnsi="Arial" w:cs="Arial"/>
        </w:rPr>
        <w:fldChar w:fldCharType="end"/>
      </w:r>
      <w:r w:rsidRPr="004452EA">
        <w:rPr>
          <w:rFonts w:ascii="Arial" w:hAnsi="Arial" w:cs="Arial"/>
        </w:rPr>
        <w:t>. The significance of a great branding technique in fulfilling consumer needs of similar products under various labels. By definition, brand image can mean a set of consumer perceptions regarding the characteristics, benefits, and dynamics of a firm that predetermines the choice of consumers to purchase</w:t>
      </w:r>
      <w:r w:rsidR="001E4F8F">
        <w:rPr>
          <w:rFonts w:ascii="Arial" w:hAnsi="Arial" w:cs="Arial"/>
        </w:rPr>
        <w:t xml:space="preserve"> </w:t>
      </w:r>
      <w:r w:rsidR="001E4F8F">
        <w:rPr>
          <w:rFonts w:ascii="Arial" w:hAnsi="Arial" w:cs="Arial"/>
        </w:rPr>
        <w:fldChar w:fldCharType="begin"/>
      </w:r>
      <w:r w:rsidR="001E4F8F">
        <w:rPr>
          <w:rFonts w:ascii="Arial" w:hAnsi="Arial" w:cs="Arial"/>
        </w:rPr>
        <w:instrText xml:space="preserve"> ADDIN ZOTERO_ITEM CSL_CITATION {"citationID":"lbl2yx5N","properties":{"formattedCitation":"(Yuliantoro et al., 2019)","plainCitation":"(Yuliantoro et al., 2019)","noteIndex":0},"citationItems":[{"id":1157,"uris":["http://zotero.org/users/local/02HQEtik/items/9DBNPR4U"],"itemData":{"id":1157,"type":"article-journal","abstract":"The purpose of this research was to find out whether 1) Price promotion, 2) Brand image, 3) Food quality and 4) Perceived value of several Taiwanese boba beverage brands in Jakarta affect the satisfaction of millennial generation customers. 5) Does Customer Satisfaction affect the Repurchase Intention of Taiwan boba drinks and 6) Does Customer Satisfaction affect the Word of Mouth in various Taiwan boba beverage brands. A Survey method was used in this research. Data was collected using online instrumentation with a millennial generation target population between the ages of 18 to 38 years in Jakarta and surrounding areas. Data collection was carried out, when the world first faced the COVID 19 pandemic. The sample used in this study amounted to 285 respondents, and the data collection techniques used convenience sampling. Partial Least Square-Structural Equation Modelling with PLS plus 3.0 program was used as an approach in testing the data collected. The findings of the study stated that price promotion on several brands of boba drinks did not affect the satisfaction of millennials in consuming them, while brand image, food quality, perceived value all affected the satisfaction of millennials in consuming various brands of boba drinks. Millennial generation satisfaction was found to influences repurchase intention and word of mouth.","container-title":"Tourism and Leisure","language":"en","source":"Zotero","title":"Repurchase intention and word of mouth factors in the millennial generation against various brands of Boba drinks during the Covid 19 pandemic","volume":"8","author":[{"family":"Yuliantoro","given":"Nonot"},{"family":"Goeltom","given":"Vasco"},{"family":"Bernarto","given":"Innocentius"},{"family":"Pramono","given":"Rudy"},{"family":"Purwanto","given":"Agus"}],"issued":{"date-parts":[["2019"]]}}}],"schema":"https://github.com/citation-style-language/schema/raw/master/csl-citation.json"} </w:instrText>
      </w:r>
      <w:r w:rsidR="001E4F8F">
        <w:rPr>
          <w:rFonts w:ascii="Arial" w:hAnsi="Arial" w:cs="Arial"/>
        </w:rPr>
        <w:fldChar w:fldCharType="separate"/>
      </w:r>
      <w:r w:rsidR="001E4F8F" w:rsidRPr="001E4F8F">
        <w:rPr>
          <w:rFonts w:ascii="Arial" w:hAnsi="Arial" w:cs="Arial"/>
        </w:rPr>
        <w:t>(Yuliantoro et al., 2019)</w:t>
      </w:r>
      <w:r w:rsidR="001E4F8F">
        <w:rPr>
          <w:rFonts w:ascii="Arial" w:hAnsi="Arial" w:cs="Arial"/>
        </w:rPr>
        <w:fldChar w:fldCharType="end"/>
      </w:r>
      <w:r w:rsidR="001E4F8F">
        <w:rPr>
          <w:rFonts w:ascii="Arial" w:hAnsi="Arial" w:cs="Arial"/>
        </w:rPr>
        <w:t>.</w:t>
      </w:r>
      <w:r w:rsidRPr="004452EA">
        <w:rPr>
          <w:rFonts w:ascii="Arial" w:hAnsi="Arial" w:cs="Arial"/>
        </w:rPr>
        <w:t xml:space="preserve"> </w:t>
      </w:r>
    </w:p>
    <w:p w14:paraId="425ECD8B" w14:textId="5681902A" w:rsidR="004452EA" w:rsidRPr="004452EA" w:rsidRDefault="004452EA" w:rsidP="004452EA">
      <w:pPr>
        <w:pStyle w:val="Body"/>
        <w:spacing w:after="0"/>
        <w:rPr>
          <w:rFonts w:ascii="Arial" w:hAnsi="Arial" w:cs="Arial"/>
        </w:rPr>
      </w:pPr>
      <w:r w:rsidRPr="004452EA">
        <w:rPr>
          <w:rFonts w:ascii="Arial" w:hAnsi="Arial" w:cs="Arial"/>
        </w:rPr>
        <w:t xml:space="preserve">A positive brand image has the potential for value adding to a good or service, whereas an unfavorable brand image may keep customers off the good or service. To remain relevant, companies should employ effective marketing strategies, including the development of a good brand equity </w:t>
      </w:r>
      <w:r w:rsidR="0065700F">
        <w:rPr>
          <w:rFonts w:ascii="Arial" w:hAnsi="Arial" w:cs="Arial"/>
        </w:rPr>
        <w:fldChar w:fldCharType="begin"/>
      </w:r>
      <w:r w:rsidR="0065700F">
        <w:rPr>
          <w:rFonts w:ascii="Arial" w:hAnsi="Arial" w:cs="Arial"/>
        </w:rPr>
        <w:instrText xml:space="preserve"> ADDIN ZOTERO_ITEM CSL_CITATION {"citationID":"gwevRZBl","properties":{"formattedCitation":"(Mehmood &amp; Kazmi, 2024)","plainCitation":"(Mehmood &amp; Kazmi, 2024)","noteIndex":0},"citationItems":[{"id":1159,"uris":["http://zotero.org/users/local/02HQEtik/items/LQPZX4QX"],"itemData":{"id":1159,"type":"article-journal","abstract":"The outbreak of COVID-19 had a major effect on the mental and physical health of students. This study aimed to explore the mediational role of religiosity between coronavirus stress and life satisfaction among university students during the COVID-19 pandemic. A cross-sectional quantitative research design was used. Public and private sector university students (N= 300) with the age range of 18-25 years were selected through purposive sampling from February 2021 to June 2021. The results indicate that there is a significant positive relationship between religiosity and life satisfaction and a significant negative relationship between coronavirus stress and life satisfaction in youth. Danger and contamination subscales were negative predictors of life satisfaction. Furthermore, religiosity was a significant mediator between coronavirus stress in terms of danger, contamination, and life satisfaction. Campus counselors might consider incorporating the role of religiosity in their intervention plans to reduce the levels of coronavirus stress and consequently enhance students` life satisfaction. This study also has implications for supporting youth with interventions to improve positive aspects of religiosity and life satisfaction given Pakistan’s high infectious disease burden and chronic disease burdens.","DOI":"10.32368/FJSS.20240423","ISSN":"2790-8437","issue":"1","journalAbbreviation":"Forman Journal of Social Sciences","language":"en","source":"Zotero","title":"Mediating Role of Religiosity in the Relationship between Coronavirus Stress and Life Satisfaction among University Students of Pakistan","volume":"4","author":[{"family":"Mehmood","given":"Sumbal"},{"family":"Kazmi","given":"Umm-e-Rubab"}],"issued":{"date-parts":[["2024"]]}}}],"schema":"https://github.com/citation-style-language/schema/raw/master/csl-citation.json"} </w:instrText>
      </w:r>
      <w:r w:rsidR="0065700F">
        <w:rPr>
          <w:rFonts w:ascii="Arial" w:hAnsi="Arial" w:cs="Arial"/>
        </w:rPr>
        <w:fldChar w:fldCharType="separate"/>
      </w:r>
      <w:r w:rsidR="0065700F" w:rsidRPr="0065700F">
        <w:rPr>
          <w:rFonts w:ascii="Arial" w:hAnsi="Arial" w:cs="Arial"/>
        </w:rPr>
        <w:t>(Mehmood &amp; Kazmi, 2024)</w:t>
      </w:r>
      <w:r w:rsidR="0065700F">
        <w:rPr>
          <w:rFonts w:ascii="Arial" w:hAnsi="Arial" w:cs="Arial"/>
        </w:rPr>
        <w:fldChar w:fldCharType="end"/>
      </w:r>
      <w:r w:rsidR="0065700F">
        <w:rPr>
          <w:rFonts w:ascii="Arial" w:hAnsi="Arial" w:cs="Arial"/>
        </w:rPr>
        <w:t xml:space="preserve">. </w:t>
      </w:r>
      <w:r w:rsidRPr="004452EA">
        <w:rPr>
          <w:rFonts w:ascii="Arial" w:hAnsi="Arial" w:cs="Arial"/>
        </w:rPr>
        <w:t xml:space="preserve">Social media has contributed a big role in the lives of the vast majority of people, and the tendency is not expected to alter in the near future. Discussion platforms (Facebook, Instagram, and Twitter, in particular) have become the new communication standard </w:t>
      </w:r>
      <w:r w:rsidR="00331AD3">
        <w:rPr>
          <w:rFonts w:ascii="Arial" w:hAnsi="Arial" w:cs="Arial"/>
        </w:rPr>
        <w:fldChar w:fldCharType="begin"/>
      </w:r>
      <w:r w:rsidR="00331AD3">
        <w:rPr>
          <w:rFonts w:ascii="Arial" w:hAnsi="Arial" w:cs="Arial"/>
        </w:rPr>
        <w:instrText xml:space="preserve"> ADDIN ZOTERO_ITEM CSL_CITATION {"citationID":"iF7neZfb","properties":{"formattedCitation":"(Ibrahim et al., 2020)","plainCitation":"(Ibrahim et al., 2020)","noteIndex":0},"citationItems":[{"id":1160,"uris":["http://zotero.org/users/local/02HQEtik/items/JHZJW2FG"],"itemData":{"id":1160,"type":"article-journal","container-title":"Journal of Promotion Management","DOI":"10.1080/10496491.2020.1719956","ISSN":"1049-6491, 1540-7594","issue":"4","journalAbbreviation":"Journal of Promotion Management","language":"en","page":"544-568","source":"DOI.org (Crossref)","title":"Do Social Media Marketing Activities Enhance Consumer Perception of Brands? A Meta-Analytic Examination","title-short":"Do Social Media Marketing Activities Enhance Consumer Perception of Brands?","volume":"26","author":[{"family":"Ibrahim","given":"Blend"},{"family":"Aljarah","given":"Ahmad"},{"family":"Ababneh","given":"Bashar"}],"issued":{"date-parts":[["2020",6,6]]}}}],"schema":"https://github.com/citation-style-language/schema/raw/master/csl-citation.json"} </w:instrText>
      </w:r>
      <w:r w:rsidR="00331AD3">
        <w:rPr>
          <w:rFonts w:ascii="Arial" w:hAnsi="Arial" w:cs="Arial"/>
        </w:rPr>
        <w:fldChar w:fldCharType="separate"/>
      </w:r>
      <w:r w:rsidR="00331AD3" w:rsidRPr="00331AD3">
        <w:rPr>
          <w:rFonts w:ascii="Arial" w:hAnsi="Arial" w:cs="Arial"/>
        </w:rPr>
        <w:t>(Ibrahim et al., 2020)</w:t>
      </w:r>
      <w:r w:rsidR="00331AD3">
        <w:rPr>
          <w:rFonts w:ascii="Arial" w:hAnsi="Arial" w:cs="Arial"/>
        </w:rPr>
        <w:fldChar w:fldCharType="end"/>
      </w:r>
      <w:r w:rsidR="00331AD3">
        <w:rPr>
          <w:rFonts w:ascii="Arial" w:hAnsi="Arial" w:cs="Arial"/>
        </w:rPr>
        <w:t>.</w:t>
      </w:r>
      <w:r w:rsidRPr="004452EA">
        <w:rPr>
          <w:rFonts w:ascii="Arial" w:hAnsi="Arial" w:cs="Arial"/>
        </w:rPr>
        <w:t>The more users on social media, the more influence they have on the daily lives of individuals. Social media may be in the form of community content microblogs, social networking sites, and digital worlds where businesses, as well as consumers, share experiences, expertise, and information. Social media may be manifested in communities of content, microblogs, social networking platforms, and digital worlds in which businesses and consumers share experiences, knowledge, and information</w:t>
      </w:r>
      <w:r w:rsidR="00CE2AF3">
        <w:rPr>
          <w:rFonts w:ascii="Arial" w:hAnsi="Arial" w:cs="Arial"/>
        </w:rPr>
        <w:t xml:space="preserve"> </w:t>
      </w:r>
      <w:r w:rsidR="00CE2AF3">
        <w:rPr>
          <w:rFonts w:ascii="Arial" w:hAnsi="Arial" w:cs="Arial"/>
        </w:rPr>
        <w:fldChar w:fldCharType="begin"/>
      </w:r>
      <w:r w:rsidR="00CE2AF3">
        <w:rPr>
          <w:rFonts w:ascii="Arial" w:hAnsi="Arial" w:cs="Arial"/>
        </w:rPr>
        <w:instrText xml:space="preserve"> ADDIN ZOTERO_ITEM CSL_CITATION {"citationID":"hdVyrqLk","properties":{"formattedCitation":"(Arrigo, 2018)","plainCitation":"(Arrigo, 2018)","noteIndex":0},"citationItems":[{"id":1161,"uris":["http://zotero.org/users/local/02HQEtik/items/9R7M3DEL"],"itemData":{"id":1161,"type":"article-journal","abstract":"Purpose\n              Digital technologies and social media have improved the connectivity and collaboration between firms and customers in all sectors. However, in the luxury sector, the approach to social media and digital technologies has been slower than in other industries. The purpose of this paper is to review the academic literature on social media marketing in luxury brands to highlight the current state of the art, the addressed key research themes and the implications for management research and practice.\n            \n            \n              Design/methodology/approach\n              A systematic literature review of academic research on social media marketing has been conducted to gather, examine and synthetize studies related to luxury brands. By following a review protocol based on both automatic and manual search on the Scopus database, all relevant studies on luxury brands were identified and analyzed.\n            \n            \n              Findings\n              A critical conceptualization of social media marketing in luxury brands has been provided and the emerging key research themes have been categorized into four main areas.\n            \n            \n              Originality/value\n              Academic literature about social media marketing activities in luxury firms is very limited and existing studies focus only on certain aspects, contexts or single cases. In contrast, the value of this study, for both academics and practitioners, lies in providing, for the first time, a comprehensive and critical systematization of social media marketing academic literature in the field of luxury brands.","container-title":"Management Research Review","DOI":"10.1108/MRR-04-2017-0134","ISSN":"2040-8269","issue":"6","journalAbbreviation":"MRR","language":"en","license":"https://www.emerald.com/insight/site-policies","page":"657-679","source":"DOI.org (Crossref)","title":"Social media marketing in luxury brands: A systematic literature review and implications for management research","title-short":"Social media marketing in luxury brands","volume":"41","author":[{"family":"Arrigo","given":"Elisa"}],"issued":{"date-parts":[["2018",6,5]]}}}],"schema":"https://github.com/citation-style-language/schema/raw/master/csl-citation.json"} </w:instrText>
      </w:r>
      <w:r w:rsidR="00CE2AF3">
        <w:rPr>
          <w:rFonts w:ascii="Arial" w:hAnsi="Arial" w:cs="Arial"/>
        </w:rPr>
        <w:fldChar w:fldCharType="separate"/>
      </w:r>
      <w:r w:rsidR="00CE2AF3" w:rsidRPr="00CE2AF3">
        <w:rPr>
          <w:rFonts w:ascii="Arial" w:hAnsi="Arial" w:cs="Arial"/>
        </w:rPr>
        <w:t>(Arrigo, 2018)</w:t>
      </w:r>
      <w:r w:rsidR="00CE2AF3">
        <w:rPr>
          <w:rFonts w:ascii="Arial" w:hAnsi="Arial" w:cs="Arial"/>
        </w:rPr>
        <w:fldChar w:fldCharType="end"/>
      </w:r>
      <w:r w:rsidR="00CE2AF3">
        <w:rPr>
          <w:rFonts w:ascii="Arial" w:hAnsi="Arial" w:cs="Arial"/>
        </w:rPr>
        <w:t>.</w:t>
      </w:r>
    </w:p>
    <w:p w14:paraId="4A001A86" w14:textId="278D0341" w:rsidR="004452EA" w:rsidRPr="004452EA" w:rsidRDefault="004452EA" w:rsidP="004452EA">
      <w:pPr>
        <w:pStyle w:val="Body"/>
        <w:spacing w:after="0"/>
        <w:rPr>
          <w:rFonts w:ascii="Arial" w:hAnsi="Arial" w:cs="Arial"/>
        </w:rPr>
      </w:pPr>
      <w:r w:rsidRPr="004452EA">
        <w:rPr>
          <w:rFonts w:ascii="Arial" w:hAnsi="Arial" w:cs="Arial"/>
        </w:rPr>
        <w:t>Previous studies have considered the influence of the use of SMM on the purchase intentions of consumers. However, there are limited researchers who take into account brand equity as an intermediary of PI and SMM. Nevertheless, this study has endeavored to narrow down the brand equity mediation role in associated relationships between SMM and purchase intention. Although numerous research studies have been carried out to identify the unique roles played by brand trust and equity, little research has been carried out on interactions between the two aspects in terms of SMM. This literature gap shows that further research should be conducted in a more in-depth manner to see the way of trusting brand, SMM and brand equity are inseparable when it comes to consumer decision-making.  All this is linked to high-end social media marketing and brand equity, as it brings on board brand awareness and quality awareness, which in turn brings on consumer trust</w:t>
      </w:r>
      <w:r w:rsidR="00C026B1">
        <w:rPr>
          <w:rFonts w:ascii="Arial" w:hAnsi="Arial" w:cs="Arial"/>
        </w:rPr>
        <w:t xml:space="preserve"> </w:t>
      </w:r>
      <w:r w:rsidR="00C026B1">
        <w:rPr>
          <w:rFonts w:ascii="Arial" w:hAnsi="Arial" w:cs="Arial"/>
        </w:rPr>
        <w:fldChar w:fldCharType="begin"/>
      </w:r>
      <w:r w:rsidR="00A76533">
        <w:rPr>
          <w:rFonts w:ascii="Arial" w:hAnsi="Arial" w:cs="Arial"/>
        </w:rPr>
        <w:instrText xml:space="preserve"> ADDIN ZOTERO_ITEM CSL_CITATION {"citationID":"1eG2MDdN","properties":{"formattedCitation":"(Haudi et al., 2022b)","plainCitation":"(Haudi et al., 2022b)","dontUpdate":true,"noteIndex":0},"citationItems":[{"id":1244,"uris":["http://zotero.org/users/local/02HQEtik/items/QR2E3BAU"],"itemData":{"id":1244,"type":"article-journal","abstract":"This study aims to determine the effect of social media marketing activities on brand trust, brand equity and brand loyalty in social media. The study uses the Structural Equation Modeling (SEM) method with SPSS 3.3.3 software with a sample of 450 respondents determined by the simple random sampling method who had experience of using social media for at least six months. Data was obtained by distributing online questionnaires using google form. The results show that social media marketing has a positive effect on brand trust, social media marketing has a positive influence on brand equity, and social media marketing has a positive influence on brand loyalty. Brand trust has a positive influence on SMEs Performance, Brand equity has a positive influence on SMEs Performance and finally brand loyalty has a positive influence on SMEs Performance.","container-title":"International Journal of Data and Network Science","DOI":"10.5267/j.ijdns.2022.1.015","ISSN":"25618148, 25618156","issue":"3","journalAbbreviation":"10.5267/j.ijdns","page":"961-972","source":"DOI.org (Crossref)","title":"The effect of social media marketing on brand trust, brand equity and brand loyalty","volume":"6","author":[{"family":"Haudi","given":"Haudi"},{"family":"Handayani","given":"Wiwik"},{"family":"Suyoto","given":"Yohanes Totok"},{"family":"Praseti","given":"Teguh"},{"family":"Pitaloka","given":"Endang"},{"family":"Wijoyo","given":"Hadion"},{"family":"Yonata","given":"Hendrian"},{"family":"Koho","given":"Intan Rachmina"},{"family":"Cahyono","given":"Yoyok"}],"issued":{"date-parts":[["2022"]]}}}],"schema":"https://github.com/citation-style-language/schema/raw/master/csl-citation.json"} </w:instrText>
      </w:r>
      <w:r w:rsidR="00C026B1">
        <w:rPr>
          <w:rFonts w:ascii="Arial" w:hAnsi="Arial" w:cs="Arial"/>
        </w:rPr>
        <w:fldChar w:fldCharType="separate"/>
      </w:r>
      <w:r w:rsidR="00C026B1" w:rsidRPr="00C026B1">
        <w:rPr>
          <w:rFonts w:ascii="Arial" w:hAnsi="Arial" w:cs="Arial"/>
        </w:rPr>
        <w:t>(Haudi et al., 2022)</w:t>
      </w:r>
      <w:r w:rsidR="00C026B1">
        <w:rPr>
          <w:rFonts w:ascii="Arial" w:hAnsi="Arial" w:cs="Arial"/>
        </w:rPr>
        <w:fldChar w:fldCharType="end"/>
      </w:r>
      <w:r w:rsidRPr="004452EA">
        <w:rPr>
          <w:rFonts w:ascii="Arial" w:hAnsi="Arial" w:cs="Arial"/>
        </w:rPr>
        <w:t>. In order to meet the aims of the research, we have tried to find out the answer to the question of what the role of BE is in mediating the relationship between brand trust (BT) and brand social media marketing (SMM), and the role that it plays in influencing the purchase intention of consumer.</w:t>
      </w:r>
    </w:p>
    <w:p w14:paraId="01065608" w14:textId="77777777" w:rsidR="004452EA" w:rsidRPr="004452EA" w:rsidRDefault="004452EA" w:rsidP="004452EA">
      <w:pPr>
        <w:pStyle w:val="Body"/>
        <w:spacing w:after="0"/>
        <w:rPr>
          <w:rFonts w:ascii="Arial" w:hAnsi="Arial" w:cs="Arial"/>
        </w:rPr>
      </w:pPr>
      <w:r w:rsidRPr="004452EA">
        <w:rPr>
          <w:rFonts w:ascii="Arial" w:hAnsi="Arial" w:cs="Arial"/>
        </w:rPr>
        <w:t xml:space="preserve">The common objective of this research is to investigate the </w:t>
      </w:r>
      <w:r w:rsidRPr="004452EA">
        <w:rPr>
          <w:rFonts w:ascii="Arial" w:hAnsi="Arial" w:cs="Arial"/>
          <w:bCs/>
        </w:rPr>
        <w:t>consumer purchase intention on how brand equity mediates social media marketing (SMM) and brand trust (BT).</w:t>
      </w:r>
      <w:r w:rsidRPr="004452EA">
        <w:rPr>
          <w:rFonts w:ascii="Arial" w:hAnsi="Arial" w:cs="Arial"/>
        </w:rPr>
        <w:t xml:space="preserve"> The specific objectives of this research are:</w:t>
      </w:r>
      <w:r w:rsidRPr="004452EA">
        <w:rPr>
          <w:rFonts w:ascii="Arial" w:hAnsi="Arial" w:cs="Arial"/>
          <w:bCs/>
        </w:rPr>
        <w:t xml:space="preserve"> </w:t>
      </w:r>
    </w:p>
    <w:p w14:paraId="6B1F3217" w14:textId="77777777" w:rsidR="004452EA" w:rsidRPr="004452EA" w:rsidRDefault="004452EA" w:rsidP="004452EA">
      <w:pPr>
        <w:pStyle w:val="Body"/>
        <w:numPr>
          <w:ilvl w:val="0"/>
          <w:numId w:val="31"/>
        </w:numPr>
        <w:spacing w:after="0"/>
        <w:rPr>
          <w:rFonts w:ascii="Arial" w:hAnsi="Arial" w:cs="Arial"/>
        </w:rPr>
      </w:pPr>
      <w:r w:rsidRPr="004452EA">
        <w:rPr>
          <w:rFonts w:ascii="Arial" w:hAnsi="Arial" w:cs="Arial"/>
        </w:rPr>
        <w:lastRenderedPageBreak/>
        <w:t xml:space="preserve">Demonstrate how </w:t>
      </w:r>
      <w:r w:rsidRPr="004452EA">
        <w:rPr>
          <w:rFonts w:ascii="Arial" w:hAnsi="Arial" w:cs="Arial"/>
          <w:bCs/>
        </w:rPr>
        <w:t>SMM</w:t>
      </w:r>
      <w:r w:rsidRPr="004452EA">
        <w:rPr>
          <w:rFonts w:ascii="Arial" w:hAnsi="Arial" w:cs="Arial"/>
        </w:rPr>
        <w:t xml:space="preserve"> influences consumer buying decisions.</w:t>
      </w:r>
    </w:p>
    <w:p w14:paraId="26D19D9C" w14:textId="77777777" w:rsidR="004452EA" w:rsidRPr="004452EA" w:rsidRDefault="004452EA" w:rsidP="004452EA">
      <w:pPr>
        <w:pStyle w:val="Body"/>
        <w:numPr>
          <w:ilvl w:val="0"/>
          <w:numId w:val="31"/>
        </w:numPr>
        <w:spacing w:after="0"/>
        <w:rPr>
          <w:rFonts w:ascii="Arial" w:hAnsi="Arial" w:cs="Arial"/>
        </w:rPr>
      </w:pPr>
      <w:r w:rsidRPr="004452EA">
        <w:rPr>
          <w:rFonts w:ascii="Arial" w:hAnsi="Arial" w:cs="Arial"/>
        </w:rPr>
        <w:t>Explore the role of brand trust (BT) in shaping purchase behavior.</w:t>
      </w:r>
    </w:p>
    <w:p w14:paraId="5298356C" w14:textId="77777777" w:rsidR="004452EA" w:rsidRPr="004452EA" w:rsidRDefault="004452EA" w:rsidP="004452EA">
      <w:pPr>
        <w:pStyle w:val="Body"/>
        <w:numPr>
          <w:ilvl w:val="0"/>
          <w:numId w:val="31"/>
        </w:numPr>
        <w:spacing w:after="0"/>
        <w:rPr>
          <w:rFonts w:ascii="Arial" w:hAnsi="Arial" w:cs="Arial"/>
        </w:rPr>
      </w:pPr>
      <w:r w:rsidRPr="004452EA">
        <w:rPr>
          <w:rFonts w:ascii="Arial" w:hAnsi="Arial" w:cs="Arial"/>
        </w:rPr>
        <w:t xml:space="preserve">Analyze brand equity's moderating role in the connection between </w:t>
      </w:r>
      <w:r w:rsidRPr="004452EA">
        <w:rPr>
          <w:rFonts w:ascii="Arial" w:hAnsi="Arial" w:cs="Arial"/>
          <w:bCs/>
        </w:rPr>
        <w:t>SMM</w:t>
      </w:r>
      <w:r w:rsidRPr="004452EA">
        <w:rPr>
          <w:rFonts w:ascii="Arial" w:hAnsi="Arial" w:cs="Arial"/>
        </w:rPr>
        <w:t xml:space="preserve"> and belief of brand, and how this affects consumer purchase intention.</w:t>
      </w:r>
    </w:p>
    <w:p w14:paraId="5C75A32E" w14:textId="518A0EA0" w:rsidR="00790ADA" w:rsidRPr="00FB3A86" w:rsidRDefault="004452EA" w:rsidP="004452EA">
      <w:pPr>
        <w:pStyle w:val="Body"/>
        <w:rPr>
          <w:rFonts w:ascii="Arial" w:hAnsi="Arial" w:cs="Arial"/>
        </w:rPr>
      </w:pPr>
      <w:r w:rsidRPr="004452EA">
        <w:rPr>
          <w:rFonts w:ascii="Arial" w:hAnsi="Arial" w:cs="Arial"/>
        </w:rPr>
        <w:t>This paper is divided into four sections: The study's introduction is provided in Section 1, followed by a brief review of previous research on the topic in Section 2, a broader discussion of the research methodology in Section 3, the output of the survey that was conducted as part of the study in Section 4, a brief discussion of the research's ultimate output in Section 5, and make a conclusion remarks in Section 6.</w:t>
      </w:r>
    </w:p>
    <w:p w14:paraId="2801F75A" w14:textId="01C5FE23" w:rsidR="007F7B32" w:rsidRDefault="00902823" w:rsidP="00441B6F">
      <w:pPr>
        <w:pStyle w:val="AbstHead"/>
        <w:spacing w:after="0"/>
        <w:jc w:val="both"/>
        <w:rPr>
          <w:rFonts w:ascii="Arial" w:hAnsi="Arial" w:cs="Arial"/>
        </w:rPr>
      </w:pPr>
      <w:r>
        <w:rPr>
          <w:rFonts w:ascii="Arial" w:hAnsi="Arial" w:cs="Arial"/>
        </w:rPr>
        <w:t xml:space="preserve">2. </w:t>
      </w:r>
      <w:r w:rsidR="004452EA" w:rsidRPr="004452EA">
        <w:rPr>
          <w:rFonts w:ascii="Arial" w:hAnsi="Arial" w:cs="Arial"/>
        </w:rPr>
        <w:t>Review of the Literature</w:t>
      </w:r>
    </w:p>
    <w:p w14:paraId="42356421" w14:textId="1E192578" w:rsidR="002E0D56" w:rsidRDefault="00E04D35" w:rsidP="00441B6F">
      <w:pPr>
        <w:pStyle w:val="Body"/>
        <w:spacing w:after="0"/>
        <w:rPr>
          <w:rFonts w:ascii="Arial" w:hAnsi="Arial" w:cs="Arial"/>
        </w:rPr>
      </w:pPr>
      <w:r>
        <w:t>The analysis indicates that several theoretical perspectives are consistent with Network Theory of Memory, which views natural and social phenomena as dynamic networks of relationships, with meaning emerging solely from these connections</w:t>
      </w:r>
      <w:r>
        <w:rPr>
          <w:rFonts w:ascii="Arial" w:hAnsi="Arial" w:cs="Arial"/>
        </w:rPr>
        <w:t xml:space="preserve"> </w:t>
      </w:r>
      <w:r w:rsidR="007B11BC">
        <w:rPr>
          <w:rFonts w:ascii="Arial" w:hAnsi="Arial" w:cs="Arial"/>
        </w:rPr>
        <w:fldChar w:fldCharType="begin"/>
      </w:r>
      <w:r w:rsidR="007B11BC">
        <w:rPr>
          <w:rFonts w:ascii="Arial" w:hAnsi="Arial" w:cs="Arial"/>
        </w:rPr>
        <w:instrText xml:space="preserve"> ADDIN ZOTERO_ITEM CSL_CITATION {"citationID":"mS3eNwLl","properties":{"formattedCitation":"(McClure &amp; Seock, 2020)","plainCitation":"(McClure &amp; Seock, 2020)","noteIndex":0},"citationItems":[{"id":1165,"uris":["http://zotero.org/users/local/02HQEtik/items/PBH7HGKJ"],"itemData":{"id":1165,"type":"article-journal","abstract":"This study examined the influence of consumer's brand familiarity and the information quality of social media content on their involvement with a brand on the brand's social media pages. Also studied were the influence of involvement on consumer's attitude towards the brand's social media page and the effect of their attitude on future purchase intention from the brand. The results indicated that both brand familiarity and information quality had significant effects on a consumer's involvement with a brand on its social media page, yet the brand's social media content had a greater influence on a consumer's involvement with the social media page. Further, involvement with a brand's social media led to a positive attitude towards the brand's social media page, which in turn influences future purchase intention from the brand. However, the involvement did not directly influence future purchase intention from the brand. The results suggest the significant importance of quality of social media content.","container-title":"Journal of Retailing and Consumer Services","DOI":"10.1016/j.jretconser.2019.101975","ISSN":"0969-6989","journalAbbreviation":"Journal of Retailing and Consumer Services","page":"101975","source":"ScienceDirect","title":"The role of involvement: Investigating the effect of brand's social media pages on consumer purchase intention","title-short":"The role of involvement","volume":"53","author":[{"family":"McClure","given":"Clair"},{"family":"Seock","given":"Yoo-Kyoung"}],"issued":{"date-parts":[["2020",3,1]]}}}],"schema":"https://github.com/citation-style-language/schema/raw/master/csl-citation.json"} </w:instrText>
      </w:r>
      <w:r w:rsidR="007B11BC">
        <w:rPr>
          <w:rFonts w:ascii="Arial" w:hAnsi="Arial" w:cs="Arial"/>
        </w:rPr>
        <w:fldChar w:fldCharType="separate"/>
      </w:r>
      <w:r w:rsidR="007B11BC" w:rsidRPr="007B11BC">
        <w:rPr>
          <w:rFonts w:ascii="Arial" w:hAnsi="Arial" w:cs="Arial"/>
        </w:rPr>
        <w:t>(McClure &amp; Seock, 2020)</w:t>
      </w:r>
      <w:r w:rsidR="007B11BC">
        <w:rPr>
          <w:rFonts w:ascii="Arial" w:hAnsi="Arial" w:cs="Arial"/>
        </w:rPr>
        <w:fldChar w:fldCharType="end"/>
      </w:r>
      <w:r w:rsidR="004452EA" w:rsidRPr="004452EA">
        <w:rPr>
          <w:rFonts w:ascii="Arial" w:hAnsi="Arial" w:cs="Arial"/>
        </w:rPr>
        <w:t xml:space="preserve">. When considering the socio-economic issue, the academicians apply the Theory of Planned Action (TPB), which is a socio-cognitive model, to comprehend why individual action is voluntary </w:t>
      </w:r>
      <w:r w:rsidR="00BE0C81">
        <w:rPr>
          <w:rFonts w:ascii="Arial" w:hAnsi="Arial" w:cs="Arial"/>
        </w:rPr>
        <w:fldChar w:fldCharType="begin"/>
      </w:r>
      <w:r w:rsidR="00BE0C81">
        <w:rPr>
          <w:rFonts w:ascii="Arial" w:hAnsi="Arial" w:cs="Arial"/>
        </w:rPr>
        <w:instrText xml:space="preserve"> ADDIN ZOTERO_ITEM CSL_CITATION {"citationID":"DwoXBl4C","properties":{"formattedCitation":"(Pop et al., 2020)","plainCitation":"(Pop et al., 2020)","noteIndex":0},"citationItems":[{"id":1167,"uris":["http://zotero.org/users/local/02HQEtik/items/7643MERA"],"itemData":{"id":1167,"type":"article-journal","abstract":"In the 21st century, green consumption has risen into a global trend, which inclines cosmetic companies to be more environmental-friendly and to have a larger green product portfolio to satisfy these new consumers’ needs. Social media contributed to this trend, shaping consumers’ attitudes into more environmentally conscious behavior. The present study applied the Theory of Planned Behavior (TPB) to explain the impact of Social Media on consumers’ purchase intention and motivation (altruism and egoism). Based on empirical investigation, an online survey was developed to measure the proposed conceptual model. The reliability and validity of the reflective constructs were tested using partial least squares (PLS) modeling technique. The results indicate the importance of social media on consumers’ attitudes, subjective norms, altruistic and egoistic motivations, and the impact of these variables as the antecedents of green cosmetics purchase intention. These results have important theoretical implications. They revealed that external factors such as social media as an information source, have an important role in consumer motivation formation and green cosmetic purchasing intentions. The findings are relevant for marketers to implement better communication strategies on social media to increase consumers’ motivations and purchase intention toward green cosmetics.","container-title":"Information","DOI":"10.3390/info11090447","ISSN":"2078-2489","issue":"9","journalAbbreviation":"Information","language":"en","page":"447","source":"DOI.org (Crossref)","title":"Social Media Goes Green—The Impact of Social Media on Green Cosmetics Purchase Motivation and Intention","volume":"11","author":[{"family":"Pop","given":"Rebeka-Anna"},{"family":"Săplăcan","given":"Zsuzsa"},{"family":"Alt","given":"Mónika-Anetta"}],"issued":{"date-parts":[["2020",9,15]]}}}],"schema":"https://github.com/citation-style-language/schema/raw/master/csl-citation.json"} </w:instrText>
      </w:r>
      <w:r w:rsidR="00BE0C81">
        <w:rPr>
          <w:rFonts w:ascii="Arial" w:hAnsi="Arial" w:cs="Arial"/>
        </w:rPr>
        <w:fldChar w:fldCharType="separate"/>
      </w:r>
      <w:r w:rsidR="00BE0C81" w:rsidRPr="00BE0C81">
        <w:rPr>
          <w:rFonts w:ascii="Arial" w:hAnsi="Arial" w:cs="Arial"/>
        </w:rPr>
        <w:t>(Pop et al., 2020)</w:t>
      </w:r>
      <w:r w:rsidR="00BE0C81">
        <w:rPr>
          <w:rFonts w:ascii="Arial" w:hAnsi="Arial" w:cs="Arial"/>
        </w:rPr>
        <w:fldChar w:fldCharType="end"/>
      </w:r>
      <w:r w:rsidR="00BE0C81">
        <w:rPr>
          <w:rFonts w:ascii="Arial" w:hAnsi="Arial" w:cs="Arial"/>
        </w:rPr>
        <w:t>.</w:t>
      </w:r>
      <w:r w:rsidR="004452EA" w:rsidRPr="004452EA">
        <w:rPr>
          <w:rFonts w:ascii="Arial" w:hAnsi="Arial" w:cs="Arial"/>
        </w:rPr>
        <w:t xml:space="preserve">To exchange information and communicate, individuals are able to build their own webpages and have friends on social network sites or social network services (SNSs). Since information and data generated by users on the Internet can largely affect market shares and products of firms, users can use real personal data </w:t>
      </w:r>
      <w:r w:rsidR="003B5A31">
        <w:rPr>
          <w:rFonts w:ascii="Arial" w:hAnsi="Arial" w:cs="Arial"/>
        </w:rPr>
        <w:fldChar w:fldCharType="begin"/>
      </w:r>
      <w:r w:rsidR="003B5A31">
        <w:rPr>
          <w:rFonts w:ascii="Arial" w:hAnsi="Arial" w:cs="Arial"/>
        </w:rPr>
        <w:instrText xml:space="preserve"> ADDIN ZOTERO_ITEM CSL_CITATION {"citationID":"LlEsDC3B","properties":{"formattedCitation":"(Manzoor et al., 2020)","plainCitation":"(Manzoor et al., 2020)","noteIndex":0},"citationItems":[{"id":1169,"uris":["http://zotero.org/users/local/02HQEtik/items/Y55AEH3S"],"itemData":{"id":1169,"type":"article-journal","abstract":"Successful marketing and promotion strategies achieve customer development, profitability, and long-term company success. Present markets become more competitive through changing markets, globalization, and innovative technology, which have rapidly changed the business world. Platforms like Facebook, Twitter, and YouTube are pushing marketing companies toward a new direction using social media marketing. Social media has penetrated so deeply into millions of people’s lives worldwide that it has also attracted marketers’ attention. This study will help determine how it influences Pakistani consumers’ purchase intentions. This research used a quantitative method based on primary data. The data was collected from Faisalabad, and the sample size was 250 participants. Among the 250 questionnaires, 190 are useable. The results show that trust and social media influence significantly affect consumers’ purchase intentions. Data analysis reveals that social media marketing has a greater influence than trust in purchase intentions through social networking sites. Therefore, improving websites’ quality enhances customers’ trust. Hence, trust plays an important role in e-commerce by directly influencing the purchasing intentions of customers.","container-title":"International Journal of Entrepreneurial Research","DOI":"10.31580/ijer.v3i2.1386","ISSN":"2663-7588, 2663-757X","issue":"2","journalAbbreviation":"Int. J. Ent. Res","license":"https://creativecommons.org/licenses/by/4.0","page":"41-48","source":"DOI.org (Crossref)","title":"Impact of Social Media Marketing on Consumer’s Purchase Intentions: The Mediating role of Customer Trust","title-short":"Impact of Social Media Marketing on Consumer’s Purchase Intentions","volume":"3","author":[{"family":"Manzoor","given":"Umair"},{"family":"Baig","given":"Sajjad Ahmad"},{"family":"Hashim","given":"Muhammad"},{"family":"Sami","given":"Abdul"}],"issued":{"date-parts":[["2020",7,19]]}}}],"schema":"https://github.com/citation-style-language/schema/raw/master/csl-citation.json"} </w:instrText>
      </w:r>
      <w:r w:rsidR="003B5A31">
        <w:rPr>
          <w:rFonts w:ascii="Arial" w:hAnsi="Arial" w:cs="Arial"/>
        </w:rPr>
        <w:fldChar w:fldCharType="separate"/>
      </w:r>
      <w:r w:rsidR="003B5A31" w:rsidRPr="003B5A31">
        <w:rPr>
          <w:rFonts w:ascii="Arial" w:hAnsi="Arial" w:cs="Arial"/>
        </w:rPr>
        <w:t>(Manzoor et al., 2020)</w:t>
      </w:r>
      <w:r w:rsidR="003B5A31">
        <w:rPr>
          <w:rFonts w:ascii="Arial" w:hAnsi="Arial" w:cs="Arial"/>
        </w:rPr>
        <w:fldChar w:fldCharType="end"/>
      </w:r>
      <w:r w:rsidR="003B5A31">
        <w:rPr>
          <w:rFonts w:ascii="Arial" w:hAnsi="Arial" w:cs="Arial"/>
        </w:rPr>
        <w:t xml:space="preserve">. </w:t>
      </w:r>
      <w:r w:rsidR="004452EA" w:rsidRPr="004452EA">
        <w:rPr>
          <w:rFonts w:ascii="Arial" w:hAnsi="Arial" w:cs="Arial"/>
        </w:rPr>
        <w:t>The emergence of social media makes social networking platforms an innovative way of talking to many people</w:t>
      </w:r>
      <w:r w:rsidR="004E2E50">
        <w:rPr>
          <w:rFonts w:ascii="Arial" w:hAnsi="Arial" w:cs="Arial"/>
        </w:rPr>
        <w:t xml:space="preserve"> </w:t>
      </w:r>
      <w:r w:rsidR="004E2E50">
        <w:rPr>
          <w:rFonts w:ascii="Arial" w:hAnsi="Arial" w:cs="Arial"/>
        </w:rPr>
        <w:fldChar w:fldCharType="begin"/>
      </w:r>
      <w:r w:rsidR="004E2E50">
        <w:rPr>
          <w:rFonts w:ascii="Arial" w:hAnsi="Arial" w:cs="Arial"/>
        </w:rPr>
        <w:instrText xml:space="preserve"> ADDIN ZOTERO_ITEM CSL_CITATION {"citationID":"6leVSzV6","properties":{"formattedCitation":"(Sanny et al., 2020)","plainCitation":"(Sanny et al., 2020)","noteIndex":0},"citationItems":[{"id":1171,"uris":["http://zotero.org/users/local/02HQEtik/items/RVN2CEUR"],"itemData":{"id":1171,"type":"article-journal","container-title":"Management Science Letters","DOI":"10.5267/j.msl.2020.3.023","ISSN":"19239335, 19239343","journalAbbreviation":"10.5267/j.msl","page":"2139-2146","source":"DOI.org (Crossref)","title":"Purchase intention on Indonesia male’s skin care by social media marketing effect towards brand image and brand trust","author":[{"family":"Sanny","given":"Lim"},{"family":"Arina","given":"Aisha Nur"},{"family":"Maulidya","given":"Ratu Tasha"},{"family":"Pertiwi","given":"Ressy Putri"}],"issued":{"date-parts":[["2020"]]}}}],"schema":"https://github.com/citation-style-language/schema/raw/master/csl-citation.json"} </w:instrText>
      </w:r>
      <w:r w:rsidR="004E2E50">
        <w:rPr>
          <w:rFonts w:ascii="Arial" w:hAnsi="Arial" w:cs="Arial"/>
        </w:rPr>
        <w:fldChar w:fldCharType="separate"/>
      </w:r>
      <w:r w:rsidR="004E2E50" w:rsidRPr="004E2E50">
        <w:rPr>
          <w:rFonts w:ascii="Arial" w:hAnsi="Arial" w:cs="Arial"/>
        </w:rPr>
        <w:t>(Sanny et al., 2020)</w:t>
      </w:r>
      <w:r w:rsidR="004E2E50">
        <w:rPr>
          <w:rFonts w:ascii="Arial" w:hAnsi="Arial" w:cs="Arial"/>
        </w:rPr>
        <w:fldChar w:fldCharType="end"/>
      </w:r>
      <w:r w:rsidR="004452EA" w:rsidRPr="004452EA">
        <w:rPr>
          <w:rFonts w:ascii="Arial" w:hAnsi="Arial" w:cs="Arial"/>
        </w:rPr>
        <w:t xml:space="preserve">. The primary forces of digital marketing are artificial intelligence and the spread of digital technologies, namely computers, smartphones, and e-commerce platforms. Also, the current-day marketers have to face some new challenges in the process of incorporating the pertinent and combined marketing strategies so as to connect with as many prospective clients as possible to create brand awareness and customer loyalty towards successful and effective customer engagement using direct feedback </w:t>
      </w:r>
      <w:r w:rsidR="005460E3">
        <w:rPr>
          <w:rFonts w:ascii="Arial" w:hAnsi="Arial" w:cs="Arial"/>
        </w:rPr>
        <w:fldChar w:fldCharType="begin"/>
      </w:r>
      <w:r w:rsidR="005460E3">
        <w:rPr>
          <w:rFonts w:ascii="Arial" w:hAnsi="Arial" w:cs="Arial"/>
        </w:rPr>
        <w:instrText xml:space="preserve"> ADDIN ZOTERO_ITEM CSL_CITATION {"citationID":"8LRKvkU6","properties":{"formattedCitation":"(YachouAityassine et al., 2022)","plainCitation":"(YachouAityassine et al., 2022)","noteIndex":0},"citationItems":[{"id":1173,"uris":["http://zotero.org/users/local/02HQEtik/items/V52ILGIT"],"itemData":{"id":1173,"type":"article-journal","abstract":"This study aims to test the impact of digital marketing strategy as an antecedent on customer outcomes (customer satisfaction, customer engagement, and customer loyalty) and the impact of these three outcomes on organizational outcomes. Twenty-five items are used to measure research variables. These items are developed referring to previous related works: digital marketing strategy, customer satisfaction, customer engagement, customer loyalty, and organizational outcomes. According to the research budget and time constraints, a convenience sampling method was implemented in the data collection process. This study applied structural equation modeling (SEM) to test the research hypotheses through AMOS software.The authors conducted a questionnaire to collect data from a sample of marketing practitioners selected from 10 organizations with a total number of 200 respondents. The total number of returned questionnaires is 187 responses. Eleven questionnaires are excluded due to invalid responses. Thus, 176 questionnaires are used to carry out data analysis. The results underline the significant effects of customer satisfaction, engagement, and loyalty on organizational outcomes. The authors noted that customer satisfaction is the most affected outcome by digital marketing strategy, followed by customer engagement and customer loyalty. Additionally, customer loyalty has the greatest effect on organizational outcomes, followed by customer satisfaction and customer loyalty. The findings showed that enhancing organizational outcomes requires marketing managers consider customer outcomes such as customer satisfaction, customer engagement, and customer loyalty, which are affected by marketing strategies. Marketing managers are requested to pay great attention to their marketing strategy, considering its effects on customer satisfaction and other customer outcomes, like customer engagement and loyalty. Likewise, scholars are required to re-test the current model to identify the mediating role of the outcomes mentioned above in the effect of marketing strategy on organizational outcomes.","container-title":"Marketing and Management of Innovations","DOI":"10.21272/mmi.2022.4-05","ISSN":"22276718, 22184511","issue":"4","journalAbbreviation":"MMI","language":"en","page":"45-54","source":"DOI.org (Crossref)","title":"The Effect of Digital Marketing Strategy on Customer and Organizational Outcomes","volume":"13","author":[{"family":"YachouAityassine","given":"Fatima Lahcen"},{"family":"Al-Ajlouni","given":"Mahmoud Mohammad"},{"family":"Mohammad","given":"Anber"}],"issued":{"date-parts":[["2022"]]}}}],"schema":"https://github.com/citation-style-language/schema/raw/master/csl-citation.json"} </w:instrText>
      </w:r>
      <w:r w:rsidR="005460E3">
        <w:rPr>
          <w:rFonts w:ascii="Arial" w:hAnsi="Arial" w:cs="Arial"/>
        </w:rPr>
        <w:fldChar w:fldCharType="separate"/>
      </w:r>
      <w:r w:rsidR="005460E3" w:rsidRPr="005460E3">
        <w:rPr>
          <w:rFonts w:ascii="Arial" w:hAnsi="Arial" w:cs="Arial"/>
        </w:rPr>
        <w:t>(YachouAityassine et al., 2022)</w:t>
      </w:r>
      <w:r w:rsidR="005460E3">
        <w:rPr>
          <w:rFonts w:ascii="Arial" w:hAnsi="Arial" w:cs="Arial"/>
        </w:rPr>
        <w:fldChar w:fldCharType="end"/>
      </w:r>
      <w:r w:rsidR="005460E3">
        <w:rPr>
          <w:rFonts w:ascii="Arial" w:hAnsi="Arial" w:cs="Arial"/>
        </w:rPr>
        <w:t>.</w:t>
      </w:r>
    </w:p>
    <w:p w14:paraId="4C900E3C" w14:textId="77777777" w:rsidR="00634E74" w:rsidRDefault="00634E74" w:rsidP="00441B6F">
      <w:pPr>
        <w:pStyle w:val="Body"/>
        <w:spacing w:after="0"/>
        <w:rPr>
          <w:rFonts w:ascii="Arial" w:hAnsi="Arial" w:cs="Arial"/>
        </w:rPr>
      </w:pPr>
    </w:p>
    <w:p w14:paraId="18FCF5FE" w14:textId="77777777" w:rsidR="00634E74" w:rsidRDefault="00634E74" w:rsidP="00634E74">
      <w:pPr>
        <w:pStyle w:val="Body"/>
        <w:rPr>
          <w:rFonts w:ascii="Arial" w:hAnsi="Arial" w:cs="Arial"/>
          <w:b/>
          <w:bCs/>
          <w:sz w:val="22"/>
          <w:szCs w:val="22"/>
        </w:rPr>
      </w:pPr>
      <w:r w:rsidRPr="00634E74">
        <w:rPr>
          <w:rFonts w:ascii="Arial" w:hAnsi="Arial" w:cs="Arial"/>
          <w:b/>
          <w:bCs/>
          <w:sz w:val="22"/>
          <w:szCs w:val="22"/>
        </w:rPr>
        <w:t>2.1 Theoretical framework</w:t>
      </w:r>
    </w:p>
    <w:p w14:paraId="1AE384CE" w14:textId="77777777" w:rsidR="00634E74" w:rsidRPr="00634E74" w:rsidRDefault="00634E74" w:rsidP="00634E74">
      <w:pPr>
        <w:pStyle w:val="Body"/>
        <w:rPr>
          <w:rFonts w:ascii="Arial" w:hAnsi="Arial" w:cs="Arial"/>
          <w:b/>
          <w:bCs/>
        </w:rPr>
      </w:pPr>
      <w:r w:rsidRPr="00634E74">
        <w:rPr>
          <w:rFonts w:ascii="Arial" w:hAnsi="Arial" w:cs="Arial"/>
          <w:b/>
          <w:bCs/>
        </w:rPr>
        <w:t>2.1.1 Social Media Marketing (SMM)</w:t>
      </w:r>
    </w:p>
    <w:p w14:paraId="0A79DDBC" w14:textId="7F9C2A8C" w:rsidR="00634E74" w:rsidRPr="00634E74" w:rsidRDefault="00634E74" w:rsidP="00634E74">
      <w:pPr>
        <w:pStyle w:val="Body"/>
        <w:rPr>
          <w:rFonts w:ascii="Arial" w:hAnsi="Arial" w:cs="Arial"/>
          <w:b/>
          <w:bCs/>
          <w:sz w:val="22"/>
          <w:szCs w:val="22"/>
        </w:rPr>
      </w:pPr>
      <w:r w:rsidRPr="00634E74">
        <w:rPr>
          <w:rFonts w:ascii="Arial" w:hAnsi="Arial" w:cs="Arial"/>
        </w:rPr>
        <w:t>SMM is the process by which various goods and services are marketed to the target audience, and a strong bond is established between the sales organization and consumers. Social media marketing is conducted through different social media platforms</w:t>
      </w:r>
      <w:r w:rsidR="00862D82">
        <w:rPr>
          <w:rFonts w:ascii="Arial" w:hAnsi="Arial" w:cs="Arial"/>
        </w:rPr>
        <w:t xml:space="preserve"> </w:t>
      </w:r>
      <w:r w:rsidR="00862D82">
        <w:rPr>
          <w:rFonts w:ascii="Arial" w:hAnsi="Arial" w:cs="Arial"/>
        </w:rPr>
        <w:fldChar w:fldCharType="begin"/>
      </w:r>
      <w:r w:rsidR="006B2403">
        <w:rPr>
          <w:rFonts w:ascii="Arial" w:hAnsi="Arial" w:cs="Arial"/>
        </w:rPr>
        <w:instrText xml:space="preserve"> ADDIN ZOTERO_ITEM CSL_CITATION {"citationID":"E2b5D23C","properties":{"formattedCitation":"(Alrwashdeh et al., 2019b)","plainCitation":"(Alrwashdeh et al., 2019b)","dontUpdate":true,"noteIndex":0},"citationItems":[{"id":1177,"uris":["http://zotero.org/users/local/02HQEtik/items/MNTE6KKQ"],"itemData":{"id":1177,"type":"article-journal","container-title":"Management Science Letters","DOI":"10.5267/j.msl.2019.1.011","ISSN":"19239335, 19239343","journalAbbreviation":"10.5267/j.msl","page":"505-518","source":"DOI.org (Crossref)","title":"The effect of electronic word of mouth communication on purchase intention and brand image: An applicant smartphone brands in North Cyprus","title-short":"The effect of electronic word of mouth communication on purchase intention and brand image","author":[{"family":"Alrwashdeh","given":"Muneer"},{"family":"Emeagwali","given":"Okechukwu Lawrence"},{"family":"Aljuhmani","given":"Hasan Yousef"}],"issued":{"date-parts":[["2019"]]}}}],"schema":"https://github.com/citation-style-language/schema/raw/master/csl-citation.json"} </w:instrText>
      </w:r>
      <w:r w:rsidR="00862D82">
        <w:rPr>
          <w:rFonts w:ascii="Arial" w:hAnsi="Arial" w:cs="Arial"/>
        </w:rPr>
        <w:fldChar w:fldCharType="separate"/>
      </w:r>
      <w:r w:rsidR="00862D82" w:rsidRPr="00862D82">
        <w:rPr>
          <w:rFonts w:ascii="Arial" w:hAnsi="Arial" w:cs="Arial"/>
        </w:rPr>
        <w:t>(Alrwashdeh et al., 2019)</w:t>
      </w:r>
      <w:r w:rsidR="00862D82">
        <w:rPr>
          <w:rFonts w:ascii="Arial" w:hAnsi="Arial" w:cs="Arial"/>
        </w:rPr>
        <w:fldChar w:fldCharType="end"/>
      </w:r>
      <w:r w:rsidRPr="00634E74">
        <w:rPr>
          <w:rFonts w:ascii="Arial" w:hAnsi="Arial" w:cs="Arial"/>
        </w:rPr>
        <w:t xml:space="preserve">. Social media helps to create the Internet image and the voice of an organization. The large social network platforms include LinkedIn, Instagram, Google+, Pinterest, YouTube, Facebook, Twitter, and Twitter. </w:t>
      </w:r>
      <w:r w:rsidR="00E04D35">
        <w:t xml:space="preserve">Marketing organizations can promote their products and services through both paid and unpaid advertising strategies. Paid advertising typically involves sponsored promotional content on major social media platforms, such as Facebook, Twitter (X), and similar digital channels </w:t>
      </w:r>
      <w:r w:rsidR="00A70B3D">
        <w:rPr>
          <w:rFonts w:ascii="Arial" w:hAnsi="Arial" w:cs="Arial"/>
        </w:rPr>
        <w:fldChar w:fldCharType="begin"/>
      </w:r>
      <w:r w:rsidR="00A70B3D">
        <w:rPr>
          <w:rFonts w:ascii="Arial" w:hAnsi="Arial" w:cs="Arial"/>
        </w:rPr>
        <w:instrText xml:space="preserve"> ADDIN ZOTERO_ITEM CSL_CITATION {"citationID":"a8yS260c","properties":{"formattedCitation":"(Si, 2015)","plainCitation":"(Si, 2015)","noteIndex":0},"citationItems":[{"id":1179,"uris":["http://zotero.org/users/local/02HQEtik/items/54NCNPPI"],"itemData":{"id":1179,"type":"article-journal","container-title":"Business and Economics Journal","DOI":"10.4172/2151-6219.1000203","ISSN":"21516219","issue":"01","journalAbbreviation":"Bus Eco J","source":"DOI.org (Crossref)","title":"Social Media and Its Role in Marketing","URL":"https://www.omicsonline.com/open-access/social-media-and-its-role-in-marketing-2151-6219-1000203.php?aid=69102","volume":"07","author":[{"family":"Si","given":"Sajid"}],"accessed":{"date-parts":[["2026",1,26]]},"issued":{"date-parts":[["2015"]]}}}],"schema":"https://github.com/citation-style-language/schema/raw/master/csl-citation.json"} </w:instrText>
      </w:r>
      <w:r w:rsidR="00A70B3D">
        <w:rPr>
          <w:rFonts w:ascii="Arial" w:hAnsi="Arial" w:cs="Arial"/>
        </w:rPr>
        <w:fldChar w:fldCharType="separate"/>
      </w:r>
      <w:r w:rsidR="00A70B3D" w:rsidRPr="00A70B3D">
        <w:rPr>
          <w:rFonts w:ascii="Arial" w:hAnsi="Arial" w:cs="Arial"/>
        </w:rPr>
        <w:t>(Si, 2015)</w:t>
      </w:r>
      <w:r w:rsidR="00A70B3D">
        <w:rPr>
          <w:rFonts w:ascii="Arial" w:hAnsi="Arial" w:cs="Arial"/>
        </w:rPr>
        <w:fldChar w:fldCharType="end"/>
      </w:r>
      <w:r w:rsidRPr="00634E74">
        <w:rPr>
          <w:rFonts w:ascii="Arial" w:hAnsi="Arial" w:cs="Arial"/>
        </w:rPr>
        <w:t xml:space="preserve">. </w:t>
      </w:r>
    </w:p>
    <w:p w14:paraId="003C366A" w14:textId="77777777" w:rsidR="00634E74" w:rsidRPr="00634E74" w:rsidRDefault="00634E74" w:rsidP="00634E74">
      <w:pPr>
        <w:pStyle w:val="Body"/>
        <w:rPr>
          <w:rFonts w:ascii="Arial" w:hAnsi="Arial" w:cs="Arial"/>
          <w:b/>
          <w:bCs/>
        </w:rPr>
      </w:pPr>
      <w:r w:rsidRPr="00634E74">
        <w:rPr>
          <w:rFonts w:ascii="Arial" w:hAnsi="Arial" w:cs="Arial"/>
          <w:b/>
          <w:bCs/>
        </w:rPr>
        <w:t>2.1.2 Brand Trust (BT)</w:t>
      </w:r>
    </w:p>
    <w:p w14:paraId="21002E11" w14:textId="1CDEEB48" w:rsidR="00634E74" w:rsidRPr="00634E74" w:rsidRDefault="00E04D35" w:rsidP="00634E74">
      <w:pPr>
        <w:pStyle w:val="Body"/>
        <w:rPr>
          <w:rFonts w:ascii="Arial" w:hAnsi="Arial" w:cs="Arial"/>
        </w:rPr>
      </w:pPr>
      <w:r>
        <w:t>Brand trust (BT) refers to customers’ confidence in a business or product to consistently fulfill its promises and deliver reliable experiences. It is a crucial determinant of customer loyalty and plays an important role in purchase decision-making, especially in an era where consumers are highly selective and can easily compare competing brands</w:t>
      </w:r>
      <w:r>
        <w:rPr>
          <w:rFonts w:ascii="Arial" w:hAnsi="Arial" w:cs="Arial"/>
        </w:rPr>
        <w:t xml:space="preserve"> </w:t>
      </w:r>
      <w:r w:rsidR="00D95CED">
        <w:rPr>
          <w:rFonts w:ascii="Arial" w:hAnsi="Arial" w:cs="Arial"/>
        </w:rPr>
        <w:fldChar w:fldCharType="begin"/>
      </w:r>
      <w:r w:rsidR="00D95CED">
        <w:rPr>
          <w:rFonts w:ascii="Arial" w:hAnsi="Arial" w:cs="Arial"/>
        </w:rPr>
        <w:instrText xml:space="preserve"> ADDIN ZOTERO_ITEM CSL_CITATION {"citationID":"qLERaVzu","properties":{"formattedCitation":"(Moorman et al., 1992)","plainCitation":"(Moorman et al., 1992)","noteIndex":0},"citationItems":[{"id":1182,"uris":["http://zotero.org/users/local/02HQEtik/items/A3ZBPP63"],"itemData":{"id":1182,"type":"article-journal","container-title":"Journal of Marketing Research","DOI":"10.2307/3172742","ISSN":"00222437","issue":"3","journalAbbreviation":"Journal of Marketing Research","page":"314","source":"DOI.org (Crossref)","title":"Relationships between Providers and Users of Market Research: The Dynamics of Trust within and between Organizations","title-short":"Relationships between Providers and Users of Market Research","volume":"29","author":[{"family":"Moorman","given":"Christine"},{"family":"Zaltman","given":"Gerald"},{"family":"Deshpande","given":"Rohit"}],"issued":{"date-parts":[["1992",8]]}}}],"schema":"https://github.com/citation-style-language/schema/raw/master/csl-citation.json"} </w:instrText>
      </w:r>
      <w:r w:rsidR="00D95CED">
        <w:rPr>
          <w:rFonts w:ascii="Arial" w:hAnsi="Arial" w:cs="Arial"/>
        </w:rPr>
        <w:fldChar w:fldCharType="separate"/>
      </w:r>
      <w:r w:rsidR="00D95CED" w:rsidRPr="00D95CED">
        <w:rPr>
          <w:rFonts w:ascii="Arial" w:hAnsi="Arial" w:cs="Arial"/>
        </w:rPr>
        <w:t>(Moorman et al., 1992)</w:t>
      </w:r>
      <w:r w:rsidR="00D95CED">
        <w:rPr>
          <w:rFonts w:ascii="Arial" w:hAnsi="Arial" w:cs="Arial"/>
        </w:rPr>
        <w:fldChar w:fldCharType="end"/>
      </w:r>
      <w:r w:rsidR="00634E74" w:rsidRPr="00634E74">
        <w:rPr>
          <w:rFonts w:ascii="Arial" w:hAnsi="Arial" w:cs="Arial"/>
        </w:rPr>
        <w:t>. It is perceived as a major contributor to the success of the company.</w:t>
      </w:r>
      <w:r>
        <w:rPr>
          <w:rFonts w:ascii="Arial" w:hAnsi="Arial" w:cs="Arial"/>
        </w:rPr>
        <w:t xml:space="preserve"> </w:t>
      </w:r>
      <w:r w:rsidR="00634E74" w:rsidRPr="00634E74">
        <w:rPr>
          <w:rFonts w:ascii="Arial" w:hAnsi="Arial" w:cs="Arial"/>
        </w:rPr>
        <w:t xml:space="preserve">The development of brand trust is caused by the evaluation of the offers of a company that customers make. Brand trust develops when organizations create the consumer attitude regarding the safety, honesty, and reliability of their brands </w:t>
      </w:r>
      <w:r w:rsidR="004A7740">
        <w:rPr>
          <w:rFonts w:ascii="Arial" w:hAnsi="Arial" w:cs="Arial"/>
        </w:rPr>
        <w:fldChar w:fldCharType="begin"/>
      </w:r>
      <w:r w:rsidR="004A7740">
        <w:rPr>
          <w:rFonts w:ascii="Arial" w:hAnsi="Arial" w:cs="Arial"/>
        </w:rPr>
        <w:instrText xml:space="preserve"> ADDIN ZOTERO_ITEM CSL_CITATION {"citationID":"VQm6L0uf","properties":{"formattedCitation":"(Barry &amp; Doney, 2011)","plainCitation":"(Barry &amp; Doney, 2011)","noteIndex":0},"citationItems":[{"id":1183,"uris":["http://zotero.org/users/local/02HQEtik/items/G6PTI2X2"],"itemData":{"id":1183,"type":"article-journal","container-title":"Journal of Global Marketing","DOI":"10.1080/08911762.2011.602321","ISSN":"0891-1762, 1528-6975","issue":"4","journalAbbreviation":"Journal of Global Marketing","language":"en","page":"305-323","source":"DOI.org (Crossref)","title":"Cross-Cultural Examination of Relationship Quality","volume":"24","author":[{"family":"Barry","given":"James M."},{"family":"Doney","given":"Patricia M."}],"issued":{"date-parts":[["2011",9]]}}}],"schema":"https://github.com/citation-style-language/schema/raw/master/csl-citation.json"} </w:instrText>
      </w:r>
      <w:r w:rsidR="004A7740">
        <w:rPr>
          <w:rFonts w:ascii="Arial" w:hAnsi="Arial" w:cs="Arial"/>
        </w:rPr>
        <w:fldChar w:fldCharType="separate"/>
      </w:r>
      <w:r w:rsidR="004A7740" w:rsidRPr="004A7740">
        <w:rPr>
          <w:rFonts w:ascii="Arial" w:hAnsi="Arial" w:cs="Arial"/>
        </w:rPr>
        <w:t>(Barry &amp; Doney, 2011)</w:t>
      </w:r>
      <w:r w:rsidR="004A7740">
        <w:rPr>
          <w:rFonts w:ascii="Arial" w:hAnsi="Arial" w:cs="Arial"/>
        </w:rPr>
        <w:fldChar w:fldCharType="end"/>
      </w:r>
      <w:r w:rsidR="00634E74" w:rsidRPr="00634E74">
        <w:rPr>
          <w:rFonts w:ascii="Arial" w:hAnsi="Arial" w:cs="Arial"/>
        </w:rPr>
        <w:t xml:space="preserve">. Brand </w:t>
      </w:r>
      <w:r w:rsidR="00634E74" w:rsidRPr="00634E74">
        <w:rPr>
          <w:rFonts w:ascii="Arial" w:hAnsi="Arial" w:cs="Arial"/>
        </w:rPr>
        <w:lastRenderedPageBreak/>
        <w:t>trust can be considered as a mental element which can result in an emotional response, or brand affect</w:t>
      </w:r>
      <w:r w:rsidR="0024160E">
        <w:rPr>
          <w:rFonts w:ascii="Arial" w:hAnsi="Arial" w:cs="Arial"/>
        </w:rPr>
        <w:t xml:space="preserve"> </w:t>
      </w:r>
      <w:r w:rsidR="0024160E">
        <w:rPr>
          <w:rFonts w:ascii="Arial" w:hAnsi="Arial" w:cs="Arial"/>
        </w:rPr>
        <w:fldChar w:fldCharType="begin"/>
      </w:r>
      <w:r w:rsidR="0024160E">
        <w:rPr>
          <w:rFonts w:ascii="Arial" w:hAnsi="Arial" w:cs="Arial"/>
        </w:rPr>
        <w:instrText xml:space="preserve"> ADDIN ZOTERO_ITEM CSL_CITATION {"citationID":"8xaln8jC","properties":{"formattedCitation":"(Chaudhuri &amp; Holbrook, 2001)","plainCitation":"(Chaudhuri &amp; Holbrook, 2001)","noteIndex":0},"citationItems":[{"id":1184,"uris":["http://zotero.org/users/local/02HQEtik/items/945ZP3BM"],"itemData":{"id":1184,"type":"article-journal","abstract":"The authors examine two aspects of brand loyalty, purchase loyalty and attitudinal loyalty, as linking variables in the chain of effects from brand trust and brand affect to brand performance (market share and relative price). The model includes product-level, category-related controls (hedonic value and utilitarian value) and brand-level controls (brand differentiation and share of voice). The authors compile an aggregate data set for 107 brands from three separate surveys of consumers and brand managers. The results indicate that when the product- and brand-level variables are controlled for, brand trust and brand affect combine to determine purchase loyalty and attitudinal loyalty. Purchase loyalty, in turn, leads to greater market share, and attitudinal loyalty leads to a higher relative price for the brand. The authors discuss the managerial implications of these results.","container-title":"Journal of Marketing","DOI":"10.1509/jmkg.65.2.81.18255","ISSN":"0022-2429, 1547-7185","issue":"2","journalAbbreviation":"Journal of Marketing","language":"en","license":"https://journals.sagepub.com/page/policies/text-and-data-mining-license","page":"81-93","source":"DOI.org (Crossref)","title":"The Chain of Effects from Brand Trust and Brand Affect to Brand Performance: The Role of Brand Loyalty","title-short":"The Chain of Effects from Brand Trust and Brand Affect to Brand Performance","volume":"65","author":[{"family":"Chaudhuri","given":"Arjun"},{"family":"Holbrook","given":"Morris B."}],"issued":{"date-parts":[["2001",4]]}}}],"schema":"https://github.com/citation-style-language/schema/raw/master/csl-citation.json"} </w:instrText>
      </w:r>
      <w:r w:rsidR="0024160E">
        <w:rPr>
          <w:rFonts w:ascii="Arial" w:hAnsi="Arial" w:cs="Arial"/>
        </w:rPr>
        <w:fldChar w:fldCharType="separate"/>
      </w:r>
      <w:r w:rsidR="0024160E" w:rsidRPr="0024160E">
        <w:rPr>
          <w:rFonts w:ascii="Arial" w:hAnsi="Arial" w:cs="Arial"/>
        </w:rPr>
        <w:t>(Chaudhuri &amp; Holbrook, 2001)</w:t>
      </w:r>
      <w:r w:rsidR="0024160E">
        <w:rPr>
          <w:rFonts w:ascii="Arial" w:hAnsi="Arial" w:cs="Arial"/>
        </w:rPr>
        <w:fldChar w:fldCharType="end"/>
      </w:r>
      <w:r w:rsidR="00634E74" w:rsidRPr="00634E74">
        <w:rPr>
          <w:rFonts w:ascii="Arial" w:hAnsi="Arial" w:cs="Arial"/>
        </w:rPr>
        <w:t>.</w:t>
      </w:r>
    </w:p>
    <w:p w14:paraId="1EF40670" w14:textId="77777777" w:rsidR="00634E74" w:rsidRPr="00634E74" w:rsidRDefault="00634E74" w:rsidP="00634E74">
      <w:pPr>
        <w:pStyle w:val="Body"/>
        <w:rPr>
          <w:rFonts w:ascii="Arial" w:hAnsi="Arial" w:cs="Arial"/>
          <w:b/>
          <w:bCs/>
        </w:rPr>
      </w:pPr>
      <w:r w:rsidRPr="00634E74">
        <w:rPr>
          <w:rFonts w:ascii="Arial" w:hAnsi="Arial" w:cs="Arial"/>
          <w:b/>
          <w:bCs/>
        </w:rPr>
        <w:t>2.1.3 Brand Equity (BE)</w:t>
      </w:r>
    </w:p>
    <w:p w14:paraId="12A7CAC3" w14:textId="22F5346B" w:rsidR="00634E74" w:rsidRPr="00634E74" w:rsidRDefault="00C36DB4" w:rsidP="00634E74">
      <w:pPr>
        <w:pStyle w:val="Body"/>
        <w:rPr>
          <w:rFonts w:ascii="Arial" w:hAnsi="Arial" w:cs="Arial"/>
        </w:rPr>
      </w:pPr>
      <w:r>
        <w:t>Given the rapid growth of social media usage in emerging markets such as Bangladesh, the relationship between brand equity and social media’s influence on consumers’ purchase intentions is particularly significant. Enhanced online visibility through influencer marketing and targeted advertising increases brand familiarity, which subsequently shapes consumers’ consideration and final purchase decisions.</w:t>
      </w:r>
      <w:r>
        <w:rPr>
          <w:rFonts w:ascii="Arial" w:hAnsi="Arial" w:cs="Arial"/>
        </w:rPr>
        <w:t xml:space="preserve"> </w:t>
      </w:r>
      <w:r w:rsidR="009032AE">
        <w:rPr>
          <w:rFonts w:ascii="Arial" w:hAnsi="Arial" w:cs="Arial"/>
        </w:rPr>
        <w:fldChar w:fldCharType="begin"/>
      </w:r>
      <w:r w:rsidR="009032AE">
        <w:rPr>
          <w:rFonts w:ascii="Arial" w:hAnsi="Arial" w:cs="Arial"/>
        </w:rPr>
        <w:instrText xml:space="preserve"> ADDIN ZOTERO_ITEM CSL_CITATION {"citationID":"rBU48JNq","properties":{"formattedCitation":"(Smith, 1992)","plainCitation":"(Smith, 1992)","noteIndex":0},"citationItems":[{"id":1185,"uris":["http://zotero.org/users/local/02HQEtik/items/5AC9P5Z7"],"itemData":{"id":1185,"type":"article-journal","container-title":"Journal of Marketing","DOI":"10.2307/1252048","ISSN":"0022-2429","issue":"2","page":"125-128","publisher":"American Marketing Association","source":"JSTOR","title":"Review of Managing Brand Equity: Capitalizing on the Value of a Brand Name","title-short":"Review of Managing Brand Equity","volume":"56","author":[{"family":"Smith","given":"Daniel C."}],"reviewed-author":[{"family":"Aaker","given":"David A."}],"issued":{"date-parts":[["1992"]]}}}],"schema":"https://github.com/citation-style-language/schema/raw/master/csl-citation.json"} </w:instrText>
      </w:r>
      <w:r w:rsidR="009032AE">
        <w:rPr>
          <w:rFonts w:ascii="Arial" w:hAnsi="Arial" w:cs="Arial"/>
        </w:rPr>
        <w:fldChar w:fldCharType="separate"/>
      </w:r>
      <w:r w:rsidR="009032AE" w:rsidRPr="009032AE">
        <w:rPr>
          <w:rFonts w:ascii="Arial" w:hAnsi="Arial" w:cs="Arial"/>
        </w:rPr>
        <w:t>(Smith, 1992)</w:t>
      </w:r>
      <w:r w:rsidR="009032AE">
        <w:rPr>
          <w:rFonts w:ascii="Arial" w:hAnsi="Arial" w:cs="Arial"/>
        </w:rPr>
        <w:fldChar w:fldCharType="end"/>
      </w:r>
      <w:r w:rsidR="00634E74" w:rsidRPr="00634E74">
        <w:rPr>
          <w:rFonts w:ascii="Arial" w:hAnsi="Arial" w:cs="Arial"/>
        </w:rPr>
        <w:t>. User-generated content, reviews, and promotional materials are examples digital social media content that significantly influences how potential consumers see the quality of a brand. Consumer decisions in Bangladesh may have an impact on the perception of quality formed through the interaction social media, as online social platforms such as Facebook (FB) have a dominant position in the digital space.</w:t>
      </w:r>
    </w:p>
    <w:p w14:paraId="4A1A46AC" w14:textId="77777777" w:rsidR="00634E74" w:rsidRPr="00634E74" w:rsidRDefault="00634E74" w:rsidP="00634E74">
      <w:pPr>
        <w:pStyle w:val="Body"/>
        <w:rPr>
          <w:rFonts w:ascii="Arial" w:hAnsi="Arial" w:cs="Arial"/>
          <w:b/>
          <w:bCs/>
        </w:rPr>
      </w:pPr>
      <w:r w:rsidRPr="00634E74">
        <w:rPr>
          <w:rFonts w:ascii="Arial" w:hAnsi="Arial" w:cs="Arial"/>
          <w:b/>
          <w:bCs/>
        </w:rPr>
        <w:t>2.1.4 Purchase Intention (PI)</w:t>
      </w:r>
    </w:p>
    <w:p w14:paraId="6D161849" w14:textId="62DE9308" w:rsidR="00634E74" w:rsidRPr="00634E74" w:rsidRDefault="00634E74" w:rsidP="00634E74">
      <w:pPr>
        <w:pStyle w:val="Body"/>
        <w:rPr>
          <w:rFonts w:ascii="Arial" w:hAnsi="Arial" w:cs="Arial"/>
        </w:rPr>
      </w:pPr>
      <w:r w:rsidRPr="00634E74">
        <w:rPr>
          <w:rFonts w:ascii="Arial" w:hAnsi="Arial" w:cs="Arial"/>
        </w:rPr>
        <w:t xml:space="preserve">The relationship between social media and PI is the capacity of the interactions and exposure of users to information on social networking sites as YouTube, FB, Instagram, and others affect their willingness or intention to make a purchase. Similar to most other countries, Social media was introduced in Bangladesh as a powerful promotional tool that has significant influence on the purchasing behavior in particularly tendencies to purchase </w:t>
      </w:r>
      <w:r w:rsidR="007B1AA5">
        <w:rPr>
          <w:rFonts w:ascii="Arial" w:hAnsi="Arial" w:cs="Arial"/>
        </w:rPr>
        <w:fldChar w:fldCharType="begin"/>
      </w:r>
      <w:r w:rsidR="007B1AA5">
        <w:rPr>
          <w:rFonts w:ascii="Arial" w:hAnsi="Arial" w:cs="Arial"/>
        </w:rPr>
        <w:instrText xml:space="preserve"> ADDIN ZOTERO_ITEM CSL_CITATION {"citationID":"ohxn7BQ0","properties":{"formattedCitation":"(Hossain et al., 2021)","plainCitation":"(Hossain et al., 2021)","noteIndex":0},"citationItems":[{"id":1187,"uris":["http://zotero.org/users/local/02HQEtik/items/8N22XG9C"],"itemData":{"id":1187,"type":"article-journal","container-title":"Heliyon","DOI":"10.1016/j.heliyon.2021.e06677","ISSN":"24058440","issue":"4","journalAbbreviation":"Heliyon","language":"en","page":"e06677","source":"DOI.org (Crossref)","title":"Prevalence of anxiety and depression in South Asia during COVID-19: A systematic review and meta-analysis","title-short":"Prevalence of anxiety and depression in South Asia during COVID-19","volume":"7","author":[{"family":"Hossain","given":"Md Mahbub"},{"family":"Rahman","given":"Mariya"},{"family":"Trisha","given":"Nusrat Fahmida"},{"family":"Tasnim","given":"Samia"},{"family":"Nuzhath","given":"Tasmiah"},{"family":"Hasan","given":"Nishat Tasnim"},{"family":"Clark","given":"Heather"},{"family":"Das","given":"Arindam"},{"family":"McKyer","given":"E. Lisako J."},{"family":"Ahmed","given":"Helal Uddin"},{"family":"Ma","given":"Ping"}],"issued":{"date-parts":[["2021",4]]}}}],"schema":"https://github.com/citation-style-language/schema/raw/master/csl-citation.json"} </w:instrText>
      </w:r>
      <w:r w:rsidR="007B1AA5">
        <w:rPr>
          <w:rFonts w:ascii="Arial" w:hAnsi="Arial" w:cs="Arial"/>
        </w:rPr>
        <w:fldChar w:fldCharType="separate"/>
      </w:r>
      <w:r w:rsidR="007B1AA5" w:rsidRPr="007B1AA5">
        <w:rPr>
          <w:rFonts w:ascii="Arial" w:hAnsi="Arial" w:cs="Arial"/>
        </w:rPr>
        <w:t>(Hossain et al., 2021)</w:t>
      </w:r>
      <w:r w:rsidR="007B1AA5">
        <w:rPr>
          <w:rFonts w:ascii="Arial" w:hAnsi="Arial" w:cs="Arial"/>
        </w:rPr>
        <w:fldChar w:fldCharType="end"/>
      </w:r>
      <w:r w:rsidRPr="00634E74">
        <w:rPr>
          <w:rFonts w:ascii="Arial" w:hAnsi="Arial" w:cs="Arial"/>
        </w:rPr>
        <w:t xml:space="preserve">. </w:t>
      </w:r>
      <w:r w:rsidR="00C36DB4">
        <w:t>Consumers’ purchase intentions are often strongly influenced by word-of-mouth, whether positive or negative. Price sensitivity also plays a critical role, as consumers evaluate a product’s price by weighing the expected benefits against the cost. Additionally, product visual appeal and design are often the initial factors that attract consumers’ attention and shape their purchase consideration</w:t>
      </w:r>
      <w:r w:rsidR="00C36DB4">
        <w:rPr>
          <w:rFonts w:ascii="Arial" w:hAnsi="Arial" w:cs="Arial"/>
        </w:rPr>
        <w:t xml:space="preserve"> </w:t>
      </w:r>
      <w:r w:rsidR="00DF1B44">
        <w:rPr>
          <w:rFonts w:ascii="Arial" w:hAnsi="Arial" w:cs="Arial"/>
        </w:rPr>
        <w:fldChar w:fldCharType="begin"/>
      </w:r>
      <w:r w:rsidR="00DF1B44">
        <w:rPr>
          <w:rFonts w:ascii="Arial" w:hAnsi="Arial" w:cs="Arial"/>
        </w:rPr>
        <w:instrText xml:space="preserve"> ADDIN ZOTERO_ITEM CSL_CITATION {"citationID":"kYFjIYmw","properties":{"formattedCitation":"(Lew &amp; Sulaiman, 2014)","plainCitation":"(Lew &amp; Sulaiman, 2014)","noteIndex":0},"citationItems":[{"id":1188,"uris":["http://zotero.org/users/local/02HQEtik/items/H6A65U8R"],"itemData":{"id":1188,"type":"article-journal","container-title":"Procedia - Social and Behavioral Sciences","DOI":"10.1016/j.sbspro.2014.04.005","ISSN":"18770428","journalAbbreviation":"Procedia - Social and Behavioral Sciences","language":"en","page":"37-45","source":"DOI.org (Crossref)","title":"Consumer Purchase Intention toward Products Made in Malaysia vs. Made in China: A Conceptual Paper","title-short":"Consumer Purchase Intention toward Products Made in Malaysia vs. Made in China","volume":"130","author":[{"family":"Lew","given":"Sharon"},{"family":"Sulaiman","given":"Zuraidah"}],"issued":{"date-parts":[["2014",5]]}}}],"schema":"https://github.com/citation-style-language/schema/raw/master/csl-citation.json"} </w:instrText>
      </w:r>
      <w:r w:rsidR="00DF1B44">
        <w:rPr>
          <w:rFonts w:ascii="Arial" w:hAnsi="Arial" w:cs="Arial"/>
        </w:rPr>
        <w:fldChar w:fldCharType="separate"/>
      </w:r>
      <w:r w:rsidR="00DF1B44" w:rsidRPr="00DF1B44">
        <w:rPr>
          <w:rFonts w:ascii="Arial" w:hAnsi="Arial" w:cs="Arial"/>
        </w:rPr>
        <w:t>(Lew &amp; Sulaiman, 2014)</w:t>
      </w:r>
      <w:r w:rsidR="00DF1B44">
        <w:rPr>
          <w:rFonts w:ascii="Arial" w:hAnsi="Arial" w:cs="Arial"/>
        </w:rPr>
        <w:fldChar w:fldCharType="end"/>
      </w:r>
      <w:r w:rsidRPr="00634E74">
        <w:rPr>
          <w:rFonts w:ascii="Arial" w:hAnsi="Arial" w:cs="Arial"/>
        </w:rPr>
        <w:t xml:space="preserve">. </w:t>
      </w:r>
    </w:p>
    <w:p w14:paraId="03AEA6A1" w14:textId="77777777" w:rsidR="00634E74" w:rsidRPr="00634E74" w:rsidRDefault="00634E74" w:rsidP="00634E74">
      <w:pPr>
        <w:pStyle w:val="Body"/>
        <w:rPr>
          <w:rFonts w:ascii="Arial" w:hAnsi="Arial" w:cs="Arial"/>
          <w:b/>
          <w:bCs/>
        </w:rPr>
      </w:pPr>
      <w:r w:rsidRPr="00634E74">
        <w:rPr>
          <w:rFonts w:ascii="Arial" w:hAnsi="Arial" w:cs="Arial"/>
          <w:b/>
          <w:bCs/>
        </w:rPr>
        <w:t>2.1.5 Electronic Word of Mouth (EWOM)</w:t>
      </w:r>
    </w:p>
    <w:p w14:paraId="0CE1FF6C" w14:textId="77777777" w:rsidR="00C36DB4" w:rsidRDefault="00634E74" w:rsidP="00634E74">
      <w:pPr>
        <w:pStyle w:val="Body"/>
      </w:pPr>
      <w:r w:rsidRPr="00634E74">
        <w:rPr>
          <w:rFonts w:ascii="Arial" w:hAnsi="Arial" w:cs="Arial"/>
        </w:rPr>
        <w:t>EWOM denotes buyer comments, suggestions, and reviews posted online through social media, forums, review websites, blogs, and messaging applications. As consumers rely increasingly on online reviews to inform their buying decisions, EWOM has a large influence on intention to buy in Bangladesh</w:t>
      </w:r>
      <w:r w:rsidR="005F005F">
        <w:rPr>
          <w:rFonts w:ascii="Arial" w:hAnsi="Arial" w:cs="Arial"/>
        </w:rPr>
        <w:t xml:space="preserve"> </w:t>
      </w:r>
      <w:r w:rsidR="005F005F">
        <w:rPr>
          <w:rFonts w:ascii="Arial" w:hAnsi="Arial" w:cs="Arial"/>
        </w:rPr>
        <w:fldChar w:fldCharType="begin"/>
      </w:r>
      <w:r w:rsidR="005F005F">
        <w:rPr>
          <w:rFonts w:ascii="Arial" w:hAnsi="Arial" w:cs="Arial"/>
        </w:rPr>
        <w:instrText xml:space="preserve"> ADDIN ZOTERO_ITEM CSL_CITATION {"citationID":"Nuf35o4y","properties":{"formattedCitation":"(Rahman et al., 2018)","plainCitation":"(Rahman et al., 2018)","noteIndex":0},"citationItems":[{"id":1189,"uris":["http://zotero.org/users/local/02HQEtik/items/9HEJ2QJN"],"itemData":{"id":1189,"type":"article-journal","container-title":"SSRN Electronic Journal","DOI":"10.2139/ssrn.3490628","ISSN":"1556-5068","journalAbbreviation":"SSRN Journal","language":"en","source":"DOI.org (Crossref)","title":"Impact of Electronic Word of Mouth (e-WOM) on Brand Image and Online Purchase Intention: The Perspective of Bangladesh","title-short":"Impact of Electronic Word of Mouth (e-WOM) on Brand Image and Online Purchase Intention","URL":"https://www.ssrn.com/abstract=3490628","author":[{"family":"Rahman","given":"Md Adnan"},{"family":"Khan","given":"Shamim Ahmed"},{"family":"Abdul Hamid","given":"Abu Bakar"},{"family":"Latiff","given":"Ahmad Shaharudin Abdul"},{"family":"Mahmood","given":"Rosli"}],"accessed":{"date-parts":[["2026",1,26]]},"issued":{"date-parts":[["2018"]]}}}],"schema":"https://github.com/citation-style-language/schema/raw/master/csl-citation.json"} </w:instrText>
      </w:r>
      <w:r w:rsidR="005F005F">
        <w:rPr>
          <w:rFonts w:ascii="Arial" w:hAnsi="Arial" w:cs="Arial"/>
        </w:rPr>
        <w:fldChar w:fldCharType="separate"/>
      </w:r>
      <w:r w:rsidR="005F005F" w:rsidRPr="005F005F">
        <w:rPr>
          <w:rFonts w:ascii="Arial" w:hAnsi="Arial" w:cs="Arial"/>
        </w:rPr>
        <w:t>(Rahman et al., 2018)</w:t>
      </w:r>
      <w:r w:rsidR="005F005F">
        <w:rPr>
          <w:rFonts w:ascii="Arial" w:hAnsi="Arial" w:cs="Arial"/>
        </w:rPr>
        <w:fldChar w:fldCharType="end"/>
      </w:r>
      <w:r w:rsidRPr="00634E74">
        <w:rPr>
          <w:rFonts w:ascii="Arial" w:hAnsi="Arial" w:cs="Arial"/>
        </w:rPr>
        <w:t>. EWOM has indeed had a huge role to play in Bangladesh in terms of making consumers decide what to purchase, particularly given that Facebook and WhatsApp social media platforms are highly adopted by consumers in Bangladesh</w:t>
      </w:r>
      <w:r w:rsidR="0040033D">
        <w:rPr>
          <w:rFonts w:ascii="Arial" w:hAnsi="Arial" w:cs="Arial"/>
        </w:rPr>
        <w:t xml:space="preserve"> </w:t>
      </w:r>
      <w:r w:rsidR="0040033D">
        <w:rPr>
          <w:rFonts w:ascii="Arial" w:hAnsi="Arial" w:cs="Arial"/>
        </w:rPr>
        <w:fldChar w:fldCharType="begin"/>
      </w:r>
      <w:r w:rsidR="00054BCD">
        <w:rPr>
          <w:rFonts w:ascii="Arial" w:hAnsi="Arial" w:cs="Arial"/>
        </w:rPr>
        <w:instrText xml:space="preserve"> ADDIN ZOTERO_ITEM CSL_CITATION {"citationID":"TbuxbdoX","properties":{"formattedCitation":"(Amin, 2025)","plainCitation":"(Amin, 2025)","noteIndex":0},"citationItems":[{"id":1190,"uris":["http://zotero.org/users/local/02HQEtik/items/VL92IX5V"],"itemData":{"id":1190,"type":"article-journal","abstract":"The purpose of the study is to navigate the role of electronic word of mouth (EWOM) assessing variables (digital marketing, social networking, content marketing and online customer reviewer) how these IV influence customer purchase intensions of target customers in online and offline platform. Relevant literatures regarding role of EWOM are reviewed with relevant theories and market analysis. Thereafter, it opened a new horizon of future research scope. It is found that 74.9% of the variance in dependent variable is defined by independent variable of the model framework and SEM analysis and showing high and robust explanatory ability. Customer loyalty programs are sustained through extensive customer research online. The research will aid in future how mediating variable EWOM mediates customer purchase intension in some point of credibility on online market, consumer adaptation, brand reliability, and conducting peer group influence to buy products and receive services. The present findings of the study opens a new platform of consumer open forum discussion regarding products and services that are most sale of the market, customer opinions, sharing of experiences, spreading of negative messages to a variety of social media platforms. Firstly, data collected from well-educated participants who responded on the survey. Secondly, the generations and age group targeted would be greater in future. Future research could be conducted based on positive and negative customer review on online platform, online payment and buying intentions, brand image and brand bridging with EWOM. Companies now are responding quickly to their customers’ problems and managing their brand image through extensive delivery of post purchase services to loyal customers and regular customers analyzing open forum research of social media. The research will aid in future how mediating variable EWOM mediates customer purchase intension in some point of credibility on online market, consumer adaptation, brand reliability, and conducting peer group influence to buy products and receive services. This research examined how EWOM lead the market through variable mentioned in the paper.","container-title":"Journal of Posthumanism","DOI":"10.33182/joph.v5i1.3398","ISSN":"2634-3584, 2634-3576","issue":"1","journalAbbreviation":"JoPH","license":"https://creativecommons.org/licenses/by-nc-nd/4.0","page":"54-75","source":"DOI.org (Crossref)","title":"Examining the Impact of the Influential Factors of Customer Purchase Intentions: The Mediating Role of Electronic Word-of-Mouth","title-short":"Examining the Impact of the Influential Factors of Customer Purchase Intentions","volume":"5","author":[{"family":"Amin","given":"Al"}],"issued":{"date-parts":[["2025",1,27]]}}}],"schema":"https://github.com/citation-style-language/schema/raw/master/csl-citation.json"} </w:instrText>
      </w:r>
      <w:r w:rsidR="0040033D">
        <w:rPr>
          <w:rFonts w:ascii="Arial" w:hAnsi="Arial" w:cs="Arial"/>
        </w:rPr>
        <w:fldChar w:fldCharType="separate"/>
      </w:r>
      <w:r w:rsidR="0040033D" w:rsidRPr="0040033D">
        <w:rPr>
          <w:rFonts w:ascii="Arial" w:hAnsi="Arial" w:cs="Arial"/>
        </w:rPr>
        <w:t>(Amin, 2025)</w:t>
      </w:r>
      <w:r w:rsidR="0040033D">
        <w:rPr>
          <w:rFonts w:ascii="Arial" w:hAnsi="Arial" w:cs="Arial"/>
        </w:rPr>
        <w:fldChar w:fldCharType="end"/>
      </w:r>
      <w:r w:rsidRPr="00634E74">
        <w:rPr>
          <w:rFonts w:ascii="Arial" w:hAnsi="Arial" w:cs="Arial"/>
        </w:rPr>
        <w:t xml:space="preserve">. </w:t>
      </w:r>
      <w:r w:rsidR="00C36DB4">
        <w:t>EWOM strongly influences purchase intentions in Bangladesh, as its social influence, emotional connection, and credibility shape consumer decisions in today’s digital environment.</w:t>
      </w:r>
    </w:p>
    <w:p w14:paraId="1BDDE610" w14:textId="149AACC0" w:rsidR="00634E74" w:rsidRPr="00634E74" w:rsidRDefault="00634E74" w:rsidP="00634E74">
      <w:pPr>
        <w:pStyle w:val="Body"/>
        <w:rPr>
          <w:rFonts w:ascii="Arial" w:hAnsi="Arial" w:cs="Arial"/>
          <w:b/>
          <w:bCs/>
        </w:rPr>
      </w:pPr>
      <w:r w:rsidRPr="00634E74">
        <w:rPr>
          <w:rFonts w:ascii="Arial" w:hAnsi="Arial" w:cs="Arial"/>
          <w:b/>
          <w:bCs/>
        </w:rPr>
        <w:t>2.2 Development of Conceptual Framework</w:t>
      </w:r>
    </w:p>
    <w:p w14:paraId="1BDDEECD" w14:textId="75D4D5AF" w:rsidR="00634E74" w:rsidRDefault="00C36DB4" w:rsidP="00634E74">
      <w:pPr>
        <w:pStyle w:val="Body"/>
        <w:spacing w:after="0"/>
        <w:rPr>
          <w:rFonts w:ascii="Arial" w:hAnsi="Arial" w:cs="Arial"/>
        </w:rPr>
      </w:pPr>
      <w:r>
        <w:t xml:space="preserve">This study examines five key variables influencing social media’s impact on purchase intentions in Bangladesh: SMM, PI, BE, BT, and </w:t>
      </w:r>
      <w:proofErr w:type="spellStart"/>
      <w:r>
        <w:t>eWOM</w:t>
      </w:r>
      <w:proofErr w:type="spellEnd"/>
      <w:r>
        <w:t xml:space="preserve">. While prior research shows correlations among these variables, some are inverse. This study addresses gaps by exploring relationships among brand equity, brand trust, purchase intention, and </w:t>
      </w:r>
      <w:proofErr w:type="spellStart"/>
      <w:r>
        <w:t>eWOM</w:t>
      </w:r>
      <w:proofErr w:type="spellEnd"/>
      <w:r>
        <w:t xml:space="preserve">, finding that purchase intention is inversely related to </w:t>
      </w:r>
      <w:proofErr w:type="spellStart"/>
      <w:r>
        <w:t>eWOM</w:t>
      </w:r>
      <w:proofErr w:type="spellEnd"/>
      <w:r>
        <w:t xml:space="preserve"> in this context. The findings highlight the role of these factors in enhancing consumer engagement and business–customer interactions</w:t>
      </w:r>
      <w:r>
        <w:rPr>
          <w:rFonts w:ascii="Arial" w:hAnsi="Arial" w:cs="Arial"/>
        </w:rPr>
        <w:t xml:space="preserve"> </w:t>
      </w:r>
      <w:r w:rsidR="00E962A8">
        <w:rPr>
          <w:rFonts w:ascii="Arial" w:hAnsi="Arial" w:cs="Arial"/>
        </w:rPr>
        <w:fldChar w:fldCharType="begin"/>
      </w:r>
      <w:r w:rsidR="00E962A8">
        <w:rPr>
          <w:rFonts w:ascii="Arial" w:hAnsi="Arial" w:cs="Arial"/>
        </w:rPr>
        <w:instrText xml:space="preserve"> ADDIN ZOTERO_ITEM CSL_CITATION {"citationID":"SyTuwocs","properties":{"formattedCitation":"(Dwivedi et al., 2015)","plainCitation":"(Dwivedi et al., 2015)","noteIndex":0},"citationItems":[{"id":1194,"uris":["http://zotero.org/users/local/02HQEtik/items/L4SUSSHD"],"itemData":{"id":1194,"type":"article-journal","container-title":"The Marketing Review","DOI":"10.1362/146934715X14441363377999","ISSN":"1469347X","issue":"3","journalAbbreviation":"Mark. Rev.","language":"en","page":"289-309","source":"DOI.org (Crossref)","title":"Social media marketing and advertising","volume":"15","author":[{"family":"Dwivedi","given":"Yogesh K."},{"family":"Kapoor","given":"Kawaljeet Kaur"},{"family":"Chen","given":"Hsin"}],"issued":{"date-parts":[["2015",10,31]]}}}],"schema":"https://github.com/citation-style-language/schema/raw/master/csl-citation.json"} </w:instrText>
      </w:r>
      <w:r w:rsidR="00E962A8">
        <w:rPr>
          <w:rFonts w:ascii="Arial" w:hAnsi="Arial" w:cs="Arial"/>
        </w:rPr>
        <w:fldChar w:fldCharType="separate"/>
      </w:r>
      <w:r w:rsidR="00E962A8" w:rsidRPr="00E962A8">
        <w:rPr>
          <w:rFonts w:ascii="Arial" w:hAnsi="Arial" w:cs="Arial"/>
        </w:rPr>
        <w:t>(Dwivedi et al., 2015)</w:t>
      </w:r>
      <w:r w:rsidR="00E962A8">
        <w:rPr>
          <w:rFonts w:ascii="Arial" w:hAnsi="Arial" w:cs="Arial"/>
        </w:rPr>
        <w:fldChar w:fldCharType="end"/>
      </w:r>
      <w:r w:rsidR="00634E74" w:rsidRPr="00634E74">
        <w:rPr>
          <w:rFonts w:ascii="Arial" w:hAnsi="Arial" w:cs="Arial"/>
        </w:rPr>
        <w:t>. The knowledge of the effects or the links between variables is referred to as a research Framework.</w:t>
      </w:r>
    </w:p>
    <w:p w14:paraId="06659E2F" w14:textId="59C440A6" w:rsidR="00D45A87" w:rsidRDefault="001E36EE" w:rsidP="00D45A87">
      <w:pPr>
        <w:pStyle w:val="Body"/>
        <w:spacing w:after="0"/>
        <w:jc w:val="center"/>
        <w:rPr>
          <w:rFonts w:ascii="Arial" w:hAnsi="Arial" w:cs="Arial"/>
        </w:rPr>
      </w:pPr>
      <w:r w:rsidRPr="008B20AD">
        <w:rPr>
          <w:rFonts w:ascii="Times New Roman" w:hAnsi="Times New Roman"/>
          <w:noProof/>
        </w:rPr>
        <w:lastRenderedPageBreak/>
        <w:drawing>
          <wp:anchor distT="0" distB="0" distL="114300" distR="114300" simplePos="0" relativeHeight="251658240" behindDoc="0" locked="0" layoutInCell="1" allowOverlap="1" wp14:anchorId="080A8137" wp14:editId="54B04D89">
            <wp:simplePos x="0" y="0"/>
            <wp:positionH relativeFrom="column">
              <wp:posOffset>485002</wp:posOffset>
            </wp:positionH>
            <wp:positionV relativeFrom="paragraph">
              <wp:posOffset>192101</wp:posOffset>
            </wp:positionV>
            <wp:extent cx="4076700" cy="218132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val="0"/>
                        </a:ext>
                      </a:extLst>
                    </a:blip>
                    <a:srcRect l="7820" t="7189" r="1425" b="12831"/>
                    <a:stretch/>
                  </pic:blipFill>
                  <pic:spPr bwMode="auto">
                    <a:xfrm>
                      <a:off x="0" y="0"/>
                      <a:ext cx="4076700" cy="2181320"/>
                    </a:xfrm>
                    <a:prstGeom prst="rect">
                      <a:avLst/>
                    </a:prstGeom>
                    <a:ln>
                      <a:noFill/>
                    </a:ln>
                    <a:extLst>
                      <a:ext uri="{53640926-AAD7-44D8-BBD7-CCE9431645EC}">
                        <a14:shadowObscured xmlns:a14="http://schemas.microsoft.com/office/drawing/2010/main"/>
                      </a:ext>
                    </a:extLst>
                  </pic:spPr>
                </pic:pic>
              </a:graphicData>
            </a:graphic>
          </wp:anchor>
        </w:drawing>
      </w:r>
    </w:p>
    <w:p w14:paraId="5C30C8F2" w14:textId="77777777" w:rsidR="00634E74" w:rsidRDefault="00634E74" w:rsidP="00441B6F">
      <w:pPr>
        <w:pStyle w:val="Body"/>
        <w:spacing w:after="0"/>
        <w:rPr>
          <w:rFonts w:ascii="Arial" w:hAnsi="Arial" w:cs="Arial"/>
          <w:b/>
          <w:caps/>
          <w:sz w:val="22"/>
        </w:rPr>
      </w:pPr>
    </w:p>
    <w:p w14:paraId="339420DA" w14:textId="77777777" w:rsidR="00D45A87" w:rsidRPr="00D45A87" w:rsidRDefault="00D45A87" w:rsidP="00D45A87">
      <w:pPr>
        <w:pStyle w:val="Body"/>
        <w:rPr>
          <w:rFonts w:ascii="Arial" w:hAnsi="Arial" w:cs="Arial"/>
          <w:b/>
          <w:bCs/>
          <w:sz w:val="22"/>
          <w:szCs w:val="22"/>
        </w:rPr>
      </w:pPr>
      <w:r w:rsidRPr="00D45A87">
        <w:rPr>
          <w:rFonts w:ascii="Arial" w:hAnsi="Arial" w:cs="Arial"/>
          <w:b/>
          <w:bCs/>
          <w:sz w:val="22"/>
          <w:szCs w:val="22"/>
        </w:rPr>
        <w:t>2.3 Hypothesis Development</w:t>
      </w:r>
    </w:p>
    <w:p w14:paraId="2A98E7B4" w14:textId="0C8D8DC9" w:rsidR="00D45A87" w:rsidRDefault="00D45A87" w:rsidP="00D45A87">
      <w:pPr>
        <w:pStyle w:val="Body"/>
        <w:rPr>
          <w:rFonts w:ascii="Arial" w:hAnsi="Arial" w:cs="Arial"/>
          <w:b/>
          <w:bCs/>
        </w:rPr>
      </w:pPr>
      <w:r w:rsidRPr="00D45A87">
        <w:rPr>
          <w:rFonts w:ascii="Arial" w:hAnsi="Arial" w:cs="Arial"/>
          <w:b/>
          <w:bCs/>
        </w:rPr>
        <w:t>2.3.1 Effect of Social Media Marketing</w:t>
      </w:r>
      <w:r>
        <w:rPr>
          <w:rFonts w:ascii="Arial" w:hAnsi="Arial" w:cs="Arial"/>
          <w:b/>
          <w:bCs/>
        </w:rPr>
        <w:t xml:space="preserve"> </w:t>
      </w:r>
      <w:r w:rsidRPr="00D45A87">
        <w:rPr>
          <w:rFonts w:ascii="Arial" w:hAnsi="Arial" w:cs="Arial"/>
          <w:b/>
          <w:bCs/>
        </w:rPr>
        <w:t>(SMM) on Brand Equity</w:t>
      </w:r>
      <w:r>
        <w:rPr>
          <w:rFonts w:ascii="Arial" w:hAnsi="Arial" w:cs="Arial"/>
          <w:b/>
          <w:bCs/>
        </w:rPr>
        <w:t xml:space="preserve"> </w:t>
      </w:r>
      <w:r w:rsidRPr="00D45A87">
        <w:rPr>
          <w:rFonts w:ascii="Arial" w:hAnsi="Arial" w:cs="Arial"/>
          <w:b/>
          <w:bCs/>
        </w:rPr>
        <w:t>(BE).</w:t>
      </w:r>
    </w:p>
    <w:p w14:paraId="77F4D3EC" w14:textId="01169935" w:rsidR="00D45A87" w:rsidRPr="00D45A87" w:rsidRDefault="00D45A87" w:rsidP="00D45A87">
      <w:pPr>
        <w:pStyle w:val="Body"/>
        <w:rPr>
          <w:rFonts w:ascii="Arial" w:hAnsi="Arial" w:cs="Arial"/>
        </w:rPr>
      </w:pPr>
      <w:r w:rsidRPr="00D45A87">
        <w:rPr>
          <w:rFonts w:ascii="Arial" w:hAnsi="Arial" w:cs="Arial"/>
        </w:rPr>
        <w:t>One of the advertising strategies utilized by businesses to draw in customers is social media marketing</w:t>
      </w:r>
      <w:r w:rsidR="00C36DB4">
        <w:rPr>
          <w:rFonts w:ascii="Arial" w:hAnsi="Arial" w:cs="Arial"/>
        </w:rPr>
        <w:t xml:space="preserve"> </w:t>
      </w:r>
      <w:r w:rsidRPr="00D45A87">
        <w:rPr>
          <w:rFonts w:ascii="Arial" w:hAnsi="Arial" w:cs="Arial"/>
        </w:rPr>
        <w:t>(SMM). Images are used in SMM content to make it as visually appealing as possible. Quality provides advertising models to make it appear appealing to customers so they will buy from them</w:t>
      </w:r>
      <w:r w:rsidR="00DC1980">
        <w:rPr>
          <w:rFonts w:ascii="Arial" w:hAnsi="Arial" w:cs="Arial"/>
        </w:rPr>
        <w:t xml:space="preserve"> </w:t>
      </w:r>
      <w:r w:rsidR="00DC1980">
        <w:rPr>
          <w:rFonts w:ascii="Arial" w:hAnsi="Arial" w:cs="Arial"/>
        </w:rPr>
        <w:fldChar w:fldCharType="begin"/>
      </w:r>
      <w:r w:rsidR="00DC1980">
        <w:rPr>
          <w:rFonts w:ascii="Arial" w:hAnsi="Arial" w:cs="Arial"/>
        </w:rPr>
        <w:instrText xml:space="preserve"> ADDIN ZOTERO_ITEM CSL_CITATION {"citationID":"Njkkoxzo","properties":{"formattedCitation":"(Zollo et al., 2020)","plainCitation":"(Zollo et al., 2020)","noteIndex":0},"citationItems":[{"id":1251,"uris":["http://zotero.org/users/local/02HQEtik/items/UECJYCWD"],"itemData":{"id":1251,"type":"article-journal","container-title":"Journal of Business Research","DOI":"10.1016/j.jbusres.2020.05.001","ISSN":"01482963","journalAbbreviation":"Journal of Business Research","language":"en","page":"256-267","source":"DOI.org (Crossref)","title":"Unpacking the relationship between social media marketing and brand equity: The mediating role of consumers’ benefits and experience","title-short":"Unpacking the relationship between social media marketing and brand equity","volume":"117","author":[{"family":"Zollo","given":"Lamberto"},{"family":"Filieri","given":"Raffaele"},{"family":"Rialti","given":"Riccardo"},{"family":"Yoon","given":"Sukki"}],"issued":{"date-parts":[["2020",9]]}}}],"schema":"https://github.com/citation-style-language/schema/raw/master/csl-citation.json"} </w:instrText>
      </w:r>
      <w:r w:rsidR="00DC1980">
        <w:rPr>
          <w:rFonts w:ascii="Arial" w:hAnsi="Arial" w:cs="Arial"/>
        </w:rPr>
        <w:fldChar w:fldCharType="separate"/>
      </w:r>
      <w:r w:rsidR="00DC1980" w:rsidRPr="00DC1980">
        <w:rPr>
          <w:rFonts w:ascii="Arial" w:hAnsi="Arial" w:cs="Arial"/>
        </w:rPr>
        <w:t>(Zollo et al., 2020)</w:t>
      </w:r>
      <w:r w:rsidR="00DC1980">
        <w:rPr>
          <w:rFonts w:ascii="Arial" w:hAnsi="Arial" w:cs="Arial"/>
        </w:rPr>
        <w:fldChar w:fldCharType="end"/>
      </w:r>
      <w:r w:rsidRPr="00D45A87">
        <w:rPr>
          <w:rFonts w:ascii="Arial" w:hAnsi="Arial" w:cs="Arial"/>
        </w:rPr>
        <w:t xml:space="preserve">. Through social media marketing, the business can tell customers about brands and items that are sold with different features and advantages. This marketing procedure has to do with bringing up the brand or branding process so that customers can quickly recall it </w:t>
      </w:r>
      <w:r w:rsidR="00F30DE2">
        <w:rPr>
          <w:rFonts w:ascii="Arial" w:hAnsi="Arial" w:cs="Arial"/>
        </w:rPr>
        <w:fldChar w:fldCharType="begin"/>
      </w:r>
      <w:r w:rsidR="00F30DE2">
        <w:rPr>
          <w:rFonts w:ascii="Arial" w:hAnsi="Arial" w:cs="Arial"/>
        </w:rPr>
        <w:instrText xml:space="preserve"> ADDIN ZOTERO_ITEM CSL_CITATION {"citationID":"Wj9T2X4y","properties":{"formattedCitation":"(Kim &amp; Ko, 2012)","plainCitation":"(Kim &amp; Ko, 2012)","noteIndex":0},"citationItems":[{"id":1198,"uris":["http://zotero.org/users/local/02HQEtik/items/GRNI9VS8"],"itemData":{"id":1198,"type":"article-journal","container-title":"Journal of Business Research","DOI":"10.1016/j.jbusres.2011.10.014","ISSN":"01482963","issue":"10","journalAbbreviation":"Journal of Business Research","language":"en","license":"https://www.elsevier.com/tdm/userlicense/1.0/","page":"1480-1486","source":"DOI.org (Crossref)","title":"Do social media marketing activities enhance customer equity? An empirical study of luxury fashion brand","title-short":"Do social media marketing activities enhance customer equity?","volume":"65","author":[{"family":"Kim","given":"Angella J."},{"family":"Ko","given":"Eunju"}],"issued":{"date-parts":[["2012",10]]}}}],"schema":"https://github.com/citation-style-language/schema/raw/master/csl-citation.json"} </w:instrText>
      </w:r>
      <w:r w:rsidR="00F30DE2">
        <w:rPr>
          <w:rFonts w:ascii="Arial" w:hAnsi="Arial" w:cs="Arial"/>
        </w:rPr>
        <w:fldChar w:fldCharType="separate"/>
      </w:r>
      <w:r w:rsidR="00F30DE2" w:rsidRPr="00F30DE2">
        <w:rPr>
          <w:rFonts w:ascii="Arial" w:hAnsi="Arial" w:cs="Arial"/>
        </w:rPr>
        <w:t>(Kim &amp; Ko, 2012)</w:t>
      </w:r>
      <w:r w:rsidR="00F30DE2">
        <w:rPr>
          <w:rFonts w:ascii="Arial" w:hAnsi="Arial" w:cs="Arial"/>
        </w:rPr>
        <w:fldChar w:fldCharType="end"/>
      </w:r>
      <w:r w:rsidRPr="00D45A87">
        <w:rPr>
          <w:rFonts w:ascii="Arial" w:hAnsi="Arial" w:cs="Arial"/>
        </w:rPr>
        <w:t xml:space="preserve">. Social media marketing is thought to have the ability to inform customers about the presence of brands and products, especially by increasing brand equity and making them easier for consumers to recall. Informing the product brand through social media marketing can enhance the brand's perception </w:t>
      </w:r>
      <w:r w:rsidR="00915934">
        <w:rPr>
          <w:rFonts w:ascii="Arial" w:hAnsi="Arial" w:cs="Arial"/>
        </w:rPr>
        <w:fldChar w:fldCharType="begin"/>
      </w:r>
      <w:r w:rsidR="00915934">
        <w:rPr>
          <w:rFonts w:ascii="Arial" w:hAnsi="Arial" w:cs="Arial"/>
        </w:rPr>
        <w:instrText xml:space="preserve"> ADDIN ZOTERO_ITEM CSL_CITATION {"citationID":"ZakUce77","properties":{"formattedCitation":"(Wahyudi &amp; Parahiyanti, 2021)","plainCitation":"(Wahyudi &amp; Parahiyanti, 2021)","noteIndex":0},"citationItems":[{"id":1199,"uris":["http://zotero.org/users/local/02HQEtik/items/WGCX3P8F"],"itemData":{"id":1199,"type":"article-journal","abstract":"Social media has become a part of people's lives and an inseparable part of marketing strategies in the emerging digital era. This set of technologies creates new mechanisms and communication tools for companies to interact and engage with potential consumers. This study explores the effect of social media marketing (SMM) on satisfaction and consumer response through perceived value and brand equity. Based on an online survey of 325 users who follow smartphone brands on social media in Indonesia, data were collected and analyzed using partial least squares. The results show that SMM directly affects perceived value and brand equity and indirectly affects satisfaction and consumer response. This study emphasizes satisfaction and consumer response in responding to social media marketing by the company.","container-title":"International Journal of Multicultural and Multireligious Understanding","DOI":"10.18415/ijmmu.v8i12.3210","ISSN":"2364-5369","issue":"12","journalAbbreviation":"IJMMU","license":"http://creativecommons.org/licenses/by-nc-nd/4.0","page":"285","source":"DOI.org (Crossref)","title":"The Effect of Social Media Marketing to Satisfaction and Consumer Response: Examining the Roles of Perceived Value and Brand Equity as Mediation","title-short":"The Effect of Social Media Marketing to Satisfaction and Consumer Response","volume":"8","author":[{"family":"Wahyudi","given":"Handri Dian"},{"family":"Parahiyanti","given":"Cesya Rizkika"}],"issued":{"date-parts":[["2021",12,4]]}}}],"schema":"https://github.com/citation-style-language/schema/raw/master/csl-citation.json"} </w:instrText>
      </w:r>
      <w:r w:rsidR="00915934">
        <w:rPr>
          <w:rFonts w:ascii="Arial" w:hAnsi="Arial" w:cs="Arial"/>
        </w:rPr>
        <w:fldChar w:fldCharType="separate"/>
      </w:r>
      <w:r w:rsidR="00915934" w:rsidRPr="00915934">
        <w:rPr>
          <w:rFonts w:ascii="Arial" w:hAnsi="Arial" w:cs="Arial"/>
        </w:rPr>
        <w:t>(Wahyudi &amp; Parahiyanti, 2021)</w:t>
      </w:r>
      <w:r w:rsidR="00915934">
        <w:rPr>
          <w:rFonts w:ascii="Arial" w:hAnsi="Arial" w:cs="Arial"/>
        </w:rPr>
        <w:fldChar w:fldCharType="end"/>
      </w:r>
      <w:r w:rsidRPr="00D45A87">
        <w:rPr>
          <w:rFonts w:ascii="Arial" w:hAnsi="Arial" w:cs="Arial"/>
        </w:rPr>
        <w:t>.</w:t>
      </w:r>
    </w:p>
    <w:p w14:paraId="0672EB2A" w14:textId="77777777" w:rsidR="00D45A87" w:rsidRPr="00D45A87" w:rsidRDefault="00D45A87" w:rsidP="00D45A87">
      <w:pPr>
        <w:pStyle w:val="Body"/>
        <w:rPr>
          <w:rFonts w:ascii="Arial" w:hAnsi="Arial" w:cs="Arial"/>
        </w:rPr>
      </w:pPr>
      <w:r w:rsidRPr="00D45A87">
        <w:rPr>
          <w:rFonts w:ascii="Arial" w:hAnsi="Arial" w:cs="Arial"/>
        </w:rPr>
        <w:t>H1: SMM has a positive and indicative effect on BE.</w:t>
      </w:r>
    </w:p>
    <w:p w14:paraId="01B4696D" w14:textId="072FFD5A" w:rsidR="00D45A87" w:rsidRPr="00D45A87" w:rsidRDefault="00D45A87" w:rsidP="00D45A87">
      <w:pPr>
        <w:pStyle w:val="Body"/>
        <w:rPr>
          <w:rFonts w:ascii="Arial" w:hAnsi="Arial" w:cs="Arial"/>
          <w:b/>
          <w:bCs/>
        </w:rPr>
      </w:pPr>
      <w:r w:rsidRPr="00D45A87">
        <w:rPr>
          <w:rFonts w:ascii="Arial" w:hAnsi="Arial" w:cs="Arial"/>
          <w:b/>
          <w:bCs/>
        </w:rPr>
        <w:t xml:space="preserve">2.3.2 Effect of Brand Trust (BT) on Brand Equity (BE). </w:t>
      </w:r>
    </w:p>
    <w:p w14:paraId="013D32CC" w14:textId="245F7D3D" w:rsidR="00D45A87" w:rsidRPr="00C36DB4" w:rsidRDefault="00C36DB4" w:rsidP="00C36DB4">
      <w:pPr>
        <w:spacing w:before="100" w:beforeAutospacing="1" w:after="100" w:afterAutospacing="1"/>
        <w:jc w:val="both"/>
        <w:rPr>
          <w:rFonts w:ascii="Times New Roman" w:hAnsi="Times New Roman"/>
          <w:sz w:val="24"/>
          <w:szCs w:val="24"/>
        </w:rPr>
      </w:pPr>
      <w:r w:rsidRPr="00C36DB4">
        <w:rPr>
          <w:rFonts w:ascii="Arial" w:hAnsi="Arial" w:cs="Arial"/>
        </w:rPr>
        <w:t>Although brand trust is conceptually distinct from brand equity, research indicates that it directly influences brand equity. For instance, Coca-Cola’s investments in purified water facilities in developing countries benefit both local communities and the company’s brand reputation</w:t>
      </w:r>
      <w:r w:rsidRPr="00C36DB4">
        <w:rPr>
          <w:rFonts w:ascii="Times New Roman" w:hAnsi="Times New Roman"/>
        </w:rPr>
        <w:t xml:space="preserve"> </w:t>
      </w:r>
      <w:r w:rsidR="00662D77">
        <w:rPr>
          <w:rFonts w:ascii="Arial" w:hAnsi="Arial" w:cs="Arial"/>
        </w:rPr>
        <w:fldChar w:fldCharType="begin"/>
      </w:r>
      <w:r w:rsidR="00662D77">
        <w:rPr>
          <w:rFonts w:ascii="Arial" w:hAnsi="Arial" w:cs="Arial"/>
        </w:rPr>
        <w:instrText xml:space="preserve"> ADDIN ZOTERO_ITEM CSL_CITATION {"citationID":"9Qsbi3VS","properties":{"formattedCitation":"(Alden et al., 2006)","plainCitation":"(Alden et al., 2006)","noteIndex":0},"citationItems":[{"id":1201,"uris":["http://zotero.org/users/local/02HQEtik/items/STRHDU5N"],"itemData":{"id":1201,"type":"article-journal","container-title":"International Journal of Research in Marketing","DOI":"10.1016/j.ijresmar.2006.01.010","ISSN":"01678116","issue":"3","journalAbbreviation":"International Journal of Research in Marketing","language":"en","license":"https://www.elsevier.com/tdm/userlicense/1.0/","page":"227-239","source":"DOI.org (Crossref)","title":"Consumer attitudes toward marketplace globalization: Structure, antecedents and consequences","title-short":"Consumer attitudes toward marketplace globalization","volume":"23","author":[{"family":"Alden","given":"Dana L."},{"family":"Steenkamp","given":"Jan-Benedict E.M."},{"family":"Batra","given":"Rajeev"}],"issued":{"date-parts":[["2006",9]]}}}],"schema":"https://github.com/citation-style-language/schema/raw/master/csl-citation.json"} </w:instrText>
      </w:r>
      <w:r w:rsidR="00662D77">
        <w:rPr>
          <w:rFonts w:ascii="Arial" w:hAnsi="Arial" w:cs="Arial"/>
        </w:rPr>
        <w:fldChar w:fldCharType="separate"/>
      </w:r>
      <w:r w:rsidR="00662D77" w:rsidRPr="00662D77">
        <w:rPr>
          <w:rFonts w:ascii="Arial" w:hAnsi="Arial" w:cs="Arial"/>
        </w:rPr>
        <w:t>(Alden et al., 2006)</w:t>
      </w:r>
      <w:r w:rsidR="00662D77">
        <w:rPr>
          <w:rFonts w:ascii="Arial" w:hAnsi="Arial" w:cs="Arial"/>
        </w:rPr>
        <w:fldChar w:fldCharType="end"/>
      </w:r>
      <w:r w:rsidR="00D45A87" w:rsidRPr="00D45A87">
        <w:rPr>
          <w:rFonts w:ascii="Arial" w:hAnsi="Arial" w:cs="Arial"/>
        </w:rPr>
        <w:t xml:space="preserve">. </w:t>
      </w:r>
      <w:r>
        <w:rPr>
          <w:rFonts w:ascii="Arial" w:hAnsi="Arial" w:cs="Arial"/>
        </w:rPr>
        <w:t>T</w:t>
      </w:r>
      <w:r w:rsidR="00D45A87" w:rsidRPr="00D45A87">
        <w:rPr>
          <w:rFonts w:ascii="Arial" w:hAnsi="Arial" w:cs="Arial"/>
        </w:rPr>
        <w:t xml:space="preserve">he trust will possess a favorable effect on the equity of the brand </w:t>
      </w:r>
      <w:r w:rsidR="00EE7396">
        <w:rPr>
          <w:rFonts w:ascii="Arial" w:hAnsi="Arial" w:cs="Arial"/>
        </w:rPr>
        <w:fldChar w:fldCharType="begin"/>
      </w:r>
      <w:r w:rsidR="00EE7396">
        <w:rPr>
          <w:rFonts w:ascii="Arial" w:hAnsi="Arial" w:cs="Arial"/>
        </w:rPr>
        <w:instrText xml:space="preserve"> ADDIN ZOTERO_ITEM CSL_CITATION {"citationID":"tDZu4zWi","properties":{"formattedCitation":"(Khadim et al., 2018)","plainCitation":"(Khadim et al., 2018)","noteIndex":0},"citationItems":[{"id":1203,"uris":["http://zotero.org/users/local/02HQEtik/items/684NI9CT"],"itemData":{"id":1203,"type":"article-journal","abstract":"Social media is constantly changing the brand communication tools in the corporate world by playing a significant role in how consumers learn, research and share information about their brands. Similarly, brands are also using social media networks for the sponsorship and advertisement of their products and services to make sustaining relationships and developing trust with their customers. Hence, it is worth noticing to inspect the impact of social media communication, brand trust and equity on brand loyalty using different social media websites. Therefore, the primary aim of the study was to test the mediating role of Brand Trust (BT) and Brand equity (BE) in explaining the more pronounced impact of social media communication (FCSMC &amp; UGSMC) on Brand loyalty (BL). An online survey was conducted through social media forums (Facebook, Skype &amp;Twitter) to collect data from different top garment brands (Uniworth, Outfitters, Levi’s). The findings from the SEM Path analysis revealed a partial mediating role of BT and BE in the relationship between social media communication (FCSMC &amp; UGSMC) and BL. The findings help the brand managers and marketing professionals to understand consumer behavior about garment brand by not only social media communication, but by developing brand communities that increase trust and equity among customers. Also, the findings fill the gap in the existing literature by conclusively providing a significant model that incorporates both personal (BT &amp; BE) and social factors (FCSMC &amp; UGSMC) for improving brand loyalty for garment industry.","issue":"1","journalAbbreviation":"Academy of Strategic Management Journal","language":"en","source":"Zotero","title":"Revisiting Antecedents of Brand Loyalty: Impact of Perceived Social Media Communication with Brand Trust and Brand Equity as Mediators","volume":"17","author":[{"family":"Khadim","given":"Rizwan Ali"},{"family":"Hanan","given":"Mian Ahmad"},{"family":"Arshad","given":"Arooj"},{"family":"Saleem","given":"Noshina"},{"family":"Khadim","given":"Noman Ali"}],"issued":{"date-parts":[["2018"]]}}}],"schema":"https://github.com/citation-style-language/schema/raw/master/csl-citation.json"} </w:instrText>
      </w:r>
      <w:r w:rsidR="00EE7396">
        <w:rPr>
          <w:rFonts w:ascii="Arial" w:hAnsi="Arial" w:cs="Arial"/>
        </w:rPr>
        <w:fldChar w:fldCharType="separate"/>
      </w:r>
      <w:r w:rsidR="00EE7396" w:rsidRPr="00EE7396">
        <w:rPr>
          <w:rFonts w:ascii="Arial" w:hAnsi="Arial" w:cs="Arial"/>
        </w:rPr>
        <w:t>(Khadim et al., 2018)</w:t>
      </w:r>
      <w:r w:rsidR="00EE7396">
        <w:rPr>
          <w:rFonts w:ascii="Arial" w:hAnsi="Arial" w:cs="Arial"/>
        </w:rPr>
        <w:fldChar w:fldCharType="end"/>
      </w:r>
      <w:r w:rsidR="00D45A87" w:rsidRPr="00D45A87">
        <w:rPr>
          <w:rFonts w:ascii="Arial" w:hAnsi="Arial" w:cs="Arial"/>
        </w:rPr>
        <w:t xml:space="preserve">. Assuring openness and communication amongst community members, trust is essential to build long-term connections. According </w:t>
      </w:r>
      <w:r w:rsidR="00B11D64">
        <w:rPr>
          <w:rFonts w:ascii="Arial" w:hAnsi="Arial" w:cs="Arial"/>
        </w:rPr>
        <w:fldChar w:fldCharType="begin"/>
      </w:r>
      <w:r w:rsidR="00653441">
        <w:rPr>
          <w:rFonts w:ascii="Arial" w:hAnsi="Arial" w:cs="Arial"/>
        </w:rPr>
        <w:instrText xml:space="preserve"> ADDIN ZOTERO_ITEM CSL_CITATION {"citationID":"mdaahrdQ","properties":{"formattedCitation":"(Puspaningrum, 2020)","plainCitation":"(Puspaningrum, 2020)","dontUpdate":true,"noteIndex":0},"citationItems":[{"id":1204,"uris":["http://zotero.org/users/local/02HQEtik/items/TTZM58UG"],"itemData":{"id":1204,"type":"article-journal","container-title":"The Journal of Asian Finance, Economics and Business","DOI":"10.13106/JAFEB.2020.VOL7.NO12.951","issue":"12","page":"951-958","publisher":"Korea Distribution Science Association","source":"DOI.org (CSL JSON)","title":"Social Media Marketing and Brand Loyalty: The Role of Brand Trust","title-short":"Social Media Marketing and Brand Loyalty","volume":"7","author":[{"family":"Puspaningrum","given":"Astrid"}],"issued":{"date-parts":[["2020",12,30]]}}}],"schema":"https://github.com/citation-style-language/schema/raw/master/csl-citation.json"} </w:instrText>
      </w:r>
      <w:r w:rsidR="00B11D64">
        <w:rPr>
          <w:rFonts w:ascii="Arial" w:hAnsi="Arial" w:cs="Arial"/>
        </w:rPr>
        <w:fldChar w:fldCharType="separate"/>
      </w:r>
      <w:r w:rsidR="00B11D64" w:rsidRPr="00582DE8">
        <w:rPr>
          <w:rFonts w:ascii="Arial" w:hAnsi="Arial" w:cs="Arial"/>
        </w:rPr>
        <w:t xml:space="preserve">Puspaningrum </w:t>
      </w:r>
      <w:r w:rsidR="00B11D64">
        <w:rPr>
          <w:rFonts w:ascii="Arial" w:hAnsi="Arial" w:cs="Arial"/>
        </w:rPr>
        <w:t>(</w:t>
      </w:r>
      <w:r w:rsidR="00B11D64" w:rsidRPr="00582DE8">
        <w:rPr>
          <w:rFonts w:ascii="Arial" w:hAnsi="Arial" w:cs="Arial"/>
        </w:rPr>
        <w:t>2020)</w:t>
      </w:r>
      <w:r w:rsidR="00B11D64">
        <w:rPr>
          <w:rFonts w:ascii="Arial" w:hAnsi="Arial" w:cs="Arial"/>
        </w:rPr>
        <w:fldChar w:fldCharType="end"/>
      </w:r>
      <w:r w:rsidR="00D45A87" w:rsidRPr="00D45A87">
        <w:rPr>
          <w:rFonts w:ascii="Arial" w:hAnsi="Arial" w:cs="Arial"/>
        </w:rPr>
        <w:t xml:space="preserve">, </w:t>
      </w:r>
      <w:r w:rsidR="0006060D">
        <w:t>Brand trust facilitates the customer–brand exchange. In social media communities, positive associations with a brand are strengthened when customer confidence is high, leading to increased trust, commitment, and brand loyalty</w:t>
      </w:r>
      <w:r w:rsidR="0006060D">
        <w:rPr>
          <w:rFonts w:ascii="Arial" w:hAnsi="Arial" w:cs="Arial"/>
        </w:rPr>
        <w:t xml:space="preserve"> </w:t>
      </w:r>
      <w:r w:rsidR="00F11041">
        <w:rPr>
          <w:rFonts w:ascii="Arial" w:hAnsi="Arial" w:cs="Arial"/>
        </w:rPr>
        <w:fldChar w:fldCharType="begin"/>
      </w:r>
      <w:r w:rsidR="00F11041">
        <w:rPr>
          <w:rFonts w:ascii="Arial" w:hAnsi="Arial" w:cs="Arial"/>
        </w:rPr>
        <w:instrText xml:space="preserve"> ADDIN ZOTERO_ITEM CSL_CITATION {"citationID":"XgRC4I8q","properties":{"formattedCitation":"(Chavadi et al., 2023)","plainCitation":"(Chavadi et al., 2023)","noteIndex":0},"citationItems":[{"id":1206,"uris":["http://zotero.org/users/local/02HQEtik/items/JG82CE2Q"],"itemData":{"id":1206,"type":"article-journal","abstract":"Social media platforms help brands connect with their customers online, and a social media -based brand community (SMBBC) enable brand attachments to particular brands. These brand communities enhance consumer relationships, increase customer advocacy, discover customer problems, and generate unique product and marketing ideas.\n            In the context of Social Identity Theory and SOR framework (stimulus-organism-response), the present study explored the influence of customer-centric elements (the four relationships) on an online brand community that affect and provoke members’ conscious brains to get into action. The study further examines the impact of SMMBC on brand trust and brand equity variables (brand awareness, perceived quality, brand association and brand loyalty) and, consequently, on customer response (purchase intention, response to brand extension and willingness to pay a premium).\n            A self-administered online survey was conducted to collect data on all selected brands. The brands were selected using a stratified sampling method, and the stratum used was the number of fans following the brands. The top three brands with the highest fan following from 15 sectors were picked. The study selected 384 final responses after the data screening procedure. SPSS version 26 and AMOS graphics were used for testing hypothesised relationship.\n            Exploratory factor analysis (EFA) was conducted to ensure that the selected scale items were appropriately loaded, followed by measurement model’s reliability and validity testing using Confirmatory factor analysis (CFA). The findings of SEM analysis conclude that customer-centric elements are significant determinants of the online brand community. The results also confirmed that strengthening SMBBC leads to higher brand trust and positively influences all brand equity dimensions. In addition, the research study found that positive brand equity results in favourable consumer responses.\n            This study contributes theoretically to past studies on brand community and customer response, mainly in social media. The findings are helpful for managers to design and manage their online brand communities effectively and to elicit more positive responses.","container-title":"Vikalpa: The Journal for Decision Makers","DOI":"10.1177/02560909231172010","ISSN":"0256-0909, 2395-3799","issue":"2","journalAbbreviation":"Vikalpa: The Journal for Decision Makers","language":"en","page":"114-141","source":"DOI.org (Crossref)","title":"Modelling the Effects of Social Media–based Brand Communities on Brand Trust, Brand Equity and Consumer Response","volume":"48","author":[{"family":"Chavadi","given":"Chandan A."},{"family":"Sirothiya","given":"Monika"},{"family":"Menon","given":"Sindhu R."},{"family":"M R","given":"Vishwanatha"}],"issued":{"date-parts":[["2023",6]]}}}],"schema":"https://github.com/citation-style-language/schema/raw/master/csl-citation.json"} </w:instrText>
      </w:r>
      <w:r w:rsidR="00F11041">
        <w:rPr>
          <w:rFonts w:ascii="Arial" w:hAnsi="Arial" w:cs="Arial"/>
        </w:rPr>
        <w:fldChar w:fldCharType="separate"/>
      </w:r>
      <w:r w:rsidR="00F11041" w:rsidRPr="00F11041">
        <w:rPr>
          <w:rFonts w:ascii="Arial" w:hAnsi="Arial" w:cs="Arial"/>
        </w:rPr>
        <w:t>(Chavadi et al., 2023)</w:t>
      </w:r>
      <w:r w:rsidR="00F11041">
        <w:rPr>
          <w:rFonts w:ascii="Arial" w:hAnsi="Arial" w:cs="Arial"/>
        </w:rPr>
        <w:fldChar w:fldCharType="end"/>
      </w:r>
      <w:r w:rsidR="00D45A87" w:rsidRPr="00D45A87">
        <w:rPr>
          <w:rFonts w:ascii="Arial" w:hAnsi="Arial" w:cs="Arial"/>
        </w:rPr>
        <w:t>.</w:t>
      </w:r>
    </w:p>
    <w:p w14:paraId="23D2786E" w14:textId="77777777" w:rsidR="00D45A87" w:rsidRPr="00D45A87" w:rsidRDefault="00D45A87" w:rsidP="00D45A87">
      <w:pPr>
        <w:pStyle w:val="Body"/>
        <w:rPr>
          <w:rFonts w:ascii="Arial" w:hAnsi="Arial" w:cs="Arial"/>
        </w:rPr>
      </w:pPr>
      <w:r w:rsidRPr="00D45A87">
        <w:rPr>
          <w:rFonts w:ascii="Arial" w:hAnsi="Arial" w:cs="Arial"/>
        </w:rPr>
        <w:t>H2: BT has a positive and significant effect on BE.</w:t>
      </w:r>
    </w:p>
    <w:p w14:paraId="5C62E6E6" w14:textId="16865809" w:rsidR="00D45A87" w:rsidRPr="00D45A87" w:rsidRDefault="00D45A87" w:rsidP="00D45A87">
      <w:pPr>
        <w:pStyle w:val="Body"/>
        <w:rPr>
          <w:rFonts w:ascii="Arial" w:hAnsi="Arial" w:cs="Arial"/>
          <w:b/>
          <w:bCs/>
        </w:rPr>
      </w:pPr>
      <w:r w:rsidRPr="00D45A87">
        <w:rPr>
          <w:rFonts w:ascii="Arial" w:hAnsi="Arial" w:cs="Arial"/>
          <w:b/>
          <w:bCs/>
        </w:rPr>
        <w:t>2.3.3 Effect of Brand Equity</w:t>
      </w:r>
      <w:r>
        <w:rPr>
          <w:rFonts w:ascii="Arial" w:hAnsi="Arial" w:cs="Arial"/>
          <w:b/>
          <w:bCs/>
        </w:rPr>
        <w:t xml:space="preserve"> </w:t>
      </w:r>
      <w:r w:rsidRPr="00D45A87">
        <w:rPr>
          <w:rFonts w:ascii="Arial" w:hAnsi="Arial" w:cs="Arial"/>
          <w:b/>
          <w:bCs/>
        </w:rPr>
        <w:t>(BE) on Purchase Intention</w:t>
      </w:r>
      <w:r>
        <w:rPr>
          <w:rFonts w:ascii="Arial" w:hAnsi="Arial" w:cs="Arial"/>
          <w:b/>
          <w:bCs/>
        </w:rPr>
        <w:t xml:space="preserve"> </w:t>
      </w:r>
      <w:r w:rsidRPr="00D45A87">
        <w:rPr>
          <w:rFonts w:ascii="Arial" w:hAnsi="Arial" w:cs="Arial"/>
          <w:b/>
          <w:bCs/>
        </w:rPr>
        <w:t xml:space="preserve">(PI). </w:t>
      </w:r>
    </w:p>
    <w:p w14:paraId="5940F589" w14:textId="404D068F" w:rsidR="00D45A87" w:rsidRPr="00D45A87" w:rsidRDefault="00D45A87" w:rsidP="00D45A87">
      <w:pPr>
        <w:pStyle w:val="Body"/>
        <w:rPr>
          <w:rFonts w:ascii="Arial" w:hAnsi="Arial" w:cs="Arial"/>
        </w:rPr>
      </w:pPr>
      <w:r w:rsidRPr="00D45A87">
        <w:rPr>
          <w:rFonts w:ascii="Arial" w:hAnsi="Arial" w:cs="Arial"/>
        </w:rPr>
        <w:lastRenderedPageBreak/>
        <w:t xml:space="preserve">Even so, research has shown that brand equity can influence purchase intention in a number of situations </w:t>
      </w:r>
      <w:r w:rsidR="00BE1AAF">
        <w:rPr>
          <w:rFonts w:ascii="Arial" w:hAnsi="Arial" w:cs="Arial"/>
        </w:rPr>
        <w:fldChar w:fldCharType="begin"/>
      </w:r>
      <w:r w:rsidR="00BE1AAF">
        <w:rPr>
          <w:rFonts w:ascii="Arial" w:hAnsi="Arial" w:cs="Arial"/>
        </w:rPr>
        <w:instrText xml:space="preserve"> ADDIN ZOTERO_ITEM CSL_CITATION {"citationID":"wYwosqsT","properties":{"formattedCitation":"(Tharmi &amp; Senthilnathan, 2011)","plainCitation":"(Tharmi &amp; Senthilnathan, 2011)","noteIndex":0},"citationItems":[{"id":1208,"uris":["http://zotero.org/users/local/02HQEtik/items/8F9GAUU6"],"itemData":{"id":1208,"type":"article-journal","container-title":"SSRN Electronic Journal","DOI":"10.2139/ssrn.1935740","ISSN":"1556-5068","journalAbbreviation":"SSRN Journal","language":"en","source":"DOI.org (Crossref)","title":"The Relationship of Brand Equity to Purchase Intention","URL":"http://www.ssrn.com/abstract=1935740","author":[{"family":"Tharmi","given":"Uthayakumar"},{"family":"Senthilnathan","given":"Samithamby"}],"accessed":{"date-parts":[["2026",1,26]]},"issued":{"date-parts":[["2011"]]}}}],"schema":"https://github.com/citation-style-language/schema/raw/master/csl-citation.json"} </w:instrText>
      </w:r>
      <w:r w:rsidR="00BE1AAF">
        <w:rPr>
          <w:rFonts w:ascii="Arial" w:hAnsi="Arial" w:cs="Arial"/>
        </w:rPr>
        <w:fldChar w:fldCharType="separate"/>
      </w:r>
      <w:r w:rsidR="00BE1AAF" w:rsidRPr="00BE1AAF">
        <w:rPr>
          <w:rFonts w:ascii="Arial" w:hAnsi="Arial" w:cs="Arial"/>
        </w:rPr>
        <w:t>(Tharmi &amp; Senthilnathan, 2011)</w:t>
      </w:r>
      <w:r w:rsidR="00BE1AAF">
        <w:rPr>
          <w:rFonts w:ascii="Arial" w:hAnsi="Arial" w:cs="Arial"/>
        </w:rPr>
        <w:fldChar w:fldCharType="end"/>
      </w:r>
      <w:r w:rsidRPr="00D45A87">
        <w:rPr>
          <w:rFonts w:ascii="Arial" w:hAnsi="Arial" w:cs="Arial"/>
        </w:rPr>
        <w:t xml:space="preserve">. </w:t>
      </w:r>
      <w:r w:rsidR="0006060D">
        <w:t>Few studies have applied Aaker’s brand equity model to examine how its dimensions influence purchase intention. Brand awareness contributes to consumer decision-making by facilitating learning, evaluation, and choice, while brand associations form the basis for purchasing decisions. Existing literature defines brand loyalty both attitudinally, as consumers’ intent to remain loyal, and behaviorally, as reflected in actual purchase behavior. This study explores the potential relationships between purchase intentions and the dimensions of brand awareness, brand associations, perceived quality, and brand loyalty</w:t>
      </w:r>
      <w:r w:rsidR="0006060D">
        <w:rPr>
          <w:rFonts w:ascii="Arial" w:hAnsi="Arial" w:cs="Arial"/>
        </w:rPr>
        <w:t xml:space="preserve"> </w:t>
      </w:r>
      <w:r w:rsidR="008F5261">
        <w:rPr>
          <w:rFonts w:ascii="Arial" w:hAnsi="Arial" w:cs="Arial"/>
        </w:rPr>
        <w:fldChar w:fldCharType="begin"/>
      </w:r>
      <w:r w:rsidR="008F5261">
        <w:rPr>
          <w:rFonts w:ascii="Arial" w:hAnsi="Arial" w:cs="Arial"/>
        </w:rPr>
        <w:instrText xml:space="preserve"> ADDIN ZOTERO_ITEM CSL_CITATION {"citationID":"89uQB97x","properties":{"formattedCitation":"(Nandi &amp; Rakiv, 2020)","plainCitation":"(Nandi &amp; Rakiv, 2020)","noteIndex":0},"citationItems":[{"id":1210,"uris":["http://zotero.org/users/local/02HQEtik/items/EXQFK3CK"],"itemData":{"id":1210,"type":"article-journal","abstract":"This research paper aims to clarify the relationship between the influential factors and their impact on the intention of the customers to make a purchase from social media particularly Facebook in Bangladesh.From the literature review, a conceptual model has been established, which is followed by the multiple regression model.The collected data are analyzed using multiple regression analysis. Among the four independent variables three factors namely trust, perceived value and brand loyalty are founded to be influential at the 0.05 significance level and the remaining variable perceived risk has some impact on the purchase intention of the customers using social media but it is not as much influence as other three factors at this significance level.Although there are some researchers conducted to measure the impact of social media marketing, there is a rare study in the context of emerging economies like Bangladesh that tries to investigate the influential factors which ultimately drive customers to make purchases from Facebook pages in Bangladesh.This research proves to be helpful for retailers who are doing their marketing using social platforms in Bangladesh. As most of the people in Bangladesh are using Facebook, this study helps the retailers to understand which factors ultimately drive customers to make a purchase from the Facebook pages in Bangladesh.","container-title":"TIJAB (The International Journal of Applied Business)","DOI":"10.20473/tijab.V4.I2.2020.63-78","ISSN":"2599-0705","issue":"2","journalAbbreviation":"TIJAB","license":"http://creativecommons.org/licenses/by-nc-sa/4.0","page":"63","source":"DOI.org (Crossref)","title":"Antecedents of and Their Impact on Purchase Intention of Customers Purchasing through Social Media: An Empirical Research on Facebook in Bangladesh","title-short":"Antecedents of and Their Impact on Purchase Intention of Customers Purchasing through Social Media","volume":"4","author":[{"family":"Nandi","given":"Barnali"},{"family":"Rakiv","given":"Mohammad"}],"issued":{"date-parts":[["2020",11,17]]}}}],"schema":"https://github.com/citation-style-language/schema/raw/master/csl-citation.json"} </w:instrText>
      </w:r>
      <w:r w:rsidR="008F5261">
        <w:rPr>
          <w:rFonts w:ascii="Arial" w:hAnsi="Arial" w:cs="Arial"/>
        </w:rPr>
        <w:fldChar w:fldCharType="separate"/>
      </w:r>
      <w:r w:rsidR="008F5261" w:rsidRPr="008F5261">
        <w:rPr>
          <w:rFonts w:ascii="Arial" w:hAnsi="Arial" w:cs="Arial"/>
        </w:rPr>
        <w:t>(Nandi &amp; Rakiv, 2020)</w:t>
      </w:r>
      <w:r w:rsidR="008F5261">
        <w:rPr>
          <w:rFonts w:ascii="Arial" w:hAnsi="Arial" w:cs="Arial"/>
        </w:rPr>
        <w:fldChar w:fldCharType="end"/>
      </w:r>
      <w:r w:rsidRPr="00D45A87">
        <w:rPr>
          <w:rFonts w:ascii="Arial" w:hAnsi="Arial" w:cs="Arial"/>
        </w:rPr>
        <w:t>.</w:t>
      </w:r>
    </w:p>
    <w:p w14:paraId="2C186130" w14:textId="77777777" w:rsidR="00D45A87" w:rsidRPr="00D45A87" w:rsidRDefault="00D45A87" w:rsidP="00D45A87">
      <w:pPr>
        <w:pStyle w:val="Body"/>
        <w:rPr>
          <w:rFonts w:ascii="Arial" w:hAnsi="Arial" w:cs="Arial"/>
        </w:rPr>
      </w:pPr>
      <w:r w:rsidRPr="00D45A87">
        <w:rPr>
          <w:rFonts w:ascii="Arial" w:hAnsi="Arial" w:cs="Arial"/>
        </w:rPr>
        <w:t xml:space="preserve">H3: </w:t>
      </w:r>
      <w:proofErr w:type="gramStart"/>
      <w:r w:rsidRPr="00D45A87">
        <w:rPr>
          <w:rFonts w:ascii="Arial" w:hAnsi="Arial" w:cs="Arial"/>
        </w:rPr>
        <w:t>BE</w:t>
      </w:r>
      <w:proofErr w:type="gramEnd"/>
      <w:r w:rsidRPr="00D45A87">
        <w:rPr>
          <w:rFonts w:ascii="Arial" w:hAnsi="Arial" w:cs="Arial"/>
        </w:rPr>
        <w:t xml:space="preserve"> has a positive and significant effect on PI.</w:t>
      </w:r>
    </w:p>
    <w:p w14:paraId="3E552ECD" w14:textId="71343F74" w:rsidR="00D45A87" w:rsidRPr="00D45A87" w:rsidRDefault="00D45A87" w:rsidP="00D45A87">
      <w:pPr>
        <w:pStyle w:val="Body"/>
        <w:rPr>
          <w:rFonts w:ascii="Arial" w:hAnsi="Arial" w:cs="Arial"/>
          <w:b/>
          <w:bCs/>
        </w:rPr>
      </w:pPr>
      <w:r w:rsidRPr="00D45A87">
        <w:rPr>
          <w:rFonts w:ascii="Arial" w:hAnsi="Arial" w:cs="Arial"/>
          <w:b/>
          <w:bCs/>
        </w:rPr>
        <w:t>2.3.4 Effect of Brand Trust</w:t>
      </w:r>
      <w:r>
        <w:rPr>
          <w:rFonts w:ascii="Arial" w:hAnsi="Arial" w:cs="Arial"/>
          <w:b/>
          <w:bCs/>
        </w:rPr>
        <w:t xml:space="preserve"> </w:t>
      </w:r>
      <w:r w:rsidRPr="00D45A87">
        <w:rPr>
          <w:rFonts w:ascii="Arial" w:hAnsi="Arial" w:cs="Arial"/>
          <w:b/>
          <w:bCs/>
        </w:rPr>
        <w:t>(BT) on Purchase Intention</w:t>
      </w:r>
      <w:r>
        <w:rPr>
          <w:rFonts w:ascii="Arial" w:hAnsi="Arial" w:cs="Arial"/>
          <w:b/>
          <w:bCs/>
        </w:rPr>
        <w:t xml:space="preserve"> </w:t>
      </w:r>
      <w:r w:rsidRPr="00D45A87">
        <w:rPr>
          <w:rFonts w:ascii="Arial" w:hAnsi="Arial" w:cs="Arial"/>
          <w:b/>
          <w:bCs/>
        </w:rPr>
        <w:t>(PI).</w:t>
      </w:r>
    </w:p>
    <w:p w14:paraId="64F1496F" w14:textId="66018239" w:rsidR="00D45A87" w:rsidRPr="00D45A87" w:rsidRDefault="00D45A87" w:rsidP="00D45A87">
      <w:pPr>
        <w:pStyle w:val="Body"/>
        <w:rPr>
          <w:rFonts w:ascii="Arial" w:hAnsi="Arial" w:cs="Arial"/>
        </w:rPr>
      </w:pPr>
      <w:r w:rsidRPr="00D45A87">
        <w:rPr>
          <w:rFonts w:ascii="Arial" w:hAnsi="Arial" w:cs="Arial"/>
        </w:rPr>
        <w:t xml:space="preserve">Trust is a vital part of social relationships, and every interaction between the persons presupposes at least some level of trust </w:t>
      </w:r>
      <w:r w:rsidR="00353919">
        <w:rPr>
          <w:rFonts w:ascii="Arial" w:hAnsi="Arial" w:cs="Arial"/>
        </w:rPr>
        <w:fldChar w:fldCharType="begin"/>
      </w:r>
      <w:r w:rsidR="00353919">
        <w:rPr>
          <w:rFonts w:ascii="Arial" w:hAnsi="Arial" w:cs="Arial"/>
        </w:rPr>
        <w:instrText xml:space="preserve"> ADDIN ZOTERO_ITEM CSL_CITATION {"citationID":"hvG4Wzjr","properties":{"formattedCitation":"(Gopichandran &amp; Chetlapalli, 2013)","plainCitation":"(Gopichandran &amp; Chetlapalli, 2013)","noteIndex":0},"citationItems":[{"id":1212,"uris":["http://zotero.org/users/local/02HQEtik/items/P72MEQRD"],"itemData":{"id":1212,"type":"article-journal","abstract":"Background\n              Trust is a forward-looking covenant between the patient and the doctor where the patient optimistically accepts his/her vulnerability. Trust is known to improve the clinical outcomes.\n            \n            \n              Objectives\n              To explore the factors that determine patients’ trust in doctors and to segment the community based on factors which drive their trust.\n            \n            \n              Setting\n              Resource-poor urban and rural settings in Tamil Nadu, a state in southern India.\n            \n            \n              Participants\n              A questionnaire was administered to a sample of 625 adult community-dwelling respondents from four districts of Tamil Nadu, India, chosen by multistage sampling strategy.\n            \n            \n              Outcome measures\n              The outcomes were to understand the main domains of factors influencing trust in doctors and to segment the community based on which of these domains predominantly influenced their trust.\n            \n            \n              Results\n              Factor analysis revealed five main categories, namely, comfort with the doctor, doctor with personal involvement with the patient, behaviourally competent doctor, doctor with a simple appearance and culturally competent doctor, which explained 49.3% of the total variance. Using k-means cluster analysis the respondents were segmented into four groups, namely, those who have ‘comfort-based trust’, ‘emotionally assessed trust’, who were predominantly older and belonging to lower socioeconomic status, those who had ‘personal trust’, who were younger people from higher socioeconomic strata of the community and the group who had ‘objectively assessed trust’, who were younger women.\n            \n            \n              Conclusions\n              Trust in doctors seems to be influenced by the doctor's behaviuor, perceived comfort levels, personal involvement with the patient, and to a lesser extent by cultural competence and doctor's physical appearance. On the basis of these dimensions, the community can be segmented into distinct groups, and trust building can happen in a strategic manner which may lead to improvement in perceived quality of care.","container-title":"BMJ Open","DOI":"10.1136/bmjopen-2013-004115","ISSN":"2044-6055, 2044-6055","issue":"12","journalAbbreviation":"BMJ Open","language":"en","page":"e004115","source":"DOI.org (Crossref)","title":"Factors influencing trust in doctors: a community segmentation strategy for quality improvement in healthcare","title-short":"Factors influencing trust in doctors","volume":"3","author":[{"family":"Gopichandran","given":"Vijayaprasad"},{"family":"Chetlapalli","given":"Satish Kumar"}],"issued":{"date-parts":[["2013",12]]}}}],"schema":"https://github.com/citation-style-language/schema/raw/master/csl-citation.json"} </w:instrText>
      </w:r>
      <w:r w:rsidR="00353919">
        <w:rPr>
          <w:rFonts w:ascii="Arial" w:hAnsi="Arial" w:cs="Arial"/>
        </w:rPr>
        <w:fldChar w:fldCharType="separate"/>
      </w:r>
      <w:r w:rsidR="00353919" w:rsidRPr="00353919">
        <w:rPr>
          <w:rFonts w:ascii="Arial" w:hAnsi="Arial" w:cs="Arial"/>
        </w:rPr>
        <w:t>(Gopichandran &amp; Chetlapalli, 2013)</w:t>
      </w:r>
      <w:r w:rsidR="00353919">
        <w:rPr>
          <w:rFonts w:ascii="Arial" w:hAnsi="Arial" w:cs="Arial"/>
        </w:rPr>
        <w:fldChar w:fldCharType="end"/>
      </w:r>
      <w:r w:rsidRPr="00D45A87">
        <w:rPr>
          <w:rFonts w:ascii="Arial" w:hAnsi="Arial" w:cs="Arial"/>
        </w:rPr>
        <w:t>. Trust is also important in enabling the business to have a strong rapport between their customers and their brand</w:t>
      </w:r>
      <w:r w:rsidR="00214F7A">
        <w:rPr>
          <w:rFonts w:ascii="Arial" w:hAnsi="Arial" w:cs="Arial"/>
        </w:rPr>
        <w:t xml:space="preserve"> </w:t>
      </w:r>
      <w:r w:rsidR="00214F7A">
        <w:rPr>
          <w:rFonts w:ascii="Arial" w:hAnsi="Arial" w:cs="Arial"/>
        </w:rPr>
        <w:fldChar w:fldCharType="begin"/>
      </w:r>
      <w:r w:rsidR="00214F7A">
        <w:rPr>
          <w:rFonts w:ascii="Arial" w:hAnsi="Arial" w:cs="Arial"/>
        </w:rPr>
        <w:instrText xml:space="preserve"> ADDIN ZOTERO_ITEM CSL_CITATION {"citationID":"3Uj96xzi","properties":{"formattedCitation":"(Elliott &amp; Yannopoulou, 2007)","plainCitation":"(Elliott &amp; Yannopoulou, 2007)","noteIndex":0},"citationItems":[{"id":1214,"uris":["http://zotero.org/users/local/02HQEtik/items/7DT4WRN4"],"itemData":{"id":1214,"type":"article-journal","abstract":"Purpose\n              The paper seeks to explore empirically the lived experience of trust in consumer brands and to develop a model focusing on functional and symbolic brands.\n            \n            \n              Design/methodology/approach\n              The paper presents an exploratory, grounded theory approach and the study conducted in</w:instrText>
      </w:r>
      <w:r w:rsidR="00214F7A">
        <w:rPr>
          <w:rFonts w:ascii="Cambria Math" w:hAnsi="Cambria Math" w:cs="Cambria Math"/>
        </w:rPr>
        <w:instrText>‐</w:instrText>
      </w:r>
      <w:r w:rsidR="00214F7A">
        <w:rPr>
          <w:rFonts w:ascii="Arial" w:hAnsi="Arial" w:cs="Arial"/>
        </w:rPr>
        <w:instrText>depth interviews.\n            \n            \n              Findings\n              The findings reveal that when consumers are facing buying choices of functional brands that do not involve much risk and the price is low, familiarity is sufficient for their action. When risk and price levels increase, consumers seek a safe purchase choice regarding functional brands through confidence and dependability, while in the case of symbolic brands consumers have to trust the brand in order to make a purchase choice.\n            \n            \n              Research limitations/implications\n              By exploring the concept of trust within the consumer domain and in particular in relation to functional and symbolic brands, this study offers insights into an area that has received noticeably limited research up to today. Furthermore the development of the psychosocial model of trust in brands offers opportunities to theoreticians for further research regarding the factors that influence trust in each stage, as well as ways to restore or transfer trust when needed.\n            \n            \n              Practical implications\n              The study presents a tool to marketing practitioners, which will assist them in building and preserving long</w:instrText>
      </w:r>
      <w:r w:rsidR="00214F7A">
        <w:rPr>
          <w:rFonts w:ascii="Cambria Math" w:hAnsi="Cambria Math" w:cs="Cambria Math"/>
        </w:rPr>
        <w:instrText>‐</w:instrText>
      </w:r>
      <w:r w:rsidR="00214F7A">
        <w:rPr>
          <w:rFonts w:ascii="Arial" w:hAnsi="Arial" w:cs="Arial"/>
        </w:rPr>
        <w:instrText xml:space="preserve">term trusting customer relationships.\n            \n            \n              Originality/value\n              The value of our research lies in the development of a psychosocial model of trust in brands by drawing on both social theory and on the psychology of human relationships.","container-title":"European Journal of Marketing","DOI":"10.1108/03090560710773309","ISSN":"0309-0566","issue":"9/10","language":"en","license":"https://www.emerald.com/insight/site-policies","page":"988-998","source":"DOI.org (Crossref)","title":"The nature of trust in brands: a psychosocial model","title-short":"The nature of trust in brands","volume":"41","editor":[{"family":"Arnott","given":"David C."}],"author":[{"family":"Elliott","given":"Richard"},{"family":"Yannopoulou","given":"Natalia"}],"issued":{"date-parts":[["2007",9,25]]}}}],"schema":"https://github.com/citation-style-language/schema/raw/master/csl-citation.json"} </w:instrText>
      </w:r>
      <w:r w:rsidR="00214F7A">
        <w:rPr>
          <w:rFonts w:ascii="Arial" w:hAnsi="Arial" w:cs="Arial"/>
        </w:rPr>
        <w:fldChar w:fldCharType="separate"/>
      </w:r>
      <w:r w:rsidR="00214F7A" w:rsidRPr="00214F7A">
        <w:rPr>
          <w:rFonts w:ascii="Arial" w:hAnsi="Arial" w:cs="Arial"/>
        </w:rPr>
        <w:t>(Elliott &amp; Yannopoulou, 2007)</w:t>
      </w:r>
      <w:r w:rsidR="00214F7A">
        <w:rPr>
          <w:rFonts w:ascii="Arial" w:hAnsi="Arial" w:cs="Arial"/>
        </w:rPr>
        <w:fldChar w:fldCharType="end"/>
      </w:r>
      <w:r w:rsidRPr="00D45A87">
        <w:rPr>
          <w:rFonts w:ascii="Arial" w:hAnsi="Arial" w:cs="Arial"/>
        </w:rPr>
        <w:t xml:space="preserve">. Since the customers know that they can count on a trusted brand, trust becomes stronger and reduces uncertainty in case they become weak in an insecure situation </w:t>
      </w:r>
      <w:r w:rsidR="00FE00C5">
        <w:rPr>
          <w:rFonts w:ascii="Arial" w:hAnsi="Arial" w:cs="Arial"/>
        </w:rPr>
        <w:fldChar w:fldCharType="begin"/>
      </w:r>
      <w:r w:rsidR="00FE00C5">
        <w:rPr>
          <w:rFonts w:ascii="Arial" w:hAnsi="Arial" w:cs="Arial"/>
        </w:rPr>
        <w:instrText xml:space="preserve"> ADDIN ZOTERO_ITEM CSL_CITATION {"citationID":"406znm7Q","properties":{"formattedCitation":"(Keme\\uc0\\u231{} &amp; Kaya, 2021)","plainCitation":"(Kemeç &amp; Kaya, 2021)","noteIndex":0},"citationItems":[{"id":1215,"uris":["http://zotero.org/users/local/02HQEtik/items/H3YX5KAC"],"itemData":{"id":1215,"type":"article-journal","abstract":"Instagram is a social media platform which includes many influenc- er accounts that can affect the purchasing decisions of others. This study investigated the effect of influencer credibility on brand trust and purchase intention and the mediating role of brand trust between influencer credibility and purchase intention. Also, the difference in purchase intention according to the product category promoted by the influencer was examined. A structural equation model was tested us- ing data from 408 participants. The results revealed a significant and positive effect of influencers’ credibility on brand trust and purchase intention. Moreover, the mediation role of brand trust was confirmed. Lastly, it was determined that purchase intention changed according to product categories.","container-title":"Tüketici ve Tüketim Araştırmaları Dergisi","journalAbbreviation":"Tüketici ve Tüketim Araştırmaları Dergisi","page":"159-193","source":"ResearchGate","title":"The Relationships among Influencer Credibility, Brand Trust, and Purchase Intention: The Case of Instagram","title-short":"The Relationships among Influencer Credibility, Brand Trust, and Purchase Intention","volume":"13","author":[{"family":"Kemeç","given":"Umut"},{"family":"Kaya","given":"Hale"}],"issued":{"date-parts":[["2021",6,1]]}}}],"schema":"https://github.com/citation-style-language/schema/raw/master/csl-citation.json"} </w:instrText>
      </w:r>
      <w:r w:rsidR="00FE00C5">
        <w:rPr>
          <w:rFonts w:ascii="Arial" w:hAnsi="Arial" w:cs="Arial"/>
        </w:rPr>
        <w:fldChar w:fldCharType="separate"/>
      </w:r>
      <w:r w:rsidR="00FE00C5" w:rsidRPr="00FE00C5">
        <w:rPr>
          <w:rFonts w:ascii="Arial" w:hAnsi="Arial" w:cs="Arial"/>
        </w:rPr>
        <w:t>(Kemeç &amp; Kaya, 2021)</w:t>
      </w:r>
      <w:r w:rsidR="00FE00C5">
        <w:rPr>
          <w:rFonts w:ascii="Arial" w:hAnsi="Arial" w:cs="Arial"/>
        </w:rPr>
        <w:fldChar w:fldCharType="end"/>
      </w:r>
      <w:r w:rsidRPr="00D45A87">
        <w:rPr>
          <w:rFonts w:ascii="Arial" w:hAnsi="Arial" w:cs="Arial"/>
        </w:rPr>
        <w:t xml:space="preserve">. Brand trust is an implicit expectation of a customer towards an online service provider that they will fulfill their expectation of the quality level of service they are getting in interchange to their money. In addition, it is outlined as a changing process that attracts knowledge using previous experiences with a good or service. It is necessary to consider one of the most important issues when studying the behavior of consumers during the process of making purchases online </w:t>
      </w:r>
      <w:r w:rsidR="008010E3">
        <w:rPr>
          <w:rFonts w:ascii="Arial" w:hAnsi="Arial" w:cs="Arial"/>
        </w:rPr>
        <w:fldChar w:fldCharType="begin"/>
      </w:r>
      <w:r w:rsidR="008010E3">
        <w:rPr>
          <w:rFonts w:ascii="Arial" w:hAnsi="Arial" w:cs="Arial"/>
        </w:rPr>
        <w:instrText xml:space="preserve"> ADDIN ZOTERO_ITEM CSL_CITATION {"citationID":"LOdoraBP","properties":{"formattedCitation":"(Azhar et al., 2023)","plainCitation":"(Azhar et al., 2023)","noteIndex":0},"citationItems":[{"id":1150,"uris":["http://zotero.org/users/local/02HQEtik/items/QDS95ZIZ"],"itemData":{"id":1150,"type":"article-journal","abstract":"Abstract\n            The present study intends to unleash the influence of social media marketing (SMM) on purchase intention (PI), brand trust (BT) and brand loyalty (BL) in the setting of online travel booking websites. It also analyses the mediating effect of BT and BL in the relationship between SMM and PI. This study also examines the importance of trust and loyalty in the suggested model, which adds to the current research in this area. A self-administered questionnaire was employed to collect the data from the users of online travel booking websites, and the study rested upon 397 valid responses. Data were analyzed using partial least squares structural equation modeling (PLS-SEM) through Smart PLS v.3.2.6. The findings reveal that SMM has a favorable and substantial impact on BT and BL, influencing COVID-19 purchase intention. As per the findings, BT and BL's beneficial influence on the purchase intention of arranging travel on social media was discovered. Moreover, it was also confirmed from the results that BT and BL mediate the relationship between SMM and PI. Therefore, SMM significantly impacts online trip booking purchase intentions with increased BT and BL levels. Finally, several theoretical and managerial implications can be delineated from the findings of this study for industry and academia.","container-title":"Future Business Journal","DOI":"10.1186/s43093-023-00192-6","ISSN":"2314-7210","issue":"1","journalAbbreviation":"Futur Bus J","language":"en","page":"13","source":"DOI.org (Crossref)","title":"Effect of social media marketing on online travel purchase behavior post-COVID-19: mediating role of brand trust and brand loyalty","title-short":"Effect of social media marketing on online travel purchase behavior post-COVID-19","volume":"9","author":[{"family":"Azhar","given":"Mohd"},{"family":"Husain","given":"Rehan"},{"family":"Hamid","given":"Sheeba"},{"family":"Rahman","given":"Mohd Nayyer"}],"issued":{"date-parts":[["2023",3,28]]}}}],"schema":"https://github.com/citation-style-language/schema/raw/master/csl-citation.json"} </w:instrText>
      </w:r>
      <w:r w:rsidR="008010E3">
        <w:rPr>
          <w:rFonts w:ascii="Arial" w:hAnsi="Arial" w:cs="Arial"/>
        </w:rPr>
        <w:fldChar w:fldCharType="separate"/>
      </w:r>
      <w:r w:rsidR="008010E3" w:rsidRPr="008010E3">
        <w:rPr>
          <w:rFonts w:ascii="Arial" w:hAnsi="Arial" w:cs="Arial"/>
        </w:rPr>
        <w:t>(Azhar et al., 2023)</w:t>
      </w:r>
      <w:r w:rsidR="008010E3">
        <w:rPr>
          <w:rFonts w:ascii="Arial" w:hAnsi="Arial" w:cs="Arial"/>
        </w:rPr>
        <w:fldChar w:fldCharType="end"/>
      </w:r>
      <w:r w:rsidRPr="00D45A87">
        <w:rPr>
          <w:rFonts w:ascii="Arial" w:hAnsi="Arial" w:cs="Arial"/>
        </w:rPr>
        <w:t xml:space="preserve">. </w:t>
      </w:r>
    </w:p>
    <w:p w14:paraId="179B14CC" w14:textId="77777777" w:rsidR="00D45A87" w:rsidRPr="00D45A87" w:rsidRDefault="00D45A87" w:rsidP="00D45A87">
      <w:pPr>
        <w:pStyle w:val="Body"/>
        <w:rPr>
          <w:rFonts w:ascii="Arial" w:hAnsi="Arial" w:cs="Arial"/>
        </w:rPr>
      </w:pPr>
      <w:r w:rsidRPr="00D45A87">
        <w:rPr>
          <w:rFonts w:ascii="Arial" w:hAnsi="Arial" w:cs="Arial"/>
        </w:rPr>
        <w:t>H4: BT has a positive and significant effect on PI.</w:t>
      </w:r>
    </w:p>
    <w:p w14:paraId="3379980C" w14:textId="7A43E62D" w:rsidR="00D45A87" w:rsidRPr="00D45A87" w:rsidRDefault="00D45A87" w:rsidP="00D45A87">
      <w:pPr>
        <w:pStyle w:val="Body"/>
        <w:rPr>
          <w:rFonts w:ascii="Arial" w:hAnsi="Arial" w:cs="Arial"/>
          <w:b/>
          <w:bCs/>
        </w:rPr>
      </w:pPr>
      <w:r w:rsidRPr="00D45A87">
        <w:rPr>
          <w:rFonts w:ascii="Arial" w:hAnsi="Arial" w:cs="Arial"/>
          <w:b/>
          <w:bCs/>
        </w:rPr>
        <w:t>2.3.5 Effect of Social Media Marketing (SMM) on Purchase Intention</w:t>
      </w:r>
      <w:r>
        <w:rPr>
          <w:rFonts w:ascii="Arial" w:hAnsi="Arial" w:cs="Arial"/>
          <w:b/>
          <w:bCs/>
        </w:rPr>
        <w:t xml:space="preserve"> </w:t>
      </w:r>
      <w:r w:rsidRPr="00D45A87">
        <w:rPr>
          <w:rFonts w:ascii="Arial" w:hAnsi="Arial" w:cs="Arial"/>
          <w:b/>
          <w:bCs/>
        </w:rPr>
        <w:t>(PI)</w:t>
      </w:r>
    </w:p>
    <w:p w14:paraId="5ACAD834" w14:textId="7156BD76" w:rsidR="00D45A87" w:rsidRPr="00D45A87" w:rsidRDefault="00D45A87" w:rsidP="00D45A87">
      <w:pPr>
        <w:pStyle w:val="Body"/>
        <w:rPr>
          <w:rFonts w:ascii="Arial" w:hAnsi="Arial" w:cs="Arial"/>
        </w:rPr>
      </w:pPr>
      <w:r w:rsidRPr="00D45A87">
        <w:rPr>
          <w:rFonts w:ascii="Arial" w:hAnsi="Arial" w:cs="Arial"/>
        </w:rPr>
        <w:t xml:space="preserve">The relationships between these two dimensions must be explored so that we can develop a hypothesis on the impact of PI by the activity of social media marketing. SMM is the aspect of the brands being described as a strategic instrument through which they communicate with their viewers and make them aware of the brand, as well as eventually influence their behavior. The act of buying something of a specific product or service on purpose is what is known as a purchase intention </w:t>
      </w:r>
      <w:r w:rsidR="007D20EC">
        <w:rPr>
          <w:rFonts w:ascii="Arial" w:hAnsi="Arial" w:cs="Arial"/>
        </w:rPr>
        <w:fldChar w:fldCharType="begin"/>
      </w:r>
      <w:r w:rsidR="007D20EC">
        <w:rPr>
          <w:rFonts w:ascii="Arial" w:hAnsi="Arial" w:cs="Arial"/>
        </w:rPr>
        <w:instrText xml:space="preserve"> ADDIN ZOTERO_ITEM CSL_CITATION {"citationID":"J2bizzbX","properties":{"formattedCitation":"(Kumaradeepan et al., 2024)","plainCitation":"(Kumaradeepan et al., 2024)","noteIndex":0},"citationItems":[{"id":1219,"uris":["http://zotero.org/users/local/02HQEtik/items/RQ94Q6DP"],"itemData":{"id":1219,"type":"article-journal","abstract":"Social media plays a major role in the current business environment. There are considerable studies on social media that have been conducted globally. The objective of the research is to \ndraw a conceptual model of the social media factors affecting on Purchase intentions. Critical literature review has been done explore the conceptual model. Many theories of previous\nstudies have discussed and findings of the previous research has summarized under empirical review. Number of dimensions of social media marketing affect the purchase intention found\nand concluded as four dimensions which as mostly influencing factors of social media Entertainment, Trendiness, Interaction and Electronic Word of Mouth were derived from the literature and categorized subset of the dimensions as media attributes and media engagement","issue":"1","journalAbbreviation":"SEUSL Journal of Marketing","page":"11-23","source":"ResearchGate","title":"Social Media Attributes and Social Media Engagement on Purchase Intention: Concept Paper","title-short":"Social Media Attributes and Social Media Engagement on Purchase Intention","volume":"8","author":[{"family":"Kumaradeepan","given":"Vasanthakumar"},{"family":"Azam","given":"S."},{"family":"Tham","given":"Jacquline"}],"issued":{"date-parts":[["2024",8,10]]}}}],"schema":"https://github.com/citation-style-language/schema/raw/master/csl-citation.json"} </w:instrText>
      </w:r>
      <w:r w:rsidR="007D20EC">
        <w:rPr>
          <w:rFonts w:ascii="Arial" w:hAnsi="Arial" w:cs="Arial"/>
        </w:rPr>
        <w:fldChar w:fldCharType="separate"/>
      </w:r>
      <w:r w:rsidR="007D20EC" w:rsidRPr="007D20EC">
        <w:rPr>
          <w:rFonts w:ascii="Arial" w:hAnsi="Arial" w:cs="Arial"/>
        </w:rPr>
        <w:t>(Kumaradeepan et al., 2024)</w:t>
      </w:r>
      <w:r w:rsidR="007D20EC">
        <w:rPr>
          <w:rFonts w:ascii="Arial" w:hAnsi="Arial" w:cs="Arial"/>
        </w:rPr>
        <w:fldChar w:fldCharType="end"/>
      </w:r>
      <w:r w:rsidR="007D20EC">
        <w:rPr>
          <w:rFonts w:ascii="Arial" w:hAnsi="Arial" w:cs="Arial"/>
        </w:rPr>
        <w:t xml:space="preserve">. </w:t>
      </w:r>
      <w:r w:rsidRPr="00D45A87">
        <w:rPr>
          <w:rFonts w:ascii="Arial" w:hAnsi="Arial" w:cs="Arial"/>
        </w:rPr>
        <w:t>Social media sites enable companies to be in constant communication with users, pass information, and develop brand awareness. The more social media efforts have built brand awareness, the higher intention of buying.</w:t>
      </w:r>
    </w:p>
    <w:p w14:paraId="32D5268C" w14:textId="77777777" w:rsidR="00D45A87" w:rsidRPr="00D45A87" w:rsidRDefault="00D45A87" w:rsidP="00D45A87">
      <w:pPr>
        <w:pStyle w:val="Body"/>
        <w:rPr>
          <w:rFonts w:ascii="Arial" w:hAnsi="Arial" w:cs="Arial"/>
        </w:rPr>
      </w:pPr>
      <w:r w:rsidRPr="00D45A87">
        <w:rPr>
          <w:rFonts w:ascii="Arial" w:hAnsi="Arial" w:cs="Arial"/>
        </w:rPr>
        <w:t>H5: SMM has a positive and significant effect on PI.</w:t>
      </w:r>
    </w:p>
    <w:p w14:paraId="363492AA" w14:textId="746FF800" w:rsidR="00D45A87" w:rsidRPr="00D45A87" w:rsidRDefault="00D45A87" w:rsidP="00D45A87">
      <w:pPr>
        <w:pStyle w:val="Body"/>
        <w:rPr>
          <w:rFonts w:ascii="Arial" w:hAnsi="Arial" w:cs="Arial"/>
          <w:b/>
          <w:bCs/>
        </w:rPr>
      </w:pPr>
      <w:r w:rsidRPr="00D45A87">
        <w:rPr>
          <w:rFonts w:ascii="Arial" w:hAnsi="Arial" w:cs="Arial"/>
          <w:b/>
          <w:bCs/>
        </w:rPr>
        <w:t>2.3.6 Effect of Electronic Word of Mouth (EWOM) on Purchase Intention</w:t>
      </w:r>
      <w:r>
        <w:rPr>
          <w:rFonts w:ascii="Arial" w:hAnsi="Arial" w:cs="Arial"/>
          <w:b/>
          <w:bCs/>
        </w:rPr>
        <w:t xml:space="preserve"> </w:t>
      </w:r>
      <w:r w:rsidRPr="00D45A87">
        <w:rPr>
          <w:rFonts w:ascii="Arial" w:hAnsi="Arial" w:cs="Arial"/>
          <w:b/>
          <w:bCs/>
        </w:rPr>
        <w:t>(PI)</w:t>
      </w:r>
    </w:p>
    <w:p w14:paraId="19EB5A61" w14:textId="6B4BCA9A" w:rsidR="00D45A87" w:rsidRPr="00D45A87" w:rsidRDefault="00D45A87" w:rsidP="00D45A87">
      <w:pPr>
        <w:pStyle w:val="Body"/>
        <w:rPr>
          <w:rFonts w:ascii="Arial" w:hAnsi="Arial" w:cs="Arial"/>
        </w:rPr>
      </w:pPr>
      <w:r w:rsidRPr="00D45A87">
        <w:rPr>
          <w:rFonts w:ascii="Arial" w:hAnsi="Arial" w:cs="Arial"/>
        </w:rPr>
        <w:t xml:space="preserve">Customers' PI can be more successful when EWOM communication messages help them feel less apprehensive about businesses and items </w:t>
      </w:r>
      <w:r w:rsidR="002D5681">
        <w:rPr>
          <w:rFonts w:ascii="Arial" w:hAnsi="Arial" w:cs="Arial"/>
        </w:rPr>
        <w:fldChar w:fldCharType="begin"/>
      </w:r>
      <w:r w:rsidR="002D5681">
        <w:rPr>
          <w:rFonts w:ascii="Arial" w:hAnsi="Arial" w:cs="Arial"/>
        </w:rPr>
        <w:instrText xml:space="preserve"> ADDIN ZOTERO_ITEM CSL_CITATION {"citationID":"9qXTVMpi","properties":{"formattedCitation":"(Kala &amp; Chaubey, 2018)","plainCitation":"(Kala &amp; Chaubey, 2018)","noteIndex":0},"citationItems":[{"id":1221,"uris":["http://zotero.org/users/local/02HQEtik/items/3PPPVCVW"],"itemData":{"id":1221,"type":"article-journal","container-title":"International Journal of Services, Economics and Management","DOI":"10.1504/IJSEM.2018.096077","ISSN":"1753-0822, 1753-0830","issue":"2","journalAbbreviation":"IJSEM","language":"en","page":"143","source":"DOI.org (Crossref)","title":"The effect of eWOM communication on brand image and purchase intention towards lifestyle products in India","volume":"9","author":[{"family":"Kala","given":"Devkant"},{"family":"Chaubey","given":"D.S."}],"issued":{"date-parts":[["2018"]]}}}],"schema":"https://github.com/citation-style-language/schema/raw/master/csl-citation.json"} </w:instrText>
      </w:r>
      <w:r w:rsidR="002D5681">
        <w:rPr>
          <w:rFonts w:ascii="Arial" w:hAnsi="Arial" w:cs="Arial"/>
        </w:rPr>
        <w:fldChar w:fldCharType="separate"/>
      </w:r>
      <w:r w:rsidR="002D5681" w:rsidRPr="002D5681">
        <w:rPr>
          <w:rFonts w:ascii="Arial" w:hAnsi="Arial" w:cs="Arial"/>
        </w:rPr>
        <w:t>(Kala &amp; Chaubey, 2018)</w:t>
      </w:r>
      <w:r w:rsidR="002D5681">
        <w:rPr>
          <w:rFonts w:ascii="Arial" w:hAnsi="Arial" w:cs="Arial"/>
        </w:rPr>
        <w:fldChar w:fldCharType="end"/>
      </w:r>
      <w:r w:rsidRPr="00D45A87">
        <w:rPr>
          <w:rFonts w:ascii="Arial" w:hAnsi="Arial" w:cs="Arial"/>
        </w:rPr>
        <w:t>. However, since it helps customers decide how to make a purchase, EWOM messages are considered a very important resource. According to earlier research</w:t>
      </w:r>
      <w:r w:rsidR="005358E6">
        <w:rPr>
          <w:rFonts w:ascii="Arial" w:hAnsi="Arial" w:cs="Arial"/>
        </w:rPr>
        <w:t xml:space="preserve"> of </w:t>
      </w:r>
      <w:r w:rsidR="005803C4">
        <w:rPr>
          <w:rFonts w:ascii="Arial" w:hAnsi="Arial" w:cs="Arial"/>
        </w:rPr>
        <w:fldChar w:fldCharType="begin"/>
      </w:r>
      <w:r w:rsidR="00653441">
        <w:rPr>
          <w:rFonts w:ascii="Arial" w:hAnsi="Arial" w:cs="Arial"/>
        </w:rPr>
        <w:instrText xml:space="preserve"> ADDIN ZOTERO_ITEM CSL_CITATION {"citationID":"xLJS6NV6","properties":{"formattedCitation":"(Kala &amp; Chaubey, 2018)","plainCitation":"(Kala &amp; Chaubey, 2018)","dontUpdate":true,"noteIndex":0},"citationItems":[{"id":1221,"uris":["http://zotero.org/users/local/02HQEtik/items/3PPPVCVW"],"itemData":{"id":1221,"type":"article-journal","container-title":"International Journal of Services, Economics and Management","DOI":"10.1504/IJSEM.2018.096077","ISSN":"1753-0822, 1753-0830","issue":"2","journalAbbreviation":"IJSEM","language":"en","page":"143","source":"DOI.org (Crossref)","title":"The effect of eWOM communication on brand image and purchase intention towards lifestyle products in India","volume":"9","author":[{"family":"Kala","given":"Devkant"},{"family":"Chaubey","given":"D.S."}],"issued":{"date-parts":[["2018"]]}}}],"schema":"https://github.com/citation-style-language/schema/raw/master/csl-citation.json"} </w:instrText>
      </w:r>
      <w:r w:rsidR="005803C4">
        <w:rPr>
          <w:rFonts w:ascii="Arial" w:hAnsi="Arial" w:cs="Arial"/>
        </w:rPr>
        <w:fldChar w:fldCharType="separate"/>
      </w:r>
      <w:r w:rsidR="005803C4" w:rsidRPr="005803C4">
        <w:rPr>
          <w:rFonts w:ascii="Arial" w:hAnsi="Arial" w:cs="Arial"/>
        </w:rPr>
        <w:t xml:space="preserve">Kala </w:t>
      </w:r>
      <w:r w:rsidR="005803C4">
        <w:rPr>
          <w:rFonts w:ascii="Arial" w:hAnsi="Arial" w:cs="Arial"/>
        </w:rPr>
        <w:t>and</w:t>
      </w:r>
      <w:r w:rsidR="005803C4" w:rsidRPr="005803C4">
        <w:rPr>
          <w:rFonts w:ascii="Arial" w:hAnsi="Arial" w:cs="Arial"/>
        </w:rPr>
        <w:t xml:space="preserve"> Chaubey </w:t>
      </w:r>
      <w:r w:rsidR="005803C4">
        <w:rPr>
          <w:rFonts w:ascii="Arial" w:hAnsi="Arial" w:cs="Arial"/>
        </w:rPr>
        <w:t>(</w:t>
      </w:r>
      <w:r w:rsidR="005803C4" w:rsidRPr="005803C4">
        <w:rPr>
          <w:rFonts w:ascii="Arial" w:hAnsi="Arial" w:cs="Arial"/>
        </w:rPr>
        <w:t>2018)</w:t>
      </w:r>
      <w:r w:rsidR="005803C4">
        <w:rPr>
          <w:rFonts w:ascii="Arial" w:hAnsi="Arial" w:cs="Arial"/>
        </w:rPr>
        <w:fldChar w:fldCharType="end"/>
      </w:r>
      <w:r w:rsidRPr="00D45A87">
        <w:rPr>
          <w:rFonts w:ascii="Arial" w:hAnsi="Arial" w:cs="Arial"/>
        </w:rPr>
        <w:t xml:space="preserve">, EWOM significantly improves consumers' PI which demonstrated how EWOM affects value co-creation and purchase intention, with consumers' positive social media postings, comments, and shares enhancing both buy intention and decision-making. The substantial influence of EWOM communication makes an effect on brand perception and purchase intention. </w:t>
      </w:r>
      <w:r w:rsidRPr="00D45A87">
        <w:rPr>
          <w:rFonts w:ascii="Arial" w:hAnsi="Arial" w:cs="Arial"/>
        </w:rPr>
        <w:lastRenderedPageBreak/>
        <w:t>Additionally, other related research have looked at how EWOM affects PI</w:t>
      </w:r>
      <w:r w:rsidR="00AD2B4E">
        <w:rPr>
          <w:rFonts w:ascii="Arial" w:hAnsi="Arial" w:cs="Arial"/>
        </w:rPr>
        <w:t xml:space="preserve"> </w:t>
      </w:r>
      <w:r w:rsidR="00AD2B4E">
        <w:rPr>
          <w:rFonts w:ascii="Arial" w:hAnsi="Arial" w:cs="Arial"/>
        </w:rPr>
        <w:fldChar w:fldCharType="begin"/>
      </w:r>
      <w:r w:rsidR="006B2403">
        <w:rPr>
          <w:rFonts w:ascii="Arial" w:hAnsi="Arial" w:cs="Arial"/>
        </w:rPr>
        <w:instrText xml:space="preserve"> ADDIN ZOTERO_ITEM CSL_CITATION {"citationID":"h2kXvhD5","properties":{"formattedCitation":"(Alrwashdeh et al., 2019b)","plainCitation":"(Alrwashdeh et al., 2019b)","dontUpdate":true,"noteIndex":0},"citationItems":[{"id":1177,"uris":["http://zotero.org/users/local/02HQEtik/items/MNTE6KKQ"],"itemData":{"id":1177,"type":"article-journal","container-title":"Management Science Letters","DOI":"10.5267/j.msl.2019.1.011","ISSN":"19239335, 19239343","journalAbbreviation":"10.5267/j.msl","page":"505-518","source":"DOI.org (Crossref)","title":"The effect of electronic word of mouth communication on purchase intention and brand image: An applicant smartphone brands in North Cyprus","title-short":"The effect of electronic word of mouth communication on purchase intention and brand image","author":[{"family":"Alrwashdeh","given":"Muneer"},{"family":"Emeagwali","given":"Okechukwu Lawrence"},{"family":"Aljuhmani","given":"Hasan Yousef"}],"issued":{"date-parts":[["2019"]]}}}],"schema":"https://github.com/citation-style-language/schema/raw/master/csl-citation.json"} </w:instrText>
      </w:r>
      <w:r w:rsidR="00AD2B4E">
        <w:rPr>
          <w:rFonts w:ascii="Arial" w:hAnsi="Arial" w:cs="Arial"/>
        </w:rPr>
        <w:fldChar w:fldCharType="separate"/>
      </w:r>
      <w:r w:rsidR="00AD2B4E" w:rsidRPr="00AD2B4E">
        <w:rPr>
          <w:rFonts w:ascii="Arial" w:hAnsi="Arial" w:cs="Arial"/>
        </w:rPr>
        <w:t>(Alrwashdeh et al., 2019)</w:t>
      </w:r>
      <w:r w:rsidR="00AD2B4E">
        <w:rPr>
          <w:rFonts w:ascii="Arial" w:hAnsi="Arial" w:cs="Arial"/>
        </w:rPr>
        <w:fldChar w:fldCharType="end"/>
      </w:r>
      <w:r w:rsidRPr="00D45A87">
        <w:rPr>
          <w:rFonts w:ascii="Arial" w:hAnsi="Arial" w:cs="Arial"/>
        </w:rPr>
        <w:t>.</w:t>
      </w:r>
    </w:p>
    <w:p w14:paraId="74F6EDD0" w14:textId="77777777" w:rsidR="00D45A87" w:rsidRPr="00D45A87" w:rsidRDefault="00D45A87" w:rsidP="00D45A87">
      <w:pPr>
        <w:pStyle w:val="Body"/>
        <w:rPr>
          <w:rFonts w:ascii="Arial" w:hAnsi="Arial" w:cs="Arial"/>
        </w:rPr>
      </w:pPr>
      <w:r w:rsidRPr="00D45A87">
        <w:rPr>
          <w:rFonts w:ascii="Arial" w:hAnsi="Arial" w:cs="Arial"/>
        </w:rPr>
        <w:t>H6: EWOM has a positive and significant effect on PI.</w:t>
      </w:r>
    </w:p>
    <w:p w14:paraId="400E35B4" w14:textId="13862413" w:rsidR="00D45A87" w:rsidRPr="00D45A87" w:rsidRDefault="00D45A87" w:rsidP="00D45A87">
      <w:pPr>
        <w:pStyle w:val="Body"/>
        <w:rPr>
          <w:rFonts w:ascii="Arial" w:hAnsi="Arial" w:cs="Arial"/>
          <w:b/>
          <w:bCs/>
        </w:rPr>
      </w:pPr>
      <w:r w:rsidRPr="00D45A87">
        <w:rPr>
          <w:rFonts w:ascii="Arial" w:hAnsi="Arial" w:cs="Arial"/>
          <w:b/>
          <w:bCs/>
        </w:rPr>
        <w:t>2.3.7 The mediating impact of Brand Equity</w:t>
      </w:r>
      <w:r>
        <w:rPr>
          <w:rFonts w:ascii="Arial" w:hAnsi="Arial" w:cs="Arial"/>
          <w:b/>
          <w:bCs/>
        </w:rPr>
        <w:t xml:space="preserve"> </w:t>
      </w:r>
      <w:r w:rsidRPr="00D45A87">
        <w:rPr>
          <w:rFonts w:ascii="Arial" w:hAnsi="Arial" w:cs="Arial"/>
          <w:b/>
          <w:bCs/>
        </w:rPr>
        <w:t>(BE) in the perspective of Social Media Marketing</w:t>
      </w:r>
      <w:r>
        <w:rPr>
          <w:rFonts w:ascii="Arial" w:hAnsi="Arial" w:cs="Arial"/>
          <w:b/>
          <w:bCs/>
        </w:rPr>
        <w:t xml:space="preserve"> </w:t>
      </w:r>
      <w:r w:rsidRPr="00D45A87">
        <w:rPr>
          <w:rFonts w:ascii="Arial" w:hAnsi="Arial" w:cs="Arial"/>
          <w:b/>
          <w:bCs/>
        </w:rPr>
        <w:t>(SMM) and Purchase Intention</w:t>
      </w:r>
      <w:r>
        <w:rPr>
          <w:rFonts w:ascii="Arial" w:hAnsi="Arial" w:cs="Arial"/>
          <w:b/>
          <w:bCs/>
        </w:rPr>
        <w:t xml:space="preserve"> </w:t>
      </w:r>
      <w:r w:rsidRPr="00D45A87">
        <w:rPr>
          <w:rFonts w:ascii="Arial" w:hAnsi="Arial" w:cs="Arial"/>
          <w:b/>
          <w:bCs/>
        </w:rPr>
        <w:t xml:space="preserve">(PI) </w:t>
      </w:r>
    </w:p>
    <w:p w14:paraId="7C2F1F04" w14:textId="289CE13F" w:rsidR="00D45A87" w:rsidRPr="00D45A87" w:rsidRDefault="00D45A87" w:rsidP="00D45A87">
      <w:pPr>
        <w:pStyle w:val="Body"/>
        <w:rPr>
          <w:rFonts w:ascii="Arial" w:hAnsi="Arial" w:cs="Arial"/>
        </w:rPr>
      </w:pPr>
      <w:r w:rsidRPr="00D45A87">
        <w:rPr>
          <w:rFonts w:ascii="Arial" w:hAnsi="Arial" w:cs="Arial"/>
        </w:rPr>
        <w:t>In this context, "Social Media Marketing (SMM)" describes products and services of marketing via social media platforms like FB and Instagram, TikTok, X (previously Twitter), and so on. Target audience's involvement, awareness, and interaction can all be facilitated by effective SMM</w:t>
      </w:r>
      <w:r w:rsidR="00C078AD">
        <w:rPr>
          <w:rFonts w:ascii="Arial" w:hAnsi="Arial" w:cs="Arial"/>
        </w:rPr>
        <w:t xml:space="preserve"> </w:t>
      </w:r>
      <w:r w:rsidR="00C078AD">
        <w:rPr>
          <w:rFonts w:ascii="Arial" w:hAnsi="Arial" w:cs="Arial"/>
        </w:rPr>
        <w:fldChar w:fldCharType="begin"/>
      </w:r>
      <w:r w:rsidR="00C078AD">
        <w:rPr>
          <w:rFonts w:ascii="Arial" w:hAnsi="Arial" w:cs="Arial"/>
        </w:rPr>
        <w:instrText xml:space="preserve"> ADDIN ZOTERO_ITEM CSL_CITATION {"citationID":"ZmLjedbT","properties":{"formattedCitation":"(Jamil et al., 2022)","plainCitation":"(Jamil et al., 2022)","noteIndex":0},"citationItems":[{"id":1224,"uris":["http://zotero.org/users/local/02HQEtik/items/XMAKPDN6"],"itemData":{"id":1224,"type":"article-journal","abstract":"The aim of this study is to explore social media marketing activities (SMMAs) and their impact on consumer intentions (continuance, participate, and purchase). This study also analyzes the mediating roles of social identification and satisfaction. The participants in this study were experienced users of two social media platforms Facebook and Instagram in Pakistan. A self-administered questionnaire was used to collect data from respondents. We used an online community to invite Facebook and Instagram users to complete the questionnaire in the designated online questionnaire system. Data were collected from 353 respondents, and structural equation modeling (SEM) was used to analyze the data. Results show that SMMAs have a significant impact on the intentions of users. Furthermore, social identification mediates the relationship between social media activities and satisfaction, and satisfaction mediates the relationship between social media activities and the intentions of users. This will help marketers how to attract customers to develop their intentions. This is the first novel study that used SMMAs to address the user intentions with the role of social identification and satisfaction in the context of Pakistan.","container-title":"Frontiers in Psychology","DOI":"10.3389/fpsyg.2021.808525","ISSN":"1664-1078","journalAbbreviation":"Front. Psychol.","page":"808525","source":"DOI.org (Crossref)","title":"Role of Social Media Marketing Activities in Influencing Customer Intentions: A Perspective of a New Emerging Era","title-short":"Role of Social Media Marketing Activities in Influencing Customer Intentions","volume":"12","author":[{"family":"Jamil","given":"Khalid"},{"family":"Dunnan","given":"Liu"},{"family":"Gul","given":"Rana Faizan"},{"family":"Shehzad","given":"Muhammad Usman"},{"family":"Gillani","given":"Syed Hussain Mustafa"},{"family":"Awan","given":"Fazal Hussain"}],"issued":{"date-parts":[["2022",1,17]]}}}],"schema":"https://github.com/citation-style-language/schema/raw/master/csl-citation.json"} </w:instrText>
      </w:r>
      <w:r w:rsidR="00C078AD">
        <w:rPr>
          <w:rFonts w:ascii="Arial" w:hAnsi="Arial" w:cs="Arial"/>
        </w:rPr>
        <w:fldChar w:fldCharType="separate"/>
      </w:r>
      <w:r w:rsidR="00C078AD" w:rsidRPr="00C078AD">
        <w:rPr>
          <w:rFonts w:ascii="Arial" w:hAnsi="Arial" w:cs="Arial"/>
        </w:rPr>
        <w:t>(Jamil et al., 2022)</w:t>
      </w:r>
      <w:r w:rsidR="00C078AD">
        <w:rPr>
          <w:rFonts w:ascii="Arial" w:hAnsi="Arial" w:cs="Arial"/>
        </w:rPr>
        <w:fldChar w:fldCharType="end"/>
      </w:r>
      <w:r w:rsidRPr="00D45A87">
        <w:rPr>
          <w:rFonts w:ascii="Arial" w:hAnsi="Arial" w:cs="Arial"/>
        </w:rPr>
        <w:t>. The term "purchase intention" describes a customer's purpose or inclination to buy a product or service. This suggests that you may be investigating how, through brand trust, initial intent leads to deeper elements that either strengthen or weaken the ultimate purchase decision</w:t>
      </w:r>
      <w:r w:rsidR="000B3B6B">
        <w:rPr>
          <w:rFonts w:ascii="Arial" w:hAnsi="Arial" w:cs="Arial"/>
        </w:rPr>
        <w:t xml:space="preserve"> </w:t>
      </w:r>
      <w:r w:rsidR="000B3B6B">
        <w:rPr>
          <w:rFonts w:ascii="Arial" w:hAnsi="Arial" w:cs="Arial"/>
        </w:rPr>
        <w:fldChar w:fldCharType="begin"/>
      </w:r>
      <w:r w:rsidR="000B3B6B">
        <w:rPr>
          <w:rFonts w:ascii="Arial" w:hAnsi="Arial" w:cs="Arial"/>
        </w:rPr>
        <w:instrText xml:space="preserve"> ADDIN ZOTERO_ITEM CSL_CITATION {"citationID":"Fyo3SIB7","properties":{"formattedCitation":"(Dam, 2020)","plainCitation":"(Dam, 2020)","noteIndex":0},"citationItems":[{"id":1226,"uris":["http://zotero.org/users/local/02HQEtik/items/CARNGP8C"],"itemData":{"id":1226,"type":"article-journal","container-title":"The Journal of Asian Finance, Economics and Business","DOI":"10.13106/JAFEB.2020.VOL7.NO10.939","issue":"10","page":"939-947","publisher":"Korea Distribution Science Association","source":"DOI.org (CSL JSON)","title":"Influence of Brand Trust, Perceived Value on Brand Preference and Purchase Intention","volume":"7","author":[{"family":"Dam","given":"Tri Cuong"}],"issued":{"date-parts":[["2020",10,30]]}}}],"schema":"https://github.com/citation-style-language/schema/raw/master/csl-citation.json"} </w:instrText>
      </w:r>
      <w:r w:rsidR="000B3B6B">
        <w:rPr>
          <w:rFonts w:ascii="Arial" w:hAnsi="Arial" w:cs="Arial"/>
        </w:rPr>
        <w:fldChar w:fldCharType="separate"/>
      </w:r>
      <w:r w:rsidR="000B3B6B" w:rsidRPr="000B3B6B">
        <w:rPr>
          <w:rFonts w:ascii="Arial" w:hAnsi="Arial" w:cs="Arial"/>
        </w:rPr>
        <w:t>(Dam, 2020)</w:t>
      </w:r>
      <w:r w:rsidR="000B3B6B">
        <w:rPr>
          <w:rFonts w:ascii="Arial" w:hAnsi="Arial" w:cs="Arial"/>
        </w:rPr>
        <w:fldChar w:fldCharType="end"/>
      </w:r>
      <w:r w:rsidRPr="00D45A87">
        <w:rPr>
          <w:rFonts w:ascii="Arial" w:hAnsi="Arial" w:cs="Arial"/>
        </w:rPr>
        <w:t>. Trust is important since it lowers the perceived risk of making a purchase from the business. Increased preference, loyalty, and eventually purchasing behavior are frequently the results</w:t>
      </w:r>
      <w:r w:rsidR="00917A99">
        <w:rPr>
          <w:rFonts w:ascii="Arial" w:hAnsi="Arial" w:cs="Arial"/>
        </w:rPr>
        <w:t xml:space="preserve"> </w:t>
      </w:r>
      <w:r w:rsidR="00917A99">
        <w:rPr>
          <w:rFonts w:ascii="Arial" w:hAnsi="Arial" w:cs="Arial"/>
        </w:rPr>
        <w:fldChar w:fldCharType="begin"/>
      </w:r>
      <w:r w:rsidR="00917A99">
        <w:rPr>
          <w:rFonts w:ascii="Arial" w:hAnsi="Arial" w:cs="Arial"/>
        </w:rPr>
        <w:instrText xml:space="preserve"> ADDIN ZOTERO_ITEM CSL_CITATION {"citationID":"A4STBbsN","properties":{"formattedCitation":"(Rachbini, 2018)","plainCitation":"(Rachbini, 2018)","noteIndex":0},"citationItems":[{"id":1228,"uris":["http://zotero.org/users/local/02HQEtik/items/8A7GXCJV"],"itemData":{"id":1228,"type":"article-journal","container-title":"International Journal of Advanced Research","DOI":"10.21474/IJAR01/6317","ISSN":"23205407","issue":"1","journalAbbreviation":"IJAR","page":"1036-1044","source":"DOI.org (Crossref)","title":"The Impact of Consumer Trust, Perceived Risk, Perceived Benefit on Purchase Intention and Purchase Decision.","volume":"6","author":[{"family":"Rachbini","given":"Widarto"}],"issued":{"date-parts":[["2018",1,31]]}}}],"schema":"https://github.com/citation-style-language/schema/raw/master/csl-citation.json"} </w:instrText>
      </w:r>
      <w:r w:rsidR="00917A99">
        <w:rPr>
          <w:rFonts w:ascii="Arial" w:hAnsi="Arial" w:cs="Arial"/>
        </w:rPr>
        <w:fldChar w:fldCharType="separate"/>
      </w:r>
      <w:r w:rsidR="00917A99" w:rsidRPr="00917A99">
        <w:rPr>
          <w:rFonts w:ascii="Arial" w:hAnsi="Arial" w:cs="Arial"/>
        </w:rPr>
        <w:t>(Rachbini, 2018)</w:t>
      </w:r>
      <w:r w:rsidR="00917A99">
        <w:rPr>
          <w:rFonts w:ascii="Arial" w:hAnsi="Arial" w:cs="Arial"/>
        </w:rPr>
        <w:fldChar w:fldCharType="end"/>
      </w:r>
      <w:r w:rsidRPr="00D45A87">
        <w:rPr>
          <w:rFonts w:ascii="Arial" w:hAnsi="Arial" w:cs="Arial"/>
        </w:rPr>
        <w:t>.</w:t>
      </w:r>
    </w:p>
    <w:p w14:paraId="36C5DA7C" w14:textId="77777777" w:rsidR="00D45A87" w:rsidRPr="00D45A87" w:rsidRDefault="00D45A87" w:rsidP="00D45A87">
      <w:pPr>
        <w:pStyle w:val="Body"/>
        <w:rPr>
          <w:rFonts w:ascii="Arial" w:hAnsi="Arial" w:cs="Arial"/>
        </w:rPr>
      </w:pPr>
      <w:r w:rsidRPr="00D45A87">
        <w:rPr>
          <w:rFonts w:ascii="Arial" w:hAnsi="Arial" w:cs="Arial"/>
        </w:rPr>
        <w:t xml:space="preserve">H7: </w:t>
      </w:r>
      <w:proofErr w:type="gramStart"/>
      <w:r w:rsidRPr="00D45A87">
        <w:rPr>
          <w:rFonts w:ascii="Arial" w:hAnsi="Arial" w:cs="Arial"/>
        </w:rPr>
        <w:t>BE</w:t>
      </w:r>
      <w:proofErr w:type="gramEnd"/>
      <w:r w:rsidRPr="00D45A87">
        <w:rPr>
          <w:rFonts w:ascii="Arial" w:hAnsi="Arial" w:cs="Arial"/>
        </w:rPr>
        <w:t xml:space="preserve"> has mediated the relationship between SMM and PI.</w:t>
      </w:r>
    </w:p>
    <w:p w14:paraId="5F5B8E9A" w14:textId="4CA28112" w:rsidR="00D45A87" w:rsidRPr="00D45A87" w:rsidRDefault="00D45A87" w:rsidP="00D45A87">
      <w:pPr>
        <w:pStyle w:val="Body"/>
        <w:rPr>
          <w:rFonts w:ascii="Arial" w:hAnsi="Arial" w:cs="Arial"/>
          <w:b/>
          <w:bCs/>
        </w:rPr>
      </w:pPr>
      <w:r w:rsidRPr="00D45A87">
        <w:rPr>
          <w:rFonts w:ascii="Arial" w:hAnsi="Arial" w:cs="Arial"/>
          <w:b/>
          <w:bCs/>
        </w:rPr>
        <w:t>2.3.8 The mediating role of Brand Equity</w:t>
      </w:r>
      <w:r>
        <w:rPr>
          <w:rFonts w:ascii="Arial" w:hAnsi="Arial" w:cs="Arial"/>
          <w:b/>
          <w:bCs/>
        </w:rPr>
        <w:t xml:space="preserve"> </w:t>
      </w:r>
      <w:r w:rsidRPr="00D45A87">
        <w:rPr>
          <w:rFonts w:ascii="Arial" w:hAnsi="Arial" w:cs="Arial"/>
          <w:b/>
          <w:bCs/>
        </w:rPr>
        <w:t>(BE) in the perspective of Brand Trust</w:t>
      </w:r>
      <w:r>
        <w:rPr>
          <w:rFonts w:ascii="Arial" w:hAnsi="Arial" w:cs="Arial"/>
          <w:b/>
          <w:bCs/>
        </w:rPr>
        <w:t xml:space="preserve"> </w:t>
      </w:r>
      <w:r w:rsidRPr="00D45A87">
        <w:rPr>
          <w:rFonts w:ascii="Arial" w:hAnsi="Arial" w:cs="Arial"/>
          <w:b/>
          <w:bCs/>
        </w:rPr>
        <w:t>(BT) and Purchase Intention</w:t>
      </w:r>
      <w:r>
        <w:rPr>
          <w:rFonts w:ascii="Arial" w:hAnsi="Arial" w:cs="Arial"/>
          <w:b/>
          <w:bCs/>
        </w:rPr>
        <w:t xml:space="preserve"> </w:t>
      </w:r>
      <w:r w:rsidRPr="00D45A87">
        <w:rPr>
          <w:rFonts w:ascii="Arial" w:hAnsi="Arial" w:cs="Arial"/>
          <w:b/>
          <w:bCs/>
        </w:rPr>
        <w:t>(PI)</w:t>
      </w:r>
    </w:p>
    <w:p w14:paraId="567A95B1" w14:textId="4B12429D" w:rsidR="00D45A87" w:rsidRPr="00D45A87" w:rsidRDefault="00D45A87" w:rsidP="00D45A87">
      <w:pPr>
        <w:pStyle w:val="Body"/>
        <w:rPr>
          <w:rFonts w:ascii="Arial" w:hAnsi="Arial" w:cs="Arial"/>
        </w:rPr>
      </w:pPr>
      <w:r w:rsidRPr="00D45A87">
        <w:rPr>
          <w:rFonts w:ascii="Arial" w:hAnsi="Arial" w:cs="Arial"/>
        </w:rPr>
        <w:t xml:space="preserve">Based on </w:t>
      </w:r>
      <w:r w:rsidR="00DF4A77">
        <w:rPr>
          <w:rFonts w:ascii="Arial" w:hAnsi="Arial" w:cs="Arial"/>
        </w:rPr>
        <w:fldChar w:fldCharType="begin"/>
      </w:r>
      <w:r w:rsidR="00653441">
        <w:rPr>
          <w:rFonts w:ascii="Arial" w:hAnsi="Arial" w:cs="Arial"/>
        </w:rPr>
        <w:instrText xml:space="preserve"> ADDIN ZOTERO_ITEM CSL_CITATION {"citationID":"fDywg4of","properties":{"formattedCitation":"(Hong et al., 2024)","plainCitation":"(Hong et al., 2024)","dontUpdate":true,"noteIndex":0},"citationItems":[{"id":1230,"uris":["http://zotero.org/users/local/02HQEtik/items/RR9ATILP"],"itemData":{"id":1230,"type":"article-journal","abstract":"ABSTRACT\n            Bayhead deltas form at the interface between fluvial and estuarine systems. As such, they are sensitive to processes operating in both the fluvial catchment and the marine realm, including past relative sea</w:instrText>
      </w:r>
      <w:r w:rsidR="00653441">
        <w:rPr>
          <w:rFonts w:ascii="Cambria Math" w:hAnsi="Cambria Math" w:cs="Cambria Math"/>
        </w:rPr>
        <w:instrText>‐</w:instrText>
      </w:r>
      <w:r w:rsidR="00653441">
        <w:rPr>
          <w:rFonts w:ascii="Arial" w:hAnsi="Arial" w:cs="Arial"/>
        </w:rPr>
        <w:instrText>level changes. The Nakdong valley is a small and confined incised valley containing a bayhead delta that provides a record of fluvial sediment input and accommodation changes. Based on a facies analysis that included 833 sediment textures and 118 optically stimulated luminescence and radiocarbon ages within five cores up to 70 m long, this study reconstructed the development of a fully filled bayhead delta in response to relative sea</w:instrText>
      </w:r>
      <w:r w:rsidR="00653441">
        <w:rPr>
          <w:rFonts w:ascii="Cambria Math" w:hAnsi="Cambria Math" w:cs="Cambria Math"/>
        </w:rPr>
        <w:instrText>‐</w:instrText>
      </w:r>
      <w:r w:rsidR="00653441">
        <w:rPr>
          <w:rFonts w:ascii="Arial" w:hAnsi="Arial" w:cs="Arial"/>
        </w:rPr>
        <w:instrText>level changes through the early to late Holocene. Sixteen facies are defined and grouped into eight facies associations: alluvial plain; fluvial channel and floodplain; oxidized fluvial channel; tidal flat; tidal bar; central basin and bayhead prodelta; bayhead delta front; and bayhead delta plain. The sequence stratigraphy of the Nakdong valley fill can be divided into three systems tracts: a lowstand systems tract, a transgressive systems tract and a highstand systems tract. Overall sedimentary analyses suggest six depositional stages corresponding to variations between sediment inputs and sea</w:instrText>
      </w:r>
      <w:r w:rsidR="00653441">
        <w:rPr>
          <w:rFonts w:ascii="Cambria Math" w:hAnsi="Cambria Math" w:cs="Cambria Math"/>
        </w:rPr>
        <w:instrText>‐</w:instrText>
      </w:r>
      <w:r w:rsidR="00653441">
        <w:rPr>
          <w:rFonts w:ascii="Arial" w:hAnsi="Arial" w:cs="Arial"/>
        </w:rPr>
        <w:instrText>level rise of the developing bayhead delta in the Nakdong valley. The depositional model tracks relative sea</w:instrText>
      </w:r>
      <w:r w:rsidR="00653441">
        <w:rPr>
          <w:rFonts w:ascii="Cambria Math" w:hAnsi="Cambria Math" w:cs="Cambria Math"/>
        </w:rPr>
        <w:instrText>‐</w:instrText>
      </w:r>
      <w:r w:rsidR="00653441">
        <w:rPr>
          <w:rFonts w:ascii="Arial" w:hAnsi="Arial" w:cs="Arial"/>
        </w:rPr>
        <w:instrText>level rise in the Nakdong valley after 12 ka during the early to late Holocene. These analyses on the Nakdong bayhead delta succession illustrate the balance between sediment inputs and periods of accelerating and decelerating relative sea</w:instrText>
      </w:r>
      <w:r w:rsidR="00653441">
        <w:rPr>
          <w:rFonts w:ascii="Cambria Math" w:hAnsi="Cambria Math" w:cs="Cambria Math"/>
        </w:rPr>
        <w:instrText>‐</w:instrText>
      </w:r>
      <w:r w:rsidR="00653441">
        <w:rPr>
          <w:rFonts w:ascii="Arial" w:hAnsi="Arial" w:cs="Arial"/>
        </w:rPr>
        <w:instrText>level rise during the Holocene. The architecture of the valley fill also records two abrupt disequilibrium events from 9 to 8 ka and 5 to 3 ka, likely resulting from rapid sea</w:instrText>
      </w:r>
      <w:r w:rsidR="00653441">
        <w:rPr>
          <w:rFonts w:ascii="Cambria Math" w:hAnsi="Cambria Math" w:cs="Cambria Math"/>
        </w:rPr>
        <w:instrText>‐</w:instrText>
      </w:r>
      <w:r w:rsidR="00653441">
        <w:rPr>
          <w:rFonts w:ascii="Arial" w:hAnsi="Arial" w:cs="Arial"/>
        </w:rPr>
        <w:instrText>level rise during the deglacial outburst flooding of the early Holocene and decreased sediment inputs during regional climatic changes associated with the middle Holocene, respectively.","container-title":"Sedimentology","DOI":"10.1111/sed.13203","ISSN":"0037-0746, 1365-3091","issue":"6","journalAbbreviation":"Sedimentology","language":"en","page":"2035-2065","source":"DOI.org (Crossref)","title":"Bayhead delta succession as a stratigraphic marker of sea</w:instrText>
      </w:r>
      <w:r w:rsidR="00653441">
        <w:rPr>
          <w:rFonts w:ascii="Cambria Math" w:hAnsi="Cambria Math" w:cs="Cambria Math"/>
        </w:rPr>
        <w:instrText>‐</w:instrText>
      </w:r>
      <w:r w:rsidR="00653441">
        <w:rPr>
          <w:rFonts w:ascii="Arial" w:hAnsi="Arial" w:cs="Arial"/>
        </w:rPr>
        <w:instrText>level changes during the early to late Holocene – the Nakdong valley of south</w:instrText>
      </w:r>
      <w:r w:rsidR="00653441">
        <w:rPr>
          <w:rFonts w:ascii="Cambria Math" w:hAnsi="Cambria Math" w:cs="Cambria Math"/>
        </w:rPr>
        <w:instrText>‐</w:instrText>
      </w:r>
      <w:r w:rsidR="00653441">
        <w:rPr>
          <w:rFonts w:ascii="Arial" w:hAnsi="Arial" w:cs="Arial"/>
        </w:rPr>
        <w:instrText>eastern Korea","volume":"71","author":[{"family":"Hong","given":"Seok</w:instrText>
      </w:r>
      <w:r w:rsidR="00653441">
        <w:rPr>
          <w:rFonts w:ascii="Cambria Math" w:hAnsi="Cambria Math" w:cs="Cambria Math"/>
        </w:rPr>
        <w:instrText>‐</w:instrText>
      </w:r>
      <w:r w:rsidR="00653441">
        <w:rPr>
          <w:rFonts w:ascii="Arial" w:hAnsi="Arial" w:cs="Arial"/>
        </w:rPr>
        <w:instrText>Hwi"},{"family":"Ryang","given":"Woo Hun"},{"family":"Yoo","given":"Dong</w:instrText>
      </w:r>
      <w:r w:rsidR="00653441">
        <w:rPr>
          <w:rFonts w:ascii="Cambria Math" w:hAnsi="Cambria Math" w:cs="Cambria Math"/>
        </w:rPr>
        <w:instrText>‐</w:instrText>
      </w:r>
      <w:r w:rsidR="00653441">
        <w:rPr>
          <w:rFonts w:ascii="Arial" w:hAnsi="Arial" w:cs="Arial"/>
        </w:rPr>
        <w:instrText>Geun"},{"family":"Simms","given":"Alexander R."},{"family":"Kim","given":"Jin Cheul"},{"family":"Lee","given":"Gwang</w:instrText>
      </w:r>
      <w:r w:rsidR="00653441">
        <w:rPr>
          <w:rFonts w:ascii="Cambria Math" w:hAnsi="Cambria Math" w:cs="Cambria Math"/>
        </w:rPr>
        <w:instrText>‐</w:instrText>
      </w:r>
      <w:r w:rsidR="00653441">
        <w:rPr>
          <w:rFonts w:ascii="Arial" w:hAnsi="Arial" w:cs="Arial"/>
        </w:rPr>
        <w:instrText xml:space="preserve">Soo"}],"issued":{"date-parts":[["2024",10]]}}}],"schema":"https://github.com/citation-style-language/schema/raw/master/csl-citation.json"} </w:instrText>
      </w:r>
      <w:r w:rsidR="00DF4A77">
        <w:rPr>
          <w:rFonts w:ascii="Arial" w:hAnsi="Arial" w:cs="Arial"/>
        </w:rPr>
        <w:fldChar w:fldCharType="separate"/>
      </w:r>
      <w:r w:rsidR="00DF4A77" w:rsidRPr="00DF4A77">
        <w:rPr>
          <w:rFonts w:ascii="Arial" w:hAnsi="Arial" w:cs="Arial"/>
        </w:rPr>
        <w:t xml:space="preserve">Hong et al., </w:t>
      </w:r>
      <w:r w:rsidR="00DF4A77">
        <w:rPr>
          <w:rFonts w:ascii="Arial" w:hAnsi="Arial" w:cs="Arial"/>
        </w:rPr>
        <w:t>(</w:t>
      </w:r>
      <w:r w:rsidR="00DF4A77" w:rsidRPr="00DF4A77">
        <w:rPr>
          <w:rFonts w:ascii="Arial" w:hAnsi="Arial" w:cs="Arial"/>
        </w:rPr>
        <w:t>2024)</w:t>
      </w:r>
      <w:r w:rsidR="00DF4A77">
        <w:rPr>
          <w:rFonts w:ascii="Arial" w:hAnsi="Arial" w:cs="Arial"/>
        </w:rPr>
        <w:fldChar w:fldCharType="end"/>
      </w:r>
      <w:r w:rsidRPr="00D45A87">
        <w:rPr>
          <w:rFonts w:ascii="Arial" w:hAnsi="Arial" w:cs="Arial"/>
        </w:rPr>
        <w:t>, the distinction in consumer preferences between two brands that offer identical products and services</w:t>
      </w:r>
      <w:r w:rsidR="00DF4A77">
        <w:rPr>
          <w:rFonts w:ascii="Arial" w:hAnsi="Arial" w:cs="Arial"/>
        </w:rPr>
        <w:t xml:space="preserve"> i</w:t>
      </w:r>
      <w:r w:rsidR="00DF4A77" w:rsidRPr="00D45A87">
        <w:rPr>
          <w:rFonts w:ascii="Arial" w:hAnsi="Arial" w:cs="Arial"/>
        </w:rPr>
        <w:t>n terms of brand equity</w:t>
      </w:r>
      <w:r w:rsidRPr="00D45A87">
        <w:rPr>
          <w:rFonts w:ascii="Arial" w:hAnsi="Arial" w:cs="Arial"/>
        </w:rPr>
        <w:t xml:space="preserve">. Using four parameters to gauge brand equity selecting the brand above competitors, favoring the brand over above competitors, choosing the brand over competitors with similar quality, and choosing the brand even in the presence of competitors with similar quality. Similar. According to </w:t>
      </w:r>
      <w:r w:rsidR="00222D38">
        <w:rPr>
          <w:rFonts w:ascii="Arial" w:hAnsi="Arial" w:cs="Arial"/>
        </w:rPr>
        <w:fldChar w:fldCharType="begin"/>
      </w:r>
      <w:r w:rsidR="00653441">
        <w:rPr>
          <w:rFonts w:ascii="Arial" w:hAnsi="Arial" w:cs="Arial"/>
        </w:rPr>
        <w:instrText xml:space="preserve"> ADDIN ZOTERO_ITEM CSL_CITATION {"citationID":"1amFLbZv","properties":{"formattedCitation":"(Wiangsamut &amp; Wiangsamut, 2023)","plainCitation":"(Wiangsamut &amp; Wiangsamut, 2023)","dontUpdate":true,"noteIndex":0},"citationItems":[{"id":1232,"uris":["http://zotero.org/users/local/02HQEtik/items/JLH5UINZ"],"itemData":{"id":1232,"type":"article-journal","abstract":"The study aimed to assess the natural fruit ripening duration, fruit quality, and consumer preference of 3 elite durian cultivars-‘Monthong’, ‘Musang King’, and ‘Ocee’-after harvest. From the day of harvest at maturity stage until the second day of the fresh fruits emitted aroma; ‘Monthong’ took 9 days for full ripening measured by the natural fruit ripening duration value significantly (p &lt; 0.05) longer by 4 days than of ‘Musang King’ and ‘Ocee’. This value indicated that the longer ripening duration, the longer storage life was. The flesh weight, percentage of flesh weight, and flesh thickness most significantly influenced fruit quality. ‘Monthong’ had significantly higher flesh weight, percentage of flesh weight, and thicker flesh (p &lt; 0.05) than ‘Musang King’ and ‘Ocee’. A questionnaire and interview guide were used to compare the sensory qualities (flesh smell and flesh taste) of the durian cultivars by 50 Thai consumers through smelling (mild, moderate, strong) and eating the flesh. Consumer preference was determined by eating the flesh and smelling each cultivar by the same 50 consumers and then chose the durian cultivar they mostly prefer. Consequently, consumers mostly preferred ‘Monthong’ (54 %) over ‘Musang King’ (28 %) and ‘Ocee’ (18 %) due to its mild aroma, mildly sweet taste, crispy but soft golden-yellow flesh. In conclusion, the significantly longer natural fruit ripening duration (or long storage life) of ‘Monthong’ plus its higher flesh weight, higher percentage of flesh weight, more flesh thickness, and consumers’ high preference are good indicators of its export quality-suitable for shipping fresh overland especially to China, top importer of Thailand. ‘Musang King’ and ‘Ocee’ had short ripening duration (or short storage life); ergo, poor export quality. Shipping by land, sea, and air, including packaging technology development, should then be studied further for the benefit of export market.\nHIGHLIGHTS\n\nThe natural fruit ripening duration of ‘Monthong’ cultivar was significantly longer than ‘Musang King’ and ‘Ocee’\nThe longer storage life of ‘Monthong’ cultivar, due to its higher flesh weight, percentage of flesh weight, and flesh thickness, is a good indicator of an export quality suitable for shipping fresh fruit overland\nBy means of smelling and eating the durian flesh by 50 Thai consumers, ‘Monthong’ was recorded to be the most preferred cultivar due to its mild aroma, mildly sweet taste, crispy outer but soft inner and golden-yellow colored flesh\n\nGRAPHICAL ABSTRACT","container-title":"Trends in Sciences","DOI":"10.48048/tis.2023.4647","ISSN":"2774-0226","issue":"5","journalAbbreviation":"Trends Sci","license":"https://creativecommons.org/licenses/by-nc-nd/4.0","page":"4647","source":"DOI.org (Crossref)","title":"Assessment of Natural Fruit Ripening and Fruit Quality of Three Elite Durian Cultivars for Overland Export","volume":"20","author":[{"family":"Wiangsamut","given":"Bancha"},{"family":"Wiangsamut","given":"Maria Evangeline Loyola"}],"issued":{"date-parts":[["2023",2,28]]}}}],"schema":"https://github.com/citation-style-language/schema/raw/master/csl-citation.json"} </w:instrText>
      </w:r>
      <w:r w:rsidR="00222D38">
        <w:rPr>
          <w:rFonts w:ascii="Arial" w:hAnsi="Arial" w:cs="Arial"/>
        </w:rPr>
        <w:fldChar w:fldCharType="separate"/>
      </w:r>
      <w:r w:rsidR="00222D38" w:rsidRPr="00222D38">
        <w:rPr>
          <w:rFonts w:ascii="Arial" w:hAnsi="Arial" w:cs="Arial"/>
        </w:rPr>
        <w:t xml:space="preserve">Wiangsamut </w:t>
      </w:r>
      <w:r w:rsidR="00222D38">
        <w:rPr>
          <w:rFonts w:ascii="Arial" w:hAnsi="Arial" w:cs="Arial"/>
        </w:rPr>
        <w:t>and</w:t>
      </w:r>
      <w:r w:rsidR="00222D38" w:rsidRPr="00222D38">
        <w:rPr>
          <w:rFonts w:ascii="Arial" w:hAnsi="Arial" w:cs="Arial"/>
        </w:rPr>
        <w:t xml:space="preserve"> Wiangsamut </w:t>
      </w:r>
      <w:r w:rsidR="00222D38">
        <w:rPr>
          <w:rFonts w:ascii="Arial" w:hAnsi="Arial" w:cs="Arial"/>
        </w:rPr>
        <w:t>(</w:t>
      </w:r>
      <w:r w:rsidR="00222D38" w:rsidRPr="00222D38">
        <w:rPr>
          <w:rFonts w:ascii="Arial" w:hAnsi="Arial" w:cs="Arial"/>
        </w:rPr>
        <w:t>2023)</w:t>
      </w:r>
      <w:r w:rsidR="00222D38">
        <w:rPr>
          <w:rFonts w:ascii="Arial" w:hAnsi="Arial" w:cs="Arial"/>
        </w:rPr>
        <w:fldChar w:fldCharType="end"/>
      </w:r>
      <w:r w:rsidR="00222D38">
        <w:rPr>
          <w:rFonts w:ascii="Arial" w:hAnsi="Arial" w:cs="Arial"/>
        </w:rPr>
        <w:t>,</w:t>
      </w:r>
      <w:r w:rsidRPr="00D45A87">
        <w:rPr>
          <w:rFonts w:ascii="Arial" w:hAnsi="Arial" w:cs="Arial"/>
        </w:rPr>
        <w:t xml:space="preserve"> consumers can </w:t>
      </w:r>
      <w:r w:rsidR="0006060D">
        <w:rPr>
          <w:rFonts w:ascii="Arial" w:hAnsi="Arial" w:cs="Arial"/>
        </w:rPr>
        <w:t xml:space="preserve">get </w:t>
      </w:r>
      <w:r w:rsidRPr="00D45A87">
        <w:rPr>
          <w:rFonts w:ascii="Arial" w:hAnsi="Arial" w:cs="Arial"/>
        </w:rPr>
        <w:t xml:space="preserve">benefit from brand equity in a number of ways, including helping them understand, process, and retain information about certain brands and goods, boosting their confidence when making decisions, and raising their level of satisfaction. </w:t>
      </w:r>
    </w:p>
    <w:p w14:paraId="0F940BDC" w14:textId="16924E37" w:rsidR="003F5AE9" w:rsidRPr="0006060D" w:rsidRDefault="00D45A87" w:rsidP="00D45A87">
      <w:pPr>
        <w:pStyle w:val="Body"/>
        <w:rPr>
          <w:rFonts w:ascii="Arial" w:hAnsi="Arial" w:cs="Arial"/>
        </w:rPr>
      </w:pPr>
      <w:r w:rsidRPr="00D45A87">
        <w:rPr>
          <w:rFonts w:ascii="Arial" w:hAnsi="Arial" w:cs="Arial"/>
        </w:rPr>
        <w:t>H8: Brand Equity has mediated the relationship between BT and PI.</w:t>
      </w:r>
    </w:p>
    <w:p w14:paraId="6305468F" w14:textId="59A44FBE" w:rsidR="00D45A87" w:rsidRPr="005E26F7" w:rsidRDefault="00D45A87" w:rsidP="00D45A87">
      <w:pPr>
        <w:pStyle w:val="Body"/>
        <w:rPr>
          <w:rFonts w:ascii="Arial" w:hAnsi="Arial" w:cs="Arial"/>
          <w:b/>
          <w:bCs/>
          <w:sz w:val="22"/>
          <w:szCs w:val="22"/>
        </w:rPr>
      </w:pPr>
      <w:r w:rsidRPr="005E26F7">
        <w:rPr>
          <w:rFonts w:ascii="Arial" w:hAnsi="Arial" w:cs="Arial"/>
          <w:b/>
          <w:bCs/>
          <w:sz w:val="22"/>
          <w:szCs w:val="22"/>
        </w:rPr>
        <w:t>3. Methodology</w:t>
      </w:r>
    </w:p>
    <w:p w14:paraId="26769406" w14:textId="77777777" w:rsidR="0006060D" w:rsidRPr="0006060D" w:rsidRDefault="0006060D" w:rsidP="00D45A87">
      <w:pPr>
        <w:pStyle w:val="Body"/>
        <w:rPr>
          <w:rFonts w:ascii="Arial" w:hAnsi="Arial" w:cs="Arial"/>
        </w:rPr>
      </w:pPr>
      <w:r w:rsidRPr="0006060D">
        <w:rPr>
          <w:rFonts w:ascii="Arial" w:hAnsi="Arial" w:cs="Arial"/>
        </w:rPr>
        <w:t>This study adopts a deductive approach, as it is based on an existing model that was further developed to establish the research framework. Given the known population, a non-probability sampling method was employed, alongside a quantitative approach to select target respondents representing the full population. Data were collected using an English-language questionnaire, structured into two sections: measurement items and demographic information. The questionnaire was reviewed and refined by an expert before formal data collection commenced.</w:t>
      </w:r>
    </w:p>
    <w:p w14:paraId="6B28D5FC" w14:textId="5A16598E" w:rsidR="00D45A87" w:rsidRPr="005E26F7" w:rsidRDefault="00D45A87" w:rsidP="00D45A87">
      <w:pPr>
        <w:pStyle w:val="Body"/>
        <w:rPr>
          <w:rFonts w:ascii="Arial" w:hAnsi="Arial" w:cs="Arial"/>
          <w:b/>
          <w:bCs/>
        </w:rPr>
      </w:pPr>
      <w:r w:rsidRPr="005E26F7">
        <w:rPr>
          <w:rFonts w:ascii="Arial" w:hAnsi="Arial" w:cs="Arial"/>
          <w:b/>
          <w:bCs/>
        </w:rPr>
        <w:t>3.1 Sampling Technique and Sample Size</w:t>
      </w:r>
    </w:p>
    <w:p w14:paraId="18A608BB" w14:textId="14949DBC" w:rsidR="00D45A87" w:rsidRPr="00D45A87" w:rsidRDefault="00D45A87" w:rsidP="00D45A87">
      <w:pPr>
        <w:pStyle w:val="Body"/>
        <w:rPr>
          <w:rFonts w:ascii="Arial" w:hAnsi="Arial" w:cs="Arial"/>
        </w:rPr>
      </w:pPr>
      <w:r w:rsidRPr="00D45A87">
        <w:rPr>
          <w:rFonts w:ascii="Arial" w:hAnsi="Arial" w:cs="Arial"/>
        </w:rPr>
        <w:t xml:space="preserve">The participants in this research were Bangladeshi consumers of online market. The target respondents were comprised of individuals from various socio-economic and cultural background. The target population is anticipated to consist of lot of users of online shopping. However, the sample frame identifying the target respondents was entirely unknown. Without a sampling frame, the use of random sampling is difficult for social science researchers. Moreover, since the sampling frame identifying the target group of respondents </w:t>
      </w:r>
      <w:r w:rsidRPr="00D45A87">
        <w:rPr>
          <w:rFonts w:ascii="Arial" w:hAnsi="Arial" w:cs="Arial"/>
        </w:rPr>
        <w:lastRenderedPageBreak/>
        <w:t xml:space="preserve">was entirely unknown, this paper utilized “Non-Probability Sampling” technique to choose the consumers of mobile payment in Bangladesh. In this study, purposive sampling was deemed to be the most suitable sampling technique since it increases the likelihood of acquiring reliable and accurate information regarding the topic under study. Additionally, it would enable the researchers to select respondents who are competent and knowledgeable to express their opinions about m-payment systems </w:t>
      </w:r>
      <w:r w:rsidR="009E28CB">
        <w:rPr>
          <w:rFonts w:ascii="Arial" w:hAnsi="Arial" w:cs="Arial"/>
        </w:rPr>
        <w:fldChar w:fldCharType="begin"/>
      </w:r>
      <w:r w:rsidR="009E28CB">
        <w:rPr>
          <w:rFonts w:ascii="Arial" w:hAnsi="Arial" w:cs="Arial"/>
        </w:rPr>
        <w:instrText xml:space="preserve"> ADDIN ZOTERO_ITEM CSL_CITATION {"citationID":"I5isUsbJ","properties":{"formattedCitation":"(Denzin &amp; Lincoln, 2008)","plainCitation":"(Denzin &amp; Lincoln, 2008)","noteIndex":0},"citationItems":[{"id":1234,"uris":["http://zotero.org/users/local/02HQEtik/items/ACLA2U9D"],"itemData":{"id":1234,"type":"book","abstract":"The Landscape of Qualitative Research, Third Edition, the first volume of the paperback versions of the The SAGE Handbook of Qualitative Research, Third Edition, takes a look at the field from a broadly theoretical perspective, and is composed of the Handbook's Parts I (“Locating the Field”), II (“Major Paradigms and Perspectives”), and VI (“The Future of Qualitative Research”). The Landscape of Qualitative Research, Third Edition attempts to put the field of qualitative research in context. Part I provides background on the field, starting with history, then action research and the academy, and the politics and ethics of qualitative research. Part II isolates what we regard as the major historical and contemporary paradigms now structuring and influencing qualitative research in the human disciplines. The chapters move from competing paradigms (positivist, post positivist, constructivist, critical theory) to specific interpretive perspectives, feminisms, racialized discourses, cultural studies, sexualities, and queer theory. Part III considers the future of qualitative research.New to the Third Edition • Contains a new Reader's Guide prepared by the editors that helps students and researchers navigate through the chapters,locating the different methodologies, methods, techniques, issues, and theories relevant to their work. • Presents an abbreviated Glossary of terms that offer students and researchers a ready resource to help decode the language of qualitative research. • Offers recommended Readings that provide readers with additional sources on specific topic areas linked to their research. Intended AudienceThis text is designed for graduate students taking classes in social research methods and qualitative methods as well as researchers throughout the social sciences and in some fields within the humanities.","ISBN":"978-1-4129-5758-8","language":"English","number-of-pages":"632","publisher":"Sage Publications, Inc","publisher-place":"Los Angeles","source":"Amazon","title":"The Landscape of Qualitative Research","editor":[{"family":"Denzin","given":"Norman K."},{"family":"Lincoln","given":"Yvonna S."}],"issued":{"date-parts":[["2008"]]}}}],"schema":"https://github.com/citation-style-language/schema/raw/master/csl-citation.json"} </w:instrText>
      </w:r>
      <w:r w:rsidR="009E28CB">
        <w:rPr>
          <w:rFonts w:ascii="Arial" w:hAnsi="Arial" w:cs="Arial"/>
        </w:rPr>
        <w:fldChar w:fldCharType="separate"/>
      </w:r>
      <w:r w:rsidR="009E28CB" w:rsidRPr="009E28CB">
        <w:rPr>
          <w:rFonts w:ascii="Arial" w:hAnsi="Arial" w:cs="Arial"/>
        </w:rPr>
        <w:t>(Denzin &amp; Lincoln, 2008)</w:t>
      </w:r>
      <w:r w:rsidR="009E28CB">
        <w:rPr>
          <w:rFonts w:ascii="Arial" w:hAnsi="Arial" w:cs="Arial"/>
        </w:rPr>
        <w:fldChar w:fldCharType="end"/>
      </w:r>
      <w:r w:rsidRPr="00D45A87">
        <w:rPr>
          <w:rFonts w:ascii="Arial" w:hAnsi="Arial" w:cs="Arial"/>
        </w:rPr>
        <w:t>. To better represent the population, we concentrated on a wider range of target respondents. The sample size was taken into consideration before the questionnaire survey was conducted</w:t>
      </w:r>
      <w:r w:rsidR="00FF2CE4">
        <w:rPr>
          <w:rFonts w:ascii="Arial" w:hAnsi="Arial" w:cs="Arial"/>
        </w:rPr>
        <w:t xml:space="preserve"> and</w:t>
      </w:r>
      <w:r w:rsidRPr="00D45A87">
        <w:rPr>
          <w:rFonts w:ascii="Arial" w:hAnsi="Arial" w:cs="Arial"/>
        </w:rPr>
        <w:t xml:space="preserve"> recommended that for a population size more than 10 million, the minimum sample size at 95% confidence level should be 460</w:t>
      </w:r>
      <w:r w:rsidR="00FF2CE4">
        <w:rPr>
          <w:rFonts w:ascii="Arial" w:hAnsi="Arial" w:cs="Arial"/>
        </w:rPr>
        <w:t xml:space="preserve"> </w:t>
      </w:r>
      <w:r w:rsidR="00FF2CE4">
        <w:rPr>
          <w:rFonts w:ascii="Arial" w:hAnsi="Arial" w:cs="Arial"/>
        </w:rPr>
        <w:fldChar w:fldCharType="begin"/>
      </w:r>
      <w:r w:rsidR="00FF2CE4">
        <w:rPr>
          <w:rFonts w:ascii="Arial" w:hAnsi="Arial" w:cs="Arial"/>
        </w:rPr>
        <w:instrText xml:space="preserve"> ADDIN ZOTERO_ITEM CSL_CITATION {"citationID":"LgWTgjRJ","properties":{"formattedCitation":"(Goodhue et al., 2012)","plainCitation":"(Goodhue et al., 2012)","noteIndex":0},"citationItems":[{"id":1236,"uris":["http://zotero.org/users/local/02HQEtik/items/C7M5IL9P"],"itemData":{"id":1236,"type":"article-journal","abstract":"In the Foreword to an MIS Quarterly Special Issue on PLS, the senior editors for the special issue noted that they rejected a number of papers because the authors attempted comparisons between results from PLS, multiple regression, and structural equation modeling (Marcoulides et al. 2009). They raised several issues they argued had to be taken into account to have legitimate comparison studies, supporting their position primarily by citing three authors: Dijkstra (1983), McDonald (1996), and Schneeweiss (1993). As researchers interested in conducting comparison studies, we read the Foreword carefully, but found it did not provide clear guidance on how to conduct “legitimate” comparisons. Nor did our reading of Dijksta, McDonald, and Schneeweiss raise any red flags about dangers in this kind of comparison research. We were concerned that instead of helping researchers to successfully engage in comparison research, the Foreword might end up discouraging that type of work, and might even be used incorrectly to reject legitimate comparison studies. This Issues and Opinions piece addresses the question of why one might conduct comparison studies, and gives an overview of the process of comparison research with a focus on what is required to make those comparisons legitimate. In addition, we explicitly address the issues raised by Marcoulides et al., to explore where they might (or might not) come into play when conducting or evaluating this type of study.","container-title":"MIS Quarterly","DOI":"10.2307/41703476","ISSN":"0276-7783, 2162-9730","issue":"3","language":"en","page":"703-716","source":"DOI.org (Crossref)","title":"Comparing PLS to Regression and LISREL: A Response to Marcoulides, Chin, and Saunders1","title-short":"Comparing PLS to Regression and LISREL","volume":"36","author":[{"family":"Goodhue","given":"Dale L."},{"family":"Lewis","given":"William"},{"family":"Thompson","given":"Ron"}],"issued":{"date-parts":[["2012",9,1]]}}}],"schema":"https://github.com/citation-style-language/schema/raw/master/csl-citation.json"} </w:instrText>
      </w:r>
      <w:r w:rsidR="00FF2CE4">
        <w:rPr>
          <w:rFonts w:ascii="Arial" w:hAnsi="Arial" w:cs="Arial"/>
        </w:rPr>
        <w:fldChar w:fldCharType="separate"/>
      </w:r>
      <w:r w:rsidR="00FF2CE4" w:rsidRPr="00FF2CE4">
        <w:rPr>
          <w:rFonts w:ascii="Arial" w:hAnsi="Arial" w:cs="Arial"/>
        </w:rPr>
        <w:t>(Goodhue et al., 2012)</w:t>
      </w:r>
      <w:r w:rsidR="00FF2CE4">
        <w:rPr>
          <w:rFonts w:ascii="Arial" w:hAnsi="Arial" w:cs="Arial"/>
        </w:rPr>
        <w:fldChar w:fldCharType="end"/>
      </w:r>
      <w:r w:rsidRPr="00D45A87">
        <w:rPr>
          <w:rFonts w:ascii="Arial" w:hAnsi="Arial" w:cs="Arial"/>
        </w:rPr>
        <w:t>. As the target population of this study is estimated. For this study, 384 respondents were considered as minimum required sample.</w:t>
      </w:r>
    </w:p>
    <w:p w14:paraId="34A99BDE" w14:textId="77777777" w:rsidR="00D45A87" w:rsidRPr="005E26F7" w:rsidRDefault="00D45A87" w:rsidP="00D45A87">
      <w:pPr>
        <w:pStyle w:val="Body"/>
        <w:rPr>
          <w:rFonts w:ascii="Arial" w:hAnsi="Arial" w:cs="Arial"/>
          <w:b/>
          <w:bCs/>
        </w:rPr>
      </w:pPr>
      <w:r w:rsidRPr="005E26F7">
        <w:rPr>
          <w:rFonts w:ascii="Arial" w:hAnsi="Arial" w:cs="Arial"/>
          <w:b/>
          <w:bCs/>
        </w:rPr>
        <w:t>3.2 Data Collection and Research Ethics</w:t>
      </w:r>
    </w:p>
    <w:p w14:paraId="69CD5462" w14:textId="77777777" w:rsidR="00D45A87" w:rsidRPr="00D45A87" w:rsidRDefault="00D45A87" w:rsidP="00D45A87">
      <w:pPr>
        <w:pStyle w:val="Body"/>
        <w:rPr>
          <w:rFonts w:ascii="Arial" w:hAnsi="Arial" w:cs="Arial"/>
        </w:rPr>
      </w:pPr>
      <w:r w:rsidRPr="00D45A87">
        <w:rPr>
          <w:rFonts w:ascii="Arial" w:hAnsi="Arial" w:cs="Arial"/>
        </w:rPr>
        <w:t xml:space="preserve">A structured survey was employed to collect all the data for conducting this research. The study utilized behavior as “Dependent Variable”, with behavioral intention serving as the “Mediating Variable”. In order to get the information both physical as well as online surveys were distributed. The survey timeframe spanned from May 1, 2024, to October 1, 2024. Online responses were recorded through using Google Forms, shared by digital platforms, social media, and email channels, while the printed questionnaires were handed out in person, with data immediately collected on-site from respondents. A total 600 questionnaires were distributed in which 200 were paper printed questionnaire and 400 were sent via Google form. From the 600 questionnaires 510 responses were collected from the respondent which is 85% of total questionnaire sent. Among the 510 responses 460 valid responses were used where the valid response rate is 90.20%. Due to the unwillingness to provide information, missing and incomplete data 50 responses were rejected. To evaluate the model and testing the hypothesis Structural equation modeling (SEM) was used. SEM is a sophisticated method of model analysis. Using a series of dependent variables. The analysis was conducted using two steps. As the initial phase, the fitness, validity and reliability of the model and variables grounding in the covariance matrix is measured. Step two involves the structural model is used to test the dependent and independent variables using Analysis of Moment Structures (AMOS) software to understand the way that independent variables affect dependent ones as well as analysis the effect of moderating variables. AMOS software was also used to measure the structural relationships and confirmatory factor analysis (CFA) in this investigation. We use A five-point in the Likert scales, between 1 and 5 (Strongly Agree, Agree, Neuter, Disagree, strongly Disagree) were used for this study. We have determined the primary questions by applying our conceptual framework. The assessment is predicated on earlier research. </w:t>
      </w:r>
    </w:p>
    <w:p w14:paraId="052B3169" w14:textId="77777777" w:rsidR="00D45A87" w:rsidRPr="006B4E44" w:rsidRDefault="00D45A87" w:rsidP="00D45A87">
      <w:pPr>
        <w:pStyle w:val="Body"/>
        <w:rPr>
          <w:rFonts w:ascii="Arial" w:hAnsi="Arial" w:cs="Arial"/>
          <w:b/>
          <w:bCs/>
        </w:rPr>
      </w:pPr>
      <w:r w:rsidRPr="006B4E44">
        <w:rPr>
          <w:rFonts w:ascii="Arial" w:hAnsi="Arial" w:cs="Arial"/>
          <w:b/>
          <w:bCs/>
        </w:rPr>
        <w:t>3.3 Data Analysis</w:t>
      </w:r>
    </w:p>
    <w:p w14:paraId="4783D016" w14:textId="65133BA5" w:rsidR="00AA74E0" w:rsidRDefault="00D45A87" w:rsidP="00D45A87">
      <w:pPr>
        <w:pStyle w:val="Body"/>
        <w:spacing w:after="0"/>
        <w:rPr>
          <w:rFonts w:ascii="Arial" w:hAnsi="Arial" w:cs="Arial"/>
        </w:rPr>
      </w:pPr>
      <w:r w:rsidRPr="00D45A87">
        <w:rPr>
          <w:rFonts w:ascii="Arial" w:hAnsi="Arial" w:cs="Arial"/>
        </w:rPr>
        <w:t>In this whole research, the model is examined and the theory is tested using SEM, or structural equation modeling. SEM is a sophisticated model examination method which makes application of numerous dependent variables. There were two steps involved in the analysis. At the outset, a model's validity, precision, and reliability as well as the variables supporting it in the covariance matrix must be evaluated. In order to determine how an independent variable affects a dependent variable, the structural model is utilized in the second stage to analyze the dependent and independent variables using AMOS program, or Analysis of Moment Structures.  In this inquiry, the Analysis of confirmatory factors (CFA) and structural correlations were measured with the use of AMOS software.</w:t>
      </w:r>
      <w:r w:rsidR="00AA74E0" w:rsidRPr="00FB3A86">
        <w:rPr>
          <w:rFonts w:ascii="Arial" w:hAnsi="Arial" w:cs="Arial"/>
        </w:rPr>
        <w:t xml:space="preserve"> </w:t>
      </w:r>
    </w:p>
    <w:p w14:paraId="26D2C950" w14:textId="77777777" w:rsidR="00790ADA" w:rsidRPr="00FB3A86" w:rsidRDefault="00790ADA" w:rsidP="00441B6F">
      <w:pPr>
        <w:pStyle w:val="Body"/>
        <w:spacing w:after="0"/>
        <w:rPr>
          <w:rFonts w:ascii="Arial" w:hAnsi="Arial" w:cs="Arial"/>
        </w:rPr>
      </w:pPr>
    </w:p>
    <w:p w14:paraId="78B367FF" w14:textId="77777777" w:rsidR="005E26F7" w:rsidRPr="005E26F7" w:rsidRDefault="005E26F7" w:rsidP="005E26F7">
      <w:pPr>
        <w:pStyle w:val="Body"/>
        <w:rPr>
          <w:rFonts w:ascii="Arial" w:hAnsi="Arial" w:cs="Arial"/>
          <w:b/>
          <w:bCs/>
          <w:sz w:val="22"/>
          <w:szCs w:val="22"/>
        </w:rPr>
      </w:pPr>
      <w:r w:rsidRPr="005E26F7">
        <w:rPr>
          <w:rFonts w:ascii="Arial" w:hAnsi="Arial" w:cs="Arial"/>
          <w:b/>
          <w:bCs/>
          <w:sz w:val="22"/>
          <w:szCs w:val="22"/>
        </w:rPr>
        <w:t>4. Results and Findings</w:t>
      </w:r>
    </w:p>
    <w:p w14:paraId="15A9A5D0" w14:textId="77777777" w:rsidR="005E26F7" w:rsidRPr="005E26F7" w:rsidRDefault="005E26F7" w:rsidP="005E26F7">
      <w:pPr>
        <w:pStyle w:val="Body"/>
        <w:rPr>
          <w:rFonts w:ascii="Arial" w:hAnsi="Arial" w:cs="Arial"/>
          <w:b/>
          <w:bCs/>
        </w:rPr>
      </w:pPr>
      <w:r w:rsidRPr="005E26F7">
        <w:rPr>
          <w:rFonts w:ascii="Arial" w:hAnsi="Arial" w:cs="Arial"/>
          <w:b/>
          <w:bCs/>
        </w:rPr>
        <w:lastRenderedPageBreak/>
        <w:t>4.1 Demographic Profile of the Respondents</w:t>
      </w:r>
    </w:p>
    <w:p w14:paraId="284ADFED" w14:textId="53A7E1F2" w:rsidR="005E26F7" w:rsidRDefault="005E26F7" w:rsidP="005E26F7">
      <w:pPr>
        <w:pStyle w:val="Body"/>
        <w:rPr>
          <w:rFonts w:ascii="Arial" w:hAnsi="Arial" w:cs="Arial"/>
        </w:rPr>
      </w:pPr>
      <w:r w:rsidRPr="005E26F7">
        <w:rPr>
          <w:rFonts w:ascii="Arial" w:hAnsi="Arial" w:cs="Arial"/>
        </w:rPr>
        <w:t>460 internet shoppers from Bangladesh participated in the survey; women made up 41.7% of the respondents, while men made up 58.3%. The population was divided as follows: 64.1% were under 30, 22.1% were between 30 and 40, 10.7% were between 40 and 50, and 2.8% were over 50. 53.7% are single, 44.3% are married, and 2% are widowed or separated. Primary school students make up 19.8% of the population, secondary school students make up 9.3%, college students make up 10.9%, graduates make up 18.9%, and postgraduate students make up 41.1%. Of homes, 43.9% are nuclear, and 56.1% are joint. Students make up 39.1% of the workforce, followed by businesspeople (36.1%), government employees (23.9%), and other workers (10.9%).</w:t>
      </w:r>
    </w:p>
    <w:p w14:paraId="6A93D941" w14:textId="2A5EF9DB" w:rsidR="00290F88" w:rsidRPr="00290F88" w:rsidRDefault="00290F88" w:rsidP="00290F88">
      <w:pPr>
        <w:autoSpaceDE w:val="0"/>
        <w:autoSpaceDN w:val="0"/>
        <w:adjustRightInd w:val="0"/>
        <w:spacing w:line="360" w:lineRule="auto"/>
        <w:rPr>
          <w:rFonts w:ascii="Arial" w:hAnsi="Arial" w:cs="Arial"/>
          <w:b/>
        </w:rPr>
      </w:pPr>
      <w:r w:rsidRPr="005E26F7">
        <w:rPr>
          <w:rFonts w:ascii="Arial" w:hAnsi="Arial" w:cs="Arial"/>
          <w:b/>
        </w:rPr>
        <w:t>Table I: Demographic information</w:t>
      </w:r>
    </w:p>
    <w:tbl>
      <w:tblPr>
        <w:tblStyle w:val="TableGrid"/>
        <w:tblW w:w="8460" w:type="dxa"/>
        <w:jc w:val="center"/>
        <w:tblLayout w:type="fixed"/>
        <w:tblLook w:val="04A0" w:firstRow="1" w:lastRow="0" w:firstColumn="1" w:lastColumn="0" w:noHBand="0" w:noVBand="1"/>
      </w:tblPr>
      <w:tblGrid>
        <w:gridCol w:w="2610"/>
        <w:gridCol w:w="2970"/>
        <w:gridCol w:w="1080"/>
        <w:gridCol w:w="1800"/>
      </w:tblGrid>
      <w:tr w:rsidR="005E26F7" w:rsidRPr="005E26F7" w14:paraId="00E14E6F" w14:textId="77777777" w:rsidTr="000C242E">
        <w:trPr>
          <w:trHeight w:val="379"/>
          <w:jc w:val="center"/>
        </w:trPr>
        <w:tc>
          <w:tcPr>
            <w:tcW w:w="2610" w:type="dxa"/>
            <w:vMerge w:val="restart"/>
            <w:vAlign w:val="bottom"/>
          </w:tcPr>
          <w:p w14:paraId="5B7D45E3"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Variable</w:t>
            </w:r>
          </w:p>
        </w:tc>
        <w:tc>
          <w:tcPr>
            <w:tcW w:w="2970" w:type="dxa"/>
            <w:vMerge w:val="restart"/>
            <w:vAlign w:val="bottom"/>
          </w:tcPr>
          <w:p w14:paraId="6FEEF78B"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Category</w:t>
            </w:r>
          </w:p>
        </w:tc>
        <w:tc>
          <w:tcPr>
            <w:tcW w:w="1080" w:type="dxa"/>
            <w:vMerge w:val="restart"/>
            <w:vAlign w:val="bottom"/>
          </w:tcPr>
          <w:p w14:paraId="3D9B86C8"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N</w:t>
            </w:r>
          </w:p>
        </w:tc>
        <w:tc>
          <w:tcPr>
            <w:tcW w:w="1800" w:type="dxa"/>
            <w:vMerge w:val="restart"/>
            <w:vAlign w:val="bottom"/>
          </w:tcPr>
          <w:p w14:paraId="128E8718" w14:textId="77777777" w:rsidR="005E26F7" w:rsidRPr="005E26F7" w:rsidRDefault="005E26F7" w:rsidP="000C242E">
            <w:pPr>
              <w:spacing w:line="276" w:lineRule="auto"/>
              <w:ind w:left="-72" w:right="-72"/>
              <w:jc w:val="center"/>
              <w:rPr>
                <w:rFonts w:ascii="Arial" w:hAnsi="Arial" w:cs="Arial"/>
                <w:sz w:val="20"/>
                <w:szCs w:val="20"/>
              </w:rPr>
            </w:pPr>
            <w:r w:rsidRPr="005E26F7">
              <w:rPr>
                <w:rFonts w:ascii="Arial" w:hAnsi="Arial" w:cs="Arial"/>
                <w:sz w:val="20"/>
                <w:szCs w:val="20"/>
              </w:rPr>
              <w:t>% Response</w:t>
            </w:r>
          </w:p>
        </w:tc>
      </w:tr>
      <w:tr w:rsidR="005E26F7" w:rsidRPr="005E26F7" w14:paraId="71571B82" w14:textId="77777777" w:rsidTr="000C242E">
        <w:trPr>
          <w:trHeight w:val="291"/>
          <w:jc w:val="center"/>
        </w:trPr>
        <w:tc>
          <w:tcPr>
            <w:tcW w:w="2610" w:type="dxa"/>
            <w:vMerge/>
          </w:tcPr>
          <w:p w14:paraId="5E8A99F7" w14:textId="77777777" w:rsidR="005E26F7" w:rsidRPr="005E26F7" w:rsidRDefault="005E26F7" w:rsidP="000C242E">
            <w:pPr>
              <w:spacing w:line="276" w:lineRule="auto"/>
              <w:rPr>
                <w:rFonts w:ascii="Arial" w:hAnsi="Arial" w:cs="Arial"/>
                <w:sz w:val="20"/>
                <w:szCs w:val="20"/>
              </w:rPr>
            </w:pPr>
          </w:p>
        </w:tc>
        <w:tc>
          <w:tcPr>
            <w:tcW w:w="2970" w:type="dxa"/>
            <w:vMerge/>
          </w:tcPr>
          <w:p w14:paraId="064187EE" w14:textId="77777777" w:rsidR="005E26F7" w:rsidRPr="005E26F7" w:rsidRDefault="005E26F7" w:rsidP="000C242E">
            <w:pPr>
              <w:spacing w:line="276" w:lineRule="auto"/>
              <w:rPr>
                <w:rFonts w:ascii="Arial" w:hAnsi="Arial" w:cs="Arial"/>
                <w:sz w:val="20"/>
                <w:szCs w:val="20"/>
              </w:rPr>
            </w:pPr>
          </w:p>
        </w:tc>
        <w:tc>
          <w:tcPr>
            <w:tcW w:w="1080" w:type="dxa"/>
            <w:vMerge/>
          </w:tcPr>
          <w:p w14:paraId="1B086352" w14:textId="77777777" w:rsidR="005E26F7" w:rsidRPr="005E26F7" w:rsidRDefault="005E26F7" w:rsidP="000C242E">
            <w:pPr>
              <w:spacing w:line="276" w:lineRule="auto"/>
              <w:jc w:val="center"/>
              <w:rPr>
                <w:rFonts w:ascii="Arial" w:hAnsi="Arial" w:cs="Arial"/>
                <w:sz w:val="20"/>
                <w:szCs w:val="20"/>
              </w:rPr>
            </w:pPr>
          </w:p>
        </w:tc>
        <w:tc>
          <w:tcPr>
            <w:tcW w:w="1800" w:type="dxa"/>
            <w:vMerge/>
          </w:tcPr>
          <w:p w14:paraId="2BD6FA8F" w14:textId="77777777" w:rsidR="005E26F7" w:rsidRPr="005E26F7" w:rsidRDefault="005E26F7" w:rsidP="000C242E">
            <w:pPr>
              <w:spacing w:line="276" w:lineRule="auto"/>
              <w:ind w:right="-72"/>
              <w:jc w:val="center"/>
              <w:rPr>
                <w:rFonts w:ascii="Arial" w:hAnsi="Arial" w:cs="Arial"/>
                <w:sz w:val="20"/>
                <w:szCs w:val="20"/>
              </w:rPr>
            </w:pPr>
          </w:p>
        </w:tc>
      </w:tr>
      <w:tr w:rsidR="005E26F7" w:rsidRPr="005E26F7" w14:paraId="75B8C7E4" w14:textId="77777777" w:rsidTr="000C242E">
        <w:trPr>
          <w:jc w:val="center"/>
        </w:trPr>
        <w:tc>
          <w:tcPr>
            <w:tcW w:w="2610" w:type="dxa"/>
            <w:vMerge w:val="restart"/>
          </w:tcPr>
          <w:p w14:paraId="35C74915" w14:textId="77777777" w:rsidR="005E26F7" w:rsidRPr="005E26F7" w:rsidRDefault="005E26F7" w:rsidP="000C242E">
            <w:pPr>
              <w:spacing w:line="276" w:lineRule="auto"/>
              <w:rPr>
                <w:rFonts w:ascii="Arial" w:hAnsi="Arial" w:cs="Arial"/>
                <w:sz w:val="20"/>
                <w:szCs w:val="20"/>
              </w:rPr>
            </w:pPr>
          </w:p>
          <w:p w14:paraId="394B7209"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Age</w:t>
            </w:r>
          </w:p>
        </w:tc>
        <w:tc>
          <w:tcPr>
            <w:tcW w:w="2970" w:type="dxa"/>
          </w:tcPr>
          <w:p w14:paraId="1E62A115"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Below 30 years</w:t>
            </w:r>
          </w:p>
        </w:tc>
        <w:tc>
          <w:tcPr>
            <w:tcW w:w="1080" w:type="dxa"/>
          </w:tcPr>
          <w:p w14:paraId="48CA65FD"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295</w:t>
            </w:r>
          </w:p>
        </w:tc>
        <w:tc>
          <w:tcPr>
            <w:tcW w:w="1800" w:type="dxa"/>
          </w:tcPr>
          <w:p w14:paraId="17B78011"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64.1</w:t>
            </w:r>
          </w:p>
        </w:tc>
      </w:tr>
      <w:tr w:rsidR="005E26F7" w:rsidRPr="005E26F7" w14:paraId="4C96C651" w14:textId="77777777" w:rsidTr="000C242E">
        <w:trPr>
          <w:jc w:val="center"/>
        </w:trPr>
        <w:tc>
          <w:tcPr>
            <w:tcW w:w="2610" w:type="dxa"/>
            <w:vMerge/>
          </w:tcPr>
          <w:p w14:paraId="4CD96D1D" w14:textId="77777777" w:rsidR="005E26F7" w:rsidRPr="005E26F7" w:rsidRDefault="005E26F7" w:rsidP="000C242E">
            <w:pPr>
              <w:spacing w:line="276" w:lineRule="auto"/>
              <w:rPr>
                <w:rFonts w:ascii="Arial" w:hAnsi="Arial" w:cs="Arial"/>
                <w:sz w:val="20"/>
                <w:szCs w:val="20"/>
              </w:rPr>
            </w:pPr>
          </w:p>
        </w:tc>
        <w:tc>
          <w:tcPr>
            <w:tcW w:w="2970" w:type="dxa"/>
          </w:tcPr>
          <w:p w14:paraId="4C3BD1F8" w14:textId="26FD2771"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 xml:space="preserve">30 - </w:t>
            </w:r>
            <w:r w:rsidR="0006060D" w:rsidRPr="005E26F7">
              <w:rPr>
                <w:rFonts w:ascii="Arial" w:hAnsi="Arial" w:cs="Arial"/>
                <w:sz w:val="20"/>
                <w:szCs w:val="20"/>
              </w:rPr>
              <w:t>40 years</w:t>
            </w:r>
          </w:p>
        </w:tc>
        <w:tc>
          <w:tcPr>
            <w:tcW w:w="1080" w:type="dxa"/>
          </w:tcPr>
          <w:p w14:paraId="2DF2E82B"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103</w:t>
            </w:r>
          </w:p>
        </w:tc>
        <w:tc>
          <w:tcPr>
            <w:tcW w:w="1800" w:type="dxa"/>
          </w:tcPr>
          <w:p w14:paraId="5AC181A0"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22.4</w:t>
            </w:r>
          </w:p>
        </w:tc>
      </w:tr>
      <w:tr w:rsidR="005E26F7" w:rsidRPr="005E26F7" w14:paraId="078DAA03" w14:textId="77777777" w:rsidTr="000C242E">
        <w:trPr>
          <w:jc w:val="center"/>
        </w:trPr>
        <w:tc>
          <w:tcPr>
            <w:tcW w:w="2610" w:type="dxa"/>
            <w:vMerge/>
          </w:tcPr>
          <w:p w14:paraId="4F43008B" w14:textId="77777777" w:rsidR="005E26F7" w:rsidRPr="005E26F7" w:rsidRDefault="005E26F7" w:rsidP="000C242E">
            <w:pPr>
              <w:spacing w:line="276" w:lineRule="auto"/>
              <w:rPr>
                <w:rFonts w:ascii="Arial" w:hAnsi="Arial" w:cs="Arial"/>
                <w:sz w:val="20"/>
                <w:szCs w:val="20"/>
              </w:rPr>
            </w:pPr>
          </w:p>
        </w:tc>
        <w:tc>
          <w:tcPr>
            <w:tcW w:w="2970" w:type="dxa"/>
          </w:tcPr>
          <w:p w14:paraId="5878BCA5"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40 - 50 years</w:t>
            </w:r>
          </w:p>
        </w:tc>
        <w:tc>
          <w:tcPr>
            <w:tcW w:w="1080" w:type="dxa"/>
          </w:tcPr>
          <w:p w14:paraId="2AE9F237"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49</w:t>
            </w:r>
          </w:p>
        </w:tc>
        <w:tc>
          <w:tcPr>
            <w:tcW w:w="1800" w:type="dxa"/>
          </w:tcPr>
          <w:p w14:paraId="6BFDED83"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10.7</w:t>
            </w:r>
          </w:p>
        </w:tc>
      </w:tr>
      <w:tr w:rsidR="005E26F7" w:rsidRPr="005E26F7" w14:paraId="1EDF4344" w14:textId="77777777" w:rsidTr="000C242E">
        <w:trPr>
          <w:jc w:val="center"/>
        </w:trPr>
        <w:tc>
          <w:tcPr>
            <w:tcW w:w="2610" w:type="dxa"/>
            <w:vMerge/>
          </w:tcPr>
          <w:p w14:paraId="60BFEC76" w14:textId="77777777" w:rsidR="005E26F7" w:rsidRPr="005E26F7" w:rsidRDefault="005E26F7" w:rsidP="000C242E">
            <w:pPr>
              <w:spacing w:line="276" w:lineRule="auto"/>
              <w:rPr>
                <w:rFonts w:ascii="Arial" w:hAnsi="Arial" w:cs="Arial"/>
                <w:sz w:val="20"/>
                <w:szCs w:val="20"/>
              </w:rPr>
            </w:pPr>
          </w:p>
        </w:tc>
        <w:tc>
          <w:tcPr>
            <w:tcW w:w="2970" w:type="dxa"/>
          </w:tcPr>
          <w:p w14:paraId="3DDF4DA0"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Above 50 years</w:t>
            </w:r>
          </w:p>
        </w:tc>
        <w:tc>
          <w:tcPr>
            <w:tcW w:w="1080" w:type="dxa"/>
          </w:tcPr>
          <w:p w14:paraId="3AB1B609"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13</w:t>
            </w:r>
          </w:p>
        </w:tc>
        <w:tc>
          <w:tcPr>
            <w:tcW w:w="1800" w:type="dxa"/>
          </w:tcPr>
          <w:p w14:paraId="4EA158FA"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2.8</w:t>
            </w:r>
          </w:p>
        </w:tc>
      </w:tr>
      <w:tr w:rsidR="005E26F7" w:rsidRPr="005E26F7" w14:paraId="5A341FB9" w14:textId="77777777" w:rsidTr="000C242E">
        <w:trPr>
          <w:trHeight w:val="135"/>
          <w:jc w:val="center"/>
        </w:trPr>
        <w:tc>
          <w:tcPr>
            <w:tcW w:w="2610" w:type="dxa"/>
            <w:vMerge w:val="restart"/>
          </w:tcPr>
          <w:p w14:paraId="76245660" w14:textId="77777777" w:rsidR="005E26F7" w:rsidRPr="005E26F7" w:rsidRDefault="005E26F7" w:rsidP="000C242E">
            <w:pPr>
              <w:spacing w:line="276" w:lineRule="auto"/>
              <w:rPr>
                <w:rFonts w:ascii="Arial" w:hAnsi="Arial" w:cs="Arial"/>
                <w:sz w:val="20"/>
                <w:szCs w:val="20"/>
              </w:rPr>
            </w:pPr>
          </w:p>
          <w:p w14:paraId="6B12966F"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Gender</w:t>
            </w:r>
          </w:p>
        </w:tc>
        <w:tc>
          <w:tcPr>
            <w:tcW w:w="2970" w:type="dxa"/>
          </w:tcPr>
          <w:p w14:paraId="43222060"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Male</w:t>
            </w:r>
          </w:p>
        </w:tc>
        <w:tc>
          <w:tcPr>
            <w:tcW w:w="1080" w:type="dxa"/>
          </w:tcPr>
          <w:p w14:paraId="0F40ED0D"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268</w:t>
            </w:r>
          </w:p>
        </w:tc>
        <w:tc>
          <w:tcPr>
            <w:tcW w:w="1800" w:type="dxa"/>
          </w:tcPr>
          <w:p w14:paraId="48D2CDF6"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58.3</w:t>
            </w:r>
          </w:p>
        </w:tc>
      </w:tr>
      <w:tr w:rsidR="005E26F7" w:rsidRPr="005E26F7" w14:paraId="343802A8" w14:textId="77777777" w:rsidTr="000C242E">
        <w:trPr>
          <w:trHeight w:val="180"/>
          <w:jc w:val="center"/>
        </w:trPr>
        <w:tc>
          <w:tcPr>
            <w:tcW w:w="2610" w:type="dxa"/>
            <w:vMerge/>
          </w:tcPr>
          <w:p w14:paraId="1CB1CF61" w14:textId="77777777" w:rsidR="005E26F7" w:rsidRPr="005E26F7" w:rsidRDefault="005E26F7" w:rsidP="000C242E">
            <w:pPr>
              <w:spacing w:line="276" w:lineRule="auto"/>
              <w:rPr>
                <w:rFonts w:ascii="Arial" w:hAnsi="Arial" w:cs="Arial"/>
                <w:sz w:val="20"/>
                <w:szCs w:val="20"/>
              </w:rPr>
            </w:pPr>
          </w:p>
        </w:tc>
        <w:tc>
          <w:tcPr>
            <w:tcW w:w="2970" w:type="dxa"/>
          </w:tcPr>
          <w:p w14:paraId="6C6D878A"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Female</w:t>
            </w:r>
          </w:p>
        </w:tc>
        <w:tc>
          <w:tcPr>
            <w:tcW w:w="1080" w:type="dxa"/>
          </w:tcPr>
          <w:p w14:paraId="40F5A807"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192</w:t>
            </w:r>
          </w:p>
        </w:tc>
        <w:tc>
          <w:tcPr>
            <w:tcW w:w="1800" w:type="dxa"/>
          </w:tcPr>
          <w:p w14:paraId="2B3BE7CA"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41.7</w:t>
            </w:r>
          </w:p>
        </w:tc>
      </w:tr>
      <w:tr w:rsidR="005E26F7" w:rsidRPr="005E26F7" w14:paraId="6850D20C" w14:textId="77777777" w:rsidTr="000C242E">
        <w:trPr>
          <w:jc w:val="center"/>
        </w:trPr>
        <w:tc>
          <w:tcPr>
            <w:tcW w:w="2610" w:type="dxa"/>
            <w:vMerge w:val="restart"/>
          </w:tcPr>
          <w:p w14:paraId="63CAAB70" w14:textId="77777777" w:rsidR="005E26F7" w:rsidRPr="005E26F7" w:rsidRDefault="005E26F7" w:rsidP="000C242E">
            <w:pPr>
              <w:spacing w:line="276" w:lineRule="auto"/>
              <w:rPr>
                <w:rFonts w:ascii="Arial" w:hAnsi="Arial" w:cs="Arial"/>
                <w:sz w:val="20"/>
                <w:szCs w:val="20"/>
              </w:rPr>
            </w:pPr>
          </w:p>
          <w:p w14:paraId="711FE1AB"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Marital Status</w:t>
            </w:r>
          </w:p>
        </w:tc>
        <w:tc>
          <w:tcPr>
            <w:tcW w:w="2970" w:type="dxa"/>
          </w:tcPr>
          <w:p w14:paraId="6F21523B"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Single</w:t>
            </w:r>
          </w:p>
        </w:tc>
        <w:tc>
          <w:tcPr>
            <w:tcW w:w="1080" w:type="dxa"/>
          </w:tcPr>
          <w:p w14:paraId="6C5C9E09"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247</w:t>
            </w:r>
          </w:p>
        </w:tc>
        <w:tc>
          <w:tcPr>
            <w:tcW w:w="1800" w:type="dxa"/>
          </w:tcPr>
          <w:p w14:paraId="3827C22C"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53.7</w:t>
            </w:r>
          </w:p>
        </w:tc>
      </w:tr>
      <w:tr w:rsidR="005E26F7" w:rsidRPr="005E26F7" w14:paraId="5EBBBD6B" w14:textId="77777777" w:rsidTr="000C242E">
        <w:trPr>
          <w:jc w:val="center"/>
        </w:trPr>
        <w:tc>
          <w:tcPr>
            <w:tcW w:w="2610" w:type="dxa"/>
            <w:vMerge/>
          </w:tcPr>
          <w:p w14:paraId="7F96FBCF" w14:textId="77777777" w:rsidR="005E26F7" w:rsidRPr="005E26F7" w:rsidRDefault="005E26F7" w:rsidP="000C242E">
            <w:pPr>
              <w:spacing w:line="276" w:lineRule="auto"/>
              <w:rPr>
                <w:rFonts w:ascii="Arial" w:hAnsi="Arial" w:cs="Arial"/>
                <w:sz w:val="20"/>
                <w:szCs w:val="20"/>
              </w:rPr>
            </w:pPr>
          </w:p>
        </w:tc>
        <w:tc>
          <w:tcPr>
            <w:tcW w:w="2970" w:type="dxa"/>
          </w:tcPr>
          <w:p w14:paraId="5E473227"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Married</w:t>
            </w:r>
          </w:p>
        </w:tc>
        <w:tc>
          <w:tcPr>
            <w:tcW w:w="1080" w:type="dxa"/>
          </w:tcPr>
          <w:p w14:paraId="6C5BE90B"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204</w:t>
            </w:r>
          </w:p>
        </w:tc>
        <w:tc>
          <w:tcPr>
            <w:tcW w:w="1800" w:type="dxa"/>
          </w:tcPr>
          <w:p w14:paraId="1D0833E6"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44.3</w:t>
            </w:r>
          </w:p>
        </w:tc>
      </w:tr>
      <w:tr w:rsidR="005E26F7" w:rsidRPr="005E26F7" w14:paraId="6E056030" w14:textId="77777777" w:rsidTr="000C242E">
        <w:trPr>
          <w:jc w:val="center"/>
        </w:trPr>
        <w:tc>
          <w:tcPr>
            <w:tcW w:w="2610" w:type="dxa"/>
            <w:vMerge/>
          </w:tcPr>
          <w:p w14:paraId="635E9AEB" w14:textId="77777777" w:rsidR="005E26F7" w:rsidRPr="005E26F7" w:rsidRDefault="005E26F7" w:rsidP="000C242E">
            <w:pPr>
              <w:spacing w:line="276" w:lineRule="auto"/>
              <w:rPr>
                <w:rFonts w:ascii="Arial" w:hAnsi="Arial" w:cs="Arial"/>
                <w:sz w:val="20"/>
                <w:szCs w:val="20"/>
              </w:rPr>
            </w:pPr>
          </w:p>
        </w:tc>
        <w:tc>
          <w:tcPr>
            <w:tcW w:w="2970" w:type="dxa"/>
          </w:tcPr>
          <w:p w14:paraId="3F6A1C89" w14:textId="213E6445"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 xml:space="preserve">Widow or </w:t>
            </w:r>
            <w:r w:rsidR="0006060D" w:rsidRPr="005E26F7">
              <w:rPr>
                <w:rFonts w:ascii="Arial" w:hAnsi="Arial" w:cs="Arial"/>
                <w:sz w:val="20"/>
                <w:szCs w:val="20"/>
              </w:rPr>
              <w:t>separated</w:t>
            </w:r>
          </w:p>
        </w:tc>
        <w:tc>
          <w:tcPr>
            <w:tcW w:w="1080" w:type="dxa"/>
          </w:tcPr>
          <w:p w14:paraId="64D59493"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9</w:t>
            </w:r>
          </w:p>
        </w:tc>
        <w:tc>
          <w:tcPr>
            <w:tcW w:w="1800" w:type="dxa"/>
          </w:tcPr>
          <w:p w14:paraId="70B1BF50"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2.0</w:t>
            </w:r>
          </w:p>
        </w:tc>
      </w:tr>
      <w:tr w:rsidR="005E26F7" w:rsidRPr="005E26F7" w14:paraId="183D4BEB" w14:textId="77777777" w:rsidTr="000C242E">
        <w:trPr>
          <w:jc w:val="center"/>
        </w:trPr>
        <w:tc>
          <w:tcPr>
            <w:tcW w:w="2610" w:type="dxa"/>
            <w:vMerge w:val="restart"/>
          </w:tcPr>
          <w:p w14:paraId="5F4802A7" w14:textId="77777777" w:rsidR="005E26F7" w:rsidRPr="005E26F7" w:rsidRDefault="005E26F7" w:rsidP="000C242E">
            <w:pPr>
              <w:spacing w:line="276" w:lineRule="auto"/>
              <w:rPr>
                <w:rFonts w:ascii="Arial" w:hAnsi="Arial" w:cs="Arial"/>
                <w:sz w:val="20"/>
                <w:szCs w:val="20"/>
              </w:rPr>
            </w:pPr>
          </w:p>
          <w:p w14:paraId="689AAC30"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Educational Qualification</w:t>
            </w:r>
          </w:p>
        </w:tc>
        <w:tc>
          <w:tcPr>
            <w:tcW w:w="2970" w:type="dxa"/>
          </w:tcPr>
          <w:p w14:paraId="10CCA061"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Primary</w:t>
            </w:r>
          </w:p>
        </w:tc>
        <w:tc>
          <w:tcPr>
            <w:tcW w:w="1080" w:type="dxa"/>
          </w:tcPr>
          <w:p w14:paraId="15317525"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91</w:t>
            </w:r>
          </w:p>
        </w:tc>
        <w:tc>
          <w:tcPr>
            <w:tcW w:w="1800" w:type="dxa"/>
          </w:tcPr>
          <w:p w14:paraId="2567BFFE"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19.8</w:t>
            </w:r>
          </w:p>
        </w:tc>
      </w:tr>
      <w:tr w:rsidR="005E26F7" w:rsidRPr="005E26F7" w14:paraId="1681EEA6" w14:textId="77777777" w:rsidTr="000C242E">
        <w:trPr>
          <w:jc w:val="center"/>
        </w:trPr>
        <w:tc>
          <w:tcPr>
            <w:tcW w:w="2610" w:type="dxa"/>
            <w:vMerge/>
          </w:tcPr>
          <w:p w14:paraId="02962548" w14:textId="77777777" w:rsidR="005E26F7" w:rsidRPr="005E26F7" w:rsidRDefault="005E26F7" w:rsidP="000C242E">
            <w:pPr>
              <w:spacing w:line="276" w:lineRule="auto"/>
              <w:rPr>
                <w:rFonts w:ascii="Arial" w:hAnsi="Arial" w:cs="Arial"/>
                <w:sz w:val="20"/>
                <w:szCs w:val="20"/>
              </w:rPr>
            </w:pPr>
          </w:p>
        </w:tc>
        <w:tc>
          <w:tcPr>
            <w:tcW w:w="2970" w:type="dxa"/>
          </w:tcPr>
          <w:p w14:paraId="5520E364"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Secondary</w:t>
            </w:r>
          </w:p>
        </w:tc>
        <w:tc>
          <w:tcPr>
            <w:tcW w:w="1080" w:type="dxa"/>
          </w:tcPr>
          <w:p w14:paraId="69C061EC"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43</w:t>
            </w:r>
          </w:p>
        </w:tc>
        <w:tc>
          <w:tcPr>
            <w:tcW w:w="1800" w:type="dxa"/>
          </w:tcPr>
          <w:p w14:paraId="14798F7A"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9.3</w:t>
            </w:r>
          </w:p>
        </w:tc>
      </w:tr>
      <w:tr w:rsidR="005E26F7" w:rsidRPr="005E26F7" w14:paraId="28DF520E" w14:textId="77777777" w:rsidTr="000C242E">
        <w:trPr>
          <w:jc w:val="center"/>
        </w:trPr>
        <w:tc>
          <w:tcPr>
            <w:tcW w:w="2610" w:type="dxa"/>
            <w:vMerge/>
          </w:tcPr>
          <w:p w14:paraId="11AD1A0B" w14:textId="77777777" w:rsidR="005E26F7" w:rsidRPr="005E26F7" w:rsidRDefault="005E26F7" w:rsidP="000C242E">
            <w:pPr>
              <w:spacing w:line="276" w:lineRule="auto"/>
              <w:rPr>
                <w:rFonts w:ascii="Arial" w:hAnsi="Arial" w:cs="Arial"/>
                <w:sz w:val="20"/>
                <w:szCs w:val="20"/>
              </w:rPr>
            </w:pPr>
          </w:p>
        </w:tc>
        <w:tc>
          <w:tcPr>
            <w:tcW w:w="2970" w:type="dxa"/>
          </w:tcPr>
          <w:p w14:paraId="38CCD344"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Higher Secondary</w:t>
            </w:r>
          </w:p>
        </w:tc>
        <w:tc>
          <w:tcPr>
            <w:tcW w:w="1080" w:type="dxa"/>
          </w:tcPr>
          <w:p w14:paraId="24D1A52E"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50</w:t>
            </w:r>
          </w:p>
        </w:tc>
        <w:tc>
          <w:tcPr>
            <w:tcW w:w="1800" w:type="dxa"/>
          </w:tcPr>
          <w:p w14:paraId="19BAA882"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10.9</w:t>
            </w:r>
          </w:p>
        </w:tc>
      </w:tr>
      <w:tr w:rsidR="005E26F7" w:rsidRPr="005E26F7" w14:paraId="3C532E7F" w14:textId="77777777" w:rsidTr="000C242E">
        <w:trPr>
          <w:jc w:val="center"/>
        </w:trPr>
        <w:tc>
          <w:tcPr>
            <w:tcW w:w="2610" w:type="dxa"/>
            <w:vMerge/>
          </w:tcPr>
          <w:p w14:paraId="1A5B99DC" w14:textId="77777777" w:rsidR="005E26F7" w:rsidRPr="005E26F7" w:rsidRDefault="005E26F7" w:rsidP="000C242E">
            <w:pPr>
              <w:spacing w:line="276" w:lineRule="auto"/>
              <w:rPr>
                <w:rFonts w:ascii="Arial" w:hAnsi="Arial" w:cs="Arial"/>
                <w:sz w:val="20"/>
                <w:szCs w:val="20"/>
              </w:rPr>
            </w:pPr>
          </w:p>
        </w:tc>
        <w:tc>
          <w:tcPr>
            <w:tcW w:w="2970" w:type="dxa"/>
          </w:tcPr>
          <w:p w14:paraId="472A5E4B"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Graduation</w:t>
            </w:r>
          </w:p>
        </w:tc>
        <w:tc>
          <w:tcPr>
            <w:tcW w:w="1080" w:type="dxa"/>
          </w:tcPr>
          <w:p w14:paraId="3F704720"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87</w:t>
            </w:r>
          </w:p>
        </w:tc>
        <w:tc>
          <w:tcPr>
            <w:tcW w:w="1800" w:type="dxa"/>
          </w:tcPr>
          <w:p w14:paraId="51657555"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18.9</w:t>
            </w:r>
          </w:p>
        </w:tc>
      </w:tr>
      <w:tr w:rsidR="005E26F7" w:rsidRPr="005E26F7" w14:paraId="0C337DE9" w14:textId="77777777" w:rsidTr="000C242E">
        <w:trPr>
          <w:jc w:val="center"/>
        </w:trPr>
        <w:tc>
          <w:tcPr>
            <w:tcW w:w="2610" w:type="dxa"/>
            <w:vMerge/>
          </w:tcPr>
          <w:p w14:paraId="5E2B9833" w14:textId="77777777" w:rsidR="005E26F7" w:rsidRPr="005E26F7" w:rsidRDefault="005E26F7" w:rsidP="000C242E">
            <w:pPr>
              <w:spacing w:line="276" w:lineRule="auto"/>
              <w:rPr>
                <w:rFonts w:ascii="Arial" w:hAnsi="Arial" w:cs="Arial"/>
                <w:sz w:val="20"/>
                <w:szCs w:val="20"/>
              </w:rPr>
            </w:pPr>
          </w:p>
        </w:tc>
        <w:tc>
          <w:tcPr>
            <w:tcW w:w="2970" w:type="dxa"/>
          </w:tcPr>
          <w:p w14:paraId="497AC31B"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Post-Graduation</w:t>
            </w:r>
          </w:p>
        </w:tc>
        <w:tc>
          <w:tcPr>
            <w:tcW w:w="1080" w:type="dxa"/>
          </w:tcPr>
          <w:p w14:paraId="059BAFD7"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189</w:t>
            </w:r>
          </w:p>
        </w:tc>
        <w:tc>
          <w:tcPr>
            <w:tcW w:w="1800" w:type="dxa"/>
          </w:tcPr>
          <w:p w14:paraId="40B57417"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41.1</w:t>
            </w:r>
          </w:p>
        </w:tc>
      </w:tr>
      <w:tr w:rsidR="005E26F7" w:rsidRPr="005E26F7" w14:paraId="24755F53" w14:textId="77777777" w:rsidTr="000C242E">
        <w:trPr>
          <w:jc w:val="center"/>
        </w:trPr>
        <w:tc>
          <w:tcPr>
            <w:tcW w:w="2610" w:type="dxa"/>
            <w:vMerge w:val="restart"/>
          </w:tcPr>
          <w:p w14:paraId="2E72082C"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Family Type</w:t>
            </w:r>
          </w:p>
        </w:tc>
        <w:tc>
          <w:tcPr>
            <w:tcW w:w="2970" w:type="dxa"/>
          </w:tcPr>
          <w:p w14:paraId="67B0401F"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Nuclear Family</w:t>
            </w:r>
          </w:p>
        </w:tc>
        <w:tc>
          <w:tcPr>
            <w:tcW w:w="1080" w:type="dxa"/>
          </w:tcPr>
          <w:p w14:paraId="6F98D1AE"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202</w:t>
            </w:r>
          </w:p>
        </w:tc>
        <w:tc>
          <w:tcPr>
            <w:tcW w:w="1800" w:type="dxa"/>
          </w:tcPr>
          <w:p w14:paraId="54B0FA0B"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43.9</w:t>
            </w:r>
          </w:p>
        </w:tc>
      </w:tr>
      <w:tr w:rsidR="005E26F7" w:rsidRPr="005E26F7" w14:paraId="236CEB49" w14:textId="77777777" w:rsidTr="000C242E">
        <w:trPr>
          <w:jc w:val="center"/>
        </w:trPr>
        <w:tc>
          <w:tcPr>
            <w:tcW w:w="2610" w:type="dxa"/>
            <w:vMerge/>
          </w:tcPr>
          <w:p w14:paraId="45D6B923" w14:textId="77777777" w:rsidR="005E26F7" w:rsidRPr="005E26F7" w:rsidRDefault="005E26F7" w:rsidP="000C242E">
            <w:pPr>
              <w:spacing w:line="276" w:lineRule="auto"/>
              <w:rPr>
                <w:rFonts w:ascii="Arial" w:hAnsi="Arial" w:cs="Arial"/>
                <w:sz w:val="20"/>
                <w:szCs w:val="20"/>
              </w:rPr>
            </w:pPr>
          </w:p>
        </w:tc>
        <w:tc>
          <w:tcPr>
            <w:tcW w:w="2970" w:type="dxa"/>
          </w:tcPr>
          <w:p w14:paraId="59894037"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Joint Family</w:t>
            </w:r>
          </w:p>
        </w:tc>
        <w:tc>
          <w:tcPr>
            <w:tcW w:w="1080" w:type="dxa"/>
          </w:tcPr>
          <w:p w14:paraId="01716948"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258</w:t>
            </w:r>
          </w:p>
        </w:tc>
        <w:tc>
          <w:tcPr>
            <w:tcW w:w="1800" w:type="dxa"/>
          </w:tcPr>
          <w:p w14:paraId="76E0A6D3"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56.1</w:t>
            </w:r>
          </w:p>
        </w:tc>
      </w:tr>
      <w:tr w:rsidR="005E26F7" w:rsidRPr="005E26F7" w14:paraId="287F95FB" w14:textId="77777777" w:rsidTr="000C242E">
        <w:trPr>
          <w:jc w:val="center"/>
        </w:trPr>
        <w:tc>
          <w:tcPr>
            <w:tcW w:w="2610" w:type="dxa"/>
            <w:vMerge w:val="restart"/>
          </w:tcPr>
          <w:p w14:paraId="248B0D7D" w14:textId="77777777" w:rsidR="005E26F7" w:rsidRPr="005E26F7" w:rsidRDefault="005E26F7" w:rsidP="000C242E">
            <w:pPr>
              <w:spacing w:line="276" w:lineRule="auto"/>
              <w:rPr>
                <w:rFonts w:ascii="Arial" w:hAnsi="Arial" w:cs="Arial"/>
                <w:sz w:val="20"/>
                <w:szCs w:val="20"/>
              </w:rPr>
            </w:pPr>
          </w:p>
          <w:p w14:paraId="05913035"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Occupation</w:t>
            </w:r>
          </w:p>
        </w:tc>
        <w:tc>
          <w:tcPr>
            <w:tcW w:w="2970" w:type="dxa"/>
          </w:tcPr>
          <w:p w14:paraId="2DF312C8"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Student</w:t>
            </w:r>
          </w:p>
        </w:tc>
        <w:tc>
          <w:tcPr>
            <w:tcW w:w="1080" w:type="dxa"/>
          </w:tcPr>
          <w:p w14:paraId="61245EF7"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180</w:t>
            </w:r>
          </w:p>
        </w:tc>
        <w:tc>
          <w:tcPr>
            <w:tcW w:w="1800" w:type="dxa"/>
          </w:tcPr>
          <w:p w14:paraId="4B5C218A"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39.1</w:t>
            </w:r>
          </w:p>
        </w:tc>
      </w:tr>
      <w:tr w:rsidR="005E26F7" w:rsidRPr="005E26F7" w14:paraId="4DFC3F6F" w14:textId="77777777" w:rsidTr="000C242E">
        <w:trPr>
          <w:jc w:val="center"/>
        </w:trPr>
        <w:tc>
          <w:tcPr>
            <w:tcW w:w="2610" w:type="dxa"/>
            <w:vMerge/>
          </w:tcPr>
          <w:p w14:paraId="41A998C6" w14:textId="77777777" w:rsidR="005E26F7" w:rsidRPr="005E26F7" w:rsidRDefault="005E26F7" w:rsidP="000C242E">
            <w:pPr>
              <w:spacing w:line="276" w:lineRule="auto"/>
              <w:rPr>
                <w:rFonts w:ascii="Arial" w:hAnsi="Arial" w:cs="Arial"/>
                <w:sz w:val="20"/>
                <w:szCs w:val="20"/>
              </w:rPr>
            </w:pPr>
          </w:p>
        </w:tc>
        <w:tc>
          <w:tcPr>
            <w:tcW w:w="2970" w:type="dxa"/>
          </w:tcPr>
          <w:p w14:paraId="2256AE8F"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Businessman</w:t>
            </w:r>
          </w:p>
        </w:tc>
        <w:tc>
          <w:tcPr>
            <w:tcW w:w="1080" w:type="dxa"/>
          </w:tcPr>
          <w:p w14:paraId="72737A7D"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120</w:t>
            </w:r>
          </w:p>
        </w:tc>
        <w:tc>
          <w:tcPr>
            <w:tcW w:w="1800" w:type="dxa"/>
          </w:tcPr>
          <w:p w14:paraId="532F05BF"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26.1</w:t>
            </w:r>
          </w:p>
        </w:tc>
      </w:tr>
      <w:tr w:rsidR="005E26F7" w:rsidRPr="005E26F7" w14:paraId="4A55A22C" w14:textId="77777777" w:rsidTr="000C242E">
        <w:trPr>
          <w:jc w:val="center"/>
        </w:trPr>
        <w:tc>
          <w:tcPr>
            <w:tcW w:w="2610" w:type="dxa"/>
            <w:vMerge/>
          </w:tcPr>
          <w:p w14:paraId="611A775D" w14:textId="77777777" w:rsidR="005E26F7" w:rsidRPr="005E26F7" w:rsidRDefault="005E26F7" w:rsidP="000C242E">
            <w:pPr>
              <w:spacing w:line="276" w:lineRule="auto"/>
              <w:rPr>
                <w:rFonts w:ascii="Arial" w:hAnsi="Arial" w:cs="Arial"/>
                <w:sz w:val="20"/>
                <w:szCs w:val="20"/>
              </w:rPr>
            </w:pPr>
          </w:p>
        </w:tc>
        <w:tc>
          <w:tcPr>
            <w:tcW w:w="2970" w:type="dxa"/>
          </w:tcPr>
          <w:p w14:paraId="4F621628"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Government Employee</w:t>
            </w:r>
          </w:p>
        </w:tc>
        <w:tc>
          <w:tcPr>
            <w:tcW w:w="1080" w:type="dxa"/>
          </w:tcPr>
          <w:p w14:paraId="00F8E18A"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110</w:t>
            </w:r>
          </w:p>
        </w:tc>
        <w:tc>
          <w:tcPr>
            <w:tcW w:w="1800" w:type="dxa"/>
          </w:tcPr>
          <w:p w14:paraId="66F118E9"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23.9</w:t>
            </w:r>
          </w:p>
        </w:tc>
      </w:tr>
      <w:tr w:rsidR="005E26F7" w:rsidRPr="005E26F7" w14:paraId="45417133" w14:textId="77777777" w:rsidTr="000C242E">
        <w:trPr>
          <w:jc w:val="center"/>
        </w:trPr>
        <w:tc>
          <w:tcPr>
            <w:tcW w:w="2610" w:type="dxa"/>
            <w:vMerge/>
          </w:tcPr>
          <w:p w14:paraId="523B5D22" w14:textId="77777777" w:rsidR="005E26F7" w:rsidRPr="005E26F7" w:rsidRDefault="005E26F7" w:rsidP="000C242E">
            <w:pPr>
              <w:spacing w:line="276" w:lineRule="auto"/>
              <w:rPr>
                <w:rFonts w:ascii="Arial" w:hAnsi="Arial" w:cs="Arial"/>
                <w:sz w:val="20"/>
                <w:szCs w:val="20"/>
              </w:rPr>
            </w:pPr>
          </w:p>
        </w:tc>
        <w:tc>
          <w:tcPr>
            <w:tcW w:w="2970" w:type="dxa"/>
          </w:tcPr>
          <w:p w14:paraId="4A70B173"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Others</w:t>
            </w:r>
          </w:p>
        </w:tc>
        <w:tc>
          <w:tcPr>
            <w:tcW w:w="1080" w:type="dxa"/>
          </w:tcPr>
          <w:p w14:paraId="60546949"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50</w:t>
            </w:r>
          </w:p>
        </w:tc>
        <w:tc>
          <w:tcPr>
            <w:tcW w:w="1800" w:type="dxa"/>
          </w:tcPr>
          <w:p w14:paraId="2157ED90"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10.9</w:t>
            </w:r>
          </w:p>
        </w:tc>
      </w:tr>
      <w:tr w:rsidR="005E26F7" w:rsidRPr="005E26F7" w14:paraId="127DD780" w14:textId="77777777" w:rsidTr="000C242E">
        <w:trPr>
          <w:jc w:val="center"/>
        </w:trPr>
        <w:tc>
          <w:tcPr>
            <w:tcW w:w="5580" w:type="dxa"/>
            <w:gridSpan w:val="2"/>
          </w:tcPr>
          <w:p w14:paraId="7AA07ABB"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Total</w:t>
            </w:r>
          </w:p>
        </w:tc>
        <w:tc>
          <w:tcPr>
            <w:tcW w:w="1080" w:type="dxa"/>
          </w:tcPr>
          <w:p w14:paraId="79914387"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460</w:t>
            </w:r>
          </w:p>
        </w:tc>
        <w:tc>
          <w:tcPr>
            <w:tcW w:w="1800" w:type="dxa"/>
          </w:tcPr>
          <w:p w14:paraId="54D88BF3"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100</w:t>
            </w:r>
          </w:p>
        </w:tc>
      </w:tr>
    </w:tbl>
    <w:p w14:paraId="544873E3" w14:textId="77777777" w:rsidR="00290F88" w:rsidRDefault="00290F88" w:rsidP="006B4E44">
      <w:pPr>
        <w:pStyle w:val="Body"/>
        <w:rPr>
          <w:rFonts w:ascii="Arial" w:hAnsi="Arial" w:cs="Arial"/>
          <w:b/>
          <w:bCs/>
        </w:rPr>
      </w:pPr>
    </w:p>
    <w:p w14:paraId="3C634FF5" w14:textId="7C834DB1" w:rsidR="006B4E44" w:rsidRPr="006B4E44" w:rsidRDefault="006B4E44" w:rsidP="006B4E44">
      <w:pPr>
        <w:pStyle w:val="Body"/>
        <w:rPr>
          <w:rFonts w:ascii="Arial" w:hAnsi="Arial" w:cs="Arial"/>
          <w:b/>
          <w:bCs/>
        </w:rPr>
      </w:pPr>
      <w:r w:rsidRPr="006B4E44">
        <w:rPr>
          <w:rFonts w:ascii="Arial" w:hAnsi="Arial" w:cs="Arial"/>
          <w:b/>
          <w:bCs/>
        </w:rPr>
        <w:t>4.2 Measurement Model Validation</w:t>
      </w:r>
    </w:p>
    <w:p w14:paraId="48FF3DA0" w14:textId="77777777" w:rsidR="006B4E44" w:rsidRPr="006B4E44" w:rsidRDefault="006B4E44" w:rsidP="006B4E44">
      <w:pPr>
        <w:pStyle w:val="Body"/>
        <w:rPr>
          <w:rFonts w:ascii="Arial" w:hAnsi="Arial" w:cs="Arial"/>
        </w:rPr>
      </w:pPr>
      <w:r w:rsidRPr="006B4E44">
        <w:rPr>
          <w:rFonts w:ascii="Arial" w:hAnsi="Arial" w:cs="Arial"/>
        </w:rPr>
        <w:t xml:space="preserve">The research model using an external measurement model to determine its validity. The use of confirmatory factor analysis was used to confirm the collected data (CFA). The model's discriminant and convergent validity were validated by examining construct reliability (CR) and Cranach Alpha; the convergent validity was validated by AVE and factor loadings. </w:t>
      </w:r>
    </w:p>
    <w:p w14:paraId="02EBF1E1" w14:textId="77777777" w:rsidR="006B4E44" w:rsidRPr="004F1425" w:rsidRDefault="006B4E44" w:rsidP="006B4E44">
      <w:pPr>
        <w:pStyle w:val="Body"/>
        <w:rPr>
          <w:rFonts w:ascii="Arial" w:hAnsi="Arial" w:cs="Arial"/>
          <w:b/>
          <w:bCs/>
        </w:rPr>
      </w:pPr>
      <w:r w:rsidRPr="004F1425">
        <w:rPr>
          <w:rFonts w:ascii="Arial" w:hAnsi="Arial" w:cs="Arial"/>
          <w:b/>
          <w:bCs/>
        </w:rPr>
        <w:t>4.3 Construct Reliability and Convergent Validity</w:t>
      </w:r>
    </w:p>
    <w:p w14:paraId="4115875C" w14:textId="6C696095" w:rsidR="006B4E44" w:rsidRDefault="006B4E44" w:rsidP="004F1425">
      <w:pPr>
        <w:pStyle w:val="Body"/>
        <w:rPr>
          <w:rFonts w:ascii="Arial" w:hAnsi="Arial" w:cs="Arial"/>
        </w:rPr>
      </w:pPr>
      <w:r w:rsidRPr="006B4E44">
        <w:rPr>
          <w:rFonts w:ascii="Arial" w:hAnsi="Arial" w:cs="Arial"/>
        </w:rPr>
        <w:lastRenderedPageBreak/>
        <w:t>We have examined the composite dependability of the model in accordance with the suggestions.</w:t>
      </w:r>
      <w:r w:rsidR="004F1425">
        <w:rPr>
          <w:rFonts w:ascii="Arial" w:hAnsi="Arial" w:cs="Arial"/>
        </w:rPr>
        <w:t xml:space="preserve"> </w:t>
      </w:r>
      <w:r w:rsidRPr="006B4E44">
        <w:rPr>
          <w:rFonts w:ascii="Arial" w:hAnsi="Arial" w:cs="Arial"/>
        </w:rPr>
        <w:t xml:space="preserve">Internal consistency of the pieces that comprise composite reliability is measured by composite reliability. (CR) needs to be below 0.7. Higher values are better, accounting for 70% of the variation in the measurement model </w:t>
      </w:r>
      <w:r w:rsidR="00EF6183">
        <w:rPr>
          <w:rFonts w:ascii="Arial" w:hAnsi="Arial" w:cs="Arial"/>
        </w:rPr>
        <w:fldChar w:fldCharType="begin"/>
      </w:r>
      <w:r w:rsidR="00EF6183">
        <w:rPr>
          <w:rFonts w:ascii="Arial" w:hAnsi="Arial" w:cs="Arial"/>
        </w:rPr>
        <w:instrText xml:space="preserve"> ADDIN ZOTERO_ITEM CSL_CITATION {"citationID":"Egeo17V5","properties":{"formattedCitation":"(Babin et al., 2008)","plainCitation":"(Babin et al., 2008)","noteIndex":0},"citationItems":[{"id":1237,"uris":["http://zotero.org/users/local/02HQEtik/items/97M3Q3LI"],"itemData":{"id":1237,"type":"article-journal","container-title":"Journal of Marketing Theory and Practice","DOI":"10.2753/MTP1069-6679160401","ISSN":"1069-6679, 1944-7175","issue":"4","journalAbbreviation":"Journal of Marketing Theory and Practice","language":"en","page":"279-286","source":"DOI.org (Crossref)","title":"Publishing Research in Marketing Journals Using Structural Equation Modeling","volume":"16","author":[{"family":"Babin","given":"Barry J."},{"family":"Hair","given":"Joseph F."},{"family":"Boles","given":"James S."}],"issued":{"date-parts":[["2008",9]]}}}],"schema":"https://github.com/citation-style-language/schema/raw/master/csl-citation.json"} </w:instrText>
      </w:r>
      <w:r w:rsidR="00EF6183">
        <w:rPr>
          <w:rFonts w:ascii="Arial" w:hAnsi="Arial" w:cs="Arial"/>
        </w:rPr>
        <w:fldChar w:fldCharType="separate"/>
      </w:r>
      <w:r w:rsidR="00EF6183" w:rsidRPr="00EF6183">
        <w:rPr>
          <w:rFonts w:ascii="Arial" w:hAnsi="Arial" w:cs="Arial"/>
        </w:rPr>
        <w:t>(Babin et al., 2008)</w:t>
      </w:r>
      <w:r w:rsidR="00EF6183">
        <w:rPr>
          <w:rFonts w:ascii="Arial" w:hAnsi="Arial" w:cs="Arial"/>
        </w:rPr>
        <w:fldChar w:fldCharType="end"/>
      </w:r>
      <w:r w:rsidRPr="006B4E44">
        <w:rPr>
          <w:rFonts w:ascii="Arial" w:hAnsi="Arial" w:cs="Arial"/>
        </w:rPr>
        <w:t xml:space="preserve">. In table 2 mentioned below values of CR ranges between 0.714 and 0.945 surpassed the required level of 0.70. The measurement model was also validated by this research in accordance with the suggestions made. The internal consistency of the items stated can be measured using Cronbach's alpha, where 0.7 is the cut-off value (α: &gt;0.7) </w:t>
      </w:r>
      <w:r w:rsidR="000B45FA">
        <w:rPr>
          <w:rFonts w:ascii="Arial" w:hAnsi="Arial" w:cs="Arial"/>
        </w:rPr>
        <w:fldChar w:fldCharType="begin"/>
      </w:r>
      <w:r w:rsidR="000B45FA">
        <w:rPr>
          <w:rFonts w:ascii="Arial" w:hAnsi="Arial" w:cs="Arial"/>
        </w:rPr>
        <w:instrText xml:space="preserve"> ADDIN ZOTERO_ITEM CSL_CITATION {"citationID":"pdlRZLe7","properties":{"formattedCitation":"(Hubbe, 2013)","plainCitation":"(Hubbe, 2013)","noteIndex":0},"citationItems":[{"id":1238,"uris":["http://zotero.org/users/local/02HQEtik/items/AR7LXG22"],"itemData":{"id":1238,"type":"article-journal","container-title":"BioResources","DOI":"10.15376/biores.9.1.1634-1763","ISSN":"1930-2126","issue":"1","page":"1634-1763","source":"DOI.org (Crossref)","title":"Prospects for Maintaining Strength of Paper and Paperboard Products While Using Less Forest Resources: A Review","title-short":"Prospects for Maintaining Strength of Paper and Paperboard Products While Using Less Forest Resources","volume":"9","author":[{"family":"Hubbe","given":"Martin A."}],"issued":{"date-parts":[["2013",12,10]]}}}],"schema":"https://github.com/citation-style-language/schema/raw/master/csl-citation.json"} </w:instrText>
      </w:r>
      <w:r w:rsidR="000B45FA">
        <w:rPr>
          <w:rFonts w:ascii="Arial" w:hAnsi="Arial" w:cs="Arial"/>
        </w:rPr>
        <w:fldChar w:fldCharType="separate"/>
      </w:r>
      <w:r w:rsidR="000B45FA" w:rsidRPr="000B45FA">
        <w:rPr>
          <w:rFonts w:ascii="Arial" w:hAnsi="Arial" w:cs="Arial"/>
        </w:rPr>
        <w:t>(Hubbe, 2013)</w:t>
      </w:r>
      <w:r w:rsidR="000B45FA">
        <w:rPr>
          <w:rFonts w:ascii="Arial" w:hAnsi="Arial" w:cs="Arial"/>
        </w:rPr>
        <w:fldChar w:fldCharType="end"/>
      </w:r>
      <w:r w:rsidRPr="006B4E44">
        <w:rPr>
          <w:rFonts w:ascii="Arial" w:hAnsi="Arial" w:cs="Arial"/>
        </w:rPr>
        <w:t>. Nevertheless, using cross loadings and AVE (Average Variance Extracted), we have verified convergent validity. The average variance extracted (AVE) acceptable value for each construct is more than 0.5, which represents 50% of the variation in the study model. AVE is used to assess the variance that a construct explains in comparison to the variance because of measurement error specified. The construct is more widely accepted the higher the value. For every construct shown in Table 2, the necessary requirements for CR, AVE, and other factor loadings were satisfied.</w:t>
      </w:r>
    </w:p>
    <w:p w14:paraId="6EF452D5" w14:textId="1D1583ED" w:rsidR="00290F88" w:rsidRPr="00290F88" w:rsidRDefault="00290F88" w:rsidP="004F1425">
      <w:pPr>
        <w:pStyle w:val="Body"/>
        <w:rPr>
          <w:rFonts w:ascii="Arial" w:hAnsi="Arial" w:cs="Arial"/>
          <w:b/>
          <w:bCs/>
        </w:rPr>
      </w:pPr>
      <w:r w:rsidRPr="00C43A07">
        <w:rPr>
          <w:rFonts w:ascii="Arial" w:hAnsi="Arial" w:cs="Arial"/>
          <w:b/>
          <w:bCs/>
        </w:rPr>
        <w:t>Table II: Confirmatory Factor Analysis</w:t>
      </w:r>
    </w:p>
    <w:tbl>
      <w:tblPr>
        <w:tblStyle w:val="TableGrid"/>
        <w:tblW w:w="9265" w:type="dxa"/>
        <w:jc w:val="center"/>
        <w:tblLayout w:type="fixed"/>
        <w:tblLook w:val="04A0" w:firstRow="1" w:lastRow="0" w:firstColumn="1" w:lastColumn="0" w:noHBand="0" w:noVBand="1"/>
      </w:tblPr>
      <w:tblGrid>
        <w:gridCol w:w="990"/>
        <w:gridCol w:w="1260"/>
        <w:gridCol w:w="990"/>
        <w:gridCol w:w="900"/>
        <w:gridCol w:w="1440"/>
        <w:gridCol w:w="1440"/>
        <w:gridCol w:w="1170"/>
        <w:gridCol w:w="1075"/>
      </w:tblGrid>
      <w:tr w:rsidR="00C43A07" w:rsidRPr="00C43A07" w14:paraId="403DC48D" w14:textId="77777777" w:rsidTr="00C43A07">
        <w:trPr>
          <w:jc w:val="center"/>
        </w:trPr>
        <w:tc>
          <w:tcPr>
            <w:tcW w:w="990" w:type="dxa"/>
          </w:tcPr>
          <w:p w14:paraId="0400AC30" w14:textId="77777777" w:rsidR="00C43A07" w:rsidRPr="00C43A07" w:rsidRDefault="00C43A07" w:rsidP="000C242E">
            <w:pPr>
              <w:rPr>
                <w:rFonts w:ascii="Arial" w:eastAsia="Times New Roman" w:hAnsi="Arial" w:cs="Arial"/>
                <w:sz w:val="20"/>
                <w:szCs w:val="20"/>
              </w:rPr>
            </w:pPr>
            <w:r w:rsidRPr="00C43A07">
              <w:rPr>
                <w:rFonts w:ascii="Arial" w:eastAsia="Times New Roman" w:hAnsi="Arial" w:cs="Arial"/>
                <w:sz w:val="20"/>
                <w:szCs w:val="20"/>
              </w:rPr>
              <w:t>Latent concept</w:t>
            </w:r>
          </w:p>
          <w:p w14:paraId="28DA56F3" w14:textId="77777777" w:rsidR="00C43A07" w:rsidRPr="00C43A07" w:rsidRDefault="00C43A07" w:rsidP="000C242E">
            <w:pPr>
              <w:jc w:val="both"/>
              <w:rPr>
                <w:rFonts w:ascii="Arial" w:hAnsi="Arial" w:cs="Arial"/>
                <w:sz w:val="20"/>
                <w:szCs w:val="20"/>
              </w:rPr>
            </w:pPr>
          </w:p>
        </w:tc>
        <w:tc>
          <w:tcPr>
            <w:tcW w:w="1260" w:type="dxa"/>
          </w:tcPr>
          <w:p w14:paraId="5B4673E1" w14:textId="77777777" w:rsidR="00C43A07" w:rsidRPr="00C43A07" w:rsidRDefault="00C43A07" w:rsidP="000C242E">
            <w:pPr>
              <w:jc w:val="both"/>
              <w:rPr>
                <w:rFonts w:ascii="Arial" w:hAnsi="Arial" w:cs="Arial"/>
                <w:sz w:val="20"/>
                <w:szCs w:val="20"/>
              </w:rPr>
            </w:pPr>
            <w:r w:rsidRPr="00C43A07">
              <w:rPr>
                <w:rFonts w:ascii="Arial" w:hAnsi="Arial" w:cs="Arial"/>
                <w:sz w:val="20"/>
                <w:szCs w:val="20"/>
              </w:rPr>
              <w:t>Measured variables</w:t>
            </w:r>
          </w:p>
        </w:tc>
        <w:tc>
          <w:tcPr>
            <w:tcW w:w="990" w:type="dxa"/>
          </w:tcPr>
          <w:p w14:paraId="38D86325"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M</w:t>
            </w:r>
          </w:p>
        </w:tc>
        <w:tc>
          <w:tcPr>
            <w:tcW w:w="900" w:type="dxa"/>
          </w:tcPr>
          <w:p w14:paraId="60604533"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SD</w:t>
            </w:r>
          </w:p>
        </w:tc>
        <w:tc>
          <w:tcPr>
            <w:tcW w:w="1440" w:type="dxa"/>
          </w:tcPr>
          <w:p w14:paraId="684BAFA9"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Standardized Loadings</w:t>
            </w:r>
          </w:p>
        </w:tc>
        <w:tc>
          <w:tcPr>
            <w:tcW w:w="1440" w:type="dxa"/>
          </w:tcPr>
          <w:p w14:paraId="3A9EC315" w14:textId="77777777" w:rsidR="00C43A07" w:rsidRPr="00C43A07" w:rsidRDefault="00C43A07" w:rsidP="000C242E">
            <w:pPr>
              <w:jc w:val="center"/>
              <w:rPr>
                <w:rFonts w:ascii="Arial" w:hAnsi="Arial" w:cs="Arial"/>
                <w:sz w:val="20"/>
                <w:szCs w:val="20"/>
              </w:rPr>
            </w:pPr>
            <w:proofErr w:type="spellStart"/>
            <w:r w:rsidRPr="00C43A07">
              <w:rPr>
                <w:rFonts w:ascii="Arial" w:hAnsi="Arial" w:cs="Arial"/>
                <w:sz w:val="20"/>
                <w:szCs w:val="20"/>
              </w:rPr>
              <w:t>MaxR</w:t>
            </w:r>
            <w:proofErr w:type="spellEnd"/>
            <w:r w:rsidRPr="00C43A07">
              <w:rPr>
                <w:rFonts w:ascii="Arial" w:hAnsi="Arial" w:cs="Arial"/>
                <w:sz w:val="20"/>
                <w:szCs w:val="20"/>
              </w:rPr>
              <w:t>(H)</w:t>
            </w:r>
          </w:p>
        </w:tc>
        <w:tc>
          <w:tcPr>
            <w:tcW w:w="1170" w:type="dxa"/>
          </w:tcPr>
          <w:p w14:paraId="77AECA8D"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Composite reliability</w:t>
            </w:r>
          </w:p>
        </w:tc>
        <w:tc>
          <w:tcPr>
            <w:tcW w:w="1075" w:type="dxa"/>
          </w:tcPr>
          <w:p w14:paraId="079D7FD5"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Extracted variance</w:t>
            </w:r>
          </w:p>
        </w:tc>
      </w:tr>
      <w:tr w:rsidR="00C43A07" w:rsidRPr="00C43A07" w14:paraId="3DF1C5BA" w14:textId="77777777" w:rsidTr="00C43A07">
        <w:trPr>
          <w:jc w:val="center"/>
        </w:trPr>
        <w:tc>
          <w:tcPr>
            <w:tcW w:w="990" w:type="dxa"/>
            <w:vMerge w:val="restart"/>
          </w:tcPr>
          <w:p w14:paraId="1CAA3B94" w14:textId="77777777" w:rsidR="00C43A07" w:rsidRPr="00C43A07" w:rsidRDefault="00C43A07" w:rsidP="000C242E">
            <w:pPr>
              <w:rPr>
                <w:rFonts w:ascii="Arial" w:hAnsi="Arial" w:cs="Arial"/>
                <w:sz w:val="20"/>
                <w:szCs w:val="20"/>
              </w:rPr>
            </w:pPr>
            <w:r w:rsidRPr="00C43A07">
              <w:rPr>
                <w:rFonts w:ascii="Arial" w:hAnsi="Arial" w:cs="Arial"/>
                <w:sz w:val="20"/>
                <w:szCs w:val="20"/>
              </w:rPr>
              <w:t>PI</w:t>
            </w:r>
          </w:p>
        </w:tc>
        <w:tc>
          <w:tcPr>
            <w:tcW w:w="1260" w:type="dxa"/>
          </w:tcPr>
          <w:p w14:paraId="49BC54E3" w14:textId="77777777" w:rsidR="00C43A07" w:rsidRPr="00C43A07" w:rsidRDefault="00C43A07" w:rsidP="000C242E">
            <w:pPr>
              <w:rPr>
                <w:rFonts w:ascii="Arial" w:hAnsi="Arial" w:cs="Arial"/>
                <w:sz w:val="20"/>
                <w:szCs w:val="20"/>
              </w:rPr>
            </w:pPr>
            <w:r w:rsidRPr="00C43A07">
              <w:rPr>
                <w:rFonts w:ascii="Arial" w:hAnsi="Arial" w:cs="Arial"/>
                <w:sz w:val="20"/>
                <w:szCs w:val="20"/>
              </w:rPr>
              <w:t>PI 1</w:t>
            </w:r>
          </w:p>
        </w:tc>
        <w:tc>
          <w:tcPr>
            <w:tcW w:w="990" w:type="dxa"/>
          </w:tcPr>
          <w:p w14:paraId="5911642D"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2.22</w:t>
            </w:r>
          </w:p>
        </w:tc>
        <w:tc>
          <w:tcPr>
            <w:tcW w:w="900" w:type="dxa"/>
          </w:tcPr>
          <w:p w14:paraId="0B3CF8C7"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1.139</w:t>
            </w:r>
          </w:p>
        </w:tc>
        <w:tc>
          <w:tcPr>
            <w:tcW w:w="1440" w:type="dxa"/>
          </w:tcPr>
          <w:p w14:paraId="3D20A962"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0.945</w:t>
            </w:r>
          </w:p>
        </w:tc>
        <w:tc>
          <w:tcPr>
            <w:tcW w:w="1440" w:type="dxa"/>
          </w:tcPr>
          <w:p w14:paraId="290EEC32"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0.957</w:t>
            </w:r>
          </w:p>
        </w:tc>
        <w:tc>
          <w:tcPr>
            <w:tcW w:w="1170" w:type="dxa"/>
          </w:tcPr>
          <w:p w14:paraId="3C87FA9A"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0.945</w:t>
            </w:r>
          </w:p>
        </w:tc>
        <w:tc>
          <w:tcPr>
            <w:tcW w:w="1075" w:type="dxa"/>
          </w:tcPr>
          <w:p w14:paraId="47A5C7E0"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0.714</w:t>
            </w:r>
          </w:p>
        </w:tc>
      </w:tr>
      <w:tr w:rsidR="00C43A07" w:rsidRPr="00C43A07" w14:paraId="2CAC4BF1" w14:textId="77777777" w:rsidTr="00C43A07">
        <w:trPr>
          <w:jc w:val="center"/>
        </w:trPr>
        <w:tc>
          <w:tcPr>
            <w:tcW w:w="990" w:type="dxa"/>
            <w:vMerge/>
          </w:tcPr>
          <w:p w14:paraId="7F3B32E1" w14:textId="77777777" w:rsidR="00C43A07" w:rsidRPr="00C43A07" w:rsidRDefault="00C43A07" w:rsidP="000C242E">
            <w:pPr>
              <w:rPr>
                <w:rFonts w:ascii="Arial" w:hAnsi="Arial" w:cs="Arial"/>
                <w:sz w:val="20"/>
                <w:szCs w:val="20"/>
              </w:rPr>
            </w:pPr>
          </w:p>
        </w:tc>
        <w:tc>
          <w:tcPr>
            <w:tcW w:w="1260" w:type="dxa"/>
          </w:tcPr>
          <w:p w14:paraId="1D1BD86D" w14:textId="77777777" w:rsidR="00C43A07" w:rsidRPr="00C43A07" w:rsidRDefault="00C43A07" w:rsidP="000C242E">
            <w:pPr>
              <w:rPr>
                <w:rFonts w:ascii="Arial" w:hAnsi="Arial" w:cs="Arial"/>
                <w:sz w:val="20"/>
                <w:szCs w:val="20"/>
              </w:rPr>
            </w:pPr>
            <w:r w:rsidRPr="00C43A07">
              <w:rPr>
                <w:rFonts w:ascii="Arial" w:hAnsi="Arial" w:cs="Arial"/>
                <w:sz w:val="20"/>
                <w:szCs w:val="20"/>
              </w:rPr>
              <w:t>PI 2</w:t>
            </w:r>
          </w:p>
        </w:tc>
        <w:tc>
          <w:tcPr>
            <w:tcW w:w="990" w:type="dxa"/>
          </w:tcPr>
          <w:p w14:paraId="504A9CA5"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2.28</w:t>
            </w:r>
          </w:p>
        </w:tc>
        <w:tc>
          <w:tcPr>
            <w:tcW w:w="900" w:type="dxa"/>
          </w:tcPr>
          <w:p w14:paraId="596857FB"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1.207</w:t>
            </w:r>
          </w:p>
        </w:tc>
        <w:tc>
          <w:tcPr>
            <w:tcW w:w="1440" w:type="dxa"/>
          </w:tcPr>
          <w:p w14:paraId="1304238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0.859</w:t>
            </w:r>
          </w:p>
        </w:tc>
        <w:tc>
          <w:tcPr>
            <w:tcW w:w="1440" w:type="dxa"/>
          </w:tcPr>
          <w:p w14:paraId="20D4E397" w14:textId="77777777" w:rsidR="00C43A07" w:rsidRPr="00C43A07" w:rsidRDefault="00C43A07" w:rsidP="000C242E">
            <w:pPr>
              <w:jc w:val="center"/>
              <w:rPr>
                <w:rFonts w:ascii="Arial" w:hAnsi="Arial" w:cs="Arial"/>
                <w:sz w:val="20"/>
                <w:szCs w:val="20"/>
              </w:rPr>
            </w:pPr>
          </w:p>
        </w:tc>
        <w:tc>
          <w:tcPr>
            <w:tcW w:w="1170" w:type="dxa"/>
          </w:tcPr>
          <w:p w14:paraId="222BEC01" w14:textId="77777777" w:rsidR="00C43A07" w:rsidRPr="00C43A07" w:rsidRDefault="00C43A07" w:rsidP="000C242E">
            <w:pPr>
              <w:jc w:val="center"/>
              <w:rPr>
                <w:rFonts w:ascii="Arial" w:hAnsi="Arial" w:cs="Arial"/>
                <w:sz w:val="20"/>
                <w:szCs w:val="20"/>
              </w:rPr>
            </w:pPr>
          </w:p>
        </w:tc>
        <w:tc>
          <w:tcPr>
            <w:tcW w:w="1075" w:type="dxa"/>
          </w:tcPr>
          <w:p w14:paraId="0A09952B" w14:textId="77777777" w:rsidR="00C43A07" w:rsidRPr="00C43A07" w:rsidRDefault="00C43A07" w:rsidP="000C242E">
            <w:pPr>
              <w:jc w:val="center"/>
              <w:rPr>
                <w:rFonts w:ascii="Arial" w:hAnsi="Arial" w:cs="Arial"/>
                <w:sz w:val="20"/>
                <w:szCs w:val="20"/>
              </w:rPr>
            </w:pPr>
          </w:p>
        </w:tc>
      </w:tr>
      <w:tr w:rsidR="00C43A07" w:rsidRPr="00C43A07" w14:paraId="6C7339C6" w14:textId="77777777" w:rsidTr="00C43A07">
        <w:trPr>
          <w:jc w:val="center"/>
        </w:trPr>
        <w:tc>
          <w:tcPr>
            <w:tcW w:w="990" w:type="dxa"/>
            <w:vMerge/>
          </w:tcPr>
          <w:p w14:paraId="68EA34AA" w14:textId="77777777" w:rsidR="00C43A07" w:rsidRPr="00C43A07" w:rsidRDefault="00C43A07" w:rsidP="000C242E">
            <w:pPr>
              <w:rPr>
                <w:rFonts w:ascii="Arial" w:hAnsi="Arial" w:cs="Arial"/>
                <w:sz w:val="20"/>
                <w:szCs w:val="20"/>
              </w:rPr>
            </w:pPr>
          </w:p>
        </w:tc>
        <w:tc>
          <w:tcPr>
            <w:tcW w:w="1260" w:type="dxa"/>
          </w:tcPr>
          <w:p w14:paraId="7BF34EF9" w14:textId="77777777" w:rsidR="00C43A07" w:rsidRPr="00C43A07" w:rsidRDefault="00C43A07" w:rsidP="000C242E">
            <w:pPr>
              <w:rPr>
                <w:rFonts w:ascii="Arial" w:hAnsi="Arial" w:cs="Arial"/>
                <w:sz w:val="20"/>
                <w:szCs w:val="20"/>
              </w:rPr>
            </w:pPr>
            <w:r w:rsidRPr="00C43A07">
              <w:rPr>
                <w:rFonts w:ascii="Arial" w:hAnsi="Arial" w:cs="Arial"/>
                <w:sz w:val="20"/>
                <w:szCs w:val="20"/>
              </w:rPr>
              <w:t>PI 3</w:t>
            </w:r>
          </w:p>
        </w:tc>
        <w:tc>
          <w:tcPr>
            <w:tcW w:w="990" w:type="dxa"/>
          </w:tcPr>
          <w:p w14:paraId="402991E8"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2.61</w:t>
            </w:r>
          </w:p>
        </w:tc>
        <w:tc>
          <w:tcPr>
            <w:tcW w:w="900" w:type="dxa"/>
          </w:tcPr>
          <w:p w14:paraId="15CF370B"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1.367</w:t>
            </w:r>
          </w:p>
        </w:tc>
        <w:tc>
          <w:tcPr>
            <w:tcW w:w="1440" w:type="dxa"/>
          </w:tcPr>
          <w:p w14:paraId="497F5898"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0.744</w:t>
            </w:r>
          </w:p>
        </w:tc>
        <w:tc>
          <w:tcPr>
            <w:tcW w:w="1440" w:type="dxa"/>
          </w:tcPr>
          <w:p w14:paraId="35769084" w14:textId="77777777" w:rsidR="00C43A07" w:rsidRPr="00C43A07" w:rsidRDefault="00C43A07" w:rsidP="000C242E">
            <w:pPr>
              <w:jc w:val="center"/>
              <w:rPr>
                <w:rFonts w:ascii="Arial" w:hAnsi="Arial" w:cs="Arial"/>
                <w:sz w:val="20"/>
                <w:szCs w:val="20"/>
              </w:rPr>
            </w:pPr>
          </w:p>
        </w:tc>
        <w:tc>
          <w:tcPr>
            <w:tcW w:w="1170" w:type="dxa"/>
          </w:tcPr>
          <w:p w14:paraId="2092F4DE" w14:textId="77777777" w:rsidR="00C43A07" w:rsidRPr="00C43A07" w:rsidRDefault="00C43A07" w:rsidP="000C242E">
            <w:pPr>
              <w:jc w:val="center"/>
              <w:rPr>
                <w:rFonts w:ascii="Arial" w:hAnsi="Arial" w:cs="Arial"/>
                <w:sz w:val="20"/>
                <w:szCs w:val="20"/>
              </w:rPr>
            </w:pPr>
          </w:p>
        </w:tc>
        <w:tc>
          <w:tcPr>
            <w:tcW w:w="1075" w:type="dxa"/>
          </w:tcPr>
          <w:p w14:paraId="40C8A51E" w14:textId="77777777" w:rsidR="00C43A07" w:rsidRPr="00C43A07" w:rsidRDefault="00C43A07" w:rsidP="000C242E">
            <w:pPr>
              <w:jc w:val="center"/>
              <w:rPr>
                <w:rFonts w:ascii="Arial" w:hAnsi="Arial" w:cs="Arial"/>
                <w:sz w:val="20"/>
                <w:szCs w:val="20"/>
              </w:rPr>
            </w:pPr>
          </w:p>
        </w:tc>
      </w:tr>
      <w:tr w:rsidR="00C43A07" w:rsidRPr="00C43A07" w14:paraId="193F19A0" w14:textId="77777777" w:rsidTr="00C43A07">
        <w:trPr>
          <w:jc w:val="center"/>
        </w:trPr>
        <w:tc>
          <w:tcPr>
            <w:tcW w:w="990" w:type="dxa"/>
            <w:vMerge/>
          </w:tcPr>
          <w:p w14:paraId="1B7C64E2" w14:textId="77777777" w:rsidR="00C43A07" w:rsidRPr="00C43A07" w:rsidRDefault="00C43A07" w:rsidP="000C242E">
            <w:pPr>
              <w:rPr>
                <w:rFonts w:ascii="Arial" w:hAnsi="Arial" w:cs="Arial"/>
                <w:sz w:val="20"/>
                <w:szCs w:val="20"/>
              </w:rPr>
            </w:pPr>
          </w:p>
        </w:tc>
        <w:tc>
          <w:tcPr>
            <w:tcW w:w="1260" w:type="dxa"/>
          </w:tcPr>
          <w:p w14:paraId="0E36E0A3" w14:textId="77777777" w:rsidR="00C43A07" w:rsidRPr="00C43A07" w:rsidRDefault="00C43A07" w:rsidP="000C242E">
            <w:pPr>
              <w:rPr>
                <w:rFonts w:ascii="Arial" w:hAnsi="Arial" w:cs="Arial"/>
                <w:sz w:val="20"/>
                <w:szCs w:val="20"/>
              </w:rPr>
            </w:pPr>
            <w:r w:rsidRPr="00C43A07">
              <w:rPr>
                <w:rFonts w:ascii="Arial" w:hAnsi="Arial" w:cs="Arial"/>
                <w:sz w:val="20"/>
                <w:szCs w:val="20"/>
              </w:rPr>
              <w:t>PI 4</w:t>
            </w:r>
          </w:p>
        </w:tc>
        <w:tc>
          <w:tcPr>
            <w:tcW w:w="990" w:type="dxa"/>
          </w:tcPr>
          <w:p w14:paraId="6A5478F9"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2.36</w:t>
            </w:r>
          </w:p>
        </w:tc>
        <w:tc>
          <w:tcPr>
            <w:tcW w:w="900" w:type="dxa"/>
          </w:tcPr>
          <w:p w14:paraId="45B1C54B"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1.274</w:t>
            </w:r>
          </w:p>
        </w:tc>
        <w:tc>
          <w:tcPr>
            <w:tcW w:w="1440" w:type="dxa"/>
          </w:tcPr>
          <w:p w14:paraId="4FEAAA1C"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0.786</w:t>
            </w:r>
          </w:p>
        </w:tc>
        <w:tc>
          <w:tcPr>
            <w:tcW w:w="1440" w:type="dxa"/>
          </w:tcPr>
          <w:p w14:paraId="788CC22B" w14:textId="77777777" w:rsidR="00C43A07" w:rsidRPr="00C43A07" w:rsidRDefault="00C43A07" w:rsidP="000C242E">
            <w:pPr>
              <w:jc w:val="center"/>
              <w:rPr>
                <w:rFonts w:ascii="Arial" w:hAnsi="Arial" w:cs="Arial"/>
                <w:sz w:val="20"/>
                <w:szCs w:val="20"/>
              </w:rPr>
            </w:pPr>
          </w:p>
        </w:tc>
        <w:tc>
          <w:tcPr>
            <w:tcW w:w="1170" w:type="dxa"/>
          </w:tcPr>
          <w:p w14:paraId="4B01EF32" w14:textId="77777777" w:rsidR="00C43A07" w:rsidRPr="00C43A07" w:rsidRDefault="00C43A07" w:rsidP="000C242E">
            <w:pPr>
              <w:jc w:val="center"/>
              <w:rPr>
                <w:rFonts w:ascii="Arial" w:hAnsi="Arial" w:cs="Arial"/>
                <w:sz w:val="20"/>
                <w:szCs w:val="20"/>
              </w:rPr>
            </w:pPr>
          </w:p>
        </w:tc>
        <w:tc>
          <w:tcPr>
            <w:tcW w:w="1075" w:type="dxa"/>
          </w:tcPr>
          <w:p w14:paraId="24422982" w14:textId="77777777" w:rsidR="00C43A07" w:rsidRPr="00C43A07" w:rsidRDefault="00C43A07" w:rsidP="000C242E">
            <w:pPr>
              <w:jc w:val="center"/>
              <w:rPr>
                <w:rFonts w:ascii="Arial" w:hAnsi="Arial" w:cs="Arial"/>
                <w:sz w:val="20"/>
                <w:szCs w:val="20"/>
              </w:rPr>
            </w:pPr>
          </w:p>
        </w:tc>
      </w:tr>
      <w:tr w:rsidR="00C43A07" w:rsidRPr="00C43A07" w14:paraId="70DD79CA" w14:textId="77777777" w:rsidTr="00C43A07">
        <w:trPr>
          <w:jc w:val="center"/>
        </w:trPr>
        <w:tc>
          <w:tcPr>
            <w:tcW w:w="990" w:type="dxa"/>
            <w:vMerge/>
          </w:tcPr>
          <w:p w14:paraId="24C6C7D9" w14:textId="77777777" w:rsidR="00C43A07" w:rsidRPr="00C43A07" w:rsidRDefault="00C43A07" w:rsidP="000C242E">
            <w:pPr>
              <w:rPr>
                <w:rFonts w:ascii="Arial" w:hAnsi="Arial" w:cs="Arial"/>
                <w:sz w:val="20"/>
                <w:szCs w:val="20"/>
              </w:rPr>
            </w:pPr>
          </w:p>
        </w:tc>
        <w:tc>
          <w:tcPr>
            <w:tcW w:w="1260" w:type="dxa"/>
          </w:tcPr>
          <w:p w14:paraId="78ED9690" w14:textId="77777777" w:rsidR="00C43A07" w:rsidRPr="00C43A07" w:rsidRDefault="00C43A07" w:rsidP="000C242E">
            <w:pPr>
              <w:rPr>
                <w:rFonts w:ascii="Arial" w:hAnsi="Arial" w:cs="Arial"/>
                <w:sz w:val="20"/>
                <w:szCs w:val="20"/>
              </w:rPr>
            </w:pPr>
            <w:r w:rsidRPr="00C43A07">
              <w:rPr>
                <w:rFonts w:ascii="Arial" w:hAnsi="Arial" w:cs="Arial"/>
                <w:sz w:val="20"/>
                <w:szCs w:val="20"/>
              </w:rPr>
              <w:t>PI 5</w:t>
            </w:r>
          </w:p>
        </w:tc>
        <w:tc>
          <w:tcPr>
            <w:tcW w:w="990" w:type="dxa"/>
          </w:tcPr>
          <w:p w14:paraId="4DB5FE22"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2.38</w:t>
            </w:r>
          </w:p>
        </w:tc>
        <w:tc>
          <w:tcPr>
            <w:tcW w:w="900" w:type="dxa"/>
          </w:tcPr>
          <w:p w14:paraId="59E346E0"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1.246</w:t>
            </w:r>
          </w:p>
        </w:tc>
        <w:tc>
          <w:tcPr>
            <w:tcW w:w="1440" w:type="dxa"/>
          </w:tcPr>
          <w:p w14:paraId="7F22E81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0.845</w:t>
            </w:r>
          </w:p>
        </w:tc>
        <w:tc>
          <w:tcPr>
            <w:tcW w:w="1440" w:type="dxa"/>
          </w:tcPr>
          <w:p w14:paraId="792FEAEA" w14:textId="77777777" w:rsidR="00C43A07" w:rsidRPr="00C43A07" w:rsidRDefault="00C43A07" w:rsidP="000C242E">
            <w:pPr>
              <w:jc w:val="center"/>
              <w:rPr>
                <w:rFonts w:ascii="Arial" w:hAnsi="Arial" w:cs="Arial"/>
                <w:sz w:val="20"/>
                <w:szCs w:val="20"/>
              </w:rPr>
            </w:pPr>
          </w:p>
        </w:tc>
        <w:tc>
          <w:tcPr>
            <w:tcW w:w="1170" w:type="dxa"/>
          </w:tcPr>
          <w:p w14:paraId="3E540460" w14:textId="77777777" w:rsidR="00C43A07" w:rsidRPr="00C43A07" w:rsidRDefault="00C43A07" w:rsidP="000C242E">
            <w:pPr>
              <w:jc w:val="center"/>
              <w:rPr>
                <w:rFonts w:ascii="Arial" w:hAnsi="Arial" w:cs="Arial"/>
                <w:sz w:val="20"/>
                <w:szCs w:val="20"/>
              </w:rPr>
            </w:pPr>
          </w:p>
        </w:tc>
        <w:tc>
          <w:tcPr>
            <w:tcW w:w="1075" w:type="dxa"/>
          </w:tcPr>
          <w:p w14:paraId="3838A9F9" w14:textId="77777777" w:rsidR="00C43A07" w:rsidRPr="00C43A07" w:rsidRDefault="00C43A07" w:rsidP="000C242E">
            <w:pPr>
              <w:jc w:val="center"/>
              <w:rPr>
                <w:rFonts w:ascii="Arial" w:hAnsi="Arial" w:cs="Arial"/>
                <w:sz w:val="20"/>
                <w:szCs w:val="20"/>
              </w:rPr>
            </w:pPr>
          </w:p>
        </w:tc>
      </w:tr>
      <w:tr w:rsidR="00C43A07" w:rsidRPr="00C43A07" w14:paraId="77609D91" w14:textId="77777777" w:rsidTr="00C43A07">
        <w:trPr>
          <w:jc w:val="center"/>
        </w:trPr>
        <w:tc>
          <w:tcPr>
            <w:tcW w:w="990" w:type="dxa"/>
            <w:vMerge/>
          </w:tcPr>
          <w:p w14:paraId="7B962D65" w14:textId="77777777" w:rsidR="00C43A07" w:rsidRPr="00C43A07" w:rsidRDefault="00C43A07" w:rsidP="000C242E">
            <w:pPr>
              <w:rPr>
                <w:rFonts w:ascii="Arial" w:hAnsi="Arial" w:cs="Arial"/>
                <w:sz w:val="20"/>
                <w:szCs w:val="20"/>
              </w:rPr>
            </w:pPr>
          </w:p>
        </w:tc>
        <w:tc>
          <w:tcPr>
            <w:tcW w:w="1260" w:type="dxa"/>
          </w:tcPr>
          <w:p w14:paraId="4B587500" w14:textId="77777777" w:rsidR="00C43A07" w:rsidRPr="00C43A07" w:rsidRDefault="00C43A07" w:rsidP="000C242E">
            <w:pPr>
              <w:rPr>
                <w:rFonts w:ascii="Arial" w:hAnsi="Arial" w:cs="Arial"/>
                <w:sz w:val="20"/>
                <w:szCs w:val="20"/>
              </w:rPr>
            </w:pPr>
            <w:r w:rsidRPr="00C43A07">
              <w:rPr>
                <w:rFonts w:ascii="Arial" w:hAnsi="Arial" w:cs="Arial"/>
                <w:sz w:val="20"/>
                <w:szCs w:val="20"/>
              </w:rPr>
              <w:t>PI 6</w:t>
            </w:r>
          </w:p>
        </w:tc>
        <w:tc>
          <w:tcPr>
            <w:tcW w:w="990" w:type="dxa"/>
          </w:tcPr>
          <w:p w14:paraId="1B8D5DD7"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2.42</w:t>
            </w:r>
          </w:p>
        </w:tc>
        <w:tc>
          <w:tcPr>
            <w:tcW w:w="900" w:type="dxa"/>
          </w:tcPr>
          <w:p w14:paraId="1955B69B"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1.242</w:t>
            </w:r>
          </w:p>
        </w:tc>
        <w:tc>
          <w:tcPr>
            <w:tcW w:w="1440" w:type="dxa"/>
          </w:tcPr>
          <w:p w14:paraId="084B2650"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0.839</w:t>
            </w:r>
          </w:p>
        </w:tc>
        <w:tc>
          <w:tcPr>
            <w:tcW w:w="1440" w:type="dxa"/>
          </w:tcPr>
          <w:p w14:paraId="460981E9" w14:textId="77777777" w:rsidR="00C43A07" w:rsidRPr="00C43A07" w:rsidRDefault="00C43A07" w:rsidP="000C242E">
            <w:pPr>
              <w:jc w:val="center"/>
              <w:rPr>
                <w:rFonts w:ascii="Arial" w:hAnsi="Arial" w:cs="Arial"/>
                <w:sz w:val="20"/>
                <w:szCs w:val="20"/>
              </w:rPr>
            </w:pPr>
          </w:p>
        </w:tc>
        <w:tc>
          <w:tcPr>
            <w:tcW w:w="1170" w:type="dxa"/>
          </w:tcPr>
          <w:p w14:paraId="75C99FFB" w14:textId="77777777" w:rsidR="00C43A07" w:rsidRPr="00C43A07" w:rsidRDefault="00C43A07" w:rsidP="000C242E">
            <w:pPr>
              <w:jc w:val="center"/>
              <w:rPr>
                <w:rFonts w:ascii="Arial" w:hAnsi="Arial" w:cs="Arial"/>
                <w:sz w:val="20"/>
                <w:szCs w:val="20"/>
              </w:rPr>
            </w:pPr>
          </w:p>
        </w:tc>
        <w:tc>
          <w:tcPr>
            <w:tcW w:w="1075" w:type="dxa"/>
          </w:tcPr>
          <w:p w14:paraId="530B664E" w14:textId="77777777" w:rsidR="00C43A07" w:rsidRPr="00C43A07" w:rsidRDefault="00C43A07" w:rsidP="000C242E">
            <w:pPr>
              <w:jc w:val="center"/>
              <w:rPr>
                <w:rFonts w:ascii="Arial" w:hAnsi="Arial" w:cs="Arial"/>
                <w:sz w:val="20"/>
                <w:szCs w:val="20"/>
              </w:rPr>
            </w:pPr>
          </w:p>
        </w:tc>
      </w:tr>
      <w:tr w:rsidR="00C43A07" w:rsidRPr="00C43A07" w14:paraId="4E7A4501" w14:textId="77777777" w:rsidTr="00C43A07">
        <w:trPr>
          <w:jc w:val="center"/>
        </w:trPr>
        <w:tc>
          <w:tcPr>
            <w:tcW w:w="990" w:type="dxa"/>
            <w:vMerge/>
          </w:tcPr>
          <w:p w14:paraId="5089BEB5" w14:textId="77777777" w:rsidR="00C43A07" w:rsidRPr="00C43A07" w:rsidRDefault="00C43A07" w:rsidP="000C242E">
            <w:pPr>
              <w:rPr>
                <w:rFonts w:ascii="Arial" w:hAnsi="Arial" w:cs="Arial"/>
                <w:sz w:val="20"/>
                <w:szCs w:val="20"/>
              </w:rPr>
            </w:pPr>
          </w:p>
        </w:tc>
        <w:tc>
          <w:tcPr>
            <w:tcW w:w="1260" w:type="dxa"/>
          </w:tcPr>
          <w:p w14:paraId="4F66097C" w14:textId="77777777" w:rsidR="00C43A07" w:rsidRPr="00C43A07" w:rsidRDefault="00C43A07" w:rsidP="000C242E">
            <w:pPr>
              <w:rPr>
                <w:rFonts w:ascii="Arial" w:hAnsi="Arial" w:cs="Arial"/>
                <w:sz w:val="20"/>
                <w:szCs w:val="20"/>
              </w:rPr>
            </w:pPr>
            <w:r w:rsidRPr="00C43A07">
              <w:rPr>
                <w:rFonts w:ascii="Arial" w:hAnsi="Arial" w:cs="Arial"/>
                <w:sz w:val="20"/>
                <w:szCs w:val="20"/>
              </w:rPr>
              <w:t>PI 7</w:t>
            </w:r>
          </w:p>
        </w:tc>
        <w:tc>
          <w:tcPr>
            <w:tcW w:w="990" w:type="dxa"/>
          </w:tcPr>
          <w:p w14:paraId="1886AAD3"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2.34</w:t>
            </w:r>
          </w:p>
        </w:tc>
        <w:tc>
          <w:tcPr>
            <w:tcW w:w="900" w:type="dxa"/>
          </w:tcPr>
          <w:p w14:paraId="01540CCA"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1.246</w:t>
            </w:r>
          </w:p>
        </w:tc>
        <w:tc>
          <w:tcPr>
            <w:tcW w:w="1440" w:type="dxa"/>
          </w:tcPr>
          <w:p w14:paraId="107B5456"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0.880</w:t>
            </w:r>
          </w:p>
        </w:tc>
        <w:tc>
          <w:tcPr>
            <w:tcW w:w="1440" w:type="dxa"/>
          </w:tcPr>
          <w:p w14:paraId="665F2E80" w14:textId="77777777" w:rsidR="00C43A07" w:rsidRPr="00C43A07" w:rsidRDefault="00C43A07" w:rsidP="000C242E">
            <w:pPr>
              <w:jc w:val="center"/>
              <w:rPr>
                <w:rFonts w:ascii="Arial" w:hAnsi="Arial" w:cs="Arial"/>
                <w:sz w:val="20"/>
                <w:szCs w:val="20"/>
              </w:rPr>
            </w:pPr>
          </w:p>
        </w:tc>
        <w:tc>
          <w:tcPr>
            <w:tcW w:w="1170" w:type="dxa"/>
          </w:tcPr>
          <w:p w14:paraId="6C87BFDF" w14:textId="77777777" w:rsidR="00C43A07" w:rsidRPr="00C43A07" w:rsidRDefault="00C43A07" w:rsidP="000C242E">
            <w:pPr>
              <w:jc w:val="center"/>
              <w:rPr>
                <w:rFonts w:ascii="Arial" w:hAnsi="Arial" w:cs="Arial"/>
                <w:sz w:val="20"/>
                <w:szCs w:val="20"/>
              </w:rPr>
            </w:pPr>
          </w:p>
        </w:tc>
        <w:tc>
          <w:tcPr>
            <w:tcW w:w="1075" w:type="dxa"/>
          </w:tcPr>
          <w:p w14:paraId="2ED8CE97" w14:textId="77777777" w:rsidR="00C43A07" w:rsidRPr="00C43A07" w:rsidRDefault="00C43A07" w:rsidP="000C242E">
            <w:pPr>
              <w:jc w:val="center"/>
              <w:rPr>
                <w:rFonts w:ascii="Arial" w:hAnsi="Arial" w:cs="Arial"/>
                <w:sz w:val="20"/>
                <w:szCs w:val="20"/>
              </w:rPr>
            </w:pPr>
          </w:p>
        </w:tc>
      </w:tr>
      <w:tr w:rsidR="00C43A07" w:rsidRPr="00C43A07" w14:paraId="6B953192" w14:textId="77777777" w:rsidTr="00C43A07">
        <w:trPr>
          <w:jc w:val="center"/>
        </w:trPr>
        <w:tc>
          <w:tcPr>
            <w:tcW w:w="990" w:type="dxa"/>
            <w:vMerge w:val="restart"/>
          </w:tcPr>
          <w:p w14:paraId="43B62283" w14:textId="77777777" w:rsidR="00C43A07" w:rsidRPr="00C43A07" w:rsidRDefault="00C43A07" w:rsidP="000C242E">
            <w:pPr>
              <w:rPr>
                <w:rFonts w:ascii="Arial" w:hAnsi="Arial" w:cs="Arial"/>
                <w:sz w:val="20"/>
                <w:szCs w:val="20"/>
              </w:rPr>
            </w:pPr>
            <w:r w:rsidRPr="00C43A07">
              <w:rPr>
                <w:rFonts w:ascii="Arial" w:hAnsi="Arial" w:cs="Arial"/>
                <w:sz w:val="20"/>
                <w:szCs w:val="20"/>
              </w:rPr>
              <w:t>SMM</w:t>
            </w:r>
          </w:p>
        </w:tc>
        <w:tc>
          <w:tcPr>
            <w:tcW w:w="1260" w:type="dxa"/>
          </w:tcPr>
          <w:p w14:paraId="3D56CBB0" w14:textId="77777777" w:rsidR="00C43A07" w:rsidRPr="00C43A07" w:rsidRDefault="00C43A07" w:rsidP="000C242E">
            <w:pPr>
              <w:rPr>
                <w:rFonts w:ascii="Arial" w:hAnsi="Arial" w:cs="Arial"/>
                <w:sz w:val="20"/>
                <w:szCs w:val="20"/>
              </w:rPr>
            </w:pPr>
            <w:r w:rsidRPr="00C43A07">
              <w:rPr>
                <w:rFonts w:ascii="Arial" w:hAnsi="Arial" w:cs="Arial"/>
                <w:sz w:val="20"/>
                <w:szCs w:val="20"/>
              </w:rPr>
              <w:t>SMM 1</w:t>
            </w:r>
          </w:p>
        </w:tc>
        <w:tc>
          <w:tcPr>
            <w:tcW w:w="990" w:type="dxa"/>
          </w:tcPr>
          <w:p w14:paraId="45D0FF72"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2.10</w:t>
            </w:r>
          </w:p>
        </w:tc>
        <w:tc>
          <w:tcPr>
            <w:tcW w:w="900" w:type="dxa"/>
          </w:tcPr>
          <w:p w14:paraId="7DE49074"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1.222</w:t>
            </w:r>
          </w:p>
        </w:tc>
        <w:tc>
          <w:tcPr>
            <w:tcW w:w="1440" w:type="dxa"/>
          </w:tcPr>
          <w:p w14:paraId="44869C64"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0.734</w:t>
            </w:r>
          </w:p>
        </w:tc>
        <w:tc>
          <w:tcPr>
            <w:tcW w:w="1440" w:type="dxa"/>
          </w:tcPr>
          <w:p w14:paraId="7B2A71AE"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0.913</w:t>
            </w:r>
          </w:p>
        </w:tc>
        <w:tc>
          <w:tcPr>
            <w:tcW w:w="1170" w:type="dxa"/>
          </w:tcPr>
          <w:p w14:paraId="265819B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0.900</w:t>
            </w:r>
          </w:p>
        </w:tc>
        <w:tc>
          <w:tcPr>
            <w:tcW w:w="1075" w:type="dxa"/>
          </w:tcPr>
          <w:p w14:paraId="1CE07FD8"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0.693</w:t>
            </w:r>
          </w:p>
        </w:tc>
      </w:tr>
      <w:tr w:rsidR="00C43A07" w:rsidRPr="00C43A07" w14:paraId="28BB9A5F" w14:textId="77777777" w:rsidTr="00C43A07">
        <w:trPr>
          <w:jc w:val="center"/>
        </w:trPr>
        <w:tc>
          <w:tcPr>
            <w:tcW w:w="990" w:type="dxa"/>
            <w:vMerge/>
          </w:tcPr>
          <w:p w14:paraId="559B9F68" w14:textId="77777777" w:rsidR="00C43A07" w:rsidRPr="00C43A07" w:rsidRDefault="00C43A07" w:rsidP="000C242E">
            <w:pPr>
              <w:rPr>
                <w:rFonts w:ascii="Arial" w:hAnsi="Arial" w:cs="Arial"/>
                <w:sz w:val="20"/>
                <w:szCs w:val="20"/>
              </w:rPr>
            </w:pPr>
          </w:p>
        </w:tc>
        <w:tc>
          <w:tcPr>
            <w:tcW w:w="1260" w:type="dxa"/>
          </w:tcPr>
          <w:p w14:paraId="4E3F2BE0" w14:textId="77777777" w:rsidR="00C43A07" w:rsidRPr="00C43A07" w:rsidRDefault="00C43A07" w:rsidP="000C242E">
            <w:pPr>
              <w:rPr>
                <w:rFonts w:ascii="Arial" w:hAnsi="Arial" w:cs="Arial"/>
                <w:sz w:val="20"/>
                <w:szCs w:val="20"/>
              </w:rPr>
            </w:pPr>
            <w:r w:rsidRPr="00C43A07">
              <w:rPr>
                <w:rFonts w:ascii="Arial" w:hAnsi="Arial" w:cs="Arial"/>
                <w:sz w:val="20"/>
                <w:szCs w:val="20"/>
              </w:rPr>
              <w:t>SMM 2</w:t>
            </w:r>
          </w:p>
        </w:tc>
        <w:tc>
          <w:tcPr>
            <w:tcW w:w="990" w:type="dxa"/>
          </w:tcPr>
          <w:p w14:paraId="68831B12"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2.35</w:t>
            </w:r>
          </w:p>
        </w:tc>
        <w:tc>
          <w:tcPr>
            <w:tcW w:w="900" w:type="dxa"/>
          </w:tcPr>
          <w:p w14:paraId="08B2748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1.110</w:t>
            </w:r>
          </w:p>
        </w:tc>
        <w:tc>
          <w:tcPr>
            <w:tcW w:w="1440" w:type="dxa"/>
          </w:tcPr>
          <w:p w14:paraId="412E3E75"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0.895</w:t>
            </w:r>
          </w:p>
        </w:tc>
        <w:tc>
          <w:tcPr>
            <w:tcW w:w="1440" w:type="dxa"/>
          </w:tcPr>
          <w:p w14:paraId="261EE44C" w14:textId="77777777" w:rsidR="00C43A07" w:rsidRPr="00C43A07" w:rsidRDefault="00C43A07" w:rsidP="000C242E">
            <w:pPr>
              <w:jc w:val="center"/>
              <w:rPr>
                <w:rFonts w:ascii="Arial" w:hAnsi="Arial" w:cs="Arial"/>
                <w:sz w:val="20"/>
                <w:szCs w:val="20"/>
              </w:rPr>
            </w:pPr>
          </w:p>
        </w:tc>
        <w:tc>
          <w:tcPr>
            <w:tcW w:w="1170" w:type="dxa"/>
          </w:tcPr>
          <w:p w14:paraId="0A2910A1" w14:textId="77777777" w:rsidR="00C43A07" w:rsidRPr="00C43A07" w:rsidRDefault="00C43A07" w:rsidP="000C242E">
            <w:pPr>
              <w:jc w:val="center"/>
              <w:rPr>
                <w:rFonts w:ascii="Arial" w:hAnsi="Arial" w:cs="Arial"/>
                <w:sz w:val="20"/>
                <w:szCs w:val="20"/>
              </w:rPr>
            </w:pPr>
          </w:p>
        </w:tc>
        <w:tc>
          <w:tcPr>
            <w:tcW w:w="1075" w:type="dxa"/>
          </w:tcPr>
          <w:p w14:paraId="646F9BDF" w14:textId="77777777" w:rsidR="00C43A07" w:rsidRPr="00C43A07" w:rsidRDefault="00C43A07" w:rsidP="000C242E">
            <w:pPr>
              <w:jc w:val="center"/>
              <w:rPr>
                <w:rFonts w:ascii="Arial" w:hAnsi="Arial" w:cs="Arial"/>
                <w:sz w:val="20"/>
                <w:szCs w:val="20"/>
              </w:rPr>
            </w:pPr>
          </w:p>
        </w:tc>
      </w:tr>
      <w:tr w:rsidR="00C43A07" w:rsidRPr="00C43A07" w14:paraId="6C5BC3C2" w14:textId="77777777" w:rsidTr="00C43A07">
        <w:trPr>
          <w:jc w:val="center"/>
        </w:trPr>
        <w:tc>
          <w:tcPr>
            <w:tcW w:w="990" w:type="dxa"/>
            <w:vMerge/>
          </w:tcPr>
          <w:p w14:paraId="401DF89E" w14:textId="77777777" w:rsidR="00C43A07" w:rsidRPr="00C43A07" w:rsidRDefault="00C43A07" w:rsidP="000C242E">
            <w:pPr>
              <w:rPr>
                <w:rFonts w:ascii="Arial" w:hAnsi="Arial" w:cs="Arial"/>
                <w:sz w:val="20"/>
                <w:szCs w:val="20"/>
              </w:rPr>
            </w:pPr>
          </w:p>
        </w:tc>
        <w:tc>
          <w:tcPr>
            <w:tcW w:w="1260" w:type="dxa"/>
          </w:tcPr>
          <w:p w14:paraId="58D79186" w14:textId="77777777" w:rsidR="00C43A07" w:rsidRPr="00C43A07" w:rsidRDefault="00C43A07" w:rsidP="000C242E">
            <w:pPr>
              <w:rPr>
                <w:rFonts w:ascii="Arial" w:hAnsi="Arial" w:cs="Arial"/>
                <w:sz w:val="20"/>
                <w:szCs w:val="20"/>
              </w:rPr>
            </w:pPr>
            <w:r w:rsidRPr="00C43A07">
              <w:rPr>
                <w:rFonts w:ascii="Arial" w:hAnsi="Arial" w:cs="Arial"/>
                <w:sz w:val="20"/>
                <w:szCs w:val="20"/>
              </w:rPr>
              <w:t>SMM 3</w:t>
            </w:r>
          </w:p>
        </w:tc>
        <w:tc>
          <w:tcPr>
            <w:tcW w:w="990" w:type="dxa"/>
          </w:tcPr>
          <w:p w14:paraId="60F6B07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2.37</w:t>
            </w:r>
          </w:p>
        </w:tc>
        <w:tc>
          <w:tcPr>
            <w:tcW w:w="900" w:type="dxa"/>
          </w:tcPr>
          <w:p w14:paraId="72DDEAC6"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1.161</w:t>
            </w:r>
          </w:p>
        </w:tc>
        <w:tc>
          <w:tcPr>
            <w:tcW w:w="1440" w:type="dxa"/>
          </w:tcPr>
          <w:p w14:paraId="4684AAA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0.810</w:t>
            </w:r>
          </w:p>
        </w:tc>
        <w:tc>
          <w:tcPr>
            <w:tcW w:w="1440" w:type="dxa"/>
          </w:tcPr>
          <w:p w14:paraId="6A94E60C" w14:textId="77777777" w:rsidR="00C43A07" w:rsidRPr="00C43A07" w:rsidRDefault="00C43A07" w:rsidP="000C242E">
            <w:pPr>
              <w:jc w:val="center"/>
              <w:rPr>
                <w:rFonts w:ascii="Arial" w:hAnsi="Arial" w:cs="Arial"/>
                <w:sz w:val="20"/>
                <w:szCs w:val="20"/>
              </w:rPr>
            </w:pPr>
          </w:p>
        </w:tc>
        <w:tc>
          <w:tcPr>
            <w:tcW w:w="1170" w:type="dxa"/>
          </w:tcPr>
          <w:p w14:paraId="6D4A3878" w14:textId="77777777" w:rsidR="00C43A07" w:rsidRPr="00C43A07" w:rsidRDefault="00C43A07" w:rsidP="000C242E">
            <w:pPr>
              <w:jc w:val="center"/>
              <w:rPr>
                <w:rFonts w:ascii="Arial" w:hAnsi="Arial" w:cs="Arial"/>
                <w:sz w:val="20"/>
                <w:szCs w:val="20"/>
              </w:rPr>
            </w:pPr>
          </w:p>
        </w:tc>
        <w:tc>
          <w:tcPr>
            <w:tcW w:w="1075" w:type="dxa"/>
          </w:tcPr>
          <w:p w14:paraId="536532D4" w14:textId="77777777" w:rsidR="00C43A07" w:rsidRPr="00C43A07" w:rsidRDefault="00C43A07" w:rsidP="000C242E">
            <w:pPr>
              <w:jc w:val="center"/>
              <w:rPr>
                <w:rFonts w:ascii="Arial" w:hAnsi="Arial" w:cs="Arial"/>
                <w:sz w:val="20"/>
                <w:szCs w:val="20"/>
              </w:rPr>
            </w:pPr>
          </w:p>
        </w:tc>
      </w:tr>
      <w:tr w:rsidR="00C43A07" w:rsidRPr="00C43A07" w14:paraId="3050B547" w14:textId="77777777" w:rsidTr="00C43A07">
        <w:trPr>
          <w:jc w:val="center"/>
        </w:trPr>
        <w:tc>
          <w:tcPr>
            <w:tcW w:w="990" w:type="dxa"/>
            <w:vMerge/>
          </w:tcPr>
          <w:p w14:paraId="1771D407" w14:textId="77777777" w:rsidR="00C43A07" w:rsidRPr="00C43A07" w:rsidRDefault="00C43A07" w:rsidP="000C242E">
            <w:pPr>
              <w:rPr>
                <w:rFonts w:ascii="Arial" w:hAnsi="Arial" w:cs="Arial"/>
                <w:sz w:val="20"/>
                <w:szCs w:val="20"/>
              </w:rPr>
            </w:pPr>
          </w:p>
        </w:tc>
        <w:tc>
          <w:tcPr>
            <w:tcW w:w="1260" w:type="dxa"/>
          </w:tcPr>
          <w:p w14:paraId="04DFCF69" w14:textId="77777777" w:rsidR="00C43A07" w:rsidRPr="00C43A07" w:rsidRDefault="00C43A07" w:rsidP="000C242E">
            <w:pPr>
              <w:rPr>
                <w:rFonts w:ascii="Arial" w:hAnsi="Arial" w:cs="Arial"/>
                <w:sz w:val="20"/>
                <w:szCs w:val="20"/>
              </w:rPr>
            </w:pPr>
            <w:r w:rsidRPr="00C43A07">
              <w:rPr>
                <w:rFonts w:ascii="Arial" w:hAnsi="Arial" w:cs="Arial"/>
                <w:sz w:val="20"/>
                <w:szCs w:val="20"/>
              </w:rPr>
              <w:t>SMM 5</w:t>
            </w:r>
          </w:p>
        </w:tc>
        <w:tc>
          <w:tcPr>
            <w:tcW w:w="990" w:type="dxa"/>
          </w:tcPr>
          <w:p w14:paraId="1924B1D5"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2.21</w:t>
            </w:r>
          </w:p>
        </w:tc>
        <w:tc>
          <w:tcPr>
            <w:tcW w:w="900" w:type="dxa"/>
          </w:tcPr>
          <w:p w14:paraId="2FC7052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1.117</w:t>
            </w:r>
          </w:p>
        </w:tc>
        <w:tc>
          <w:tcPr>
            <w:tcW w:w="1440" w:type="dxa"/>
          </w:tcPr>
          <w:p w14:paraId="011E9686"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0.881</w:t>
            </w:r>
          </w:p>
        </w:tc>
        <w:tc>
          <w:tcPr>
            <w:tcW w:w="1440" w:type="dxa"/>
          </w:tcPr>
          <w:p w14:paraId="0D8139DF" w14:textId="77777777" w:rsidR="00C43A07" w:rsidRPr="00C43A07" w:rsidRDefault="00C43A07" w:rsidP="000C242E">
            <w:pPr>
              <w:jc w:val="center"/>
              <w:rPr>
                <w:rFonts w:ascii="Arial" w:hAnsi="Arial" w:cs="Arial"/>
                <w:sz w:val="20"/>
                <w:szCs w:val="20"/>
              </w:rPr>
            </w:pPr>
          </w:p>
        </w:tc>
        <w:tc>
          <w:tcPr>
            <w:tcW w:w="1170" w:type="dxa"/>
          </w:tcPr>
          <w:p w14:paraId="3195D36A" w14:textId="77777777" w:rsidR="00C43A07" w:rsidRPr="00C43A07" w:rsidRDefault="00C43A07" w:rsidP="000C242E">
            <w:pPr>
              <w:jc w:val="center"/>
              <w:rPr>
                <w:rFonts w:ascii="Arial" w:hAnsi="Arial" w:cs="Arial"/>
                <w:sz w:val="20"/>
                <w:szCs w:val="20"/>
              </w:rPr>
            </w:pPr>
          </w:p>
        </w:tc>
        <w:tc>
          <w:tcPr>
            <w:tcW w:w="1075" w:type="dxa"/>
          </w:tcPr>
          <w:p w14:paraId="5BDC5FB6" w14:textId="77777777" w:rsidR="00C43A07" w:rsidRPr="00C43A07" w:rsidRDefault="00C43A07" w:rsidP="000C242E">
            <w:pPr>
              <w:jc w:val="center"/>
              <w:rPr>
                <w:rFonts w:ascii="Arial" w:hAnsi="Arial" w:cs="Arial"/>
                <w:sz w:val="20"/>
                <w:szCs w:val="20"/>
              </w:rPr>
            </w:pPr>
          </w:p>
        </w:tc>
      </w:tr>
      <w:tr w:rsidR="00C43A07" w:rsidRPr="00C43A07" w14:paraId="6F913B74" w14:textId="77777777" w:rsidTr="00C43A07">
        <w:trPr>
          <w:jc w:val="center"/>
        </w:trPr>
        <w:tc>
          <w:tcPr>
            <w:tcW w:w="990" w:type="dxa"/>
            <w:vMerge w:val="restart"/>
          </w:tcPr>
          <w:p w14:paraId="23473305" w14:textId="77777777" w:rsidR="00C43A07" w:rsidRPr="00C43A07" w:rsidRDefault="00C43A07" w:rsidP="000C242E">
            <w:pPr>
              <w:rPr>
                <w:rFonts w:ascii="Arial" w:hAnsi="Arial" w:cs="Arial"/>
                <w:sz w:val="20"/>
                <w:szCs w:val="20"/>
              </w:rPr>
            </w:pPr>
            <w:r w:rsidRPr="00C43A07">
              <w:rPr>
                <w:rFonts w:ascii="Arial" w:hAnsi="Arial" w:cs="Arial"/>
                <w:sz w:val="20"/>
                <w:szCs w:val="20"/>
              </w:rPr>
              <w:t>EWOM</w:t>
            </w:r>
          </w:p>
        </w:tc>
        <w:tc>
          <w:tcPr>
            <w:tcW w:w="1260" w:type="dxa"/>
          </w:tcPr>
          <w:p w14:paraId="7D7D1291" w14:textId="77777777" w:rsidR="00C43A07" w:rsidRPr="00C43A07" w:rsidRDefault="00C43A07" w:rsidP="000C242E">
            <w:pPr>
              <w:rPr>
                <w:rFonts w:ascii="Arial" w:hAnsi="Arial" w:cs="Arial"/>
                <w:sz w:val="20"/>
                <w:szCs w:val="20"/>
              </w:rPr>
            </w:pPr>
            <w:r w:rsidRPr="00C43A07">
              <w:rPr>
                <w:rFonts w:ascii="Arial" w:hAnsi="Arial" w:cs="Arial"/>
                <w:sz w:val="20"/>
                <w:szCs w:val="20"/>
              </w:rPr>
              <w:t>EWOM 2</w:t>
            </w:r>
          </w:p>
        </w:tc>
        <w:tc>
          <w:tcPr>
            <w:tcW w:w="990" w:type="dxa"/>
          </w:tcPr>
          <w:p w14:paraId="423E3704"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2.10</w:t>
            </w:r>
          </w:p>
        </w:tc>
        <w:tc>
          <w:tcPr>
            <w:tcW w:w="900" w:type="dxa"/>
          </w:tcPr>
          <w:p w14:paraId="67D1757C"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1.038</w:t>
            </w:r>
          </w:p>
        </w:tc>
        <w:tc>
          <w:tcPr>
            <w:tcW w:w="1440" w:type="dxa"/>
          </w:tcPr>
          <w:p w14:paraId="6994F880"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0.899</w:t>
            </w:r>
          </w:p>
        </w:tc>
        <w:tc>
          <w:tcPr>
            <w:tcW w:w="1440" w:type="dxa"/>
          </w:tcPr>
          <w:p w14:paraId="130E3A44"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0.861</w:t>
            </w:r>
          </w:p>
        </w:tc>
        <w:tc>
          <w:tcPr>
            <w:tcW w:w="1170" w:type="dxa"/>
          </w:tcPr>
          <w:p w14:paraId="23DE0E88"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0.817</w:t>
            </w:r>
          </w:p>
        </w:tc>
        <w:tc>
          <w:tcPr>
            <w:tcW w:w="1075" w:type="dxa"/>
          </w:tcPr>
          <w:p w14:paraId="18E04A5B"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0.601</w:t>
            </w:r>
          </w:p>
        </w:tc>
      </w:tr>
      <w:tr w:rsidR="00C43A07" w:rsidRPr="00C43A07" w14:paraId="7F67F266" w14:textId="77777777" w:rsidTr="00C43A07">
        <w:trPr>
          <w:trHeight w:val="377"/>
          <w:jc w:val="center"/>
        </w:trPr>
        <w:tc>
          <w:tcPr>
            <w:tcW w:w="990" w:type="dxa"/>
            <w:vMerge/>
          </w:tcPr>
          <w:p w14:paraId="31A2CC66" w14:textId="77777777" w:rsidR="00C43A07" w:rsidRPr="00C43A07" w:rsidRDefault="00C43A07" w:rsidP="000C242E">
            <w:pPr>
              <w:rPr>
                <w:rFonts w:ascii="Arial" w:hAnsi="Arial" w:cs="Arial"/>
                <w:sz w:val="20"/>
                <w:szCs w:val="20"/>
              </w:rPr>
            </w:pPr>
          </w:p>
        </w:tc>
        <w:tc>
          <w:tcPr>
            <w:tcW w:w="1260" w:type="dxa"/>
          </w:tcPr>
          <w:p w14:paraId="4D883740" w14:textId="77777777" w:rsidR="00C43A07" w:rsidRPr="00C43A07" w:rsidRDefault="00C43A07" w:rsidP="000C242E">
            <w:pPr>
              <w:rPr>
                <w:rFonts w:ascii="Arial" w:hAnsi="Arial" w:cs="Arial"/>
                <w:sz w:val="20"/>
                <w:szCs w:val="20"/>
              </w:rPr>
            </w:pPr>
            <w:r w:rsidRPr="00C43A07">
              <w:rPr>
                <w:rFonts w:ascii="Arial" w:hAnsi="Arial" w:cs="Arial"/>
                <w:sz w:val="20"/>
                <w:szCs w:val="20"/>
              </w:rPr>
              <w:t xml:space="preserve">EWOM 3 </w:t>
            </w:r>
          </w:p>
        </w:tc>
        <w:tc>
          <w:tcPr>
            <w:tcW w:w="990" w:type="dxa"/>
          </w:tcPr>
          <w:p w14:paraId="7DBC760D"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2.11</w:t>
            </w:r>
          </w:p>
        </w:tc>
        <w:tc>
          <w:tcPr>
            <w:tcW w:w="900" w:type="dxa"/>
          </w:tcPr>
          <w:p w14:paraId="4209CED4"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1.062</w:t>
            </w:r>
          </w:p>
        </w:tc>
        <w:tc>
          <w:tcPr>
            <w:tcW w:w="1440" w:type="dxa"/>
          </w:tcPr>
          <w:p w14:paraId="0D506978"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0.723</w:t>
            </w:r>
          </w:p>
        </w:tc>
        <w:tc>
          <w:tcPr>
            <w:tcW w:w="1440" w:type="dxa"/>
          </w:tcPr>
          <w:p w14:paraId="60EADAE3" w14:textId="77777777" w:rsidR="00C43A07" w:rsidRPr="00C43A07" w:rsidRDefault="00C43A07" w:rsidP="000C242E">
            <w:pPr>
              <w:jc w:val="center"/>
              <w:rPr>
                <w:rFonts w:ascii="Arial" w:hAnsi="Arial" w:cs="Arial"/>
                <w:sz w:val="20"/>
                <w:szCs w:val="20"/>
              </w:rPr>
            </w:pPr>
          </w:p>
        </w:tc>
        <w:tc>
          <w:tcPr>
            <w:tcW w:w="1170" w:type="dxa"/>
          </w:tcPr>
          <w:p w14:paraId="2CDC1C72" w14:textId="77777777" w:rsidR="00C43A07" w:rsidRPr="00C43A07" w:rsidRDefault="00C43A07" w:rsidP="000C242E">
            <w:pPr>
              <w:jc w:val="center"/>
              <w:rPr>
                <w:rFonts w:ascii="Arial" w:hAnsi="Arial" w:cs="Arial"/>
                <w:sz w:val="20"/>
                <w:szCs w:val="20"/>
              </w:rPr>
            </w:pPr>
          </w:p>
        </w:tc>
        <w:tc>
          <w:tcPr>
            <w:tcW w:w="1075" w:type="dxa"/>
          </w:tcPr>
          <w:p w14:paraId="133BFD0F" w14:textId="77777777" w:rsidR="00C43A07" w:rsidRPr="00C43A07" w:rsidRDefault="00C43A07" w:rsidP="000C242E">
            <w:pPr>
              <w:jc w:val="center"/>
              <w:rPr>
                <w:rFonts w:ascii="Arial" w:hAnsi="Arial" w:cs="Arial"/>
                <w:sz w:val="20"/>
                <w:szCs w:val="20"/>
              </w:rPr>
            </w:pPr>
          </w:p>
        </w:tc>
      </w:tr>
      <w:tr w:rsidR="00C43A07" w:rsidRPr="00C43A07" w14:paraId="64D7EDAE" w14:textId="77777777" w:rsidTr="00C43A07">
        <w:trPr>
          <w:jc w:val="center"/>
        </w:trPr>
        <w:tc>
          <w:tcPr>
            <w:tcW w:w="990" w:type="dxa"/>
            <w:vMerge/>
          </w:tcPr>
          <w:p w14:paraId="51CB3DF9" w14:textId="77777777" w:rsidR="00C43A07" w:rsidRPr="00C43A07" w:rsidRDefault="00C43A07" w:rsidP="000C242E">
            <w:pPr>
              <w:rPr>
                <w:rFonts w:ascii="Arial" w:hAnsi="Arial" w:cs="Arial"/>
                <w:sz w:val="20"/>
                <w:szCs w:val="20"/>
              </w:rPr>
            </w:pPr>
          </w:p>
        </w:tc>
        <w:tc>
          <w:tcPr>
            <w:tcW w:w="1260" w:type="dxa"/>
          </w:tcPr>
          <w:p w14:paraId="7D154A4D" w14:textId="77777777" w:rsidR="00C43A07" w:rsidRPr="00C43A07" w:rsidRDefault="00C43A07" w:rsidP="000C242E">
            <w:pPr>
              <w:rPr>
                <w:rFonts w:ascii="Arial" w:hAnsi="Arial" w:cs="Arial"/>
                <w:sz w:val="20"/>
                <w:szCs w:val="20"/>
              </w:rPr>
            </w:pPr>
            <w:r w:rsidRPr="00C43A07">
              <w:rPr>
                <w:rFonts w:ascii="Arial" w:hAnsi="Arial" w:cs="Arial"/>
                <w:sz w:val="20"/>
                <w:szCs w:val="20"/>
              </w:rPr>
              <w:t>EWOM 4</w:t>
            </w:r>
          </w:p>
        </w:tc>
        <w:tc>
          <w:tcPr>
            <w:tcW w:w="990" w:type="dxa"/>
          </w:tcPr>
          <w:p w14:paraId="34D06BCD"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2.26</w:t>
            </w:r>
          </w:p>
        </w:tc>
        <w:tc>
          <w:tcPr>
            <w:tcW w:w="900" w:type="dxa"/>
          </w:tcPr>
          <w:p w14:paraId="3AC46CD1"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1.190</w:t>
            </w:r>
          </w:p>
        </w:tc>
        <w:tc>
          <w:tcPr>
            <w:tcW w:w="1440" w:type="dxa"/>
          </w:tcPr>
          <w:p w14:paraId="1C8F637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0.688</w:t>
            </w:r>
          </w:p>
        </w:tc>
        <w:tc>
          <w:tcPr>
            <w:tcW w:w="1440" w:type="dxa"/>
          </w:tcPr>
          <w:p w14:paraId="43E8C33F" w14:textId="77777777" w:rsidR="00C43A07" w:rsidRPr="00C43A07" w:rsidRDefault="00C43A07" w:rsidP="000C242E">
            <w:pPr>
              <w:jc w:val="center"/>
              <w:rPr>
                <w:rFonts w:ascii="Arial" w:hAnsi="Arial" w:cs="Arial"/>
                <w:sz w:val="20"/>
                <w:szCs w:val="20"/>
              </w:rPr>
            </w:pPr>
          </w:p>
        </w:tc>
        <w:tc>
          <w:tcPr>
            <w:tcW w:w="1170" w:type="dxa"/>
          </w:tcPr>
          <w:p w14:paraId="539725FF" w14:textId="77777777" w:rsidR="00C43A07" w:rsidRPr="00C43A07" w:rsidRDefault="00C43A07" w:rsidP="000C242E">
            <w:pPr>
              <w:jc w:val="center"/>
              <w:rPr>
                <w:rFonts w:ascii="Arial" w:hAnsi="Arial" w:cs="Arial"/>
                <w:sz w:val="20"/>
                <w:szCs w:val="20"/>
              </w:rPr>
            </w:pPr>
          </w:p>
        </w:tc>
        <w:tc>
          <w:tcPr>
            <w:tcW w:w="1075" w:type="dxa"/>
          </w:tcPr>
          <w:p w14:paraId="689986DE" w14:textId="77777777" w:rsidR="00C43A07" w:rsidRPr="00C43A07" w:rsidRDefault="00C43A07" w:rsidP="000C242E">
            <w:pPr>
              <w:jc w:val="center"/>
              <w:rPr>
                <w:rFonts w:ascii="Arial" w:hAnsi="Arial" w:cs="Arial"/>
                <w:sz w:val="20"/>
                <w:szCs w:val="20"/>
              </w:rPr>
            </w:pPr>
          </w:p>
        </w:tc>
      </w:tr>
      <w:tr w:rsidR="00C43A07" w:rsidRPr="00C43A07" w14:paraId="0AE56A92" w14:textId="77777777" w:rsidTr="00C43A07">
        <w:trPr>
          <w:jc w:val="center"/>
        </w:trPr>
        <w:tc>
          <w:tcPr>
            <w:tcW w:w="990" w:type="dxa"/>
            <w:vMerge w:val="restart"/>
          </w:tcPr>
          <w:p w14:paraId="4AC60FCA" w14:textId="77777777" w:rsidR="00C43A07" w:rsidRPr="00C43A07" w:rsidRDefault="00C43A07" w:rsidP="000C242E">
            <w:pPr>
              <w:rPr>
                <w:rFonts w:ascii="Arial" w:hAnsi="Arial" w:cs="Arial"/>
                <w:sz w:val="20"/>
                <w:szCs w:val="20"/>
              </w:rPr>
            </w:pPr>
            <w:r w:rsidRPr="00C43A07">
              <w:rPr>
                <w:rFonts w:ascii="Arial" w:hAnsi="Arial" w:cs="Arial"/>
                <w:sz w:val="20"/>
                <w:szCs w:val="20"/>
              </w:rPr>
              <w:t>BT</w:t>
            </w:r>
          </w:p>
        </w:tc>
        <w:tc>
          <w:tcPr>
            <w:tcW w:w="1260" w:type="dxa"/>
          </w:tcPr>
          <w:p w14:paraId="2B58A195" w14:textId="77777777" w:rsidR="00C43A07" w:rsidRPr="00C43A07" w:rsidRDefault="00C43A07" w:rsidP="000C242E">
            <w:pPr>
              <w:rPr>
                <w:rFonts w:ascii="Arial" w:hAnsi="Arial" w:cs="Arial"/>
                <w:sz w:val="20"/>
                <w:szCs w:val="20"/>
              </w:rPr>
            </w:pPr>
            <w:r w:rsidRPr="00C43A07">
              <w:rPr>
                <w:rFonts w:ascii="Arial" w:hAnsi="Arial" w:cs="Arial"/>
                <w:sz w:val="20"/>
                <w:szCs w:val="20"/>
              </w:rPr>
              <w:t>BT 1</w:t>
            </w:r>
          </w:p>
        </w:tc>
        <w:tc>
          <w:tcPr>
            <w:tcW w:w="990" w:type="dxa"/>
          </w:tcPr>
          <w:p w14:paraId="023BABD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1.94</w:t>
            </w:r>
          </w:p>
        </w:tc>
        <w:tc>
          <w:tcPr>
            <w:tcW w:w="900" w:type="dxa"/>
          </w:tcPr>
          <w:p w14:paraId="463D3C37"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1.008</w:t>
            </w:r>
          </w:p>
        </w:tc>
        <w:tc>
          <w:tcPr>
            <w:tcW w:w="1440" w:type="dxa"/>
          </w:tcPr>
          <w:p w14:paraId="363BD849"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0.917</w:t>
            </w:r>
          </w:p>
        </w:tc>
        <w:tc>
          <w:tcPr>
            <w:tcW w:w="1440" w:type="dxa"/>
          </w:tcPr>
          <w:p w14:paraId="30E52BE2"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0.958</w:t>
            </w:r>
          </w:p>
        </w:tc>
        <w:tc>
          <w:tcPr>
            <w:tcW w:w="1170" w:type="dxa"/>
          </w:tcPr>
          <w:p w14:paraId="62D13BE4"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0.943</w:t>
            </w:r>
          </w:p>
        </w:tc>
        <w:tc>
          <w:tcPr>
            <w:tcW w:w="1075" w:type="dxa"/>
          </w:tcPr>
          <w:p w14:paraId="0FF37BEA"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0.807</w:t>
            </w:r>
          </w:p>
        </w:tc>
      </w:tr>
      <w:tr w:rsidR="00C43A07" w:rsidRPr="00C43A07" w14:paraId="40E14BA6" w14:textId="77777777" w:rsidTr="00C43A07">
        <w:trPr>
          <w:jc w:val="center"/>
        </w:trPr>
        <w:tc>
          <w:tcPr>
            <w:tcW w:w="990" w:type="dxa"/>
            <w:vMerge/>
          </w:tcPr>
          <w:p w14:paraId="1E361D1C" w14:textId="77777777" w:rsidR="00C43A07" w:rsidRPr="00C43A07" w:rsidRDefault="00C43A07" w:rsidP="000C242E">
            <w:pPr>
              <w:rPr>
                <w:rFonts w:ascii="Arial" w:hAnsi="Arial" w:cs="Arial"/>
                <w:sz w:val="20"/>
                <w:szCs w:val="20"/>
              </w:rPr>
            </w:pPr>
          </w:p>
        </w:tc>
        <w:tc>
          <w:tcPr>
            <w:tcW w:w="1260" w:type="dxa"/>
          </w:tcPr>
          <w:p w14:paraId="1D078C3F" w14:textId="77777777" w:rsidR="00C43A07" w:rsidRPr="00C43A07" w:rsidRDefault="00C43A07" w:rsidP="000C242E">
            <w:pPr>
              <w:rPr>
                <w:rFonts w:ascii="Arial" w:hAnsi="Arial" w:cs="Arial"/>
                <w:sz w:val="20"/>
                <w:szCs w:val="20"/>
              </w:rPr>
            </w:pPr>
            <w:r w:rsidRPr="00C43A07">
              <w:rPr>
                <w:rFonts w:ascii="Arial" w:hAnsi="Arial" w:cs="Arial"/>
                <w:sz w:val="20"/>
                <w:szCs w:val="20"/>
              </w:rPr>
              <w:t>BT 2</w:t>
            </w:r>
          </w:p>
        </w:tc>
        <w:tc>
          <w:tcPr>
            <w:tcW w:w="990" w:type="dxa"/>
          </w:tcPr>
          <w:p w14:paraId="459C14E5"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2.04</w:t>
            </w:r>
          </w:p>
        </w:tc>
        <w:tc>
          <w:tcPr>
            <w:tcW w:w="900" w:type="dxa"/>
          </w:tcPr>
          <w:p w14:paraId="0FDA5E06"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1.018</w:t>
            </w:r>
          </w:p>
        </w:tc>
        <w:tc>
          <w:tcPr>
            <w:tcW w:w="1440" w:type="dxa"/>
          </w:tcPr>
          <w:p w14:paraId="4755D4E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0.961</w:t>
            </w:r>
          </w:p>
        </w:tc>
        <w:tc>
          <w:tcPr>
            <w:tcW w:w="1440" w:type="dxa"/>
          </w:tcPr>
          <w:p w14:paraId="42D6BCFA" w14:textId="77777777" w:rsidR="00C43A07" w:rsidRPr="00C43A07" w:rsidRDefault="00C43A07" w:rsidP="000C242E">
            <w:pPr>
              <w:jc w:val="center"/>
              <w:rPr>
                <w:rFonts w:ascii="Arial" w:hAnsi="Arial" w:cs="Arial"/>
                <w:sz w:val="20"/>
                <w:szCs w:val="20"/>
              </w:rPr>
            </w:pPr>
          </w:p>
        </w:tc>
        <w:tc>
          <w:tcPr>
            <w:tcW w:w="1170" w:type="dxa"/>
          </w:tcPr>
          <w:p w14:paraId="431C88BB" w14:textId="77777777" w:rsidR="00C43A07" w:rsidRPr="00C43A07" w:rsidRDefault="00C43A07" w:rsidP="000C242E">
            <w:pPr>
              <w:jc w:val="center"/>
              <w:rPr>
                <w:rFonts w:ascii="Arial" w:hAnsi="Arial" w:cs="Arial"/>
                <w:sz w:val="20"/>
                <w:szCs w:val="20"/>
              </w:rPr>
            </w:pPr>
          </w:p>
        </w:tc>
        <w:tc>
          <w:tcPr>
            <w:tcW w:w="1075" w:type="dxa"/>
          </w:tcPr>
          <w:p w14:paraId="38B63378" w14:textId="77777777" w:rsidR="00C43A07" w:rsidRPr="00C43A07" w:rsidRDefault="00C43A07" w:rsidP="000C242E">
            <w:pPr>
              <w:jc w:val="center"/>
              <w:rPr>
                <w:rFonts w:ascii="Arial" w:hAnsi="Arial" w:cs="Arial"/>
                <w:sz w:val="20"/>
                <w:szCs w:val="20"/>
              </w:rPr>
            </w:pPr>
          </w:p>
        </w:tc>
      </w:tr>
      <w:tr w:rsidR="00C43A07" w:rsidRPr="00C43A07" w14:paraId="4DBC7462" w14:textId="77777777" w:rsidTr="00C43A07">
        <w:trPr>
          <w:jc w:val="center"/>
        </w:trPr>
        <w:tc>
          <w:tcPr>
            <w:tcW w:w="990" w:type="dxa"/>
            <w:vMerge/>
          </w:tcPr>
          <w:p w14:paraId="1E1FFCF8" w14:textId="77777777" w:rsidR="00C43A07" w:rsidRPr="00C43A07" w:rsidRDefault="00C43A07" w:rsidP="000C242E">
            <w:pPr>
              <w:rPr>
                <w:rFonts w:ascii="Arial" w:hAnsi="Arial" w:cs="Arial"/>
                <w:sz w:val="20"/>
                <w:szCs w:val="20"/>
              </w:rPr>
            </w:pPr>
          </w:p>
        </w:tc>
        <w:tc>
          <w:tcPr>
            <w:tcW w:w="1260" w:type="dxa"/>
          </w:tcPr>
          <w:p w14:paraId="4C386B84" w14:textId="77777777" w:rsidR="00C43A07" w:rsidRPr="00C43A07" w:rsidRDefault="00C43A07" w:rsidP="000C242E">
            <w:pPr>
              <w:rPr>
                <w:rFonts w:ascii="Arial" w:hAnsi="Arial" w:cs="Arial"/>
                <w:sz w:val="20"/>
                <w:szCs w:val="20"/>
              </w:rPr>
            </w:pPr>
            <w:r w:rsidRPr="00C43A07">
              <w:rPr>
                <w:rFonts w:ascii="Arial" w:hAnsi="Arial" w:cs="Arial"/>
                <w:sz w:val="20"/>
                <w:szCs w:val="20"/>
              </w:rPr>
              <w:t>BT 3</w:t>
            </w:r>
          </w:p>
        </w:tc>
        <w:tc>
          <w:tcPr>
            <w:tcW w:w="990" w:type="dxa"/>
          </w:tcPr>
          <w:p w14:paraId="2B81945A"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2.12</w:t>
            </w:r>
          </w:p>
        </w:tc>
        <w:tc>
          <w:tcPr>
            <w:tcW w:w="900" w:type="dxa"/>
          </w:tcPr>
          <w:p w14:paraId="2524FBAA"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1.037</w:t>
            </w:r>
          </w:p>
        </w:tc>
        <w:tc>
          <w:tcPr>
            <w:tcW w:w="1440" w:type="dxa"/>
          </w:tcPr>
          <w:p w14:paraId="16D780BA"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0.884</w:t>
            </w:r>
          </w:p>
        </w:tc>
        <w:tc>
          <w:tcPr>
            <w:tcW w:w="1440" w:type="dxa"/>
          </w:tcPr>
          <w:p w14:paraId="64721C7C" w14:textId="77777777" w:rsidR="00C43A07" w:rsidRPr="00C43A07" w:rsidRDefault="00C43A07" w:rsidP="000C242E">
            <w:pPr>
              <w:jc w:val="center"/>
              <w:rPr>
                <w:rFonts w:ascii="Arial" w:hAnsi="Arial" w:cs="Arial"/>
                <w:sz w:val="20"/>
                <w:szCs w:val="20"/>
              </w:rPr>
            </w:pPr>
          </w:p>
        </w:tc>
        <w:tc>
          <w:tcPr>
            <w:tcW w:w="1170" w:type="dxa"/>
          </w:tcPr>
          <w:p w14:paraId="08BBB4BD" w14:textId="77777777" w:rsidR="00C43A07" w:rsidRPr="00C43A07" w:rsidRDefault="00C43A07" w:rsidP="000C242E">
            <w:pPr>
              <w:jc w:val="center"/>
              <w:rPr>
                <w:rFonts w:ascii="Arial" w:hAnsi="Arial" w:cs="Arial"/>
                <w:sz w:val="20"/>
                <w:szCs w:val="20"/>
              </w:rPr>
            </w:pPr>
          </w:p>
        </w:tc>
        <w:tc>
          <w:tcPr>
            <w:tcW w:w="1075" w:type="dxa"/>
          </w:tcPr>
          <w:p w14:paraId="24117B85" w14:textId="77777777" w:rsidR="00C43A07" w:rsidRPr="00C43A07" w:rsidRDefault="00C43A07" w:rsidP="000C242E">
            <w:pPr>
              <w:jc w:val="center"/>
              <w:rPr>
                <w:rFonts w:ascii="Arial" w:hAnsi="Arial" w:cs="Arial"/>
                <w:sz w:val="20"/>
                <w:szCs w:val="20"/>
              </w:rPr>
            </w:pPr>
          </w:p>
        </w:tc>
      </w:tr>
      <w:tr w:rsidR="00C43A07" w:rsidRPr="00C43A07" w14:paraId="3FD7B59E" w14:textId="77777777" w:rsidTr="00C43A07">
        <w:trPr>
          <w:jc w:val="center"/>
        </w:trPr>
        <w:tc>
          <w:tcPr>
            <w:tcW w:w="990" w:type="dxa"/>
            <w:vMerge/>
          </w:tcPr>
          <w:p w14:paraId="51C9AFFD" w14:textId="77777777" w:rsidR="00C43A07" w:rsidRPr="00C43A07" w:rsidRDefault="00C43A07" w:rsidP="000C242E">
            <w:pPr>
              <w:rPr>
                <w:rFonts w:ascii="Arial" w:hAnsi="Arial" w:cs="Arial"/>
                <w:sz w:val="20"/>
                <w:szCs w:val="20"/>
              </w:rPr>
            </w:pPr>
          </w:p>
        </w:tc>
        <w:tc>
          <w:tcPr>
            <w:tcW w:w="1260" w:type="dxa"/>
          </w:tcPr>
          <w:p w14:paraId="41715553" w14:textId="77777777" w:rsidR="00C43A07" w:rsidRPr="00C43A07" w:rsidRDefault="00C43A07" w:rsidP="000C242E">
            <w:pPr>
              <w:rPr>
                <w:rFonts w:ascii="Arial" w:hAnsi="Arial" w:cs="Arial"/>
                <w:sz w:val="20"/>
                <w:szCs w:val="20"/>
              </w:rPr>
            </w:pPr>
            <w:r w:rsidRPr="00C43A07">
              <w:rPr>
                <w:rFonts w:ascii="Arial" w:hAnsi="Arial" w:cs="Arial"/>
                <w:sz w:val="20"/>
                <w:szCs w:val="20"/>
              </w:rPr>
              <w:t>BT 5</w:t>
            </w:r>
          </w:p>
        </w:tc>
        <w:tc>
          <w:tcPr>
            <w:tcW w:w="990" w:type="dxa"/>
          </w:tcPr>
          <w:p w14:paraId="33E337E1"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2.09</w:t>
            </w:r>
          </w:p>
        </w:tc>
        <w:tc>
          <w:tcPr>
            <w:tcW w:w="900" w:type="dxa"/>
          </w:tcPr>
          <w:p w14:paraId="2EE38DB4"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.998</w:t>
            </w:r>
          </w:p>
        </w:tc>
        <w:tc>
          <w:tcPr>
            <w:tcW w:w="1440" w:type="dxa"/>
          </w:tcPr>
          <w:p w14:paraId="6ABFF97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0.826</w:t>
            </w:r>
          </w:p>
        </w:tc>
        <w:tc>
          <w:tcPr>
            <w:tcW w:w="1440" w:type="dxa"/>
          </w:tcPr>
          <w:p w14:paraId="61D3656F" w14:textId="77777777" w:rsidR="00C43A07" w:rsidRPr="00C43A07" w:rsidRDefault="00C43A07" w:rsidP="000C242E">
            <w:pPr>
              <w:jc w:val="center"/>
              <w:rPr>
                <w:rFonts w:ascii="Arial" w:hAnsi="Arial" w:cs="Arial"/>
                <w:sz w:val="20"/>
                <w:szCs w:val="20"/>
              </w:rPr>
            </w:pPr>
          </w:p>
        </w:tc>
        <w:tc>
          <w:tcPr>
            <w:tcW w:w="1170" w:type="dxa"/>
          </w:tcPr>
          <w:p w14:paraId="05E74D89" w14:textId="77777777" w:rsidR="00C43A07" w:rsidRPr="00C43A07" w:rsidRDefault="00C43A07" w:rsidP="000C242E">
            <w:pPr>
              <w:jc w:val="center"/>
              <w:rPr>
                <w:rFonts w:ascii="Arial" w:hAnsi="Arial" w:cs="Arial"/>
                <w:sz w:val="20"/>
                <w:szCs w:val="20"/>
              </w:rPr>
            </w:pPr>
          </w:p>
        </w:tc>
        <w:tc>
          <w:tcPr>
            <w:tcW w:w="1075" w:type="dxa"/>
          </w:tcPr>
          <w:p w14:paraId="15963E10" w14:textId="77777777" w:rsidR="00C43A07" w:rsidRPr="00C43A07" w:rsidRDefault="00C43A07" w:rsidP="000C242E">
            <w:pPr>
              <w:jc w:val="center"/>
              <w:rPr>
                <w:rFonts w:ascii="Arial" w:hAnsi="Arial" w:cs="Arial"/>
                <w:sz w:val="20"/>
                <w:szCs w:val="20"/>
              </w:rPr>
            </w:pPr>
          </w:p>
        </w:tc>
      </w:tr>
      <w:tr w:rsidR="00C43A07" w:rsidRPr="00C43A07" w14:paraId="6885117B" w14:textId="77777777" w:rsidTr="00C43A07">
        <w:trPr>
          <w:jc w:val="center"/>
        </w:trPr>
        <w:tc>
          <w:tcPr>
            <w:tcW w:w="990" w:type="dxa"/>
            <w:vMerge w:val="restart"/>
          </w:tcPr>
          <w:p w14:paraId="515F4504" w14:textId="77777777" w:rsidR="00C43A07" w:rsidRPr="00C43A07" w:rsidRDefault="00C43A07" w:rsidP="000C242E">
            <w:pPr>
              <w:rPr>
                <w:rFonts w:ascii="Arial" w:hAnsi="Arial" w:cs="Arial"/>
                <w:sz w:val="20"/>
                <w:szCs w:val="20"/>
              </w:rPr>
            </w:pPr>
            <w:r w:rsidRPr="00C43A07">
              <w:rPr>
                <w:rFonts w:ascii="Arial" w:hAnsi="Arial" w:cs="Arial"/>
                <w:sz w:val="20"/>
                <w:szCs w:val="20"/>
              </w:rPr>
              <w:t>BE</w:t>
            </w:r>
          </w:p>
        </w:tc>
        <w:tc>
          <w:tcPr>
            <w:tcW w:w="1260" w:type="dxa"/>
          </w:tcPr>
          <w:p w14:paraId="4EE78364" w14:textId="77777777" w:rsidR="00C43A07" w:rsidRPr="00C43A07" w:rsidRDefault="00C43A07" w:rsidP="000C242E">
            <w:pPr>
              <w:rPr>
                <w:rFonts w:ascii="Arial" w:hAnsi="Arial" w:cs="Arial"/>
                <w:sz w:val="20"/>
                <w:szCs w:val="20"/>
              </w:rPr>
            </w:pPr>
            <w:r w:rsidRPr="00C43A07">
              <w:rPr>
                <w:rFonts w:ascii="Arial" w:hAnsi="Arial" w:cs="Arial"/>
                <w:sz w:val="20"/>
                <w:szCs w:val="20"/>
              </w:rPr>
              <w:t>BE 1</w:t>
            </w:r>
          </w:p>
        </w:tc>
        <w:tc>
          <w:tcPr>
            <w:tcW w:w="990" w:type="dxa"/>
          </w:tcPr>
          <w:p w14:paraId="22A88479"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2.12</w:t>
            </w:r>
          </w:p>
        </w:tc>
        <w:tc>
          <w:tcPr>
            <w:tcW w:w="900" w:type="dxa"/>
          </w:tcPr>
          <w:p w14:paraId="35EED413"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1.017</w:t>
            </w:r>
          </w:p>
        </w:tc>
        <w:tc>
          <w:tcPr>
            <w:tcW w:w="1440" w:type="dxa"/>
          </w:tcPr>
          <w:p w14:paraId="264AA6A2"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0.836</w:t>
            </w:r>
          </w:p>
        </w:tc>
        <w:tc>
          <w:tcPr>
            <w:tcW w:w="1440" w:type="dxa"/>
          </w:tcPr>
          <w:p w14:paraId="18E76481"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0.925</w:t>
            </w:r>
          </w:p>
        </w:tc>
        <w:tc>
          <w:tcPr>
            <w:tcW w:w="1170" w:type="dxa"/>
          </w:tcPr>
          <w:p w14:paraId="00075F91"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0.917</w:t>
            </w:r>
          </w:p>
        </w:tc>
        <w:tc>
          <w:tcPr>
            <w:tcW w:w="1075" w:type="dxa"/>
          </w:tcPr>
          <w:p w14:paraId="35E9E1B8"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0.734</w:t>
            </w:r>
          </w:p>
        </w:tc>
      </w:tr>
      <w:tr w:rsidR="00C43A07" w:rsidRPr="00C43A07" w14:paraId="63AD48F9" w14:textId="77777777" w:rsidTr="00C43A07">
        <w:trPr>
          <w:jc w:val="center"/>
        </w:trPr>
        <w:tc>
          <w:tcPr>
            <w:tcW w:w="990" w:type="dxa"/>
            <w:vMerge/>
          </w:tcPr>
          <w:p w14:paraId="53FC87A8" w14:textId="77777777" w:rsidR="00C43A07" w:rsidRPr="00C43A07" w:rsidRDefault="00C43A07" w:rsidP="000C242E">
            <w:pPr>
              <w:rPr>
                <w:rFonts w:ascii="Arial" w:hAnsi="Arial" w:cs="Arial"/>
                <w:sz w:val="20"/>
                <w:szCs w:val="20"/>
              </w:rPr>
            </w:pPr>
          </w:p>
        </w:tc>
        <w:tc>
          <w:tcPr>
            <w:tcW w:w="1260" w:type="dxa"/>
          </w:tcPr>
          <w:p w14:paraId="19ED080F" w14:textId="77777777" w:rsidR="00C43A07" w:rsidRPr="00C43A07" w:rsidRDefault="00C43A07" w:rsidP="000C242E">
            <w:pPr>
              <w:rPr>
                <w:rFonts w:ascii="Arial" w:hAnsi="Arial" w:cs="Arial"/>
                <w:sz w:val="20"/>
                <w:szCs w:val="20"/>
              </w:rPr>
            </w:pPr>
            <w:r w:rsidRPr="00C43A07">
              <w:rPr>
                <w:rFonts w:ascii="Arial" w:hAnsi="Arial" w:cs="Arial"/>
                <w:sz w:val="20"/>
                <w:szCs w:val="20"/>
              </w:rPr>
              <w:t>BE 2</w:t>
            </w:r>
          </w:p>
        </w:tc>
        <w:tc>
          <w:tcPr>
            <w:tcW w:w="990" w:type="dxa"/>
          </w:tcPr>
          <w:p w14:paraId="355ADAA0"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2.17</w:t>
            </w:r>
          </w:p>
        </w:tc>
        <w:tc>
          <w:tcPr>
            <w:tcW w:w="900" w:type="dxa"/>
          </w:tcPr>
          <w:p w14:paraId="79820849"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1.091</w:t>
            </w:r>
          </w:p>
        </w:tc>
        <w:tc>
          <w:tcPr>
            <w:tcW w:w="1440" w:type="dxa"/>
          </w:tcPr>
          <w:p w14:paraId="0C84C266"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0.919</w:t>
            </w:r>
          </w:p>
        </w:tc>
        <w:tc>
          <w:tcPr>
            <w:tcW w:w="1440" w:type="dxa"/>
          </w:tcPr>
          <w:p w14:paraId="5C22697E" w14:textId="77777777" w:rsidR="00C43A07" w:rsidRPr="00C43A07" w:rsidRDefault="00C43A07" w:rsidP="000C242E">
            <w:pPr>
              <w:jc w:val="center"/>
              <w:rPr>
                <w:rFonts w:ascii="Arial" w:hAnsi="Arial" w:cs="Arial"/>
                <w:sz w:val="20"/>
                <w:szCs w:val="20"/>
              </w:rPr>
            </w:pPr>
          </w:p>
        </w:tc>
        <w:tc>
          <w:tcPr>
            <w:tcW w:w="1170" w:type="dxa"/>
          </w:tcPr>
          <w:p w14:paraId="2F35E795" w14:textId="77777777" w:rsidR="00C43A07" w:rsidRPr="00C43A07" w:rsidRDefault="00C43A07" w:rsidP="000C242E">
            <w:pPr>
              <w:jc w:val="center"/>
              <w:rPr>
                <w:rFonts w:ascii="Arial" w:hAnsi="Arial" w:cs="Arial"/>
                <w:sz w:val="20"/>
                <w:szCs w:val="20"/>
              </w:rPr>
            </w:pPr>
          </w:p>
        </w:tc>
        <w:tc>
          <w:tcPr>
            <w:tcW w:w="1075" w:type="dxa"/>
          </w:tcPr>
          <w:p w14:paraId="42020CAE" w14:textId="77777777" w:rsidR="00C43A07" w:rsidRPr="00C43A07" w:rsidRDefault="00C43A07" w:rsidP="000C242E">
            <w:pPr>
              <w:jc w:val="center"/>
              <w:rPr>
                <w:rFonts w:ascii="Arial" w:hAnsi="Arial" w:cs="Arial"/>
                <w:sz w:val="20"/>
                <w:szCs w:val="20"/>
              </w:rPr>
            </w:pPr>
          </w:p>
        </w:tc>
      </w:tr>
      <w:tr w:rsidR="00C43A07" w:rsidRPr="00C43A07" w14:paraId="78CF9A48" w14:textId="77777777" w:rsidTr="00C43A07">
        <w:trPr>
          <w:trHeight w:val="153"/>
          <w:jc w:val="center"/>
        </w:trPr>
        <w:tc>
          <w:tcPr>
            <w:tcW w:w="990" w:type="dxa"/>
            <w:vMerge/>
          </w:tcPr>
          <w:p w14:paraId="09D56987" w14:textId="77777777" w:rsidR="00C43A07" w:rsidRPr="00C43A07" w:rsidRDefault="00C43A07" w:rsidP="000C242E">
            <w:pPr>
              <w:rPr>
                <w:rFonts w:ascii="Arial" w:hAnsi="Arial" w:cs="Arial"/>
                <w:sz w:val="20"/>
                <w:szCs w:val="20"/>
              </w:rPr>
            </w:pPr>
          </w:p>
        </w:tc>
        <w:tc>
          <w:tcPr>
            <w:tcW w:w="1260" w:type="dxa"/>
          </w:tcPr>
          <w:p w14:paraId="5B3E1730" w14:textId="77777777" w:rsidR="00C43A07" w:rsidRPr="00C43A07" w:rsidRDefault="00C43A07" w:rsidP="000C242E">
            <w:pPr>
              <w:rPr>
                <w:rFonts w:ascii="Arial" w:hAnsi="Arial" w:cs="Arial"/>
                <w:sz w:val="20"/>
                <w:szCs w:val="20"/>
              </w:rPr>
            </w:pPr>
            <w:r w:rsidRPr="00C43A07">
              <w:rPr>
                <w:rFonts w:ascii="Arial" w:hAnsi="Arial" w:cs="Arial"/>
                <w:sz w:val="20"/>
                <w:szCs w:val="20"/>
              </w:rPr>
              <w:t>BE 3</w:t>
            </w:r>
          </w:p>
        </w:tc>
        <w:tc>
          <w:tcPr>
            <w:tcW w:w="990" w:type="dxa"/>
          </w:tcPr>
          <w:p w14:paraId="780C80A6"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2.20</w:t>
            </w:r>
          </w:p>
        </w:tc>
        <w:tc>
          <w:tcPr>
            <w:tcW w:w="900" w:type="dxa"/>
          </w:tcPr>
          <w:p w14:paraId="12B055F2"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1.142</w:t>
            </w:r>
          </w:p>
        </w:tc>
        <w:tc>
          <w:tcPr>
            <w:tcW w:w="1440" w:type="dxa"/>
          </w:tcPr>
          <w:p w14:paraId="11DDDF49"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0.844</w:t>
            </w:r>
          </w:p>
        </w:tc>
        <w:tc>
          <w:tcPr>
            <w:tcW w:w="1440" w:type="dxa"/>
          </w:tcPr>
          <w:p w14:paraId="07CBBA1B" w14:textId="77777777" w:rsidR="00C43A07" w:rsidRPr="00C43A07" w:rsidRDefault="00C43A07" w:rsidP="000C242E">
            <w:pPr>
              <w:jc w:val="center"/>
              <w:rPr>
                <w:rFonts w:ascii="Arial" w:hAnsi="Arial" w:cs="Arial"/>
                <w:sz w:val="20"/>
                <w:szCs w:val="20"/>
              </w:rPr>
            </w:pPr>
          </w:p>
        </w:tc>
        <w:tc>
          <w:tcPr>
            <w:tcW w:w="1170" w:type="dxa"/>
          </w:tcPr>
          <w:p w14:paraId="2DAF5555" w14:textId="77777777" w:rsidR="00C43A07" w:rsidRPr="00C43A07" w:rsidRDefault="00C43A07" w:rsidP="000C242E">
            <w:pPr>
              <w:jc w:val="center"/>
              <w:rPr>
                <w:rFonts w:ascii="Arial" w:hAnsi="Arial" w:cs="Arial"/>
                <w:sz w:val="20"/>
                <w:szCs w:val="20"/>
              </w:rPr>
            </w:pPr>
          </w:p>
        </w:tc>
        <w:tc>
          <w:tcPr>
            <w:tcW w:w="1075" w:type="dxa"/>
          </w:tcPr>
          <w:p w14:paraId="3A696835" w14:textId="77777777" w:rsidR="00C43A07" w:rsidRPr="00C43A07" w:rsidRDefault="00C43A07" w:rsidP="000C242E">
            <w:pPr>
              <w:jc w:val="center"/>
              <w:rPr>
                <w:rFonts w:ascii="Arial" w:hAnsi="Arial" w:cs="Arial"/>
                <w:sz w:val="20"/>
                <w:szCs w:val="20"/>
              </w:rPr>
            </w:pPr>
          </w:p>
        </w:tc>
      </w:tr>
      <w:tr w:rsidR="00C43A07" w:rsidRPr="00C43A07" w14:paraId="6245B529" w14:textId="77777777" w:rsidTr="00C43A07">
        <w:trPr>
          <w:jc w:val="center"/>
        </w:trPr>
        <w:tc>
          <w:tcPr>
            <w:tcW w:w="990" w:type="dxa"/>
            <w:vMerge/>
          </w:tcPr>
          <w:p w14:paraId="4F5EC4FA" w14:textId="77777777" w:rsidR="00C43A07" w:rsidRPr="00C43A07" w:rsidRDefault="00C43A07" w:rsidP="000C242E">
            <w:pPr>
              <w:spacing w:line="276" w:lineRule="auto"/>
              <w:rPr>
                <w:rFonts w:ascii="Arial" w:hAnsi="Arial" w:cs="Arial"/>
                <w:sz w:val="20"/>
                <w:szCs w:val="20"/>
              </w:rPr>
            </w:pPr>
          </w:p>
        </w:tc>
        <w:tc>
          <w:tcPr>
            <w:tcW w:w="1260" w:type="dxa"/>
          </w:tcPr>
          <w:p w14:paraId="01B77860" w14:textId="77777777" w:rsidR="00C43A07" w:rsidRPr="00C43A07" w:rsidRDefault="00C43A07" w:rsidP="000C242E">
            <w:pPr>
              <w:spacing w:line="276" w:lineRule="auto"/>
              <w:rPr>
                <w:rFonts w:ascii="Arial" w:hAnsi="Arial" w:cs="Arial"/>
                <w:sz w:val="20"/>
                <w:szCs w:val="20"/>
              </w:rPr>
            </w:pPr>
            <w:r w:rsidRPr="00C43A07">
              <w:rPr>
                <w:rFonts w:ascii="Arial" w:hAnsi="Arial" w:cs="Arial"/>
                <w:sz w:val="20"/>
                <w:szCs w:val="20"/>
              </w:rPr>
              <w:t>BE 4</w:t>
            </w:r>
          </w:p>
        </w:tc>
        <w:tc>
          <w:tcPr>
            <w:tcW w:w="990" w:type="dxa"/>
          </w:tcPr>
          <w:p w14:paraId="7691AE46" w14:textId="77777777" w:rsidR="00C43A07" w:rsidRPr="00C43A07" w:rsidRDefault="00C43A07" w:rsidP="000C242E">
            <w:pPr>
              <w:spacing w:line="276" w:lineRule="auto"/>
              <w:jc w:val="center"/>
              <w:rPr>
                <w:rFonts w:ascii="Arial" w:hAnsi="Arial" w:cs="Arial"/>
                <w:sz w:val="20"/>
                <w:szCs w:val="20"/>
              </w:rPr>
            </w:pPr>
            <w:r w:rsidRPr="00C43A07">
              <w:rPr>
                <w:rFonts w:ascii="Arial" w:hAnsi="Arial" w:cs="Arial"/>
                <w:sz w:val="20"/>
                <w:szCs w:val="20"/>
              </w:rPr>
              <w:t>2.19</w:t>
            </w:r>
          </w:p>
        </w:tc>
        <w:tc>
          <w:tcPr>
            <w:tcW w:w="900" w:type="dxa"/>
          </w:tcPr>
          <w:p w14:paraId="4DD7A480" w14:textId="77777777" w:rsidR="00C43A07" w:rsidRPr="00C43A07" w:rsidRDefault="00C43A07" w:rsidP="000C242E">
            <w:pPr>
              <w:spacing w:line="276" w:lineRule="auto"/>
              <w:jc w:val="center"/>
              <w:rPr>
                <w:rFonts w:ascii="Arial" w:hAnsi="Arial" w:cs="Arial"/>
                <w:sz w:val="20"/>
                <w:szCs w:val="20"/>
              </w:rPr>
            </w:pPr>
            <w:r w:rsidRPr="00C43A07">
              <w:rPr>
                <w:rFonts w:ascii="Arial" w:hAnsi="Arial" w:cs="Arial"/>
                <w:sz w:val="20"/>
                <w:szCs w:val="20"/>
              </w:rPr>
              <w:t>1.155</w:t>
            </w:r>
          </w:p>
        </w:tc>
        <w:tc>
          <w:tcPr>
            <w:tcW w:w="1440" w:type="dxa"/>
          </w:tcPr>
          <w:p w14:paraId="64CE90A6" w14:textId="77777777" w:rsidR="00C43A07" w:rsidRPr="00C43A07" w:rsidRDefault="00C43A07" w:rsidP="000C242E">
            <w:pPr>
              <w:spacing w:line="276" w:lineRule="auto"/>
              <w:jc w:val="center"/>
              <w:rPr>
                <w:rFonts w:ascii="Arial" w:hAnsi="Arial" w:cs="Arial"/>
                <w:sz w:val="20"/>
                <w:szCs w:val="20"/>
              </w:rPr>
            </w:pPr>
            <w:r w:rsidRPr="00C43A07">
              <w:rPr>
                <w:rFonts w:ascii="Arial" w:hAnsi="Arial" w:cs="Arial"/>
                <w:sz w:val="20"/>
                <w:szCs w:val="20"/>
              </w:rPr>
              <w:t>0.824</w:t>
            </w:r>
          </w:p>
        </w:tc>
        <w:tc>
          <w:tcPr>
            <w:tcW w:w="1440" w:type="dxa"/>
          </w:tcPr>
          <w:p w14:paraId="63901B73" w14:textId="77777777" w:rsidR="00C43A07" w:rsidRPr="00C43A07" w:rsidRDefault="00C43A07" w:rsidP="000C242E">
            <w:pPr>
              <w:spacing w:line="276" w:lineRule="auto"/>
              <w:jc w:val="center"/>
              <w:rPr>
                <w:rFonts w:ascii="Arial" w:hAnsi="Arial" w:cs="Arial"/>
                <w:sz w:val="20"/>
                <w:szCs w:val="20"/>
              </w:rPr>
            </w:pPr>
          </w:p>
        </w:tc>
        <w:tc>
          <w:tcPr>
            <w:tcW w:w="1170" w:type="dxa"/>
          </w:tcPr>
          <w:p w14:paraId="2A7A013E" w14:textId="77777777" w:rsidR="00C43A07" w:rsidRPr="00C43A07" w:rsidRDefault="00C43A07" w:rsidP="000C242E">
            <w:pPr>
              <w:spacing w:line="276" w:lineRule="auto"/>
              <w:jc w:val="center"/>
              <w:rPr>
                <w:rFonts w:ascii="Arial" w:hAnsi="Arial" w:cs="Arial"/>
                <w:sz w:val="20"/>
                <w:szCs w:val="20"/>
              </w:rPr>
            </w:pPr>
          </w:p>
        </w:tc>
        <w:tc>
          <w:tcPr>
            <w:tcW w:w="1075" w:type="dxa"/>
          </w:tcPr>
          <w:p w14:paraId="258E61AB" w14:textId="77777777" w:rsidR="00C43A07" w:rsidRPr="00C43A07" w:rsidRDefault="00C43A07" w:rsidP="000C242E">
            <w:pPr>
              <w:spacing w:line="276" w:lineRule="auto"/>
              <w:jc w:val="center"/>
              <w:rPr>
                <w:rFonts w:ascii="Arial" w:hAnsi="Arial" w:cs="Arial"/>
                <w:sz w:val="20"/>
                <w:szCs w:val="20"/>
              </w:rPr>
            </w:pPr>
          </w:p>
        </w:tc>
      </w:tr>
    </w:tbl>
    <w:p w14:paraId="58773DAA" w14:textId="45165F7A" w:rsidR="00C43A07" w:rsidRDefault="00C43A07" w:rsidP="00C43A07">
      <w:pPr>
        <w:spacing w:line="360" w:lineRule="auto"/>
        <w:jc w:val="both"/>
        <w:rPr>
          <w:rFonts w:ascii="Times New Roman" w:hAnsi="Times New Roman"/>
          <w:szCs w:val="24"/>
        </w:rPr>
      </w:pPr>
      <w:r w:rsidRPr="008B20AD">
        <w:rPr>
          <w:rFonts w:ascii="Times New Roman" w:hAnsi="Times New Roman"/>
          <w:i/>
          <w:iCs/>
          <w:szCs w:val="24"/>
        </w:rPr>
        <w:t>Note:</w:t>
      </w:r>
      <w:r w:rsidRPr="008B20AD">
        <w:rPr>
          <w:rFonts w:ascii="Times New Roman" w:hAnsi="Times New Roman"/>
          <w:szCs w:val="24"/>
        </w:rPr>
        <w:t xml:space="preserve"> χ2 = 616.252 (196); </w:t>
      </w:r>
      <w:proofErr w:type="spellStart"/>
      <w:r w:rsidRPr="008B20AD">
        <w:rPr>
          <w:rFonts w:ascii="Times New Roman" w:hAnsi="Times New Roman"/>
          <w:szCs w:val="24"/>
        </w:rPr>
        <w:t>df</w:t>
      </w:r>
      <w:proofErr w:type="spellEnd"/>
      <w:r w:rsidRPr="008B20AD">
        <w:rPr>
          <w:rFonts w:ascii="Times New Roman" w:hAnsi="Times New Roman"/>
          <w:szCs w:val="24"/>
        </w:rPr>
        <w:t xml:space="preserve"> = 196; χ2/</w:t>
      </w:r>
      <w:proofErr w:type="spellStart"/>
      <w:r w:rsidRPr="008B20AD">
        <w:rPr>
          <w:rFonts w:ascii="Times New Roman" w:hAnsi="Times New Roman"/>
          <w:szCs w:val="24"/>
        </w:rPr>
        <w:t>df</w:t>
      </w:r>
      <w:proofErr w:type="spellEnd"/>
      <w:r w:rsidRPr="008B20AD">
        <w:rPr>
          <w:rFonts w:ascii="Times New Roman" w:hAnsi="Times New Roman"/>
          <w:szCs w:val="24"/>
        </w:rPr>
        <w:t xml:space="preserve"> = 3.1414; CFI = 0.950; NFI = 0.928; IFI = 0.950; RFI = 0.915; TLI = 0.941; SRMR = 0.0406; RMSEA=0.068. PI= Purchase Intention; SMM= Social Media Marketing; EWOM= Electronic Word of Mouth; BT= Brand trust; BE= Brand Equity; CFI = Comparative fit index; NFI = Normalized fit index; IFI = Incremental fit index; RFI = Relative fit index; TLI = Tucker–Lewis index; RMSEA= Root mean square error of approximation; SRMR = </w:t>
      </w:r>
      <w:r w:rsidRPr="008B20AD">
        <w:rPr>
          <w:rFonts w:ascii="Times New Roman" w:hAnsi="Times New Roman"/>
          <w:szCs w:val="24"/>
        </w:rPr>
        <w:lastRenderedPageBreak/>
        <w:t>Standardized root mean square residual; CFA = Confirmatory factor analysis; SEM = Structural equation model.</w:t>
      </w:r>
    </w:p>
    <w:p w14:paraId="6D7C6A5E" w14:textId="77777777" w:rsidR="00C43A07" w:rsidRPr="00F130B4" w:rsidRDefault="00C43A07" w:rsidP="00C43A07">
      <w:pPr>
        <w:pStyle w:val="Heading2"/>
        <w:spacing w:before="0" w:line="360" w:lineRule="auto"/>
        <w:rPr>
          <w:rFonts w:ascii="Arial" w:hAnsi="Arial" w:cs="Arial"/>
          <w:b/>
          <w:bCs/>
          <w:color w:val="auto"/>
          <w:sz w:val="22"/>
          <w:szCs w:val="22"/>
        </w:rPr>
      </w:pPr>
      <w:bookmarkStart w:id="0" w:name="_Toc181305334"/>
      <w:r w:rsidRPr="00F130B4">
        <w:rPr>
          <w:rFonts w:ascii="Arial" w:hAnsi="Arial" w:cs="Arial"/>
          <w:b/>
          <w:bCs/>
          <w:color w:val="auto"/>
          <w:sz w:val="22"/>
          <w:szCs w:val="22"/>
        </w:rPr>
        <w:t>4.4 The Discriminant Validity by the Confirmatory Factor Analysis</w:t>
      </w:r>
      <w:bookmarkEnd w:id="0"/>
    </w:p>
    <w:p w14:paraId="5909950D" w14:textId="28D07D32" w:rsidR="00C43A07" w:rsidRDefault="00C43A07" w:rsidP="00C43A07">
      <w:pPr>
        <w:spacing w:line="360" w:lineRule="auto"/>
        <w:jc w:val="both"/>
        <w:rPr>
          <w:rFonts w:ascii="Arial" w:hAnsi="Arial" w:cs="Arial"/>
        </w:rPr>
      </w:pPr>
      <w:r w:rsidRPr="00F130B4">
        <w:rPr>
          <w:rFonts w:ascii="Arial" w:hAnsi="Arial" w:cs="Arial"/>
        </w:rPr>
        <w:t>To evaluate the discriminant validity of the measurement model, we use structural equation model. The squared root of AVE's is indicated by the table's diagonal value, while the correlation is represented by the other cell. According to</w:t>
      </w:r>
      <w:r w:rsidR="0093222C">
        <w:rPr>
          <w:rFonts w:ascii="Arial" w:hAnsi="Arial" w:cs="Arial"/>
        </w:rPr>
        <w:t xml:space="preserve"> </w:t>
      </w:r>
      <w:r w:rsidR="006B2403">
        <w:rPr>
          <w:rFonts w:ascii="Arial" w:hAnsi="Arial" w:cs="Arial"/>
        </w:rPr>
        <w:fldChar w:fldCharType="begin"/>
      </w:r>
      <w:r w:rsidR="00653441">
        <w:rPr>
          <w:rFonts w:ascii="Arial" w:hAnsi="Arial" w:cs="Arial"/>
        </w:rPr>
        <w:instrText xml:space="preserve"> ADDIN ZOTERO_ITEM CSL_CITATION {"citationID":"EQYG3CYh","properties":{"formattedCitation":"(Alrwashdeh et al., 2019)","plainCitation":"(Alrwashdeh et al., 2019)","dontUpdate":true,"noteIndex":0},"citationItems":[{"id":1177,"uris":["http://zotero.org/users/local/02HQEtik/items/MNTE6KKQ"],"itemData":{"id":1177,"type":"article-journal","container-title":"Management Science Letters","DOI":"10.5267/j.msl.2019.1.011","ISSN":"19239335, 19239343","journalAbbreviation":"10.5267/j.msl","page":"505-518","source":"DOI.org (Crossref)","title":"The effect of electronic word of mouth communication on purchase intention and brand image: An applicant smartphone brands in North Cyprus","title-short":"The effect of electronic word of mouth communication on purchase intention and brand image","author":[{"family":"Alrwashdeh","given":"Muneer"},{"family":"Emeagwali","given":"Okechukwu Lawrence"},{"family":"Aljuhmani","given":"Hasan Yousef"}],"issued":{"date-parts":[["2019"]]}}}],"schema":"https://github.com/citation-style-language/schema/raw/master/csl-citation.json"} </w:instrText>
      </w:r>
      <w:r w:rsidR="006B2403">
        <w:rPr>
          <w:rFonts w:ascii="Arial" w:hAnsi="Arial" w:cs="Arial"/>
        </w:rPr>
        <w:fldChar w:fldCharType="separate"/>
      </w:r>
      <w:r w:rsidR="006B2403" w:rsidRPr="006B2403">
        <w:rPr>
          <w:rFonts w:ascii="Arial" w:hAnsi="Arial" w:cs="Arial"/>
        </w:rPr>
        <w:t xml:space="preserve">Alrwashdeh et al., </w:t>
      </w:r>
      <w:r w:rsidR="006B2403">
        <w:rPr>
          <w:rFonts w:ascii="Arial" w:hAnsi="Arial" w:cs="Arial"/>
        </w:rPr>
        <w:t>(</w:t>
      </w:r>
      <w:r w:rsidR="006B2403" w:rsidRPr="006B2403">
        <w:rPr>
          <w:rFonts w:ascii="Arial" w:hAnsi="Arial" w:cs="Arial"/>
        </w:rPr>
        <w:t>2019)</w:t>
      </w:r>
      <w:r w:rsidR="006B2403">
        <w:rPr>
          <w:rFonts w:ascii="Arial" w:hAnsi="Arial" w:cs="Arial"/>
        </w:rPr>
        <w:fldChar w:fldCharType="end"/>
      </w:r>
      <w:r w:rsidRPr="00F130B4">
        <w:rPr>
          <w:rFonts w:ascii="Arial" w:hAnsi="Arial" w:cs="Arial"/>
        </w:rPr>
        <w:t>, a higher diagonal value is preferred than an off-diagonal value.</w:t>
      </w:r>
    </w:p>
    <w:p w14:paraId="52B074EA" w14:textId="443EC9F8" w:rsidR="001E6496" w:rsidRPr="001E6496" w:rsidRDefault="001E6496" w:rsidP="001E6496">
      <w:pPr>
        <w:rPr>
          <w:rFonts w:ascii="Arial" w:hAnsi="Arial" w:cs="Arial"/>
          <w:b/>
          <w:bCs/>
          <w:i/>
          <w:iCs/>
        </w:rPr>
      </w:pPr>
      <w:r w:rsidRPr="00F130B4">
        <w:rPr>
          <w:rFonts w:ascii="Arial" w:hAnsi="Arial" w:cs="Arial"/>
          <w:b/>
          <w:bCs/>
          <w:i/>
          <w:iCs/>
        </w:rPr>
        <w:t xml:space="preserve">Table III: Discriminant validity of the confirmatory factor analysis. </w:t>
      </w:r>
    </w:p>
    <w:tbl>
      <w:tblPr>
        <w:tblStyle w:val="TableGrid"/>
        <w:tblW w:w="4168" w:type="pct"/>
        <w:jc w:val="center"/>
        <w:tblLook w:val="04A0" w:firstRow="1" w:lastRow="0" w:firstColumn="1" w:lastColumn="0" w:noHBand="0" w:noVBand="1"/>
      </w:tblPr>
      <w:tblGrid>
        <w:gridCol w:w="1710"/>
        <w:gridCol w:w="950"/>
        <w:gridCol w:w="951"/>
        <w:gridCol w:w="1034"/>
        <w:gridCol w:w="1192"/>
        <w:gridCol w:w="1185"/>
      </w:tblGrid>
      <w:tr w:rsidR="00F130B4" w:rsidRPr="00F130B4" w14:paraId="7F7949DC" w14:textId="77777777" w:rsidTr="00F130B4">
        <w:trPr>
          <w:jc w:val="center"/>
        </w:trPr>
        <w:tc>
          <w:tcPr>
            <w:tcW w:w="1218" w:type="pct"/>
          </w:tcPr>
          <w:p w14:paraId="266A6F9F"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Particulars</w:t>
            </w:r>
          </w:p>
        </w:tc>
        <w:tc>
          <w:tcPr>
            <w:tcW w:w="676" w:type="pct"/>
          </w:tcPr>
          <w:p w14:paraId="5C48F762"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PI</w:t>
            </w:r>
          </w:p>
        </w:tc>
        <w:tc>
          <w:tcPr>
            <w:tcW w:w="677" w:type="pct"/>
          </w:tcPr>
          <w:p w14:paraId="76475585"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EWOM</w:t>
            </w:r>
          </w:p>
        </w:tc>
        <w:tc>
          <w:tcPr>
            <w:tcW w:w="736" w:type="pct"/>
          </w:tcPr>
          <w:p w14:paraId="29A8D73D"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SMM</w:t>
            </w:r>
          </w:p>
        </w:tc>
        <w:tc>
          <w:tcPr>
            <w:tcW w:w="849" w:type="pct"/>
          </w:tcPr>
          <w:p w14:paraId="4D5605D1"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BE</w:t>
            </w:r>
          </w:p>
        </w:tc>
        <w:tc>
          <w:tcPr>
            <w:tcW w:w="844" w:type="pct"/>
          </w:tcPr>
          <w:p w14:paraId="782A07C7"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BT</w:t>
            </w:r>
          </w:p>
        </w:tc>
      </w:tr>
      <w:tr w:rsidR="00F130B4" w:rsidRPr="00F130B4" w14:paraId="514FEA66" w14:textId="77777777" w:rsidTr="00F130B4">
        <w:trPr>
          <w:jc w:val="center"/>
        </w:trPr>
        <w:tc>
          <w:tcPr>
            <w:tcW w:w="1218" w:type="pct"/>
          </w:tcPr>
          <w:p w14:paraId="6B1384C4"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PI</w:t>
            </w:r>
          </w:p>
        </w:tc>
        <w:tc>
          <w:tcPr>
            <w:tcW w:w="676" w:type="pct"/>
          </w:tcPr>
          <w:p w14:paraId="66D9392E" w14:textId="77777777" w:rsidR="00F130B4" w:rsidRPr="00F130B4" w:rsidRDefault="00F130B4" w:rsidP="000C242E">
            <w:pPr>
              <w:spacing w:line="360" w:lineRule="auto"/>
              <w:rPr>
                <w:rFonts w:ascii="Arial" w:hAnsi="Arial" w:cs="Arial"/>
                <w:sz w:val="20"/>
                <w:szCs w:val="20"/>
              </w:rPr>
            </w:pPr>
            <w:r w:rsidRPr="00F130B4">
              <w:rPr>
                <w:rFonts w:ascii="Arial" w:hAnsi="Arial" w:cs="Arial"/>
                <w:b/>
                <w:bCs/>
                <w:sz w:val="20"/>
                <w:szCs w:val="20"/>
              </w:rPr>
              <w:t>0.845</w:t>
            </w:r>
          </w:p>
        </w:tc>
        <w:tc>
          <w:tcPr>
            <w:tcW w:w="677" w:type="pct"/>
          </w:tcPr>
          <w:p w14:paraId="36737BCB" w14:textId="77777777" w:rsidR="00F130B4" w:rsidRPr="00F130B4" w:rsidRDefault="00F130B4" w:rsidP="000C242E">
            <w:pPr>
              <w:spacing w:line="360" w:lineRule="auto"/>
              <w:rPr>
                <w:rFonts w:ascii="Arial" w:hAnsi="Arial" w:cs="Arial"/>
                <w:b/>
                <w:bCs/>
                <w:sz w:val="20"/>
                <w:szCs w:val="20"/>
              </w:rPr>
            </w:pPr>
          </w:p>
        </w:tc>
        <w:tc>
          <w:tcPr>
            <w:tcW w:w="736" w:type="pct"/>
          </w:tcPr>
          <w:p w14:paraId="0760EBAC" w14:textId="77777777" w:rsidR="00F130B4" w:rsidRPr="00F130B4" w:rsidRDefault="00F130B4" w:rsidP="000C242E">
            <w:pPr>
              <w:spacing w:line="360" w:lineRule="auto"/>
              <w:rPr>
                <w:rFonts w:ascii="Arial" w:hAnsi="Arial" w:cs="Arial"/>
                <w:sz w:val="20"/>
                <w:szCs w:val="20"/>
              </w:rPr>
            </w:pPr>
          </w:p>
        </w:tc>
        <w:tc>
          <w:tcPr>
            <w:tcW w:w="849" w:type="pct"/>
          </w:tcPr>
          <w:p w14:paraId="2C3DDF8E" w14:textId="77777777" w:rsidR="00F130B4" w:rsidRPr="00F130B4" w:rsidRDefault="00F130B4" w:rsidP="000C242E">
            <w:pPr>
              <w:spacing w:line="360" w:lineRule="auto"/>
              <w:rPr>
                <w:rFonts w:ascii="Arial" w:hAnsi="Arial" w:cs="Arial"/>
                <w:sz w:val="20"/>
                <w:szCs w:val="20"/>
              </w:rPr>
            </w:pPr>
          </w:p>
        </w:tc>
        <w:tc>
          <w:tcPr>
            <w:tcW w:w="844" w:type="pct"/>
          </w:tcPr>
          <w:p w14:paraId="5CB61BA8" w14:textId="77777777" w:rsidR="00F130B4" w:rsidRPr="00F130B4" w:rsidRDefault="00F130B4" w:rsidP="000C242E">
            <w:pPr>
              <w:spacing w:line="360" w:lineRule="auto"/>
              <w:rPr>
                <w:rFonts w:ascii="Arial" w:hAnsi="Arial" w:cs="Arial"/>
                <w:sz w:val="20"/>
                <w:szCs w:val="20"/>
              </w:rPr>
            </w:pPr>
          </w:p>
        </w:tc>
      </w:tr>
      <w:tr w:rsidR="00F130B4" w:rsidRPr="00F130B4" w14:paraId="1A47CCE2" w14:textId="77777777" w:rsidTr="00F130B4">
        <w:trPr>
          <w:jc w:val="center"/>
        </w:trPr>
        <w:tc>
          <w:tcPr>
            <w:tcW w:w="1218" w:type="pct"/>
          </w:tcPr>
          <w:p w14:paraId="01E03A41"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EWOM</w:t>
            </w:r>
          </w:p>
        </w:tc>
        <w:tc>
          <w:tcPr>
            <w:tcW w:w="676" w:type="pct"/>
            <w:vAlign w:val="center"/>
          </w:tcPr>
          <w:p w14:paraId="12277202"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-0.006</w:t>
            </w:r>
          </w:p>
        </w:tc>
        <w:tc>
          <w:tcPr>
            <w:tcW w:w="677" w:type="pct"/>
            <w:vAlign w:val="center"/>
          </w:tcPr>
          <w:p w14:paraId="0E4D7885" w14:textId="77777777" w:rsidR="00F130B4" w:rsidRPr="00F130B4" w:rsidRDefault="00F130B4" w:rsidP="000C242E">
            <w:pPr>
              <w:spacing w:line="360" w:lineRule="auto"/>
              <w:rPr>
                <w:rFonts w:ascii="Arial" w:hAnsi="Arial" w:cs="Arial"/>
                <w:sz w:val="20"/>
                <w:szCs w:val="20"/>
              </w:rPr>
            </w:pPr>
            <w:r w:rsidRPr="00F130B4">
              <w:rPr>
                <w:rFonts w:ascii="Arial" w:hAnsi="Arial" w:cs="Arial"/>
                <w:b/>
                <w:bCs/>
                <w:sz w:val="20"/>
                <w:szCs w:val="20"/>
              </w:rPr>
              <w:t>0.775</w:t>
            </w:r>
          </w:p>
        </w:tc>
        <w:tc>
          <w:tcPr>
            <w:tcW w:w="736" w:type="pct"/>
          </w:tcPr>
          <w:p w14:paraId="4D153CDD" w14:textId="77777777" w:rsidR="00F130B4" w:rsidRPr="00F130B4" w:rsidRDefault="00F130B4" w:rsidP="000C242E">
            <w:pPr>
              <w:spacing w:line="360" w:lineRule="auto"/>
              <w:rPr>
                <w:rFonts w:ascii="Arial" w:hAnsi="Arial" w:cs="Arial"/>
                <w:b/>
                <w:bCs/>
                <w:sz w:val="20"/>
                <w:szCs w:val="20"/>
              </w:rPr>
            </w:pPr>
          </w:p>
        </w:tc>
        <w:tc>
          <w:tcPr>
            <w:tcW w:w="849" w:type="pct"/>
          </w:tcPr>
          <w:p w14:paraId="42CCCD1E" w14:textId="77777777" w:rsidR="00F130B4" w:rsidRPr="00F130B4" w:rsidRDefault="00F130B4" w:rsidP="000C242E">
            <w:pPr>
              <w:spacing w:line="360" w:lineRule="auto"/>
              <w:rPr>
                <w:rFonts w:ascii="Arial" w:hAnsi="Arial" w:cs="Arial"/>
                <w:sz w:val="20"/>
                <w:szCs w:val="20"/>
              </w:rPr>
            </w:pPr>
          </w:p>
        </w:tc>
        <w:tc>
          <w:tcPr>
            <w:tcW w:w="844" w:type="pct"/>
          </w:tcPr>
          <w:p w14:paraId="45E5C1C7" w14:textId="77777777" w:rsidR="00F130B4" w:rsidRPr="00F130B4" w:rsidRDefault="00F130B4" w:rsidP="000C242E">
            <w:pPr>
              <w:spacing w:line="360" w:lineRule="auto"/>
              <w:rPr>
                <w:rFonts w:ascii="Arial" w:hAnsi="Arial" w:cs="Arial"/>
                <w:sz w:val="20"/>
                <w:szCs w:val="20"/>
              </w:rPr>
            </w:pPr>
          </w:p>
        </w:tc>
      </w:tr>
      <w:tr w:rsidR="00F130B4" w:rsidRPr="00F130B4" w14:paraId="433B5B3E" w14:textId="77777777" w:rsidTr="00F130B4">
        <w:trPr>
          <w:jc w:val="center"/>
        </w:trPr>
        <w:tc>
          <w:tcPr>
            <w:tcW w:w="1218" w:type="pct"/>
          </w:tcPr>
          <w:p w14:paraId="4F8BA88E"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SMM</w:t>
            </w:r>
          </w:p>
        </w:tc>
        <w:tc>
          <w:tcPr>
            <w:tcW w:w="676" w:type="pct"/>
            <w:vAlign w:val="center"/>
          </w:tcPr>
          <w:p w14:paraId="3BCE411A"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0.180***</w:t>
            </w:r>
          </w:p>
        </w:tc>
        <w:tc>
          <w:tcPr>
            <w:tcW w:w="677" w:type="pct"/>
            <w:vAlign w:val="center"/>
          </w:tcPr>
          <w:p w14:paraId="72A46366"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0.126*</w:t>
            </w:r>
          </w:p>
        </w:tc>
        <w:tc>
          <w:tcPr>
            <w:tcW w:w="736" w:type="pct"/>
            <w:vAlign w:val="center"/>
          </w:tcPr>
          <w:p w14:paraId="278641E8" w14:textId="77777777" w:rsidR="00F130B4" w:rsidRPr="00F130B4" w:rsidRDefault="00F130B4" w:rsidP="000C242E">
            <w:pPr>
              <w:spacing w:line="360" w:lineRule="auto"/>
              <w:rPr>
                <w:rFonts w:ascii="Arial" w:hAnsi="Arial" w:cs="Arial"/>
                <w:sz w:val="20"/>
                <w:szCs w:val="20"/>
              </w:rPr>
            </w:pPr>
            <w:r w:rsidRPr="00F130B4">
              <w:rPr>
                <w:rFonts w:ascii="Arial" w:hAnsi="Arial" w:cs="Arial"/>
                <w:b/>
                <w:bCs/>
                <w:sz w:val="20"/>
                <w:szCs w:val="20"/>
              </w:rPr>
              <w:t>0.833</w:t>
            </w:r>
          </w:p>
        </w:tc>
        <w:tc>
          <w:tcPr>
            <w:tcW w:w="849" w:type="pct"/>
          </w:tcPr>
          <w:p w14:paraId="649B32E0" w14:textId="77777777" w:rsidR="00F130B4" w:rsidRPr="00F130B4" w:rsidRDefault="00F130B4" w:rsidP="000C242E">
            <w:pPr>
              <w:spacing w:line="360" w:lineRule="auto"/>
              <w:rPr>
                <w:rFonts w:ascii="Arial" w:hAnsi="Arial" w:cs="Arial"/>
                <w:b/>
                <w:bCs/>
                <w:sz w:val="20"/>
                <w:szCs w:val="20"/>
              </w:rPr>
            </w:pPr>
          </w:p>
        </w:tc>
        <w:tc>
          <w:tcPr>
            <w:tcW w:w="844" w:type="pct"/>
          </w:tcPr>
          <w:p w14:paraId="30FBB429" w14:textId="77777777" w:rsidR="00F130B4" w:rsidRPr="00F130B4" w:rsidRDefault="00F130B4" w:rsidP="000C242E">
            <w:pPr>
              <w:spacing w:line="360" w:lineRule="auto"/>
              <w:rPr>
                <w:rFonts w:ascii="Arial" w:hAnsi="Arial" w:cs="Arial"/>
                <w:b/>
                <w:bCs/>
                <w:sz w:val="20"/>
                <w:szCs w:val="20"/>
              </w:rPr>
            </w:pPr>
          </w:p>
        </w:tc>
      </w:tr>
      <w:tr w:rsidR="00F130B4" w:rsidRPr="00F130B4" w14:paraId="476E2868" w14:textId="77777777" w:rsidTr="00F130B4">
        <w:trPr>
          <w:jc w:val="center"/>
        </w:trPr>
        <w:tc>
          <w:tcPr>
            <w:tcW w:w="1218" w:type="pct"/>
          </w:tcPr>
          <w:p w14:paraId="572824E6"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BE</w:t>
            </w:r>
          </w:p>
        </w:tc>
        <w:tc>
          <w:tcPr>
            <w:tcW w:w="676" w:type="pct"/>
            <w:vAlign w:val="center"/>
          </w:tcPr>
          <w:p w14:paraId="3A1C816B"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0.165**</w:t>
            </w:r>
          </w:p>
        </w:tc>
        <w:tc>
          <w:tcPr>
            <w:tcW w:w="677" w:type="pct"/>
            <w:vAlign w:val="center"/>
          </w:tcPr>
          <w:p w14:paraId="729DB4FE"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-0.117*</w:t>
            </w:r>
          </w:p>
        </w:tc>
        <w:tc>
          <w:tcPr>
            <w:tcW w:w="736" w:type="pct"/>
            <w:vAlign w:val="center"/>
          </w:tcPr>
          <w:p w14:paraId="27356D49"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0.162**</w:t>
            </w:r>
          </w:p>
        </w:tc>
        <w:tc>
          <w:tcPr>
            <w:tcW w:w="849" w:type="pct"/>
            <w:vAlign w:val="center"/>
          </w:tcPr>
          <w:p w14:paraId="47AE4A7B" w14:textId="77777777" w:rsidR="00F130B4" w:rsidRPr="00F130B4" w:rsidRDefault="00F130B4" w:rsidP="000C242E">
            <w:pPr>
              <w:spacing w:line="360" w:lineRule="auto"/>
              <w:rPr>
                <w:rFonts w:ascii="Arial" w:hAnsi="Arial" w:cs="Arial"/>
                <w:sz w:val="20"/>
                <w:szCs w:val="20"/>
              </w:rPr>
            </w:pPr>
            <w:r w:rsidRPr="00F130B4">
              <w:rPr>
                <w:rFonts w:ascii="Arial" w:hAnsi="Arial" w:cs="Arial"/>
                <w:b/>
                <w:bCs/>
                <w:sz w:val="20"/>
                <w:szCs w:val="20"/>
              </w:rPr>
              <w:t>0.857</w:t>
            </w:r>
          </w:p>
        </w:tc>
        <w:tc>
          <w:tcPr>
            <w:tcW w:w="844" w:type="pct"/>
          </w:tcPr>
          <w:p w14:paraId="046C3D09" w14:textId="77777777" w:rsidR="00F130B4" w:rsidRPr="00F130B4" w:rsidRDefault="00F130B4" w:rsidP="000C242E">
            <w:pPr>
              <w:spacing w:line="360" w:lineRule="auto"/>
              <w:rPr>
                <w:rFonts w:ascii="Arial" w:hAnsi="Arial" w:cs="Arial"/>
                <w:b/>
                <w:bCs/>
                <w:sz w:val="20"/>
                <w:szCs w:val="20"/>
              </w:rPr>
            </w:pPr>
          </w:p>
        </w:tc>
      </w:tr>
      <w:tr w:rsidR="00F130B4" w:rsidRPr="00F130B4" w14:paraId="04C2EB2C" w14:textId="77777777" w:rsidTr="00F130B4">
        <w:trPr>
          <w:trHeight w:val="540"/>
          <w:jc w:val="center"/>
        </w:trPr>
        <w:tc>
          <w:tcPr>
            <w:tcW w:w="1218" w:type="pct"/>
          </w:tcPr>
          <w:p w14:paraId="68110914"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BT</w:t>
            </w:r>
          </w:p>
        </w:tc>
        <w:tc>
          <w:tcPr>
            <w:tcW w:w="676" w:type="pct"/>
            <w:vAlign w:val="center"/>
          </w:tcPr>
          <w:p w14:paraId="7096224C"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-0.017</w:t>
            </w:r>
          </w:p>
        </w:tc>
        <w:tc>
          <w:tcPr>
            <w:tcW w:w="677" w:type="pct"/>
            <w:vAlign w:val="center"/>
          </w:tcPr>
          <w:p w14:paraId="4AAEBC3D"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0.032</w:t>
            </w:r>
          </w:p>
        </w:tc>
        <w:tc>
          <w:tcPr>
            <w:tcW w:w="736" w:type="pct"/>
            <w:vAlign w:val="center"/>
          </w:tcPr>
          <w:p w14:paraId="2C78491A"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0.323***</w:t>
            </w:r>
          </w:p>
        </w:tc>
        <w:tc>
          <w:tcPr>
            <w:tcW w:w="849" w:type="pct"/>
            <w:vAlign w:val="center"/>
          </w:tcPr>
          <w:p w14:paraId="1D99353A" w14:textId="77777777" w:rsidR="00F130B4" w:rsidRPr="00F130B4" w:rsidRDefault="00F130B4" w:rsidP="000C242E">
            <w:pPr>
              <w:spacing w:line="360" w:lineRule="auto"/>
              <w:rPr>
                <w:rFonts w:ascii="Arial" w:hAnsi="Arial" w:cs="Arial"/>
                <w:b/>
                <w:bCs/>
                <w:sz w:val="20"/>
                <w:szCs w:val="20"/>
              </w:rPr>
            </w:pPr>
            <w:r w:rsidRPr="00F130B4">
              <w:rPr>
                <w:rFonts w:ascii="Arial" w:hAnsi="Arial" w:cs="Arial"/>
                <w:sz w:val="20"/>
                <w:szCs w:val="20"/>
              </w:rPr>
              <w:t>0.198***</w:t>
            </w:r>
          </w:p>
        </w:tc>
        <w:tc>
          <w:tcPr>
            <w:tcW w:w="844" w:type="pct"/>
            <w:vAlign w:val="center"/>
          </w:tcPr>
          <w:p w14:paraId="199BB030" w14:textId="77777777" w:rsidR="00F130B4" w:rsidRPr="00F130B4" w:rsidRDefault="00F130B4" w:rsidP="000C242E">
            <w:pPr>
              <w:spacing w:line="360" w:lineRule="auto"/>
              <w:rPr>
                <w:rFonts w:ascii="Arial" w:hAnsi="Arial" w:cs="Arial"/>
                <w:b/>
                <w:bCs/>
                <w:sz w:val="20"/>
                <w:szCs w:val="20"/>
              </w:rPr>
            </w:pPr>
            <w:r w:rsidRPr="00F130B4">
              <w:rPr>
                <w:rFonts w:ascii="Arial" w:hAnsi="Arial" w:cs="Arial"/>
                <w:b/>
                <w:bCs/>
                <w:sz w:val="20"/>
                <w:szCs w:val="20"/>
              </w:rPr>
              <w:t>0.898</w:t>
            </w:r>
          </w:p>
        </w:tc>
      </w:tr>
    </w:tbl>
    <w:p w14:paraId="1F3CED01" w14:textId="5F778B55" w:rsidR="00F130B4" w:rsidRPr="00F130B4" w:rsidRDefault="00F130B4" w:rsidP="00F130B4">
      <w:pPr>
        <w:rPr>
          <w:rFonts w:ascii="Arial" w:hAnsi="Arial" w:cs="Arial"/>
        </w:rPr>
      </w:pPr>
      <w:r w:rsidRPr="00F130B4">
        <w:rPr>
          <w:rFonts w:ascii="Arial" w:hAnsi="Arial" w:cs="Arial"/>
          <w:i/>
          <w:iCs/>
        </w:rPr>
        <w:t>Note.</w:t>
      </w:r>
      <w:r w:rsidRPr="00F130B4">
        <w:rPr>
          <w:rFonts w:ascii="Arial" w:hAnsi="Arial" w:cs="Arial"/>
        </w:rPr>
        <w:t xml:space="preserve"> The square root of the average variance extracted (AVE) is the bolded value on the diagonal.</w:t>
      </w:r>
    </w:p>
    <w:p w14:paraId="3E4C97F6" w14:textId="77777777" w:rsidR="00F130B4" w:rsidRDefault="00F130B4" w:rsidP="00441B6F">
      <w:pPr>
        <w:pStyle w:val="Body"/>
        <w:spacing w:after="0"/>
        <w:rPr>
          <w:rFonts w:ascii="Arial" w:hAnsi="Arial" w:cs="Arial"/>
          <w:b/>
          <w:bCs/>
        </w:rPr>
      </w:pPr>
    </w:p>
    <w:p w14:paraId="5CEEC31B" w14:textId="77777777" w:rsidR="00F130B4" w:rsidRPr="00F130B4" w:rsidRDefault="00F130B4" w:rsidP="00F130B4">
      <w:pPr>
        <w:pStyle w:val="Body"/>
        <w:rPr>
          <w:rFonts w:ascii="Arial" w:hAnsi="Arial" w:cs="Arial"/>
          <w:b/>
          <w:bCs/>
          <w:sz w:val="22"/>
          <w:szCs w:val="22"/>
        </w:rPr>
      </w:pPr>
      <w:r w:rsidRPr="00F130B4">
        <w:rPr>
          <w:rFonts w:ascii="Arial" w:hAnsi="Arial" w:cs="Arial"/>
          <w:b/>
          <w:bCs/>
          <w:sz w:val="22"/>
          <w:szCs w:val="22"/>
        </w:rPr>
        <w:t>4.5 Model Fitness</w:t>
      </w:r>
    </w:p>
    <w:p w14:paraId="0436A09B" w14:textId="553C4FD0" w:rsidR="00F130B4" w:rsidRDefault="00F130B4" w:rsidP="00F130B4">
      <w:pPr>
        <w:pStyle w:val="Body"/>
        <w:spacing w:after="0"/>
        <w:rPr>
          <w:rFonts w:ascii="Arial" w:hAnsi="Arial" w:cs="Arial"/>
        </w:rPr>
      </w:pPr>
      <w:r w:rsidRPr="00F130B4">
        <w:rPr>
          <w:rFonts w:ascii="Arial" w:hAnsi="Arial" w:cs="Arial"/>
        </w:rPr>
        <w:t>We examined all pertinent and suggested measures to evaluate the model's performance. The index of comparative fit, Normalized Fit Index, Incremental Fit Index, Relative Fit Index, Tucker-Lewis Index, Standardized Root Mean Square Residual, and Root Mean Square, Approximation Error are used to assess the model fitness in this study. A perfect fit is indicated by a value of 1, and a good fit is indicated by a number that is closer to 1. The Comparative Fit Index (CFI) has a value between 0 and 1. An NFI score of 1 indicates a perfect match, while a number greater than 0.09 is considered acceptable. When the value for IFI, RFI, and TLI equals 1 that means the model that fits the data exactly. A figure that is nearer 1 signifies a highly favorable model fit. If the value of Relative X2 (X2 /</w:t>
      </w:r>
      <w:proofErr w:type="spellStart"/>
      <w:r w:rsidRPr="00F130B4">
        <w:rPr>
          <w:rFonts w:ascii="Arial" w:hAnsi="Arial" w:cs="Arial"/>
        </w:rPr>
        <w:t>df</w:t>
      </w:r>
      <w:proofErr w:type="spellEnd"/>
      <w:r w:rsidRPr="00F130B4">
        <w:rPr>
          <w:rFonts w:ascii="Arial" w:hAnsi="Arial" w:cs="Arial"/>
        </w:rPr>
        <w:t xml:space="preserve">) is less than 3 it is acceptable. For all studies, a value between 0.05 and 0.08 provides an acceptable result for both the Standardized Root Mean Square Residual (SRMR) and the Root Mean Square Error of Approximation (RMSEA). Every analysis in this study yielded results that fell within the permitted range (Table IV). In this way, the model fits the study. </w:t>
      </w:r>
    </w:p>
    <w:p w14:paraId="047FCE77" w14:textId="5CA6A8A0" w:rsidR="00F130B4" w:rsidRPr="00712C91" w:rsidRDefault="001E6496" w:rsidP="001E6496">
      <w:pPr>
        <w:spacing w:line="360" w:lineRule="auto"/>
        <w:rPr>
          <w:rFonts w:ascii="Times New Roman" w:hAnsi="Times New Roman"/>
          <w:b/>
          <w:sz w:val="24"/>
          <w:szCs w:val="28"/>
        </w:rPr>
      </w:pPr>
      <w:r w:rsidRPr="00F130B4">
        <w:rPr>
          <w:rFonts w:ascii="Arial" w:hAnsi="Arial" w:cs="Arial"/>
          <w:b/>
        </w:rPr>
        <w:t>Table IV: Goodness-of-fit statistics for the structural equation model.</w:t>
      </w:r>
    </w:p>
    <w:tbl>
      <w:tblPr>
        <w:tblStyle w:val="TableGrid"/>
        <w:tblW w:w="9468" w:type="dxa"/>
        <w:tblLayout w:type="fixed"/>
        <w:tblLook w:val="04A0" w:firstRow="1" w:lastRow="0" w:firstColumn="1" w:lastColumn="0" w:noHBand="0" w:noVBand="1"/>
      </w:tblPr>
      <w:tblGrid>
        <w:gridCol w:w="1525"/>
        <w:gridCol w:w="1463"/>
        <w:gridCol w:w="776"/>
        <w:gridCol w:w="753"/>
        <w:gridCol w:w="754"/>
        <w:gridCol w:w="754"/>
        <w:gridCol w:w="754"/>
        <w:gridCol w:w="754"/>
        <w:gridCol w:w="1035"/>
        <w:gridCol w:w="900"/>
      </w:tblGrid>
      <w:tr w:rsidR="00F130B4" w:rsidRPr="00F130B4" w14:paraId="4A8D6491" w14:textId="77777777" w:rsidTr="00F130B4">
        <w:tc>
          <w:tcPr>
            <w:tcW w:w="1525" w:type="dxa"/>
          </w:tcPr>
          <w:p w14:paraId="362062E7" w14:textId="77777777" w:rsidR="00F130B4" w:rsidRPr="00F130B4" w:rsidRDefault="00F130B4" w:rsidP="000C242E">
            <w:pPr>
              <w:spacing w:line="276" w:lineRule="auto"/>
              <w:rPr>
                <w:rFonts w:ascii="Arial" w:hAnsi="Arial" w:cs="Arial"/>
                <w:sz w:val="20"/>
                <w:szCs w:val="20"/>
              </w:rPr>
            </w:pPr>
          </w:p>
        </w:tc>
        <w:tc>
          <w:tcPr>
            <w:tcW w:w="1463" w:type="dxa"/>
          </w:tcPr>
          <w:p w14:paraId="137F1030"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χ</w:t>
            </w:r>
            <w:r w:rsidRPr="00F130B4">
              <w:rPr>
                <w:rFonts w:ascii="Arial" w:hAnsi="Arial" w:cs="Arial"/>
                <w:sz w:val="20"/>
                <w:szCs w:val="20"/>
                <w:vertAlign w:val="superscript"/>
              </w:rPr>
              <w:t xml:space="preserve">2 </w:t>
            </w:r>
            <w:r w:rsidRPr="00F130B4">
              <w:rPr>
                <w:rFonts w:ascii="Arial" w:hAnsi="Arial" w:cs="Arial"/>
                <w:sz w:val="20"/>
                <w:szCs w:val="20"/>
              </w:rPr>
              <w:t>(</w:t>
            </w:r>
            <w:proofErr w:type="spellStart"/>
            <w:r w:rsidRPr="00F130B4">
              <w:rPr>
                <w:rFonts w:ascii="Arial" w:hAnsi="Arial" w:cs="Arial"/>
                <w:sz w:val="20"/>
                <w:szCs w:val="20"/>
              </w:rPr>
              <w:t>df</w:t>
            </w:r>
            <w:proofErr w:type="spellEnd"/>
            <w:r w:rsidRPr="00F130B4">
              <w:rPr>
                <w:rFonts w:ascii="Arial" w:hAnsi="Arial" w:cs="Arial"/>
                <w:sz w:val="20"/>
                <w:szCs w:val="20"/>
              </w:rPr>
              <w:t>)</w:t>
            </w:r>
          </w:p>
        </w:tc>
        <w:tc>
          <w:tcPr>
            <w:tcW w:w="776" w:type="dxa"/>
          </w:tcPr>
          <w:p w14:paraId="0C9CB3DE"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χ</w:t>
            </w:r>
            <w:r w:rsidRPr="00F130B4">
              <w:rPr>
                <w:rFonts w:ascii="Arial" w:hAnsi="Arial" w:cs="Arial"/>
                <w:sz w:val="20"/>
                <w:szCs w:val="20"/>
                <w:vertAlign w:val="superscript"/>
              </w:rPr>
              <w:t xml:space="preserve">2 </w:t>
            </w:r>
            <w:r w:rsidRPr="00F130B4">
              <w:rPr>
                <w:rFonts w:ascii="Arial" w:hAnsi="Arial" w:cs="Arial"/>
                <w:sz w:val="20"/>
                <w:szCs w:val="20"/>
              </w:rPr>
              <w:t>/</w:t>
            </w:r>
            <w:proofErr w:type="spellStart"/>
            <w:r w:rsidRPr="00F130B4">
              <w:rPr>
                <w:rFonts w:ascii="Arial" w:hAnsi="Arial" w:cs="Arial"/>
                <w:sz w:val="20"/>
                <w:szCs w:val="20"/>
              </w:rPr>
              <w:t>df</w:t>
            </w:r>
            <w:proofErr w:type="spellEnd"/>
          </w:p>
        </w:tc>
        <w:tc>
          <w:tcPr>
            <w:tcW w:w="753" w:type="dxa"/>
          </w:tcPr>
          <w:p w14:paraId="72AD087D"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CFI</w:t>
            </w:r>
          </w:p>
        </w:tc>
        <w:tc>
          <w:tcPr>
            <w:tcW w:w="754" w:type="dxa"/>
          </w:tcPr>
          <w:p w14:paraId="732B9021"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NFI</w:t>
            </w:r>
          </w:p>
        </w:tc>
        <w:tc>
          <w:tcPr>
            <w:tcW w:w="754" w:type="dxa"/>
          </w:tcPr>
          <w:p w14:paraId="69453168"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IFI</w:t>
            </w:r>
          </w:p>
        </w:tc>
        <w:tc>
          <w:tcPr>
            <w:tcW w:w="754" w:type="dxa"/>
          </w:tcPr>
          <w:p w14:paraId="1E854085"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RFI</w:t>
            </w:r>
          </w:p>
        </w:tc>
        <w:tc>
          <w:tcPr>
            <w:tcW w:w="754" w:type="dxa"/>
          </w:tcPr>
          <w:p w14:paraId="7908EAB5"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TLI</w:t>
            </w:r>
          </w:p>
        </w:tc>
        <w:tc>
          <w:tcPr>
            <w:tcW w:w="1035" w:type="dxa"/>
          </w:tcPr>
          <w:p w14:paraId="66210B07"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RMSEA</w:t>
            </w:r>
          </w:p>
        </w:tc>
        <w:tc>
          <w:tcPr>
            <w:tcW w:w="900" w:type="dxa"/>
          </w:tcPr>
          <w:p w14:paraId="1CB0ED54"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SRMR</w:t>
            </w:r>
          </w:p>
        </w:tc>
      </w:tr>
      <w:tr w:rsidR="00F130B4" w:rsidRPr="00F130B4" w14:paraId="7EAA8A3D" w14:textId="77777777" w:rsidTr="00F130B4">
        <w:tc>
          <w:tcPr>
            <w:tcW w:w="1525" w:type="dxa"/>
            <w:vAlign w:val="center"/>
          </w:tcPr>
          <w:p w14:paraId="2D57D93B" w14:textId="77777777" w:rsidR="00F130B4" w:rsidRPr="00F130B4" w:rsidRDefault="00F130B4" w:rsidP="000C242E">
            <w:pPr>
              <w:spacing w:line="276" w:lineRule="auto"/>
              <w:ind w:right="-72"/>
              <w:rPr>
                <w:rFonts w:ascii="Arial" w:hAnsi="Arial" w:cs="Arial"/>
                <w:sz w:val="20"/>
                <w:szCs w:val="20"/>
              </w:rPr>
            </w:pPr>
            <w:r w:rsidRPr="00F130B4">
              <w:rPr>
                <w:rFonts w:ascii="Arial" w:hAnsi="Arial" w:cs="Arial"/>
                <w:sz w:val="20"/>
                <w:szCs w:val="20"/>
              </w:rPr>
              <w:t>Good model fit</w:t>
            </w:r>
          </w:p>
        </w:tc>
        <w:tc>
          <w:tcPr>
            <w:tcW w:w="1463" w:type="dxa"/>
            <w:vAlign w:val="center"/>
          </w:tcPr>
          <w:p w14:paraId="1E357C03" w14:textId="77777777" w:rsidR="00F130B4" w:rsidRPr="00F130B4" w:rsidRDefault="00F130B4" w:rsidP="000C242E">
            <w:pPr>
              <w:spacing w:line="276" w:lineRule="auto"/>
              <w:jc w:val="center"/>
              <w:rPr>
                <w:rFonts w:ascii="Arial" w:hAnsi="Arial" w:cs="Arial"/>
                <w:sz w:val="20"/>
                <w:szCs w:val="20"/>
              </w:rPr>
            </w:pPr>
          </w:p>
        </w:tc>
        <w:tc>
          <w:tcPr>
            <w:tcW w:w="776" w:type="dxa"/>
            <w:vAlign w:val="center"/>
          </w:tcPr>
          <w:p w14:paraId="04E32ED3"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&lt;3.00</w:t>
            </w:r>
          </w:p>
        </w:tc>
        <w:tc>
          <w:tcPr>
            <w:tcW w:w="753" w:type="dxa"/>
            <w:vAlign w:val="center"/>
          </w:tcPr>
          <w:p w14:paraId="1A87FCD1"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&gt;0.90</w:t>
            </w:r>
          </w:p>
        </w:tc>
        <w:tc>
          <w:tcPr>
            <w:tcW w:w="754" w:type="dxa"/>
            <w:vAlign w:val="center"/>
          </w:tcPr>
          <w:p w14:paraId="6DFA9F30"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&gt;0.90</w:t>
            </w:r>
          </w:p>
        </w:tc>
        <w:tc>
          <w:tcPr>
            <w:tcW w:w="754" w:type="dxa"/>
            <w:vAlign w:val="center"/>
          </w:tcPr>
          <w:p w14:paraId="42B9D64B"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&gt;0.90</w:t>
            </w:r>
          </w:p>
        </w:tc>
        <w:tc>
          <w:tcPr>
            <w:tcW w:w="754" w:type="dxa"/>
            <w:vAlign w:val="center"/>
          </w:tcPr>
          <w:p w14:paraId="6E5EDDC6"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&gt;0.90</w:t>
            </w:r>
          </w:p>
        </w:tc>
        <w:tc>
          <w:tcPr>
            <w:tcW w:w="754" w:type="dxa"/>
            <w:vAlign w:val="center"/>
          </w:tcPr>
          <w:p w14:paraId="486EEFA9"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&gt;0.90</w:t>
            </w:r>
          </w:p>
        </w:tc>
        <w:tc>
          <w:tcPr>
            <w:tcW w:w="1035" w:type="dxa"/>
          </w:tcPr>
          <w:p w14:paraId="62ED149D"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&lt;0.80</w:t>
            </w:r>
          </w:p>
        </w:tc>
        <w:tc>
          <w:tcPr>
            <w:tcW w:w="900" w:type="dxa"/>
            <w:vAlign w:val="center"/>
          </w:tcPr>
          <w:p w14:paraId="3C3CAC4B"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&lt;0.09</w:t>
            </w:r>
          </w:p>
        </w:tc>
      </w:tr>
      <w:tr w:rsidR="00F130B4" w:rsidRPr="00F130B4" w14:paraId="216341E5" w14:textId="77777777" w:rsidTr="00F130B4">
        <w:tc>
          <w:tcPr>
            <w:tcW w:w="1525" w:type="dxa"/>
            <w:vAlign w:val="center"/>
          </w:tcPr>
          <w:p w14:paraId="6F8653EC"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CFA</w:t>
            </w:r>
          </w:p>
        </w:tc>
        <w:tc>
          <w:tcPr>
            <w:tcW w:w="1463" w:type="dxa"/>
            <w:vAlign w:val="center"/>
          </w:tcPr>
          <w:p w14:paraId="0F4E780D" w14:textId="77777777" w:rsidR="00F130B4" w:rsidRPr="00F130B4" w:rsidRDefault="00F130B4" w:rsidP="000C242E">
            <w:pPr>
              <w:spacing w:line="276" w:lineRule="auto"/>
              <w:ind w:left="-72" w:right="-72"/>
              <w:rPr>
                <w:rFonts w:ascii="Arial" w:hAnsi="Arial" w:cs="Arial"/>
                <w:sz w:val="20"/>
                <w:szCs w:val="20"/>
              </w:rPr>
            </w:pPr>
            <w:r w:rsidRPr="00F130B4">
              <w:rPr>
                <w:rFonts w:ascii="Arial" w:hAnsi="Arial" w:cs="Arial"/>
                <w:sz w:val="20"/>
                <w:szCs w:val="20"/>
              </w:rPr>
              <w:t>616.252 (196)</w:t>
            </w:r>
          </w:p>
        </w:tc>
        <w:tc>
          <w:tcPr>
            <w:tcW w:w="776" w:type="dxa"/>
            <w:vAlign w:val="center"/>
          </w:tcPr>
          <w:p w14:paraId="5060532D"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3.144</w:t>
            </w:r>
          </w:p>
        </w:tc>
        <w:tc>
          <w:tcPr>
            <w:tcW w:w="753" w:type="dxa"/>
            <w:vAlign w:val="center"/>
          </w:tcPr>
          <w:p w14:paraId="1A63D7FE"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0.950</w:t>
            </w:r>
          </w:p>
        </w:tc>
        <w:tc>
          <w:tcPr>
            <w:tcW w:w="754" w:type="dxa"/>
            <w:vAlign w:val="center"/>
          </w:tcPr>
          <w:p w14:paraId="0361DB4E"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0.928</w:t>
            </w:r>
          </w:p>
        </w:tc>
        <w:tc>
          <w:tcPr>
            <w:tcW w:w="754" w:type="dxa"/>
            <w:vAlign w:val="center"/>
          </w:tcPr>
          <w:p w14:paraId="5C27035F"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0.950</w:t>
            </w:r>
          </w:p>
        </w:tc>
        <w:tc>
          <w:tcPr>
            <w:tcW w:w="754" w:type="dxa"/>
            <w:vAlign w:val="center"/>
          </w:tcPr>
          <w:p w14:paraId="5FB92AA7"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0.915</w:t>
            </w:r>
          </w:p>
        </w:tc>
        <w:tc>
          <w:tcPr>
            <w:tcW w:w="754" w:type="dxa"/>
            <w:vAlign w:val="center"/>
          </w:tcPr>
          <w:p w14:paraId="5DA62C05"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0.941</w:t>
            </w:r>
          </w:p>
        </w:tc>
        <w:tc>
          <w:tcPr>
            <w:tcW w:w="1035" w:type="dxa"/>
          </w:tcPr>
          <w:p w14:paraId="4AF3B679"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0.068</w:t>
            </w:r>
          </w:p>
        </w:tc>
        <w:tc>
          <w:tcPr>
            <w:tcW w:w="900" w:type="dxa"/>
            <w:vAlign w:val="center"/>
          </w:tcPr>
          <w:p w14:paraId="02AC2710"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0.0406</w:t>
            </w:r>
          </w:p>
        </w:tc>
      </w:tr>
      <w:tr w:rsidR="00F130B4" w:rsidRPr="00F130B4" w14:paraId="240E0883" w14:textId="77777777" w:rsidTr="00F130B4">
        <w:tc>
          <w:tcPr>
            <w:tcW w:w="1525" w:type="dxa"/>
            <w:vAlign w:val="center"/>
          </w:tcPr>
          <w:p w14:paraId="77E3A0B1"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SEM</w:t>
            </w:r>
          </w:p>
        </w:tc>
        <w:tc>
          <w:tcPr>
            <w:tcW w:w="1463" w:type="dxa"/>
            <w:vAlign w:val="center"/>
          </w:tcPr>
          <w:p w14:paraId="7298A779" w14:textId="77777777" w:rsidR="00F130B4" w:rsidRPr="00F130B4" w:rsidRDefault="00F130B4" w:rsidP="000C242E">
            <w:pPr>
              <w:spacing w:line="276" w:lineRule="auto"/>
              <w:ind w:left="-72" w:right="-72"/>
              <w:rPr>
                <w:rFonts w:ascii="Arial" w:hAnsi="Arial" w:cs="Arial"/>
                <w:sz w:val="20"/>
                <w:szCs w:val="20"/>
              </w:rPr>
            </w:pPr>
            <w:r w:rsidRPr="00F130B4">
              <w:rPr>
                <w:rFonts w:ascii="Arial" w:hAnsi="Arial" w:cs="Arial"/>
                <w:sz w:val="20"/>
                <w:szCs w:val="20"/>
              </w:rPr>
              <w:t>623.392 (197)</w:t>
            </w:r>
          </w:p>
        </w:tc>
        <w:tc>
          <w:tcPr>
            <w:tcW w:w="776" w:type="dxa"/>
            <w:vAlign w:val="center"/>
          </w:tcPr>
          <w:p w14:paraId="655DD2DA"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3.164</w:t>
            </w:r>
          </w:p>
        </w:tc>
        <w:tc>
          <w:tcPr>
            <w:tcW w:w="753" w:type="dxa"/>
            <w:vAlign w:val="center"/>
          </w:tcPr>
          <w:p w14:paraId="5B6EE5D0"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0.949</w:t>
            </w:r>
          </w:p>
        </w:tc>
        <w:tc>
          <w:tcPr>
            <w:tcW w:w="754" w:type="dxa"/>
            <w:vAlign w:val="center"/>
          </w:tcPr>
          <w:p w14:paraId="487336A0"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0.927</w:t>
            </w:r>
          </w:p>
        </w:tc>
        <w:tc>
          <w:tcPr>
            <w:tcW w:w="754" w:type="dxa"/>
            <w:vAlign w:val="center"/>
          </w:tcPr>
          <w:p w14:paraId="07037EB5"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0.949</w:t>
            </w:r>
          </w:p>
        </w:tc>
        <w:tc>
          <w:tcPr>
            <w:tcW w:w="754" w:type="dxa"/>
            <w:vAlign w:val="center"/>
          </w:tcPr>
          <w:p w14:paraId="2C208C6B"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0.915</w:t>
            </w:r>
          </w:p>
        </w:tc>
        <w:tc>
          <w:tcPr>
            <w:tcW w:w="754" w:type="dxa"/>
            <w:vAlign w:val="center"/>
          </w:tcPr>
          <w:p w14:paraId="77B7B438"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0.940</w:t>
            </w:r>
          </w:p>
        </w:tc>
        <w:tc>
          <w:tcPr>
            <w:tcW w:w="1035" w:type="dxa"/>
          </w:tcPr>
          <w:p w14:paraId="5D89AFE5"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0.069</w:t>
            </w:r>
          </w:p>
        </w:tc>
        <w:tc>
          <w:tcPr>
            <w:tcW w:w="900" w:type="dxa"/>
            <w:vAlign w:val="center"/>
          </w:tcPr>
          <w:p w14:paraId="062DBF3C"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0.0450</w:t>
            </w:r>
          </w:p>
        </w:tc>
      </w:tr>
    </w:tbl>
    <w:p w14:paraId="49694768" w14:textId="20DC4917" w:rsidR="00F130B4" w:rsidRPr="00F130B4" w:rsidRDefault="00F130B4" w:rsidP="00F130B4">
      <w:pPr>
        <w:spacing w:line="360" w:lineRule="auto"/>
        <w:rPr>
          <w:rFonts w:ascii="Arial" w:hAnsi="Arial" w:cs="Arial"/>
        </w:rPr>
      </w:pPr>
      <w:r w:rsidRPr="00F130B4">
        <w:rPr>
          <w:rFonts w:ascii="Arial" w:hAnsi="Arial" w:cs="Arial"/>
          <w:i/>
          <w:iCs/>
        </w:rPr>
        <w:t>Note.</w:t>
      </w:r>
      <w:r w:rsidRPr="00F130B4">
        <w:rPr>
          <w:rFonts w:ascii="Arial" w:hAnsi="Arial" w:cs="Arial"/>
        </w:rPr>
        <w:t xml:space="preserve"> CFI = Comparative Fit Index; NFI = Normalized Fit Index; IFI = Incremental Fit Index; RFI = Relative Fit Index; TLI = Tucker–Lewis Index; RMSEA= Root Mean Square Error of Approximation; SRMR = Standardized Root Mean Square Residual; CFA = Confirmatory Factor Analysis; SEM = Structural Equation Model.</w:t>
      </w:r>
    </w:p>
    <w:p w14:paraId="4DC0CA50" w14:textId="77777777" w:rsidR="00F130B4" w:rsidRPr="00926270" w:rsidRDefault="00F130B4" w:rsidP="00F130B4">
      <w:pPr>
        <w:spacing w:line="360" w:lineRule="auto"/>
        <w:rPr>
          <w:rFonts w:ascii="Arial" w:hAnsi="Arial" w:cs="Arial"/>
          <w:b/>
          <w:bCs/>
          <w:sz w:val="22"/>
          <w:szCs w:val="22"/>
        </w:rPr>
      </w:pPr>
      <w:r w:rsidRPr="00926270">
        <w:rPr>
          <w:rFonts w:ascii="Arial" w:hAnsi="Arial" w:cs="Arial"/>
          <w:b/>
          <w:bCs/>
          <w:sz w:val="22"/>
          <w:szCs w:val="22"/>
        </w:rPr>
        <w:t>4.6 Result of the Proposed Hypothesis</w:t>
      </w:r>
    </w:p>
    <w:p w14:paraId="3DECBFE3" w14:textId="42D503A1" w:rsidR="00F130B4" w:rsidRDefault="00F130B4" w:rsidP="00F130B4">
      <w:pPr>
        <w:spacing w:line="360" w:lineRule="auto"/>
        <w:rPr>
          <w:rFonts w:ascii="Arial" w:hAnsi="Arial" w:cs="Arial"/>
        </w:rPr>
      </w:pPr>
      <w:r w:rsidRPr="00926270">
        <w:rPr>
          <w:rFonts w:ascii="Arial" w:hAnsi="Arial" w:cs="Arial"/>
        </w:rPr>
        <w:lastRenderedPageBreak/>
        <w:t>We utilize AMOS program to calculate the path coefficient and hypothesis result. The path coefficient results are presented in (table v) along with the hypothesis.</w:t>
      </w:r>
    </w:p>
    <w:p w14:paraId="60497400" w14:textId="77777777" w:rsidR="00926270" w:rsidRPr="00CE14A9" w:rsidRDefault="00926270" w:rsidP="00926270">
      <w:pPr>
        <w:spacing w:line="360" w:lineRule="auto"/>
        <w:jc w:val="both"/>
        <w:rPr>
          <w:rFonts w:ascii="Arial" w:hAnsi="Arial" w:cs="Arial"/>
        </w:rPr>
      </w:pPr>
    </w:p>
    <w:p w14:paraId="7CF40135" w14:textId="77777777" w:rsidR="00926270" w:rsidRPr="00CE14A9" w:rsidRDefault="00926270" w:rsidP="00926270">
      <w:pPr>
        <w:spacing w:line="360" w:lineRule="auto"/>
        <w:rPr>
          <w:rFonts w:ascii="Arial" w:hAnsi="Arial" w:cs="Arial"/>
          <w:b/>
        </w:rPr>
      </w:pPr>
      <w:r w:rsidRPr="00CE14A9">
        <w:rPr>
          <w:rFonts w:ascii="Arial" w:hAnsi="Arial" w:cs="Arial"/>
          <w:b/>
        </w:rPr>
        <w:t>Table V: Hypothesis testing</w:t>
      </w:r>
    </w:p>
    <w:tbl>
      <w:tblPr>
        <w:tblStyle w:val="TableGrid"/>
        <w:tblW w:w="9630" w:type="dxa"/>
        <w:tblInd w:w="198" w:type="dxa"/>
        <w:tblLook w:val="04A0" w:firstRow="1" w:lastRow="0" w:firstColumn="1" w:lastColumn="0" w:noHBand="0" w:noVBand="1"/>
      </w:tblPr>
      <w:tblGrid>
        <w:gridCol w:w="400"/>
        <w:gridCol w:w="4566"/>
        <w:gridCol w:w="988"/>
        <w:gridCol w:w="718"/>
        <w:gridCol w:w="718"/>
        <w:gridCol w:w="718"/>
        <w:gridCol w:w="1522"/>
      </w:tblGrid>
      <w:tr w:rsidR="00926270" w:rsidRPr="00171C21" w14:paraId="6DD2F5D8" w14:textId="77777777" w:rsidTr="000C242E">
        <w:tc>
          <w:tcPr>
            <w:tcW w:w="325" w:type="dxa"/>
          </w:tcPr>
          <w:p w14:paraId="37DF4CF5" w14:textId="77777777" w:rsidR="00926270" w:rsidRPr="00171C21" w:rsidRDefault="00926270" w:rsidP="000C242E">
            <w:pPr>
              <w:spacing w:line="360" w:lineRule="auto"/>
              <w:ind w:left="-72" w:right="-72"/>
              <w:rPr>
                <w:rFonts w:ascii="Arial" w:hAnsi="Arial" w:cs="Arial"/>
                <w:sz w:val="20"/>
                <w:szCs w:val="20"/>
              </w:rPr>
            </w:pPr>
          </w:p>
        </w:tc>
        <w:tc>
          <w:tcPr>
            <w:tcW w:w="4625" w:type="dxa"/>
            <w:vAlign w:val="center"/>
          </w:tcPr>
          <w:p w14:paraId="0C9832D7" w14:textId="77777777" w:rsidR="00926270" w:rsidRPr="00171C21" w:rsidRDefault="00926270" w:rsidP="000C242E">
            <w:pPr>
              <w:spacing w:line="360" w:lineRule="auto"/>
              <w:ind w:left="-72" w:right="-72"/>
              <w:rPr>
                <w:rFonts w:ascii="Arial" w:hAnsi="Arial" w:cs="Arial"/>
                <w:sz w:val="20"/>
                <w:szCs w:val="20"/>
              </w:rPr>
            </w:pPr>
            <w:r w:rsidRPr="00171C21">
              <w:rPr>
                <w:rFonts w:ascii="Arial" w:hAnsi="Arial" w:cs="Arial"/>
                <w:sz w:val="20"/>
                <w:szCs w:val="20"/>
              </w:rPr>
              <w:t>Hypothesis</w:t>
            </w:r>
          </w:p>
        </w:tc>
        <w:tc>
          <w:tcPr>
            <w:tcW w:w="990" w:type="dxa"/>
            <w:vAlign w:val="center"/>
          </w:tcPr>
          <w:p w14:paraId="45E321CB"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Estimate (β)</w:t>
            </w:r>
          </w:p>
        </w:tc>
        <w:tc>
          <w:tcPr>
            <w:tcW w:w="720" w:type="dxa"/>
            <w:vAlign w:val="center"/>
          </w:tcPr>
          <w:p w14:paraId="359451B9"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SE</w:t>
            </w:r>
          </w:p>
        </w:tc>
        <w:tc>
          <w:tcPr>
            <w:tcW w:w="720" w:type="dxa"/>
            <w:vAlign w:val="center"/>
          </w:tcPr>
          <w:p w14:paraId="160FEC0B"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C.R.</w:t>
            </w:r>
          </w:p>
        </w:tc>
        <w:tc>
          <w:tcPr>
            <w:tcW w:w="720" w:type="dxa"/>
            <w:vAlign w:val="center"/>
          </w:tcPr>
          <w:p w14:paraId="7BDF208F"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P-Value</w:t>
            </w:r>
          </w:p>
        </w:tc>
        <w:tc>
          <w:tcPr>
            <w:tcW w:w="1530" w:type="dxa"/>
            <w:vAlign w:val="center"/>
          </w:tcPr>
          <w:p w14:paraId="39F1017D"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Hypothesis support</w:t>
            </w:r>
          </w:p>
        </w:tc>
      </w:tr>
      <w:tr w:rsidR="00926270" w:rsidRPr="00171C21" w14:paraId="093443E4" w14:textId="77777777" w:rsidTr="000C242E">
        <w:tc>
          <w:tcPr>
            <w:tcW w:w="325" w:type="dxa"/>
          </w:tcPr>
          <w:p w14:paraId="512E4CB7" w14:textId="77777777" w:rsidR="00926270" w:rsidRPr="00171C21" w:rsidRDefault="00926270" w:rsidP="000C242E">
            <w:pPr>
              <w:spacing w:line="360" w:lineRule="auto"/>
              <w:ind w:left="-72"/>
              <w:jc w:val="right"/>
              <w:rPr>
                <w:rFonts w:ascii="Arial" w:hAnsi="Arial" w:cs="Arial"/>
                <w:sz w:val="20"/>
                <w:szCs w:val="20"/>
              </w:rPr>
            </w:pPr>
            <w:r w:rsidRPr="00171C21">
              <w:rPr>
                <w:rFonts w:ascii="Arial" w:hAnsi="Arial" w:cs="Arial"/>
                <w:sz w:val="20"/>
                <w:szCs w:val="20"/>
              </w:rPr>
              <w:t>H1</w:t>
            </w:r>
          </w:p>
        </w:tc>
        <w:tc>
          <w:tcPr>
            <w:tcW w:w="4625" w:type="dxa"/>
          </w:tcPr>
          <w:p w14:paraId="7841DC06" w14:textId="77777777" w:rsidR="00926270" w:rsidRPr="00171C21" w:rsidRDefault="00926270" w:rsidP="000C242E">
            <w:pPr>
              <w:spacing w:line="360" w:lineRule="auto"/>
              <w:ind w:left="-72" w:right="-72"/>
              <w:rPr>
                <w:rFonts w:ascii="Arial" w:hAnsi="Arial" w:cs="Arial"/>
                <w:sz w:val="20"/>
                <w:szCs w:val="20"/>
              </w:rPr>
            </w:pPr>
            <w:r w:rsidRPr="00171C21">
              <w:rPr>
                <w:rFonts w:ascii="Arial" w:hAnsi="Arial" w:cs="Arial"/>
                <w:sz w:val="20"/>
                <w:szCs w:val="20"/>
              </w:rPr>
              <w:t>SMM → BE</w:t>
            </w:r>
          </w:p>
        </w:tc>
        <w:tc>
          <w:tcPr>
            <w:tcW w:w="990" w:type="dxa"/>
          </w:tcPr>
          <w:p w14:paraId="11A2C054"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0.114</w:t>
            </w:r>
          </w:p>
        </w:tc>
        <w:tc>
          <w:tcPr>
            <w:tcW w:w="720" w:type="dxa"/>
          </w:tcPr>
          <w:p w14:paraId="2BB90A98"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0.057</w:t>
            </w:r>
          </w:p>
        </w:tc>
        <w:tc>
          <w:tcPr>
            <w:tcW w:w="720" w:type="dxa"/>
          </w:tcPr>
          <w:p w14:paraId="74D825E8"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2.010</w:t>
            </w:r>
          </w:p>
        </w:tc>
        <w:tc>
          <w:tcPr>
            <w:tcW w:w="720" w:type="dxa"/>
          </w:tcPr>
          <w:p w14:paraId="23333A6E" w14:textId="77777777" w:rsidR="00926270" w:rsidRPr="00171C21" w:rsidRDefault="00926270" w:rsidP="000C242E">
            <w:pPr>
              <w:spacing w:line="360" w:lineRule="auto"/>
              <w:ind w:left="-72" w:right="-72"/>
              <w:rPr>
                <w:rFonts w:ascii="Arial" w:hAnsi="Arial" w:cs="Arial"/>
                <w:sz w:val="20"/>
                <w:szCs w:val="20"/>
              </w:rPr>
            </w:pPr>
            <w:r w:rsidRPr="00171C21">
              <w:rPr>
                <w:rFonts w:ascii="Arial" w:hAnsi="Arial" w:cs="Arial"/>
                <w:sz w:val="20"/>
                <w:szCs w:val="20"/>
              </w:rPr>
              <w:t>0.044</w:t>
            </w:r>
          </w:p>
        </w:tc>
        <w:tc>
          <w:tcPr>
            <w:tcW w:w="1530" w:type="dxa"/>
          </w:tcPr>
          <w:p w14:paraId="7F555F41"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Confirmed</w:t>
            </w:r>
          </w:p>
        </w:tc>
      </w:tr>
      <w:tr w:rsidR="00926270" w:rsidRPr="00171C21" w14:paraId="0D276D65" w14:textId="77777777" w:rsidTr="000C242E">
        <w:tc>
          <w:tcPr>
            <w:tcW w:w="325" w:type="dxa"/>
          </w:tcPr>
          <w:p w14:paraId="351D3E4C" w14:textId="77777777" w:rsidR="00926270" w:rsidRPr="00171C21" w:rsidRDefault="00926270" w:rsidP="000C242E">
            <w:pPr>
              <w:spacing w:line="360" w:lineRule="auto"/>
              <w:ind w:left="-72"/>
              <w:jc w:val="right"/>
              <w:rPr>
                <w:rFonts w:ascii="Arial" w:hAnsi="Arial" w:cs="Arial"/>
                <w:sz w:val="20"/>
                <w:szCs w:val="20"/>
              </w:rPr>
            </w:pPr>
            <w:r w:rsidRPr="00171C21">
              <w:rPr>
                <w:rFonts w:ascii="Arial" w:hAnsi="Arial" w:cs="Arial"/>
                <w:sz w:val="20"/>
                <w:szCs w:val="20"/>
              </w:rPr>
              <w:t>H2</w:t>
            </w:r>
          </w:p>
        </w:tc>
        <w:tc>
          <w:tcPr>
            <w:tcW w:w="4625" w:type="dxa"/>
          </w:tcPr>
          <w:p w14:paraId="3DEBB37D" w14:textId="77777777" w:rsidR="00926270" w:rsidRPr="00171C21" w:rsidRDefault="00926270" w:rsidP="000C242E">
            <w:pPr>
              <w:spacing w:line="360" w:lineRule="auto"/>
              <w:ind w:right="-72"/>
              <w:rPr>
                <w:rFonts w:ascii="Arial" w:hAnsi="Arial" w:cs="Arial"/>
                <w:sz w:val="20"/>
                <w:szCs w:val="20"/>
              </w:rPr>
            </w:pPr>
            <w:r w:rsidRPr="00171C21">
              <w:rPr>
                <w:rFonts w:ascii="Arial" w:hAnsi="Arial" w:cs="Arial"/>
                <w:sz w:val="20"/>
                <w:szCs w:val="20"/>
              </w:rPr>
              <w:t>BT → BE</w:t>
            </w:r>
          </w:p>
        </w:tc>
        <w:tc>
          <w:tcPr>
            <w:tcW w:w="990" w:type="dxa"/>
          </w:tcPr>
          <w:p w14:paraId="1651A000"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0.189</w:t>
            </w:r>
          </w:p>
        </w:tc>
        <w:tc>
          <w:tcPr>
            <w:tcW w:w="720" w:type="dxa"/>
          </w:tcPr>
          <w:p w14:paraId="5473CE74"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0.060</w:t>
            </w:r>
          </w:p>
        </w:tc>
        <w:tc>
          <w:tcPr>
            <w:tcW w:w="720" w:type="dxa"/>
          </w:tcPr>
          <w:p w14:paraId="79C429A7"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3.129</w:t>
            </w:r>
          </w:p>
        </w:tc>
        <w:tc>
          <w:tcPr>
            <w:tcW w:w="720" w:type="dxa"/>
          </w:tcPr>
          <w:p w14:paraId="757EF2FC"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0.002</w:t>
            </w:r>
          </w:p>
        </w:tc>
        <w:tc>
          <w:tcPr>
            <w:tcW w:w="1530" w:type="dxa"/>
          </w:tcPr>
          <w:p w14:paraId="223CAF8D"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Confirmed</w:t>
            </w:r>
          </w:p>
        </w:tc>
      </w:tr>
      <w:tr w:rsidR="00926270" w:rsidRPr="00171C21" w14:paraId="69213CA2" w14:textId="77777777" w:rsidTr="000C242E">
        <w:tc>
          <w:tcPr>
            <w:tcW w:w="325" w:type="dxa"/>
          </w:tcPr>
          <w:p w14:paraId="3C9C85DF" w14:textId="77777777" w:rsidR="00926270" w:rsidRPr="00171C21" w:rsidRDefault="00926270" w:rsidP="000C242E">
            <w:pPr>
              <w:spacing w:line="360" w:lineRule="auto"/>
              <w:ind w:left="-72"/>
              <w:jc w:val="right"/>
              <w:rPr>
                <w:rFonts w:ascii="Arial" w:hAnsi="Arial" w:cs="Arial"/>
                <w:sz w:val="20"/>
                <w:szCs w:val="20"/>
              </w:rPr>
            </w:pPr>
            <w:r w:rsidRPr="00171C21">
              <w:rPr>
                <w:rFonts w:ascii="Arial" w:hAnsi="Arial" w:cs="Arial"/>
                <w:sz w:val="20"/>
                <w:szCs w:val="20"/>
              </w:rPr>
              <w:t>H3</w:t>
            </w:r>
          </w:p>
        </w:tc>
        <w:tc>
          <w:tcPr>
            <w:tcW w:w="4625" w:type="dxa"/>
          </w:tcPr>
          <w:p w14:paraId="5BC88F1B" w14:textId="77777777" w:rsidR="00926270" w:rsidRPr="00171C21" w:rsidRDefault="00926270" w:rsidP="000C242E">
            <w:pPr>
              <w:spacing w:line="360" w:lineRule="auto"/>
              <w:ind w:left="-72" w:right="-72"/>
              <w:rPr>
                <w:rFonts w:ascii="Arial" w:hAnsi="Arial" w:cs="Arial"/>
                <w:sz w:val="20"/>
                <w:szCs w:val="20"/>
              </w:rPr>
            </w:pPr>
            <w:r w:rsidRPr="00171C21">
              <w:rPr>
                <w:rFonts w:ascii="Arial" w:hAnsi="Arial" w:cs="Arial"/>
                <w:sz w:val="20"/>
                <w:szCs w:val="20"/>
              </w:rPr>
              <w:t>BE → PI</w:t>
            </w:r>
          </w:p>
        </w:tc>
        <w:tc>
          <w:tcPr>
            <w:tcW w:w="990" w:type="dxa"/>
          </w:tcPr>
          <w:p w14:paraId="3826E982"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0.175</w:t>
            </w:r>
          </w:p>
        </w:tc>
        <w:tc>
          <w:tcPr>
            <w:tcW w:w="720" w:type="dxa"/>
          </w:tcPr>
          <w:p w14:paraId="47D8ECE1"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0.057</w:t>
            </w:r>
          </w:p>
        </w:tc>
        <w:tc>
          <w:tcPr>
            <w:tcW w:w="720" w:type="dxa"/>
          </w:tcPr>
          <w:p w14:paraId="6804469B"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3.008</w:t>
            </w:r>
          </w:p>
        </w:tc>
        <w:tc>
          <w:tcPr>
            <w:tcW w:w="720" w:type="dxa"/>
          </w:tcPr>
          <w:p w14:paraId="0715A478"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0.002</w:t>
            </w:r>
          </w:p>
        </w:tc>
        <w:tc>
          <w:tcPr>
            <w:tcW w:w="1530" w:type="dxa"/>
          </w:tcPr>
          <w:p w14:paraId="6453423E" w14:textId="77777777" w:rsidR="00926270" w:rsidRPr="00171C21" w:rsidRDefault="00926270" w:rsidP="000C242E">
            <w:pPr>
              <w:spacing w:line="360" w:lineRule="auto"/>
              <w:ind w:right="-72"/>
              <w:jc w:val="center"/>
              <w:rPr>
                <w:rFonts w:ascii="Arial" w:hAnsi="Arial" w:cs="Arial"/>
                <w:sz w:val="20"/>
                <w:szCs w:val="20"/>
              </w:rPr>
            </w:pPr>
            <w:r w:rsidRPr="00171C21">
              <w:rPr>
                <w:rFonts w:ascii="Arial" w:hAnsi="Arial" w:cs="Arial"/>
                <w:sz w:val="20"/>
                <w:szCs w:val="20"/>
              </w:rPr>
              <w:t>Confirmed</w:t>
            </w:r>
          </w:p>
        </w:tc>
      </w:tr>
      <w:tr w:rsidR="00926270" w:rsidRPr="00171C21" w14:paraId="1DF9CF2B" w14:textId="77777777" w:rsidTr="000C242E">
        <w:tc>
          <w:tcPr>
            <w:tcW w:w="325" w:type="dxa"/>
          </w:tcPr>
          <w:p w14:paraId="3B1FF336" w14:textId="77777777" w:rsidR="00926270" w:rsidRPr="00171C21" w:rsidRDefault="00926270" w:rsidP="000C242E">
            <w:pPr>
              <w:spacing w:line="360" w:lineRule="auto"/>
              <w:ind w:left="-72"/>
              <w:jc w:val="right"/>
              <w:rPr>
                <w:rFonts w:ascii="Arial" w:hAnsi="Arial" w:cs="Arial"/>
                <w:sz w:val="20"/>
                <w:szCs w:val="20"/>
              </w:rPr>
            </w:pPr>
            <w:r w:rsidRPr="00171C21">
              <w:rPr>
                <w:rFonts w:ascii="Arial" w:hAnsi="Arial" w:cs="Arial"/>
                <w:sz w:val="20"/>
                <w:szCs w:val="20"/>
              </w:rPr>
              <w:t>H4</w:t>
            </w:r>
          </w:p>
        </w:tc>
        <w:tc>
          <w:tcPr>
            <w:tcW w:w="4625" w:type="dxa"/>
          </w:tcPr>
          <w:p w14:paraId="53C228B8" w14:textId="77777777" w:rsidR="00926270" w:rsidRPr="00171C21" w:rsidRDefault="00926270" w:rsidP="000C242E">
            <w:pPr>
              <w:spacing w:line="360" w:lineRule="auto"/>
              <w:ind w:right="-72"/>
              <w:rPr>
                <w:rFonts w:ascii="Arial" w:hAnsi="Arial" w:cs="Arial"/>
                <w:sz w:val="20"/>
                <w:szCs w:val="20"/>
              </w:rPr>
            </w:pPr>
            <w:r w:rsidRPr="00171C21">
              <w:rPr>
                <w:rFonts w:ascii="Arial" w:hAnsi="Arial" w:cs="Arial"/>
                <w:sz w:val="20"/>
                <w:szCs w:val="20"/>
              </w:rPr>
              <w:t>BT → PI</w:t>
            </w:r>
          </w:p>
        </w:tc>
        <w:tc>
          <w:tcPr>
            <w:tcW w:w="990" w:type="dxa"/>
          </w:tcPr>
          <w:p w14:paraId="5AA10D55"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-0.143</w:t>
            </w:r>
          </w:p>
        </w:tc>
        <w:tc>
          <w:tcPr>
            <w:tcW w:w="720" w:type="dxa"/>
          </w:tcPr>
          <w:p w14:paraId="6F8964B2"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0.067</w:t>
            </w:r>
          </w:p>
        </w:tc>
        <w:tc>
          <w:tcPr>
            <w:tcW w:w="720" w:type="dxa"/>
          </w:tcPr>
          <w:p w14:paraId="04E8F34F"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-2.130</w:t>
            </w:r>
          </w:p>
        </w:tc>
        <w:tc>
          <w:tcPr>
            <w:tcW w:w="720" w:type="dxa"/>
          </w:tcPr>
          <w:p w14:paraId="77CACDE0"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0.033</w:t>
            </w:r>
          </w:p>
        </w:tc>
        <w:tc>
          <w:tcPr>
            <w:tcW w:w="1530" w:type="dxa"/>
          </w:tcPr>
          <w:p w14:paraId="3A4902B6"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Not Confirmed</w:t>
            </w:r>
          </w:p>
        </w:tc>
      </w:tr>
      <w:tr w:rsidR="00926270" w:rsidRPr="00171C21" w14:paraId="54FF4C9E" w14:textId="77777777" w:rsidTr="000C242E">
        <w:tc>
          <w:tcPr>
            <w:tcW w:w="325" w:type="dxa"/>
          </w:tcPr>
          <w:p w14:paraId="138D704D" w14:textId="77777777" w:rsidR="00926270" w:rsidRPr="00171C21" w:rsidRDefault="00926270" w:rsidP="000C242E">
            <w:pPr>
              <w:spacing w:line="360" w:lineRule="auto"/>
              <w:ind w:left="-72"/>
              <w:jc w:val="right"/>
              <w:rPr>
                <w:rFonts w:ascii="Arial" w:hAnsi="Arial" w:cs="Arial"/>
                <w:sz w:val="20"/>
                <w:szCs w:val="20"/>
              </w:rPr>
            </w:pPr>
            <w:r w:rsidRPr="00171C21">
              <w:rPr>
                <w:rFonts w:ascii="Arial" w:hAnsi="Arial" w:cs="Arial"/>
                <w:sz w:val="20"/>
                <w:szCs w:val="20"/>
              </w:rPr>
              <w:t>H5</w:t>
            </w:r>
          </w:p>
        </w:tc>
        <w:tc>
          <w:tcPr>
            <w:tcW w:w="4625" w:type="dxa"/>
          </w:tcPr>
          <w:p w14:paraId="3419FEFC" w14:textId="77777777" w:rsidR="00926270" w:rsidRPr="00171C21" w:rsidRDefault="00926270" w:rsidP="000C242E">
            <w:pPr>
              <w:spacing w:line="360" w:lineRule="auto"/>
              <w:ind w:right="-72"/>
              <w:rPr>
                <w:rFonts w:ascii="Arial" w:hAnsi="Arial" w:cs="Arial"/>
                <w:sz w:val="20"/>
                <w:szCs w:val="20"/>
              </w:rPr>
            </w:pPr>
            <w:r w:rsidRPr="00171C21">
              <w:rPr>
                <w:rFonts w:ascii="Arial" w:hAnsi="Arial" w:cs="Arial"/>
                <w:sz w:val="20"/>
                <w:szCs w:val="20"/>
              </w:rPr>
              <w:t>SMM → PI</w:t>
            </w:r>
          </w:p>
        </w:tc>
        <w:tc>
          <w:tcPr>
            <w:tcW w:w="990" w:type="dxa"/>
          </w:tcPr>
          <w:p w14:paraId="6457C82F"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0.230</w:t>
            </w:r>
          </w:p>
        </w:tc>
        <w:tc>
          <w:tcPr>
            <w:tcW w:w="720" w:type="dxa"/>
          </w:tcPr>
          <w:p w14:paraId="16A7AD96"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0.064</w:t>
            </w:r>
          </w:p>
        </w:tc>
        <w:tc>
          <w:tcPr>
            <w:tcW w:w="720" w:type="dxa"/>
          </w:tcPr>
          <w:p w14:paraId="39BB064B"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3.571</w:t>
            </w:r>
          </w:p>
        </w:tc>
        <w:tc>
          <w:tcPr>
            <w:tcW w:w="720" w:type="dxa"/>
          </w:tcPr>
          <w:p w14:paraId="56ED4AEE"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w:t>
            </w:r>
          </w:p>
        </w:tc>
        <w:tc>
          <w:tcPr>
            <w:tcW w:w="1530" w:type="dxa"/>
          </w:tcPr>
          <w:p w14:paraId="68606493"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Confirmed</w:t>
            </w:r>
          </w:p>
        </w:tc>
      </w:tr>
      <w:tr w:rsidR="00926270" w:rsidRPr="00171C21" w14:paraId="6D3DA156" w14:textId="77777777" w:rsidTr="000C242E">
        <w:tc>
          <w:tcPr>
            <w:tcW w:w="325" w:type="dxa"/>
          </w:tcPr>
          <w:p w14:paraId="612B34D8" w14:textId="77777777" w:rsidR="00926270" w:rsidRPr="00171C21" w:rsidRDefault="00926270" w:rsidP="000C242E">
            <w:pPr>
              <w:spacing w:line="360" w:lineRule="auto"/>
              <w:ind w:left="-72"/>
              <w:jc w:val="right"/>
              <w:rPr>
                <w:rFonts w:ascii="Arial" w:hAnsi="Arial" w:cs="Arial"/>
                <w:sz w:val="20"/>
                <w:szCs w:val="20"/>
              </w:rPr>
            </w:pPr>
            <w:r w:rsidRPr="00171C21">
              <w:rPr>
                <w:rFonts w:ascii="Arial" w:hAnsi="Arial" w:cs="Arial"/>
                <w:sz w:val="20"/>
                <w:szCs w:val="20"/>
              </w:rPr>
              <w:t>H6</w:t>
            </w:r>
          </w:p>
        </w:tc>
        <w:tc>
          <w:tcPr>
            <w:tcW w:w="4625" w:type="dxa"/>
          </w:tcPr>
          <w:p w14:paraId="51972E71" w14:textId="77777777" w:rsidR="00926270" w:rsidRPr="00171C21" w:rsidRDefault="00926270" w:rsidP="000C242E">
            <w:pPr>
              <w:spacing w:line="360" w:lineRule="auto"/>
              <w:ind w:right="-72"/>
              <w:rPr>
                <w:rFonts w:ascii="Arial" w:hAnsi="Arial" w:cs="Arial"/>
                <w:sz w:val="20"/>
                <w:szCs w:val="20"/>
              </w:rPr>
            </w:pPr>
            <w:r w:rsidRPr="00171C21">
              <w:rPr>
                <w:rFonts w:ascii="Arial" w:hAnsi="Arial" w:cs="Arial"/>
                <w:sz w:val="20"/>
                <w:szCs w:val="20"/>
              </w:rPr>
              <w:t>EWOM → PI</w:t>
            </w:r>
          </w:p>
        </w:tc>
        <w:tc>
          <w:tcPr>
            <w:tcW w:w="990" w:type="dxa"/>
          </w:tcPr>
          <w:p w14:paraId="2FDD7513"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-0.013</w:t>
            </w:r>
          </w:p>
        </w:tc>
        <w:tc>
          <w:tcPr>
            <w:tcW w:w="720" w:type="dxa"/>
          </w:tcPr>
          <w:p w14:paraId="5DE13371"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0.067</w:t>
            </w:r>
          </w:p>
        </w:tc>
        <w:tc>
          <w:tcPr>
            <w:tcW w:w="720" w:type="dxa"/>
          </w:tcPr>
          <w:p w14:paraId="237F5237"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-0.199</w:t>
            </w:r>
          </w:p>
        </w:tc>
        <w:tc>
          <w:tcPr>
            <w:tcW w:w="720" w:type="dxa"/>
          </w:tcPr>
          <w:p w14:paraId="6681CB7D"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0.842</w:t>
            </w:r>
          </w:p>
        </w:tc>
        <w:tc>
          <w:tcPr>
            <w:tcW w:w="1530" w:type="dxa"/>
          </w:tcPr>
          <w:p w14:paraId="1C686D81"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Not Confirmed</w:t>
            </w:r>
          </w:p>
        </w:tc>
      </w:tr>
    </w:tbl>
    <w:p w14:paraId="70635846" w14:textId="77777777" w:rsidR="00926270" w:rsidRPr="00CE14A9" w:rsidRDefault="00926270" w:rsidP="00926270">
      <w:pPr>
        <w:spacing w:line="360" w:lineRule="auto"/>
        <w:jc w:val="center"/>
        <w:rPr>
          <w:rFonts w:ascii="Arial" w:hAnsi="Arial" w:cs="Arial"/>
        </w:rPr>
      </w:pPr>
      <w:r w:rsidRPr="00CE14A9">
        <w:rPr>
          <w:rFonts w:ascii="Arial" w:hAnsi="Arial" w:cs="Arial"/>
          <w:i/>
          <w:iCs/>
        </w:rPr>
        <w:t xml:space="preserve">Note. </w:t>
      </w:r>
      <w:r w:rsidRPr="00CE14A9">
        <w:rPr>
          <w:rFonts w:ascii="Arial" w:hAnsi="Arial" w:cs="Arial"/>
        </w:rPr>
        <w:t>SE = Standard error; C.R. = Critical Ratio; p = P-value.</w:t>
      </w:r>
    </w:p>
    <w:p w14:paraId="2E3E7555" w14:textId="2062414C" w:rsidR="00926270" w:rsidRPr="00CE14A9" w:rsidRDefault="00926270" w:rsidP="00926270">
      <w:pPr>
        <w:pStyle w:val="ListParagraph"/>
        <w:spacing w:before="240" w:line="360" w:lineRule="auto"/>
        <w:ind w:left="360"/>
        <w:rPr>
          <w:rFonts w:ascii="Arial" w:hAnsi="Arial" w:cs="Arial"/>
          <w:b/>
          <w:sz w:val="20"/>
          <w:szCs w:val="20"/>
        </w:rPr>
      </w:pPr>
      <w:r w:rsidRPr="00CE14A9">
        <w:rPr>
          <w:rFonts w:ascii="Arial" w:hAnsi="Arial" w:cs="Arial"/>
          <w:b/>
          <w:sz w:val="20"/>
          <w:szCs w:val="20"/>
        </w:rPr>
        <w:t>Table VI: Mediation Analysis</w:t>
      </w:r>
    </w:p>
    <w:tbl>
      <w:tblPr>
        <w:tblStyle w:val="TableGrid"/>
        <w:tblW w:w="0" w:type="auto"/>
        <w:tblLayout w:type="fixed"/>
        <w:tblLook w:val="04A0" w:firstRow="1" w:lastRow="0" w:firstColumn="1" w:lastColumn="0" w:noHBand="0" w:noVBand="1"/>
      </w:tblPr>
      <w:tblGrid>
        <w:gridCol w:w="3186"/>
        <w:gridCol w:w="1080"/>
        <w:gridCol w:w="1350"/>
        <w:gridCol w:w="1170"/>
        <w:gridCol w:w="1350"/>
        <w:gridCol w:w="1278"/>
      </w:tblGrid>
      <w:tr w:rsidR="00926270" w:rsidRPr="00CE14A9" w14:paraId="7CED058D" w14:textId="77777777" w:rsidTr="00CE14A9">
        <w:tc>
          <w:tcPr>
            <w:tcW w:w="3186" w:type="dxa"/>
          </w:tcPr>
          <w:p w14:paraId="2D281A1E"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Relationship</w:t>
            </w:r>
          </w:p>
        </w:tc>
        <w:tc>
          <w:tcPr>
            <w:tcW w:w="1080" w:type="dxa"/>
          </w:tcPr>
          <w:p w14:paraId="767EBB60"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 xml:space="preserve">Total </w:t>
            </w:r>
          </w:p>
          <w:p w14:paraId="76E740D7"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Effects</w:t>
            </w:r>
          </w:p>
        </w:tc>
        <w:tc>
          <w:tcPr>
            <w:tcW w:w="1350" w:type="dxa"/>
          </w:tcPr>
          <w:p w14:paraId="20AF78C2"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Direct</w:t>
            </w:r>
          </w:p>
          <w:p w14:paraId="06B87FAD"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 xml:space="preserve"> Effects</w:t>
            </w:r>
          </w:p>
        </w:tc>
        <w:tc>
          <w:tcPr>
            <w:tcW w:w="1170" w:type="dxa"/>
          </w:tcPr>
          <w:p w14:paraId="6F06B11D"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 xml:space="preserve">Indirect </w:t>
            </w:r>
          </w:p>
          <w:p w14:paraId="6EC5983F"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Effects</w:t>
            </w:r>
          </w:p>
        </w:tc>
        <w:tc>
          <w:tcPr>
            <w:tcW w:w="1350" w:type="dxa"/>
          </w:tcPr>
          <w:p w14:paraId="2D6EACB0"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Conclusion</w:t>
            </w:r>
          </w:p>
        </w:tc>
        <w:tc>
          <w:tcPr>
            <w:tcW w:w="1278" w:type="dxa"/>
          </w:tcPr>
          <w:p w14:paraId="09E3A2E6"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Hypothesis support</w:t>
            </w:r>
          </w:p>
        </w:tc>
      </w:tr>
      <w:tr w:rsidR="00926270" w:rsidRPr="00CE14A9" w14:paraId="5DF6531C" w14:textId="77777777" w:rsidTr="00CE14A9">
        <w:trPr>
          <w:trHeight w:val="1007"/>
        </w:trPr>
        <w:tc>
          <w:tcPr>
            <w:tcW w:w="3186" w:type="dxa"/>
          </w:tcPr>
          <w:p w14:paraId="2BFAF4AD" w14:textId="77777777" w:rsidR="00926270" w:rsidRPr="00CE14A9" w:rsidRDefault="00926270" w:rsidP="000C242E">
            <w:pPr>
              <w:spacing w:line="360" w:lineRule="auto"/>
              <w:jc w:val="center"/>
              <w:rPr>
                <w:rFonts w:ascii="Arial" w:hAnsi="Arial" w:cs="Arial"/>
                <w:sz w:val="20"/>
                <w:szCs w:val="20"/>
              </w:rPr>
            </w:pPr>
          </w:p>
          <w:p w14:paraId="55894D77"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SMM → BE → PI</w:t>
            </w:r>
          </w:p>
        </w:tc>
        <w:tc>
          <w:tcPr>
            <w:tcW w:w="1080" w:type="dxa"/>
          </w:tcPr>
          <w:p w14:paraId="0F6DA60D" w14:textId="77777777" w:rsidR="00926270" w:rsidRPr="00CE14A9" w:rsidRDefault="00926270" w:rsidP="000C242E">
            <w:pPr>
              <w:spacing w:line="360" w:lineRule="auto"/>
              <w:rPr>
                <w:rFonts w:ascii="Arial" w:hAnsi="Arial" w:cs="Arial"/>
                <w:sz w:val="20"/>
                <w:szCs w:val="20"/>
              </w:rPr>
            </w:pPr>
          </w:p>
          <w:p w14:paraId="7C87EFB3"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 xml:space="preserve">0.250** </w:t>
            </w:r>
            <w:r w:rsidRPr="00CE14A9">
              <w:rPr>
                <w:rFonts w:ascii="Arial" w:hAnsi="Arial" w:cs="Arial"/>
                <w:b/>
                <w:sz w:val="20"/>
                <w:szCs w:val="20"/>
              </w:rPr>
              <w:t>(0.009)</w:t>
            </w:r>
          </w:p>
        </w:tc>
        <w:tc>
          <w:tcPr>
            <w:tcW w:w="1350" w:type="dxa"/>
          </w:tcPr>
          <w:p w14:paraId="0603A1F6" w14:textId="77777777" w:rsidR="00926270" w:rsidRPr="00CE14A9" w:rsidRDefault="00926270" w:rsidP="000C242E">
            <w:pPr>
              <w:spacing w:line="360" w:lineRule="auto"/>
              <w:rPr>
                <w:rFonts w:ascii="Arial" w:hAnsi="Arial" w:cs="Arial"/>
                <w:sz w:val="20"/>
                <w:szCs w:val="20"/>
              </w:rPr>
            </w:pPr>
          </w:p>
          <w:p w14:paraId="54691EA0"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0.230**</w:t>
            </w:r>
          </w:p>
          <w:p w14:paraId="5FC8CC2C" w14:textId="77777777" w:rsidR="00926270" w:rsidRPr="00CE14A9" w:rsidRDefault="00926270" w:rsidP="000C242E">
            <w:pPr>
              <w:spacing w:line="360" w:lineRule="auto"/>
              <w:jc w:val="center"/>
              <w:rPr>
                <w:rFonts w:ascii="Arial" w:hAnsi="Arial" w:cs="Arial"/>
                <w:b/>
                <w:sz w:val="20"/>
                <w:szCs w:val="20"/>
              </w:rPr>
            </w:pPr>
            <w:r w:rsidRPr="00CE14A9">
              <w:rPr>
                <w:rFonts w:ascii="Arial" w:hAnsi="Arial" w:cs="Arial"/>
                <w:b/>
                <w:sz w:val="20"/>
                <w:szCs w:val="20"/>
              </w:rPr>
              <w:t>(0.008)</w:t>
            </w:r>
          </w:p>
        </w:tc>
        <w:tc>
          <w:tcPr>
            <w:tcW w:w="1170" w:type="dxa"/>
          </w:tcPr>
          <w:p w14:paraId="354D8AFA" w14:textId="77777777" w:rsidR="00926270" w:rsidRPr="00CE14A9" w:rsidRDefault="00926270" w:rsidP="000C242E">
            <w:pPr>
              <w:spacing w:line="360" w:lineRule="auto"/>
              <w:rPr>
                <w:rFonts w:ascii="Arial" w:hAnsi="Arial" w:cs="Arial"/>
                <w:sz w:val="20"/>
                <w:szCs w:val="20"/>
              </w:rPr>
            </w:pPr>
          </w:p>
          <w:p w14:paraId="7AD96E3C"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0.020**</w:t>
            </w:r>
          </w:p>
          <w:p w14:paraId="0266F6B3" w14:textId="77777777" w:rsidR="00926270" w:rsidRPr="00CE14A9" w:rsidRDefault="00926270" w:rsidP="000C242E">
            <w:pPr>
              <w:spacing w:line="360" w:lineRule="auto"/>
              <w:jc w:val="center"/>
              <w:rPr>
                <w:rFonts w:ascii="Arial" w:hAnsi="Arial" w:cs="Arial"/>
                <w:b/>
                <w:sz w:val="20"/>
                <w:szCs w:val="20"/>
              </w:rPr>
            </w:pPr>
            <w:r w:rsidRPr="00CE14A9">
              <w:rPr>
                <w:rFonts w:ascii="Arial" w:hAnsi="Arial" w:cs="Arial"/>
                <w:b/>
                <w:sz w:val="20"/>
                <w:szCs w:val="20"/>
              </w:rPr>
              <w:t>(0.017)</w:t>
            </w:r>
          </w:p>
        </w:tc>
        <w:tc>
          <w:tcPr>
            <w:tcW w:w="1350" w:type="dxa"/>
          </w:tcPr>
          <w:p w14:paraId="4312F117" w14:textId="77777777" w:rsidR="00926270" w:rsidRPr="00CE14A9" w:rsidRDefault="00926270" w:rsidP="000C242E">
            <w:pPr>
              <w:spacing w:line="360" w:lineRule="auto"/>
              <w:rPr>
                <w:rFonts w:ascii="Arial" w:hAnsi="Arial" w:cs="Arial"/>
                <w:sz w:val="20"/>
                <w:szCs w:val="20"/>
              </w:rPr>
            </w:pPr>
          </w:p>
          <w:p w14:paraId="48B7E4CF"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Partial</w:t>
            </w:r>
          </w:p>
          <w:p w14:paraId="51D1C7CB"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Mediation</w:t>
            </w:r>
          </w:p>
        </w:tc>
        <w:tc>
          <w:tcPr>
            <w:tcW w:w="1278" w:type="dxa"/>
          </w:tcPr>
          <w:p w14:paraId="77EA947A" w14:textId="77777777" w:rsidR="00926270" w:rsidRPr="00CE14A9" w:rsidRDefault="00926270" w:rsidP="000C242E">
            <w:pPr>
              <w:spacing w:line="360" w:lineRule="auto"/>
              <w:rPr>
                <w:rFonts w:ascii="Arial" w:hAnsi="Arial" w:cs="Arial"/>
                <w:sz w:val="20"/>
                <w:szCs w:val="20"/>
              </w:rPr>
            </w:pPr>
          </w:p>
          <w:p w14:paraId="7D4F1570" w14:textId="77777777" w:rsidR="00926270" w:rsidRPr="00CE14A9" w:rsidRDefault="00926270" w:rsidP="000C242E">
            <w:pPr>
              <w:spacing w:line="360" w:lineRule="auto"/>
              <w:rPr>
                <w:rFonts w:ascii="Arial" w:hAnsi="Arial" w:cs="Arial"/>
                <w:sz w:val="20"/>
                <w:szCs w:val="20"/>
              </w:rPr>
            </w:pPr>
            <w:r w:rsidRPr="00CE14A9">
              <w:rPr>
                <w:rFonts w:ascii="Arial" w:hAnsi="Arial" w:cs="Arial"/>
                <w:sz w:val="20"/>
                <w:szCs w:val="20"/>
              </w:rPr>
              <w:t xml:space="preserve"> Accepted</w:t>
            </w:r>
          </w:p>
        </w:tc>
      </w:tr>
      <w:tr w:rsidR="00926270" w:rsidRPr="00CE14A9" w14:paraId="502EE563" w14:textId="77777777" w:rsidTr="00CE14A9">
        <w:trPr>
          <w:trHeight w:val="980"/>
        </w:trPr>
        <w:tc>
          <w:tcPr>
            <w:tcW w:w="3186" w:type="dxa"/>
          </w:tcPr>
          <w:p w14:paraId="4DDF48E4" w14:textId="77777777" w:rsidR="00926270" w:rsidRPr="00CE14A9" w:rsidRDefault="00926270" w:rsidP="000C242E">
            <w:pPr>
              <w:spacing w:line="360" w:lineRule="auto"/>
              <w:jc w:val="center"/>
              <w:rPr>
                <w:rFonts w:ascii="Arial" w:hAnsi="Arial" w:cs="Arial"/>
                <w:sz w:val="20"/>
                <w:szCs w:val="20"/>
              </w:rPr>
            </w:pPr>
          </w:p>
          <w:p w14:paraId="09FC2601"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BT → BE → PI</w:t>
            </w:r>
          </w:p>
        </w:tc>
        <w:tc>
          <w:tcPr>
            <w:tcW w:w="1080" w:type="dxa"/>
          </w:tcPr>
          <w:p w14:paraId="294A994E" w14:textId="77777777" w:rsidR="00926270" w:rsidRPr="00CE14A9" w:rsidRDefault="00926270" w:rsidP="000C242E">
            <w:pPr>
              <w:spacing w:line="360" w:lineRule="auto"/>
              <w:rPr>
                <w:rFonts w:ascii="Arial" w:hAnsi="Arial" w:cs="Arial"/>
                <w:sz w:val="20"/>
                <w:szCs w:val="20"/>
              </w:rPr>
            </w:pPr>
          </w:p>
          <w:p w14:paraId="2DE80DDE"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 xml:space="preserve">-0.110 </w:t>
            </w:r>
            <w:r w:rsidRPr="00CE14A9">
              <w:rPr>
                <w:rFonts w:ascii="Arial" w:hAnsi="Arial" w:cs="Arial"/>
                <w:b/>
                <w:sz w:val="20"/>
                <w:szCs w:val="20"/>
              </w:rPr>
              <w:t>(0.094)</w:t>
            </w:r>
          </w:p>
        </w:tc>
        <w:tc>
          <w:tcPr>
            <w:tcW w:w="1350" w:type="dxa"/>
          </w:tcPr>
          <w:p w14:paraId="3A68D0E5" w14:textId="77777777" w:rsidR="00926270" w:rsidRPr="00CE14A9" w:rsidRDefault="00926270" w:rsidP="000C242E">
            <w:pPr>
              <w:spacing w:line="360" w:lineRule="auto"/>
              <w:rPr>
                <w:rFonts w:ascii="Arial" w:hAnsi="Arial" w:cs="Arial"/>
                <w:sz w:val="20"/>
                <w:szCs w:val="20"/>
              </w:rPr>
            </w:pPr>
          </w:p>
          <w:p w14:paraId="6222B376"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-0.143*</w:t>
            </w:r>
          </w:p>
          <w:p w14:paraId="684BA0A3" w14:textId="77777777" w:rsidR="00926270" w:rsidRPr="00CE14A9" w:rsidRDefault="00926270" w:rsidP="000C242E">
            <w:pPr>
              <w:spacing w:line="360" w:lineRule="auto"/>
              <w:jc w:val="center"/>
              <w:rPr>
                <w:rFonts w:ascii="Arial" w:hAnsi="Arial" w:cs="Arial"/>
                <w:b/>
                <w:sz w:val="20"/>
                <w:szCs w:val="20"/>
              </w:rPr>
            </w:pPr>
            <w:r w:rsidRPr="00CE14A9">
              <w:rPr>
                <w:rFonts w:ascii="Arial" w:hAnsi="Arial" w:cs="Arial"/>
                <w:b/>
                <w:sz w:val="20"/>
                <w:szCs w:val="20"/>
              </w:rPr>
              <w:t>(0.035)</w:t>
            </w:r>
          </w:p>
        </w:tc>
        <w:tc>
          <w:tcPr>
            <w:tcW w:w="1170" w:type="dxa"/>
          </w:tcPr>
          <w:p w14:paraId="385E8733" w14:textId="77777777" w:rsidR="00926270" w:rsidRPr="00CE14A9" w:rsidRDefault="00926270" w:rsidP="000C242E">
            <w:pPr>
              <w:spacing w:line="360" w:lineRule="auto"/>
              <w:rPr>
                <w:rFonts w:ascii="Arial" w:hAnsi="Arial" w:cs="Arial"/>
                <w:sz w:val="20"/>
                <w:szCs w:val="20"/>
              </w:rPr>
            </w:pPr>
          </w:p>
          <w:p w14:paraId="1D757E48"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0.033**</w:t>
            </w:r>
          </w:p>
          <w:p w14:paraId="3F7A3FF6" w14:textId="77777777" w:rsidR="00926270" w:rsidRPr="00CE14A9" w:rsidRDefault="00926270" w:rsidP="000C242E">
            <w:pPr>
              <w:spacing w:line="360" w:lineRule="auto"/>
              <w:jc w:val="center"/>
              <w:rPr>
                <w:rFonts w:ascii="Arial" w:hAnsi="Arial" w:cs="Arial"/>
                <w:b/>
                <w:sz w:val="20"/>
                <w:szCs w:val="20"/>
              </w:rPr>
            </w:pPr>
            <w:r w:rsidRPr="00CE14A9">
              <w:rPr>
                <w:rFonts w:ascii="Arial" w:hAnsi="Arial" w:cs="Arial"/>
                <w:b/>
                <w:sz w:val="20"/>
                <w:szCs w:val="20"/>
              </w:rPr>
              <w:t>(0.004)</w:t>
            </w:r>
          </w:p>
        </w:tc>
        <w:tc>
          <w:tcPr>
            <w:tcW w:w="1350" w:type="dxa"/>
          </w:tcPr>
          <w:p w14:paraId="4FF495DC" w14:textId="77777777" w:rsidR="00926270" w:rsidRPr="00CE14A9" w:rsidRDefault="00926270" w:rsidP="000C242E">
            <w:pPr>
              <w:spacing w:line="360" w:lineRule="auto"/>
              <w:jc w:val="center"/>
              <w:rPr>
                <w:rFonts w:ascii="Arial" w:hAnsi="Arial" w:cs="Arial"/>
                <w:sz w:val="20"/>
                <w:szCs w:val="20"/>
              </w:rPr>
            </w:pPr>
          </w:p>
          <w:p w14:paraId="7525FC6C"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Partial</w:t>
            </w:r>
          </w:p>
          <w:p w14:paraId="4D51C3D4"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Mediation</w:t>
            </w:r>
          </w:p>
        </w:tc>
        <w:tc>
          <w:tcPr>
            <w:tcW w:w="1278" w:type="dxa"/>
          </w:tcPr>
          <w:p w14:paraId="54D27AF3" w14:textId="77777777" w:rsidR="00926270" w:rsidRPr="00CE14A9" w:rsidRDefault="00926270" w:rsidP="000C242E">
            <w:pPr>
              <w:spacing w:line="360" w:lineRule="auto"/>
              <w:jc w:val="center"/>
              <w:rPr>
                <w:rFonts w:ascii="Arial" w:hAnsi="Arial" w:cs="Arial"/>
                <w:sz w:val="20"/>
                <w:szCs w:val="20"/>
              </w:rPr>
            </w:pPr>
          </w:p>
          <w:p w14:paraId="29C39B70"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Accepted</w:t>
            </w:r>
          </w:p>
        </w:tc>
      </w:tr>
    </w:tbl>
    <w:p w14:paraId="3222EEAB" w14:textId="77777777" w:rsidR="00926270" w:rsidRPr="00CE14A9" w:rsidRDefault="00926270" w:rsidP="00926270">
      <w:pPr>
        <w:spacing w:line="360" w:lineRule="auto"/>
        <w:rPr>
          <w:rFonts w:ascii="Arial" w:hAnsi="Arial" w:cs="Arial"/>
        </w:rPr>
      </w:pPr>
      <w:r w:rsidRPr="00CE14A9">
        <w:rPr>
          <w:rFonts w:ascii="Arial" w:hAnsi="Arial" w:cs="Arial"/>
        </w:rPr>
        <w:t xml:space="preserve">                                                   Note: *&lt;0.05, **&lt;0.01, ***&lt;0.001 </w:t>
      </w:r>
    </w:p>
    <w:p w14:paraId="012AD896" w14:textId="362935DF" w:rsidR="00926270" w:rsidRPr="00CE14A9" w:rsidRDefault="00926270" w:rsidP="00926270">
      <w:pPr>
        <w:spacing w:line="360" w:lineRule="auto"/>
        <w:jc w:val="both"/>
        <w:rPr>
          <w:rFonts w:ascii="Arial" w:hAnsi="Arial" w:cs="Arial"/>
        </w:rPr>
      </w:pPr>
      <w:r w:rsidRPr="00CE14A9">
        <w:rPr>
          <w:rFonts w:ascii="Arial" w:hAnsi="Arial" w:cs="Arial"/>
        </w:rPr>
        <w:t>Brand equity's ability to mediate purchase intention and social media marketing</w:t>
      </w:r>
      <w:r w:rsidRPr="00CE14A9">
        <w:rPr>
          <w:rFonts w:ascii="Arial" w:hAnsi="Arial" w:cs="Arial"/>
          <w:b/>
        </w:rPr>
        <w:t>.</w:t>
      </w:r>
      <w:r w:rsidRPr="00CE14A9">
        <w:rPr>
          <w:rFonts w:ascii="Arial" w:hAnsi="Arial" w:cs="Arial"/>
        </w:rPr>
        <w:t xml:space="preserve"> Table 6 shows that brand equity plays a partially playing a moderating role in the connection between purchase intention</w:t>
      </w:r>
      <w:r w:rsidR="004E0B4B">
        <w:rPr>
          <w:rFonts w:ascii="Arial" w:hAnsi="Arial" w:cs="Arial"/>
        </w:rPr>
        <w:t xml:space="preserve"> </w:t>
      </w:r>
      <w:r w:rsidRPr="00CE14A9">
        <w:rPr>
          <w:rFonts w:ascii="Arial" w:hAnsi="Arial" w:cs="Arial"/>
        </w:rPr>
        <w:t>(PI) and social media marketing</w:t>
      </w:r>
      <w:r w:rsidR="004E0B4B">
        <w:rPr>
          <w:rFonts w:ascii="Arial" w:hAnsi="Arial" w:cs="Arial"/>
        </w:rPr>
        <w:t xml:space="preserve"> </w:t>
      </w:r>
      <w:r w:rsidRPr="00CE14A9">
        <w:rPr>
          <w:rFonts w:ascii="Arial" w:hAnsi="Arial" w:cs="Arial"/>
        </w:rPr>
        <w:t>(SMM). In this instance, brand equity</w:t>
      </w:r>
      <w:r w:rsidR="004E0B4B">
        <w:rPr>
          <w:rFonts w:ascii="Arial" w:hAnsi="Arial" w:cs="Arial"/>
        </w:rPr>
        <w:t xml:space="preserve"> </w:t>
      </w:r>
      <w:r w:rsidRPr="00CE14A9">
        <w:rPr>
          <w:rFonts w:ascii="Arial" w:hAnsi="Arial" w:cs="Arial"/>
        </w:rPr>
        <w:t>(BE) predicts purchase intention, whereas the mediation effect prevents the social media marketing variable from showing a meaningful link. Brand equity mediation test on purchase intention</w:t>
      </w:r>
      <w:r w:rsidR="004E0B4B">
        <w:rPr>
          <w:rFonts w:ascii="Arial" w:hAnsi="Arial" w:cs="Arial"/>
        </w:rPr>
        <w:t xml:space="preserve"> </w:t>
      </w:r>
      <w:r w:rsidRPr="00CE14A9">
        <w:rPr>
          <w:rFonts w:ascii="Arial" w:hAnsi="Arial" w:cs="Arial"/>
        </w:rPr>
        <w:t>(PI) and brand trust</w:t>
      </w:r>
      <w:r w:rsidR="004E0B4B">
        <w:rPr>
          <w:rFonts w:ascii="Arial" w:hAnsi="Arial" w:cs="Arial"/>
        </w:rPr>
        <w:t xml:space="preserve"> </w:t>
      </w:r>
      <w:r w:rsidRPr="00CE14A9">
        <w:rPr>
          <w:rFonts w:ascii="Arial" w:hAnsi="Arial" w:cs="Arial"/>
        </w:rPr>
        <w:t>(BT)</w:t>
      </w:r>
      <w:r w:rsidRPr="00CE14A9">
        <w:rPr>
          <w:rFonts w:ascii="Arial" w:hAnsi="Arial" w:cs="Arial"/>
          <w:b/>
        </w:rPr>
        <w:t xml:space="preserve">. </w:t>
      </w:r>
      <w:r w:rsidRPr="00CE14A9">
        <w:rPr>
          <w:rFonts w:ascii="Arial" w:hAnsi="Arial" w:cs="Arial"/>
        </w:rPr>
        <w:t>Table VI also shows that Brand Equity has a complete mediating part of the association between purchase intention and brand trust. In this instance, brand equity</w:t>
      </w:r>
      <w:r w:rsidR="004E0B4B">
        <w:rPr>
          <w:rFonts w:ascii="Arial" w:hAnsi="Arial" w:cs="Arial"/>
        </w:rPr>
        <w:t xml:space="preserve"> </w:t>
      </w:r>
      <w:r w:rsidRPr="00CE14A9">
        <w:rPr>
          <w:rFonts w:ascii="Arial" w:hAnsi="Arial" w:cs="Arial"/>
        </w:rPr>
        <w:t>(BE) predicts purchase intention</w:t>
      </w:r>
      <w:r w:rsidR="004E0B4B">
        <w:rPr>
          <w:rFonts w:ascii="Arial" w:hAnsi="Arial" w:cs="Arial"/>
        </w:rPr>
        <w:t xml:space="preserve"> </w:t>
      </w:r>
      <w:r w:rsidRPr="00CE14A9">
        <w:rPr>
          <w:rFonts w:ascii="Arial" w:hAnsi="Arial" w:cs="Arial"/>
        </w:rPr>
        <w:t>(PI), whereas the effect of mediation prevents the brand trust variable from showing a meaningful link.</w:t>
      </w:r>
    </w:p>
    <w:p w14:paraId="358A14BB" w14:textId="77777777" w:rsidR="00C65AA3" w:rsidRPr="00171C21" w:rsidRDefault="00C65AA3" w:rsidP="00C65AA3">
      <w:pPr>
        <w:pStyle w:val="Body"/>
        <w:rPr>
          <w:rFonts w:ascii="Arial" w:hAnsi="Arial" w:cs="Arial"/>
          <w:b/>
          <w:bCs/>
          <w:sz w:val="22"/>
          <w:szCs w:val="22"/>
        </w:rPr>
      </w:pPr>
      <w:r w:rsidRPr="00171C21">
        <w:rPr>
          <w:rFonts w:ascii="Arial" w:hAnsi="Arial" w:cs="Arial"/>
          <w:b/>
          <w:bCs/>
          <w:sz w:val="22"/>
          <w:szCs w:val="22"/>
        </w:rPr>
        <w:t>5. Discussion of the Results</w:t>
      </w:r>
    </w:p>
    <w:p w14:paraId="0D4A0D99" w14:textId="5D386350" w:rsidR="00C65AA3" w:rsidRPr="00C65AA3" w:rsidRDefault="00C65AA3" w:rsidP="00C65AA3">
      <w:pPr>
        <w:pStyle w:val="Body"/>
        <w:rPr>
          <w:rFonts w:ascii="Arial" w:hAnsi="Arial" w:cs="Arial"/>
        </w:rPr>
      </w:pPr>
      <w:r w:rsidRPr="00C65AA3">
        <w:rPr>
          <w:rFonts w:ascii="Arial" w:hAnsi="Arial" w:cs="Arial"/>
        </w:rPr>
        <w:lastRenderedPageBreak/>
        <w:t xml:space="preserve">The effect of social media on customer purchases was investigated in this study. Intentions in Bangladesh, highlighting its growing influence on consumer behavior. Platforms like FB, Instagram, and YouTube play a key role in shaping buying decisions through influencer endorsements, peer recommendations, and reviews. With young population and expanding internet access, </w:t>
      </w:r>
      <w:r w:rsidR="001231E4">
        <w:rPr>
          <w:rFonts w:ascii="Arial" w:hAnsi="Arial" w:cs="Arial"/>
        </w:rPr>
        <w:t>s</w:t>
      </w:r>
      <w:r w:rsidRPr="00C65AA3">
        <w:rPr>
          <w:rFonts w:ascii="Arial" w:hAnsi="Arial" w:cs="Arial"/>
        </w:rPr>
        <w:t>ocial media is now a potent tool that companies may use to interact with clients, increase brand recognition, and  foster trust</w:t>
      </w:r>
      <w:r w:rsidR="00697A28">
        <w:rPr>
          <w:rFonts w:ascii="Arial" w:hAnsi="Arial" w:cs="Arial"/>
        </w:rPr>
        <w:t xml:space="preserve"> </w:t>
      </w:r>
      <w:r w:rsidR="00697A28">
        <w:rPr>
          <w:rFonts w:ascii="Arial" w:hAnsi="Arial" w:cs="Arial"/>
        </w:rPr>
        <w:fldChar w:fldCharType="begin"/>
      </w:r>
      <w:r w:rsidR="00697A28">
        <w:rPr>
          <w:rFonts w:ascii="Arial" w:hAnsi="Arial" w:cs="Arial"/>
        </w:rPr>
        <w:instrText xml:space="preserve"> ADDIN ZOTERO_ITEM CSL_CITATION {"citationID":"NWXQ7Zyw","properties":{"formattedCitation":"(Eti et al., 2021)","plainCitation":"(Eti et al., 2021)","noteIndex":0},"citationItems":[{"id":1253,"uris":["http://zotero.org/users/local/02HQEtik/items/76S4K5XJ"],"itemData":{"id":1253,"type":"article-journal","abstract":"The study was motivated by the need to highlight the roles played by social media marketing on consumers' purchase intention during the COVID-19 pandemic. Since it was a quantitative study, hypotheses were tested to generate findings. We used IBM SPSS 25.0 software to analyze using reliability statistics, descriptive statistics, and IBM SPSS Amos 26.0 software was used to do confirmatory factor analysis for the purpose of developing hypothesis, and SEM used for trying to fit the model. The primary data was mustered by personal interview in an online survey method through a structured questionnaire with five-point Likert scales from 240 Bangladeshi online consumers. These findings publicized that social media marketing (Facebook, Instagram, and YouTube) a significant stimulus on consumers purchase intention during COVID-19, and all factors except discount or coupon offer and brand awareness had an epoch-making and constructive connection with consumers’ purchase intention during the coronavirus malady (COVID-19) epidemic in Bangladesh.","container-title":"International Journal of Research in Business and Social Science (2147- 4478)","DOI":"10.20525/ijrbs.v10i1.1011","ISSN":"2147-4478","issue":"1","journalAbbreviation":"IJRBS","license":"https://creativecommons.org/licenses/by/4.0","page":"28-37","source":"DOI.org (Crossref)","title":"Power and stimulus of social media marketing on consumer purchase intention in Bangladesh during the COVID-19","volume":"10","author":[{"family":"Eti","given":"Ismat Ara"},{"family":"Horaira","given":"Mohammad Abu"},{"family":"Bari","given":"Mohammad Murshedul"}],"issued":{"date-parts":[["2021",2,11]]}}}],"schema":"https://github.com/citation-style-language/schema/raw/master/csl-citation.json"} </w:instrText>
      </w:r>
      <w:r w:rsidR="00697A28">
        <w:rPr>
          <w:rFonts w:ascii="Arial" w:hAnsi="Arial" w:cs="Arial"/>
        </w:rPr>
        <w:fldChar w:fldCharType="separate"/>
      </w:r>
      <w:r w:rsidR="00697A28" w:rsidRPr="00697A28">
        <w:rPr>
          <w:rFonts w:ascii="Arial" w:hAnsi="Arial" w:cs="Arial"/>
        </w:rPr>
        <w:t>(Eti et al., 2021)</w:t>
      </w:r>
      <w:r w:rsidR="00697A28">
        <w:rPr>
          <w:rFonts w:ascii="Arial" w:hAnsi="Arial" w:cs="Arial"/>
        </w:rPr>
        <w:fldChar w:fldCharType="end"/>
      </w:r>
      <w:r w:rsidRPr="00C65AA3">
        <w:rPr>
          <w:rFonts w:ascii="Arial" w:hAnsi="Arial" w:cs="Arial"/>
        </w:rPr>
        <w:t xml:space="preserve">. </w:t>
      </w:r>
    </w:p>
    <w:p w14:paraId="6CF85AE1" w14:textId="1404E9C7" w:rsidR="00C65AA3" w:rsidRPr="00C65AA3" w:rsidRDefault="00C65AA3" w:rsidP="00C65AA3">
      <w:pPr>
        <w:pStyle w:val="Body"/>
        <w:rPr>
          <w:rFonts w:ascii="Arial" w:hAnsi="Arial" w:cs="Arial"/>
        </w:rPr>
      </w:pPr>
      <w:r w:rsidRPr="00C65AA3">
        <w:rPr>
          <w:rFonts w:ascii="Arial" w:hAnsi="Arial" w:cs="Arial"/>
        </w:rPr>
        <w:t xml:space="preserve">Social media marketing is positive and significant impacted by brand equity. It indicates the social media influenced by brand equity. Brand Equity is positively and significantly impacted by brand trust. It indicates the brand trust may influence by brand Equity. Purchase intention is positively and significantly impacted by brand equity. Brand trust negatively </w:t>
      </w:r>
      <w:r w:rsidR="0006060D" w:rsidRPr="00C65AA3">
        <w:rPr>
          <w:rFonts w:ascii="Arial" w:hAnsi="Arial" w:cs="Arial"/>
        </w:rPr>
        <w:t>influences</w:t>
      </w:r>
      <w:r w:rsidRPr="00C65AA3">
        <w:rPr>
          <w:rFonts w:ascii="Arial" w:hAnsi="Arial" w:cs="Arial"/>
        </w:rPr>
        <w:t xml:space="preserve"> on purchase intention. The analysis founds insignificant relationship and thus the hypothesis not supported. Brand trust is not influenced to convert purchase intention. Purchase intention is positively and significantly impacted by social media marketing. Electronic Word of Mouth negatively influence on purchase intention. The result initiates insignificant relationship and thus the hypothesis not supported. Electronic Word of Mouth is not influenced to develop purchase intention. </w:t>
      </w:r>
    </w:p>
    <w:p w14:paraId="0EC361B4" w14:textId="77777777" w:rsidR="00C65AA3" w:rsidRPr="00C65AA3" w:rsidRDefault="00C65AA3" w:rsidP="00C65AA3">
      <w:pPr>
        <w:pStyle w:val="Body"/>
        <w:rPr>
          <w:rFonts w:ascii="Arial" w:hAnsi="Arial" w:cs="Arial"/>
        </w:rPr>
      </w:pPr>
      <w:r w:rsidRPr="00C65AA3">
        <w:rPr>
          <w:rFonts w:ascii="Arial" w:hAnsi="Arial" w:cs="Arial"/>
        </w:rPr>
        <w:t>In both situations, the hypotheses are accepted and which proves the mediated relationship between these factors and purchase intention via brand equity. The brand equity forms an intermediate link between purchase intention and social media marketing. After analyzing the above criteria, it can be perceived that the brand equity has been mediating to some extent. This defines the type of mediation that was uncovered. Partial Mediation means that Brand Equity is mediating the effect of the predictor variable on the outcome variable in part; hence, the effect of the predictor variable is now having an indirect effect on the outcome variable through Brand Equity.</w:t>
      </w:r>
    </w:p>
    <w:p w14:paraId="7887E285" w14:textId="77777777" w:rsidR="00C65AA3" w:rsidRPr="00171C21" w:rsidRDefault="00C65AA3" w:rsidP="00C65AA3">
      <w:pPr>
        <w:pStyle w:val="Body"/>
        <w:rPr>
          <w:rFonts w:ascii="Arial" w:hAnsi="Arial" w:cs="Arial"/>
          <w:b/>
          <w:bCs/>
          <w:sz w:val="22"/>
          <w:szCs w:val="22"/>
        </w:rPr>
      </w:pPr>
      <w:r w:rsidRPr="00171C21">
        <w:rPr>
          <w:rFonts w:ascii="Arial" w:hAnsi="Arial" w:cs="Arial"/>
          <w:b/>
          <w:bCs/>
          <w:sz w:val="22"/>
          <w:szCs w:val="22"/>
        </w:rPr>
        <w:t>6. Conclusion</w:t>
      </w:r>
    </w:p>
    <w:p w14:paraId="100A07FF" w14:textId="743BBE40" w:rsidR="00C65AA3" w:rsidRPr="00C65AA3" w:rsidRDefault="00E04D35" w:rsidP="00C65AA3">
      <w:pPr>
        <w:pStyle w:val="Body"/>
        <w:rPr>
          <w:rFonts w:ascii="Arial" w:hAnsi="Arial" w:cs="Arial"/>
        </w:rPr>
      </w:pPr>
      <w:r w:rsidRPr="00E04D35">
        <w:rPr>
          <w:rFonts w:ascii="Arial" w:hAnsi="Arial" w:cs="Arial"/>
        </w:rPr>
        <w:t>The conceptual model of this study was developed based on an extensive review of prior literature and established theoretical frameworks, integrating key constructs that influence consumers’ purchase intention.</w:t>
      </w:r>
      <w:r>
        <w:rPr>
          <w:rFonts w:ascii="Arial" w:hAnsi="Arial" w:cs="Arial"/>
        </w:rPr>
        <w:t xml:space="preserve"> </w:t>
      </w:r>
      <w:r w:rsidR="00C65AA3" w:rsidRPr="00C65AA3">
        <w:rPr>
          <w:rFonts w:ascii="Arial" w:hAnsi="Arial" w:cs="Arial"/>
        </w:rPr>
        <w:t>As postulated, the findings showed that the desire by consumers to buy home brands is dependent on the brand equity, which is closely related to social media marketing</w:t>
      </w:r>
      <w:r w:rsidR="00171C21">
        <w:rPr>
          <w:rFonts w:ascii="Arial" w:hAnsi="Arial" w:cs="Arial"/>
        </w:rPr>
        <w:t xml:space="preserve"> </w:t>
      </w:r>
      <w:r w:rsidR="00C65AA3" w:rsidRPr="00C65AA3">
        <w:rPr>
          <w:rFonts w:ascii="Arial" w:hAnsi="Arial" w:cs="Arial"/>
        </w:rPr>
        <w:t>(SMM). It was discovered in the exploration that user-created content and company-created content contribute significantly to the formation of social media marketing</w:t>
      </w:r>
      <w:r w:rsidR="00171C21">
        <w:rPr>
          <w:rFonts w:ascii="Arial" w:hAnsi="Arial" w:cs="Arial"/>
        </w:rPr>
        <w:t xml:space="preserve"> </w:t>
      </w:r>
      <w:r w:rsidR="00C65AA3" w:rsidRPr="00C65AA3">
        <w:rPr>
          <w:rFonts w:ascii="Arial" w:hAnsi="Arial" w:cs="Arial"/>
        </w:rPr>
        <w:t>(SMM) that, in turn, influences the brand equity</w:t>
      </w:r>
      <w:r w:rsidR="00171C21">
        <w:rPr>
          <w:rFonts w:ascii="Arial" w:hAnsi="Arial" w:cs="Arial"/>
        </w:rPr>
        <w:t xml:space="preserve"> </w:t>
      </w:r>
      <w:r w:rsidR="00C65AA3" w:rsidRPr="00C65AA3">
        <w:rPr>
          <w:rFonts w:ascii="Arial" w:hAnsi="Arial" w:cs="Arial"/>
        </w:rPr>
        <w:t>(BE). According to</w:t>
      </w:r>
      <w:r w:rsidR="008A7740">
        <w:rPr>
          <w:rFonts w:ascii="Arial" w:hAnsi="Arial" w:cs="Arial"/>
        </w:rPr>
        <w:t xml:space="preserve"> </w:t>
      </w:r>
      <w:r w:rsidR="008A7740">
        <w:rPr>
          <w:rFonts w:ascii="Arial" w:hAnsi="Arial" w:cs="Arial"/>
        </w:rPr>
        <w:fldChar w:fldCharType="begin"/>
      </w:r>
      <w:r w:rsidR="00653441">
        <w:rPr>
          <w:rFonts w:ascii="Arial" w:hAnsi="Arial" w:cs="Arial"/>
        </w:rPr>
        <w:instrText xml:space="preserve"> ADDIN ZOTERO_ITEM CSL_CITATION {"citationID":"IEipXjy3","properties":{"formattedCitation":"(Zubiaga et al., 2019)","plainCitation":"(Zubiaga et al., 2019)","dontUpdate":true,"noteIndex":0},"citationItems":[{"id":1242,"uris":["http://zotero.org/users/local/02HQEtik/items/PB2TIU7I"],"itemData":{"id":1242,"type":"article-journal","abstract":"Despite the increasing use of social media platforms for information and news gathering, its unmoderated nature often leads to the emergence and spread of rumours, i.e., items of information that are unverified at the time of posting. At the same time, the openness of social media platforms provides opportunities to study how users share and discuss rumours, and to explore how to automatically assess their veracity, using natural language processing and data mining techniques. In this article, we introduce and discuss two types of rumours that circulate on social media: long-standing rumours that circulate for long periods of time, and newly emerging rumours spawned during fast-paced events such as breaking news, where reports are released piecemeal and often with an unverified status in their early stages. We provide an overview of research into social media rumours with the ultimate goal of developing a rumour classification system that consists of four components: rumour detection, rumour tracking, rumour stance classification, and rumour veracity classification. We delve into the approaches presented in the scientific literature for the development of each of these four components. We summarise the efforts and achievements so far toward the development of rumour classification systems and conclude with suggestions for avenues for future research in social media mining for the detection and resolution of rumours.","container-title":"ACM Computing Surveys","DOI":"10.1145/3161603","ISSN":"0360-0300, 1557-7341","issue":"2","journalAbbreviation":"ACM Comput. Surv.","language":"en","page":"1-36","source":"DOI.org (Crossref)","title":"Detection and Resolution of Rumours in Social Media: A Survey","title-short":"Detection and Resolution of Rumours in Social Media","volume":"51","author":[{"family":"Zubiaga","given":"Arkaitz"},{"family":"Aker","given":"Ahmet"},{"family":"Bontcheva","given":"Kalina"},{"family":"Liakata","given":"Maria"},{"family":"Procter","given":"Rob"}],"issued":{"date-parts":[["2019",3,31]]}}}],"schema":"https://github.com/citation-style-language/schema/raw/master/csl-citation.json"} </w:instrText>
      </w:r>
      <w:r w:rsidR="008A7740">
        <w:rPr>
          <w:rFonts w:ascii="Arial" w:hAnsi="Arial" w:cs="Arial"/>
        </w:rPr>
        <w:fldChar w:fldCharType="separate"/>
      </w:r>
      <w:r w:rsidR="00806725" w:rsidRPr="00806725">
        <w:rPr>
          <w:rFonts w:ascii="Arial" w:hAnsi="Arial" w:cs="Arial"/>
        </w:rPr>
        <w:t xml:space="preserve">Zubiaga et al., </w:t>
      </w:r>
      <w:r w:rsidR="00806725">
        <w:rPr>
          <w:rFonts w:ascii="Arial" w:hAnsi="Arial" w:cs="Arial"/>
        </w:rPr>
        <w:t>(</w:t>
      </w:r>
      <w:r w:rsidR="00806725" w:rsidRPr="00806725">
        <w:rPr>
          <w:rFonts w:ascii="Arial" w:hAnsi="Arial" w:cs="Arial"/>
        </w:rPr>
        <w:t>2019)</w:t>
      </w:r>
      <w:r w:rsidR="008A7740">
        <w:rPr>
          <w:rFonts w:ascii="Arial" w:hAnsi="Arial" w:cs="Arial"/>
        </w:rPr>
        <w:fldChar w:fldCharType="end"/>
      </w:r>
      <w:r w:rsidR="00C65AA3" w:rsidRPr="00C65AA3">
        <w:rPr>
          <w:rFonts w:ascii="Arial" w:hAnsi="Arial" w:cs="Arial"/>
        </w:rPr>
        <w:t>, out of the model described as brand equity has a strong impact on the consumer intentions to purchase, as it is an intermediary between the social media marketing</w:t>
      </w:r>
      <w:r w:rsidR="00171C21">
        <w:rPr>
          <w:rFonts w:ascii="Arial" w:hAnsi="Arial" w:cs="Arial"/>
        </w:rPr>
        <w:t xml:space="preserve"> </w:t>
      </w:r>
      <w:r w:rsidR="00C65AA3" w:rsidRPr="00C65AA3">
        <w:rPr>
          <w:rFonts w:ascii="Arial" w:hAnsi="Arial" w:cs="Arial"/>
        </w:rPr>
        <w:t>(SMM) and the intentions to buy. Social media marketing</w:t>
      </w:r>
      <w:r w:rsidR="00171C21">
        <w:rPr>
          <w:rFonts w:ascii="Arial" w:hAnsi="Arial" w:cs="Arial"/>
        </w:rPr>
        <w:t xml:space="preserve"> </w:t>
      </w:r>
      <w:r w:rsidR="00C65AA3" w:rsidRPr="00C65AA3">
        <w:rPr>
          <w:rFonts w:ascii="Arial" w:hAnsi="Arial" w:cs="Arial"/>
        </w:rPr>
        <w:t>(SMM) can be influenced by numerous aspects, and its impact can be greater even than the motivation that makes women decide to be entrepreneurs. The use of social media marketing</w:t>
      </w:r>
      <w:r w:rsidR="00171C21">
        <w:rPr>
          <w:rFonts w:ascii="Arial" w:hAnsi="Arial" w:cs="Arial"/>
        </w:rPr>
        <w:t xml:space="preserve"> </w:t>
      </w:r>
      <w:r w:rsidR="00C65AA3" w:rsidRPr="00C65AA3">
        <w:rPr>
          <w:rFonts w:ascii="Arial" w:hAnsi="Arial" w:cs="Arial"/>
        </w:rPr>
        <w:t>(SMM) can modify the behavior of customers and increase brand loyalty to an extent that surpasses personal reasons for opening up a business. Consequently, companies ought to be keen about the way they relate to their clients via the internet, as it can either influence their brand equity positively or negatively. The most successful brands available are therefore those that have a high degree of brand equity.</w:t>
      </w:r>
    </w:p>
    <w:p w14:paraId="6BE188E4" w14:textId="21613E03" w:rsidR="00C65AA3" w:rsidRPr="00C65AA3" w:rsidRDefault="00C65AA3" w:rsidP="00C65AA3">
      <w:pPr>
        <w:pStyle w:val="Body"/>
        <w:rPr>
          <w:rFonts w:ascii="Arial" w:hAnsi="Arial" w:cs="Arial"/>
        </w:rPr>
      </w:pPr>
      <w:r w:rsidRPr="00C65AA3">
        <w:rPr>
          <w:rFonts w:ascii="Arial" w:hAnsi="Arial" w:cs="Arial"/>
        </w:rPr>
        <w:t xml:space="preserve">This research offers valuable contributions to both academic knowledge and practical marketing applications by illuminating the key factors that shape consumer purchase decisions in the digital era. Academically, the relationship between SMM and BE is mediated by brand equity, which offers new insights into this interaction trust. On a practical level, the findings can guide marketers in creating more effective social media strategies, enhancing brand trust, and fostering stronger consumer relationships that ultimately drive higher </w:t>
      </w:r>
      <w:r w:rsidRPr="00C65AA3">
        <w:rPr>
          <w:rFonts w:ascii="Arial" w:hAnsi="Arial" w:cs="Arial"/>
        </w:rPr>
        <w:lastRenderedPageBreak/>
        <w:t xml:space="preserve">purchase intentions. Given the significant investments companies make in social media campaigns, understanding these interactions is crucial for optimizing the return on marketing expenditures. The study demonstrates how these </w:t>
      </w:r>
      <w:r w:rsidR="008B2776" w:rsidRPr="00C65AA3">
        <w:rPr>
          <w:rFonts w:ascii="Arial" w:hAnsi="Arial" w:cs="Arial"/>
        </w:rPr>
        <w:t>social</w:t>
      </w:r>
      <w:r w:rsidRPr="00C65AA3">
        <w:rPr>
          <w:rFonts w:ascii="Arial" w:hAnsi="Arial" w:cs="Arial"/>
        </w:rPr>
        <w:t xml:space="preserve"> media networks have improved the social lives of the consumers and how they foster consumer trust in a brand while also having an impact on their purchasing decisions. This study also demonstrates the impact of social media on establishing and preserving online users' purchase intention. </w:t>
      </w:r>
    </w:p>
    <w:p w14:paraId="2DDF14C3" w14:textId="28927B79" w:rsidR="00502516" w:rsidRDefault="00C65AA3" w:rsidP="00C65AA3">
      <w:pPr>
        <w:pStyle w:val="Body"/>
        <w:spacing w:after="0"/>
        <w:rPr>
          <w:rFonts w:ascii="Arial" w:hAnsi="Arial" w:cs="Arial"/>
        </w:rPr>
      </w:pPr>
      <w:r w:rsidRPr="00C65AA3">
        <w:rPr>
          <w:rFonts w:ascii="Arial" w:hAnsi="Arial" w:cs="Arial"/>
        </w:rPr>
        <w:t xml:space="preserve">The limitations of the paper are among the various social media </w:t>
      </w:r>
      <w:r w:rsidR="008B2776" w:rsidRPr="00C65AA3">
        <w:rPr>
          <w:rFonts w:ascii="Arial" w:hAnsi="Arial" w:cs="Arial"/>
        </w:rPr>
        <w:t>platforms;</w:t>
      </w:r>
      <w:r w:rsidRPr="00C65AA3">
        <w:rPr>
          <w:rFonts w:ascii="Arial" w:hAnsi="Arial" w:cs="Arial"/>
        </w:rPr>
        <w:t xml:space="preserve"> it is not clearly stated which specific platform will have the most significant influence on selling and purchasing decisions. Lack of understanding or personal issue sometimes do not give the correct information’s. In the future, the investigator will concentrate on a certain social media </w:t>
      </w:r>
      <w:r w:rsidR="00CC1ED4" w:rsidRPr="00C65AA3">
        <w:rPr>
          <w:rFonts w:ascii="Arial" w:hAnsi="Arial" w:cs="Arial"/>
        </w:rPr>
        <w:t>platform and</w:t>
      </w:r>
      <w:r w:rsidRPr="00C65AA3">
        <w:rPr>
          <w:rFonts w:ascii="Arial" w:hAnsi="Arial" w:cs="Arial"/>
        </w:rPr>
        <w:t xml:space="preserve"> obtain the necessary data from users of which website. Which will lead to a more accurate study outcome. This study could be used as a template in the future researchers analyzing consumer trends in purchasing goods via the internet. By looking through the connections between marketing</w:t>
      </w:r>
      <w:r w:rsidR="000A1927">
        <w:rPr>
          <w:rFonts w:ascii="Arial" w:hAnsi="Arial" w:cs="Arial"/>
        </w:rPr>
        <w:t xml:space="preserve"> </w:t>
      </w:r>
      <w:r w:rsidRPr="00C65AA3">
        <w:rPr>
          <w:rFonts w:ascii="Arial" w:hAnsi="Arial" w:cs="Arial"/>
        </w:rPr>
        <w:t>(SMM) on social media brand equity</w:t>
      </w:r>
      <w:r w:rsidR="000A1927">
        <w:rPr>
          <w:rFonts w:ascii="Arial" w:hAnsi="Arial" w:cs="Arial"/>
        </w:rPr>
        <w:t xml:space="preserve"> </w:t>
      </w:r>
      <w:r w:rsidRPr="00C65AA3">
        <w:rPr>
          <w:rFonts w:ascii="Arial" w:hAnsi="Arial" w:cs="Arial"/>
        </w:rPr>
        <w:t>(BE), brand trust</w:t>
      </w:r>
      <w:r w:rsidR="000A1927">
        <w:rPr>
          <w:rFonts w:ascii="Arial" w:hAnsi="Arial" w:cs="Arial"/>
        </w:rPr>
        <w:t xml:space="preserve"> </w:t>
      </w:r>
      <w:r w:rsidRPr="00C65AA3">
        <w:rPr>
          <w:rFonts w:ascii="Arial" w:hAnsi="Arial" w:cs="Arial"/>
        </w:rPr>
        <w:t>(BT), electronic word-of-mouth</w:t>
      </w:r>
      <w:r w:rsidR="000A1927">
        <w:rPr>
          <w:rFonts w:ascii="Arial" w:hAnsi="Arial" w:cs="Arial"/>
        </w:rPr>
        <w:t xml:space="preserve"> </w:t>
      </w:r>
      <w:r w:rsidRPr="00C65AA3">
        <w:rPr>
          <w:rFonts w:ascii="Arial" w:hAnsi="Arial" w:cs="Arial"/>
        </w:rPr>
        <w:t>(EWOM), and purchase intention</w:t>
      </w:r>
      <w:r w:rsidR="000A1927">
        <w:rPr>
          <w:rFonts w:ascii="Arial" w:hAnsi="Arial" w:cs="Arial"/>
        </w:rPr>
        <w:t xml:space="preserve"> </w:t>
      </w:r>
      <w:r w:rsidRPr="00C65AA3">
        <w:rPr>
          <w:rFonts w:ascii="Arial" w:hAnsi="Arial" w:cs="Arial"/>
        </w:rPr>
        <w:t>(PI) with a particular emphasis regarding the moderating effect of brand equity</w:t>
      </w:r>
      <w:r w:rsidR="000A1927">
        <w:rPr>
          <w:rFonts w:ascii="Arial" w:hAnsi="Arial" w:cs="Arial"/>
        </w:rPr>
        <w:t xml:space="preserve"> </w:t>
      </w:r>
      <w:r w:rsidRPr="00C65AA3">
        <w:rPr>
          <w:rFonts w:ascii="Arial" w:hAnsi="Arial" w:cs="Arial"/>
        </w:rPr>
        <w:t xml:space="preserve">(BE) in Bangladesh. </w:t>
      </w:r>
      <w:r w:rsidR="00502516" w:rsidRPr="00502516">
        <w:rPr>
          <w:rFonts w:ascii="Arial" w:hAnsi="Arial" w:cs="Arial"/>
        </w:rPr>
        <w:t xml:space="preserve"> </w:t>
      </w:r>
    </w:p>
    <w:p w14:paraId="14BF5243" w14:textId="6903FDFF" w:rsidR="00C11633" w:rsidRDefault="00C11633" w:rsidP="00C65AA3">
      <w:pPr>
        <w:pStyle w:val="Body"/>
        <w:spacing w:after="0"/>
        <w:rPr>
          <w:rFonts w:ascii="Arial" w:hAnsi="Arial" w:cs="Arial"/>
        </w:rPr>
      </w:pPr>
    </w:p>
    <w:p w14:paraId="622C527B" w14:textId="77777777" w:rsidR="00790ADA" w:rsidRPr="00502516" w:rsidRDefault="00790ADA" w:rsidP="00441B6F">
      <w:pPr>
        <w:pStyle w:val="Body"/>
        <w:spacing w:after="0"/>
        <w:rPr>
          <w:rFonts w:ascii="Arial" w:hAnsi="Arial" w:cs="Arial"/>
        </w:rPr>
      </w:pPr>
    </w:p>
    <w:p w14:paraId="6973F17C" w14:textId="77777777" w:rsidR="004E5C65" w:rsidRDefault="004E5C65" w:rsidP="000C4E9F">
      <w:pPr>
        <w:pStyle w:val="Body"/>
        <w:spacing w:after="0"/>
        <w:rPr>
          <w:rFonts w:ascii="Arial" w:hAnsi="Arial" w:cs="Arial"/>
        </w:rPr>
      </w:pPr>
    </w:p>
    <w:p w14:paraId="472E61F4" w14:textId="77777777" w:rsidR="004E5C65" w:rsidRPr="004E5C65" w:rsidRDefault="004E5C65" w:rsidP="004E5C65">
      <w:pPr>
        <w:spacing w:after="200" w:line="276" w:lineRule="auto"/>
        <w:jc w:val="both"/>
        <w:outlineLvl w:val="0"/>
        <w:rPr>
          <w:rFonts w:ascii="Arial" w:eastAsiaTheme="minorEastAsia" w:hAnsi="Arial" w:cs="Arial"/>
          <w:sz w:val="22"/>
          <w:szCs w:val="22"/>
          <w:lang w:val="en-GB" w:eastAsia="en-GB"/>
        </w:rPr>
      </w:pPr>
      <w:r w:rsidRPr="004E5C65">
        <w:rPr>
          <w:rFonts w:ascii="Arial" w:eastAsiaTheme="minorEastAsia" w:hAnsi="Arial" w:cs="Arial"/>
          <w:b/>
          <w:bCs/>
          <w:sz w:val="22"/>
          <w:szCs w:val="22"/>
          <w:lang w:val="en-GB" w:eastAsia="en-GB"/>
        </w:rPr>
        <w:t>COMPETING INTERESTS DISCLAIMER:</w:t>
      </w:r>
    </w:p>
    <w:p w14:paraId="5970A934" w14:textId="77777777" w:rsidR="004E5C65" w:rsidRPr="004E5C65" w:rsidRDefault="004E5C65" w:rsidP="004E5C65">
      <w:pPr>
        <w:spacing w:after="200" w:line="276" w:lineRule="auto"/>
        <w:rPr>
          <w:rFonts w:asciiTheme="minorHAnsi" w:eastAsiaTheme="minorEastAsia" w:hAnsiTheme="minorHAnsi" w:cstheme="minorBidi"/>
          <w:sz w:val="22"/>
          <w:szCs w:val="22"/>
          <w:lang w:val="en-GB" w:eastAsia="en-GB"/>
        </w:rPr>
      </w:pPr>
      <w:r w:rsidRPr="004E5C65">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E7D6CBA" w14:textId="77777777" w:rsidR="00A5543D" w:rsidRPr="00CA3906" w:rsidRDefault="00A5543D" w:rsidP="00A5543D">
      <w:pPr>
        <w:rPr>
          <w:b/>
          <w:highlight w:val="yellow"/>
        </w:rPr>
      </w:pPr>
      <w:r w:rsidRPr="00CA3906">
        <w:rPr>
          <w:b/>
          <w:highlight w:val="yellow"/>
        </w:rPr>
        <w:t>Disclaimer (Artificial intelligence)</w:t>
      </w:r>
    </w:p>
    <w:p w14:paraId="0CC10599" w14:textId="77777777" w:rsidR="00A5543D" w:rsidRPr="00740879" w:rsidRDefault="00A5543D" w:rsidP="00A5543D">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2FAFABAF" w14:textId="77777777" w:rsidR="008A7740" w:rsidRDefault="008A7740" w:rsidP="00533E53">
      <w:pPr>
        <w:pStyle w:val="ConcHead"/>
        <w:spacing w:after="0"/>
        <w:jc w:val="both"/>
        <w:rPr>
          <w:rFonts w:ascii="Arial" w:hAnsi="Arial" w:cs="Arial"/>
        </w:rPr>
      </w:pPr>
    </w:p>
    <w:p w14:paraId="2AE08D0A" w14:textId="445FF10F" w:rsidR="00533E53" w:rsidRDefault="00533E53" w:rsidP="00533E53">
      <w:pPr>
        <w:pStyle w:val="ConcHead"/>
        <w:spacing w:after="0"/>
        <w:jc w:val="both"/>
        <w:rPr>
          <w:rFonts w:ascii="Arial" w:hAnsi="Arial" w:cs="Arial"/>
        </w:rPr>
      </w:pPr>
      <w:r w:rsidRPr="00533E53">
        <w:rPr>
          <w:rFonts w:ascii="Arial" w:hAnsi="Arial" w:cs="Arial"/>
        </w:rPr>
        <w:t xml:space="preserve">References </w:t>
      </w:r>
    </w:p>
    <w:p w14:paraId="7B86871A" w14:textId="77777777" w:rsidR="008A7740" w:rsidRPr="00533E53" w:rsidRDefault="008A7740" w:rsidP="00533E53">
      <w:pPr>
        <w:pStyle w:val="ConcHead"/>
        <w:spacing w:after="0"/>
        <w:jc w:val="both"/>
        <w:rPr>
          <w:rFonts w:ascii="Arial" w:hAnsi="Arial" w:cs="Arial"/>
        </w:rPr>
      </w:pPr>
    </w:p>
    <w:p w14:paraId="3005F204" w14:textId="77777777" w:rsidR="000412A2" w:rsidRDefault="00081944" w:rsidP="00BC708F">
      <w:pPr>
        <w:pStyle w:val="Bibliography"/>
        <w:spacing w:line="276" w:lineRule="auto"/>
        <w:jc w:val="both"/>
      </w:pPr>
      <w:r w:rsidRPr="008A7740">
        <w:rPr>
          <w:rFonts w:ascii="Arial" w:hAnsi="Arial" w:cs="Arial"/>
        </w:rPr>
        <w:fldChar w:fldCharType="begin"/>
      </w:r>
      <w:r w:rsidR="000412A2">
        <w:rPr>
          <w:rFonts w:ascii="Arial" w:hAnsi="Arial" w:cs="Arial"/>
        </w:rPr>
        <w:instrText xml:space="preserve"> ADDIN ZOTERO_BIBL {"uncited":[],"omitted":[],"custom":[]} CSL_BIBLIOGRAPHY </w:instrText>
      </w:r>
      <w:r w:rsidRPr="008A7740">
        <w:rPr>
          <w:rFonts w:ascii="Arial" w:hAnsi="Arial" w:cs="Arial"/>
        </w:rPr>
        <w:fldChar w:fldCharType="separate"/>
      </w:r>
      <w:r w:rsidR="000412A2">
        <w:t xml:space="preserve">Alden, D. L., Steenkamp, J.-B. E. M., &amp; Batra, R. (2006). Consumer attitudes toward marketplace globalization: Structure, antecedents and consequences. </w:t>
      </w:r>
      <w:r w:rsidR="000412A2">
        <w:rPr>
          <w:i/>
          <w:iCs/>
        </w:rPr>
        <w:t>International Journal of Research in Marketing</w:t>
      </w:r>
      <w:r w:rsidR="000412A2">
        <w:t xml:space="preserve">, </w:t>
      </w:r>
      <w:r w:rsidR="000412A2">
        <w:rPr>
          <w:i/>
          <w:iCs/>
        </w:rPr>
        <w:t>23</w:t>
      </w:r>
      <w:r w:rsidR="000412A2">
        <w:t>(3), 227–239. https://doi.org/10.1016/j.ijresmar.2006.01.010</w:t>
      </w:r>
    </w:p>
    <w:p w14:paraId="6F22562C" w14:textId="77777777" w:rsidR="000412A2" w:rsidRDefault="000412A2" w:rsidP="00BC708F">
      <w:pPr>
        <w:pStyle w:val="Bibliography"/>
        <w:spacing w:line="276" w:lineRule="auto"/>
        <w:jc w:val="both"/>
      </w:pPr>
      <w:r>
        <w:t xml:space="preserve">Alrwashdeh, M., Emeagwali, O. L., &amp; Aljuhmani, H. Y. (2019). The effect of electronic word of mouth communication on purchase intention and brand image: An applicant smartphone brands in North Cyprus. </w:t>
      </w:r>
      <w:r>
        <w:rPr>
          <w:i/>
          <w:iCs/>
        </w:rPr>
        <w:t>Management Science Letters</w:t>
      </w:r>
      <w:r>
        <w:t>, 505–518. https://doi.org/10.5267/j.msl.2019.1.011</w:t>
      </w:r>
    </w:p>
    <w:p w14:paraId="1350C435" w14:textId="77777777" w:rsidR="000412A2" w:rsidRDefault="000412A2" w:rsidP="00BC708F">
      <w:pPr>
        <w:pStyle w:val="Bibliography"/>
        <w:spacing w:line="276" w:lineRule="auto"/>
        <w:jc w:val="both"/>
      </w:pPr>
      <w:r>
        <w:t xml:space="preserve">Amin, A. (2025). Examining the Impact of the Influential Factors of Customer Purchase Intentions: The Mediating Role of Electronic Word-of-Mouth. </w:t>
      </w:r>
      <w:r>
        <w:rPr>
          <w:i/>
          <w:iCs/>
        </w:rPr>
        <w:t>Journal of Posthumanism</w:t>
      </w:r>
      <w:r>
        <w:t xml:space="preserve">, </w:t>
      </w:r>
      <w:r>
        <w:rPr>
          <w:i/>
          <w:iCs/>
        </w:rPr>
        <w:t>5</w:t>
      </w:r>
      <w:r>
        <w:t>(1), 54–75. https://doi.org/10.33182/joph.v5i1.3398</w:t>
      </w:r>
    </w:p>
    <w:p w14:paraId="1C83E03A" w14:textId="77777777" w:rsidR="000412A2" w:rsidRDefault="000412A2" w:rsidP="00BC708F">
      <w:pPr>
        <w:pStyle w:val="Bibliography"/>
        <w:spacing w:line="276" w:lineRule="auto"/>
        <w:jc w:val="both"/>
      </w:pPr>
      <w:r>
        <w:t xml:space="preserve">Arrigo, E. (2018). Social media marketing in luxury brands: A systematic literature review and implications for management research. </w:t>
      </w:r>
      <w:r>
        <w:rPr>
          <w:i/>
          <w:iCs/>
        </w:rPr>
        <w:t>Management Research Review</w:t>
      </w:r>
      <w:r>
        <w:t xml:space="preserve">, </w:t>
      </w:r>
      <w:r>
        <w:rPr>
          <w:i/>
          <w:iCs/>
        </w:rPr>
        <w:t>41</w:t>
      </w:r>
      <w:r>
        <w:t>(6), 657–679. https://doi.org/10.1108/MRR-04-2017-0134</w:t>
      </w:r>
    </w:p>
    <w:p w14:paraId="0A3DC2AD" w14:textId="77777777" w:rsidR="000412A2" w:rsidRDefault="000412A2" w:rsidP="00BC708F">
      <w:pPr>
        <w:pStyle w:val="Bibliography"/>
        <w:spacing w:line="276" w:lineRule="auto"/>
        <w:jc w:val="both"/>
      </w:pPr>
      <w:r>
        <w:t xml:space="preserve">Azhar, M., Husain, R., Hamid, S., &amp; Rahman, M. N. (2023). Effect of social media marketing on online travel purchase behavior post-COVID-19: Mediating role of brand trust and </w:t>
      </w:r>
      <w:r>
        <w:lastRenderedPageBreak/>
        <w:t xml:space="preserve">brand loyalty. </w:t>
      </w:r>
      <w:r>
        <w:rPr>
          <w:i/>
          <w:iCs/>
        </w:rPr>
        <w:t>Future Business Journal</w:t>
      </w:r>
      <w:r>
        <w:t xml:space="preserve">, </w:t>
      </w:r>
      <w:r>
        <w:rPr>
          <w:i/>
          <w:iCs/>
        </w:rPr>
        <w:t>9</w:t>
      </w:r>
      <w:r>
        <w:t>(1), 13. https://doi.org/10.1186/s43093-023-00192-6</w:t>
      </w:r>
    </w:p>
    <w:p w14:paraId="7E6223C3" w14:textId="77777777" w:rsidR="000412A2" w:rsidRDefault="000412A2" w:rsidP="00BC708F">
      <w:pPr>
        <w:pStyle w:val="Bibliography"/>
        <w:spacing w:line="276" w:lineRule="auto"/>
        <w:jc w:val="both"/>
      </w:pPr>
      <w:r>
        <w:t xml:space="preserve">Babin, B. J., Hair, J. F., &amp; Boles, J. S. (2008). Publishing Research in Marketing Journals Using Structural Equation Modeling. </w:t>
      </w:r>
      <w:r>
        <w:rPr>
          <w:i/>
          <w:iCs/>
        </w:rPr>
        <w:t>Journal of Marketing Theory and Practice</w:t>
      </w:r>
      <w:r>
        <w:t xml:space="preserve">, </w:t>
      </w:r>
      <w:r>
        <w:rPr>
          <w:i/>
          <w:iCs/>
        </w:rPr>
        <w:t>16</w:t>
      </w:r>
      <w:r>
        <w:t>(4), 279–286. https://doi.org/10.2753/MTP1069-6679160401</w:t>
      </w:r>
    </w:p>
    <w:p w14:paraId="1602E388" w14:textId="77777777" w:rsidR="000412A2" w:rsidRDefault="000412A2" w:rsidP="00BC708F">
      <w:pPr>
        <w:pStyle w:val="Bibliography"/>
        <w:spacing w:line="276" w:lineRule="auto"/>
        <w:jc w:val="both"/>
      </w:pPr>
      <w:r>
        <w:t xml:space="preserve">Barry, J. M., &amp; Doney, P. M. (2011). Cross-Cultural Examination of Relationship Quality. </w:t>
      </w:r>
      <w:r>
        <w:rPr>
          <w:i/>
          <w:iCs/>
        </w:rPr>
        <w:t>Journal of Global Marketing</w:t>
      </w:r>
      <w:r>
        <w:t xml:space="preserve">, </w:t>
      </w:r>
      <w:r>
        <w:rPr>
          <w:i/>
          <w:iCs/>
        </w:rPr>
        <w:t>24</w:t>
      </w:r>
      <w:r>
        <w:t>(4), 305–323. https://doi.org/10.1080/08911762.2011.602321</w:t>
      </w:r>
    </w:p>
    <w:p w14:paraId="07DF9D45" w14:textId="77777777" w:rsidR="000412A2" w:rsidRDefault="000412A2" w:rsidP="00BC708F">
      <w:pPr>
        <w:pStyle w:val="Bibliography"/>
        <w:spacing w:line="276" w:lineRule="auto"/>
        <w:jc w:val="both"/>
      </w:pPr>
      <w:r>
        <w:t xml:space="preserve">Basuki, B., Rajiani, I., &amp; Widyanti, R. (2021). Boosting Sustainability Performance Through Supply Chain Quality Management in the Mining Industry. </w:t>
      </w:r>
      <w:r>
        <w:rPr>
          <w:i/>
          <w:iCs/>
        </w:rPr>
        <w:t>Polish Journal of Management Studies</w:t>
      </w:r>
      <w:r>
        <w:t xml:space="preserve">, </w:t>
      </w:r>
      <w:r>
        <w:rPr>
          <w:i/>
          <w:iCs/>
        </w:rPr>
        <w:t>24</w:t>
      </w:r>
      <w:r>
        <w:t>(2), 41–54. https://doi.org/10.17512/pjms.2021.24.2.03</w:t>
      </w:r>
    </w:p>
    <w:p w14:paraId="460D31F4" w14:textId="77777777" w:rsidR="000412A2" w:rsidRDefault="000412A2" w:rsidP="00BC708F">
      <w:pPr>
        <w:pStyle w:val="Bibliography"/>
        <w:spacing w:line="276" w:lineRule="auto"/>
        <w:jc w:val="both"/>
      </w:pPr>
      <w:r>
        <w:t xml:space="preserve">Chaudhuri, A., &amp; Holbrook, M. B. (2001). The Chain of Effects from Brand Trust and Brand Affect to Brand Performance: The Role of Brand Loyalty. </w:t>
      </w:r>
      <w:r>
        <w:rPr>
          <w:i/>
          <w:iCs/>
        </w:rPr>
        <w:t>Journal of Marketing</w:t>
      </w:r>
      <w:r>
        <w:t xml:space="preserve">, </w:t>
      </w:r>
      <w:r>
        <w:rPr>
          <w:i/>
          <w:iCs/>
        </w:rPr>
        <w:t>65</w:t>
      </w:r>
      <w:r>
        <w:t>(2), 81–93. https://doi.org/10.1509/jmkg.65.2.81.18255</w:t>
      </w:r>
    </w:p>
    <w:p w14:paraId="0342360F" w14:textId="77777777" w:rsidR="000412A2" w:rsidRDefault="000412A2" w:rsidP="00BC708F">
      <w:pPr>
        <w:pStyle w:val="Bibliography"/>
        <w:spacing w:line="276" w:lineRule="auto"/>
        <w:jc w:val="both"/>
      </w:pPr>
      <w:r>
        <w:t xml:space="preserve">Chavadi, C. A., Sirothiya, M., Menon, S. R., &amp; M R, V. (2023). Modelling the Effects of Social Media–based Brand Communities on Brand Trust, Brand Equity and Consumer Response. </w:t>
      </w:r>
      <w:r>
        <w:rPr>
          <w:i/>
          <w:iCs/>
        </w:rPr>
        <w:t>Vikalpa: The Journal for Decision Makers</w:t>
      </w:r>
      <w:r>
        <w:t xml:space="preserve">, </w:t>
      </w:r>
      <w:r>
        <w:rPr>
          <w:i/>
          <w:iCs/>
        </w:rPr>
        <w:t>48</w:t>
      </w:r>
      <w:r>
        <w:t>(2), 114–141. https://doi.org/10.1177/02560909231172010</w:t>
      </w:r>
    </w:p>
    <w:p w14:paraId="1E209DD1" w14:textId="77777777" w:rsidR="000412A2" w:rsidRDefault="000412A2" w:rsidP="00BC708F">
      <w:pPr>
        <w:pStyle w:val="Bibliography"/>
        <w:spacing w:line="276" w:lineRule="auto"/>
        <w:jc w:val="both"/>
      </w:pPr>
      <w:r>
        <w:t xml:space="preserve">Dam, T. C. (2020). Influence of Brand Trust, Perceived Value on Brand Preference and Purchase Intention. </w:t>
      </w:r>
      <w:r>
        <w:rPr>
          <w:i/>
          <w:iCs/>
        </w:rPr>
        <w:t>The Journal of Asian Finance, Economics and Business</w:t>
      </w:r>
      <w:r>
        <w:t xml:space="preserve">, </w:t>
      </w:r>
      <w:r>
        <w:rPr>
          <w:i/>
          <w:iCs/>
        </w:rPr>
        <w:t>7</w:t>
      </w:r>
      <w:r>
        <w:t>(10), 939–947. https://doi.org/10.13106/JAFEB.2020.VOL7.NO10.939</w:t>
      </w:r>
    </w:p>
    <w:p w14:paraId="64530F87" w14:textId="77777777" w:rsidR="000412A2" w:rsidRDefault="000412A2" w:rsidP="00BC708F">
      <w:pPr>
        <w:pStyle w:val="Bibliography"/>
        <w:spacing w:line="276" w:lineRule="auto"/>
        <w:jc w:val="both"/>
      </w:pPr>
      <w:r>
        <w:t xml:space="preserve">Denzin, N. K., &amp; Lincoln, Y. S. (Eds.). (2008). </w:t>
      </w:r>
      <w:r>
        <w:rPr>
          <w:i/>
          <w:iCs/>
        </w:rPr>
        <w:t>The Landscape of Qualitative Research</w:t>
      </w:r>
      <w:r>
        <w:t>. Sage Publications, Inc.</w:t>
      </w:r>
    </w:p>
    <w:p w14:paraId="61878C27" w14:textId="77777777" w:rsidR="000412A2" w:rsidRDefault="000412A2" w:rsidP="00BC708F">
      <w:pPr>
        <w:pStyle w:val="Bibliography"/>
        <w:spacing w:line="276" w:lineRule="auto"/>
        <w:jc w:val="both"/>
      </w:pPr>
      <w:r>
        <w:t xml:space="preserve">Dwivedi, Y. K., Kapoor, K. K., &amp; Chen, H. (2015). Social media marketing and advertising. </w:t>
      </w:r>
      <w:r>
        <w:rPr>
          <w:i/>
          <w:iCs/>
        </w:rPr>
        <w:t>The Marketing Review</w:t>
      </w:r>
      <w:r>
        <w:t xml:space="preserve">, </w:t>
      </w:r>
      <w:r>
        <w:rPr>
          <w:i/>
          <w:iCs/>
        </w:rPr>
        <w:t>15</w:t>
      </w:r>
      <w:r>
        <w:t>(3), 289–309. https://doi.org/10.1362/146934715X14441363377999</w:t>
      </w:r>
    </w:p>
    <w:p w14:paraId="28189367" w14:textId="77777777" w:rsidR="000412A2" w:rsidRDefault="000412A2" w:rsidP="00BC708F">
      <w:pPr>
        <w:pStyle w:val="Bibliography"/>
        <w:spacing w:line="276" w:lineRule="auto"/>
        <w:jc w:val="both"/>
      </w:pPr>
      <w:r>
        <w:t xml:space="preserve">Elliott, R., &amp; Yannopoulou, N. (2007). The nature of trust in brands: A psychosocial model. </w:t>
      </w:r>
      <w:r>
        <w:rPr>
          <w:i/>
          <w:iCs/>
        </w:rPr>
        <w:t>European Journal of Marketing</w:t>
      </w:r>
      <w:r>
        <w:t xml:space="preserve">, </w:t>
      </w:r>
      <w:r>
        <w:rPr>
          <w:i/>
          <w:iCs/>
        </w:rPr>
        <w:t>41</w:t>
      </w:r>
      <w:r>
        <w:t>(9/10), 988–998. https://doi.org/10.1108/03090560710773309</w:t>
      </w:r>
    </w:p>
    <w:p w14:paraId="51DBAB16" w14:textId="77777777" w:rsidR="000412A2" w:rsidRDefault="000412A2" w:rsidP="00BC708F">
      <w:pPr>
        <w:pStyle w:val="Bibliography"/>
        <w:spacing w:line="276" w:lineRule="auto"/>
        <w:jc w:val="both"/>
      </w:pPr>
      <w:r>
        <w:t xml:space="preserve">Eti, I. A., Horaira, M. A., &amp; Bari, M. M. (2021). Power and stimulus of social media marketing on consumer purchase intention in Bangladesh during the COVID-19. </w:t>
      </w:r>
      <w:r>
        <w:rPr>
          <w:i/>
          <w:iCs/>
        </w:rPr>
        <w:t>International Journal of Research in Business and Social Science (2147- 4478)</w:t>
      </w:r>
      <w:r>
        <w:t xml:space="preserve">, </w:t>
      </w:r>
      <w:r>
        <w:rPr>
          <w:i/>
          <w:iCs/>
        </w:rPr>
        <w:t>10</w:t>
      </w:r>
      <w:r>
        <w:t>(1), 28–37. https://doi.org/10.20525/ijrbs.v10i1.1011</w:t>
      </w:r>
    </w:p>
    <w:p w14:paraId="733F4E92" w14:textId="77777777" w:rsidR="000412A2" w:rsidRDefault="000412A2" w:rsidP="00BC708F">
      <w:pPr>
        <w:pStyle w:val="Bibliography"/>
        <w:spacing w:line="276" w:lineRule="auto"/>
        <w:jc w:val="both"/>
      </w:pPr>
      <w:r>
        <w:t xml:space="preserve">Goodhue, D. L., Lewis, W., &amp; Thompson, R. (2012). Comparing PLS to Regression and LISREL: A Response to Marcoulides, Chin, and Saunders1. </w:t>
      </w:r>
      <w:r>
        <w:rPr>
          <w:i/>
          <w:iCs/>
        </w:rPr>
        <w:t>MIS Quarterly</w:t>
      </w:r>
      <w:r>
        <w:t xml:space="preserve">, </w:t>
      </w:r>
      <w:r>
        <w:rPr>
          <w:i/>
          <w:iCs/>
        </w:rPr>
        <w:t>36</w:t>
      </w:r>
      <w:r>
        <w:t>(3), 703–716. https://doi.org/10.2307/41703476</w:t>
      </w:r>
    </w:p>
    <w:p w14:paraId="5EB6203D" w14:textId="77777777" w:rsidR="000412A2" w:rsidRDefault="000412A2" w:rsidP="00BC708F">
      <w:pPr>
        <w:pStyle w:val="Bibliography"/>
        <w:spacing w:line="276" w:lineRule="auto"/>
        <w:jc w:val="both"/>
      </w:pPr>
      <w:r>
        <w:t xml:space="preserve">Gopichandran, V., &amp; Chetlapalli, S. K. (2013). Factors influencing trust in doctors: A community segmentation strategy for quality improvement in healthcare. </w:t>
      </w:r>
      <w:r>
        <w:rPr>
          <w:i/>
          <w:iCs/>
        </w:rPr>
        <w:t>BMJ Open</w:t>
      </w:r>
      <w:r>
        <w:t xml:space="preserve">, </w:t>
      </w:r>
      <w:r>
        <w:rPr>
          <w:i/>
          <w:iCs/>
        </w:rPr>
        <w:t>3</w:t>
      </w:r>
      <w:r>
        <w:t>(12), e004115. https://doi.org/10.1136/bmjopen-2013-004115</w:t>
      </w:r>
    </w:p>
    <w:p w14:paraId="0BFF9EE7" w14:textId="77777777" w:rsidR="000412A2" w:rsidRDefault="000412A2" w:rsidP="00BC708F">
      <w:pPr>
        <w:pStyle w:val="Bibliography"/>
        <w:spacing w:line="276" w:lineRule="auto"/>
        <w:jc w:val="both"/>
      </w:pPr>
      <w:r>
        <w:t xml:space="preserve">Haudi, H., Handayani, W., Suyoto, Y. T., Praseti, T., Pitaloka, E., Wijoyo, H., Yonata, H., Koho, I. R., &amp; Cahyono, Y. (2022). The effect of social media marketing on brand trust, brand equity and brand loyalty. </w:t>
      </w:r>
      <w:r>
        <w:rPr>
          <w:i/>
          <w:iCs/>
        </w:rPr>
        <w:t>International Journal of Data and Network Science</w:t>
      </w:r>
      <w:r>
        <w:t xml:space="preserve">, </w:t>
      </w:r>
      <w:r>
        <w:rPr>
          <w:i/>
          <w:iCs/>
        </w:rPr>
        <w:t>6</w:t>
      </w:r>
      <w:r>
        <w:t>(3), 961–972. https://doi.org/10.5267/j.ijdns.2022.1.015</w:t>
      </w:r>
    </w:p>
    <w:p w14:paraId="687FB61E" w14:textId="77777777" w:rsidR="000412A2" w:rsidRDefault="000412A2" w:rsidP="00BC708F">
      <w:pPr>
        <w:pStyle w:val="Bibliography"/>
        <w:spacing w:line="276" w:lineRule="auto"/>
        <w:jc w:val="both"/>
      </w:pPr>
      <w:r>
        <w:t>Hong, S., Ryang, W. H., Yoo, D., Simms, A. R., Kim, J. C., &amp; Lee, G. (2024). Bayhead delta succession as a stratigraphic marker of sea</w:t>
      </w:r>
      <w:r>
        <w:rPr>
          <w:rFonts w:ascii="Cambria Math" w:hAnsi="Cambria Math" w:cs="Cambria Math"/>
        </w:rPr>
        <w:t>‐</w:t>
      </w:r>
      <w:r>
        <w:t xml:space="preserve">level changes during the early to late </w:t>
      </w:r>
      <w:r>
        <w:lastRenderedPageBreak/>
        <w:t>Holocene – the Nakdong valley of south</w:t>
      </w:r>
      <w:r>
        <w:rPr>
          <w:rFonts w:ascii="Cambria Math" w:hAnsi="Cambria Math" w:cs="Cambria Math"/>
        </w:rPr>
        <w:t>‐</w:t>
      </w:r>
      <w:r>
        <w:t xml:space="preserve">eastern Korea. </w:t>
      </w:r>
      <w:r>
        <w:rPr>
          <w:i/>
          <w:iCs/>
        </w:rPr>
        <w:t>Sedimentology</w:t>
      </w:r>
      <w:r>
        <w:t xml:space="preserve">, </w:t>
      </w:r>
      <w:r>
        <w:rPr>
          <w:i/>
          <w:iCs/>
        </w:rPr>
        <w:t>71</w:t>
      </w:r>
      <w:r>
        <w:t>(6), 2035–2065. https://doi.org/10.1111/sed.13203</w:t>
      </w:r>
    </w:p>
    <w:p w14:paraId="067A9191" w14:textId="77777777" w:rsidR="000412A2" w:rsidRDefault="000412A2" w:rsidP="00BC708F">
      <w:pPr>
        <w:pStyle w:val="Bibliography"/>
        <w:spacing w:line="276" w:lineRule="auto"/>
        <w:jc w:val="both"/>
      </w:pPr>
      <w:r>
        <w:t xml:space="preserve">Hossain, M. M., Rahman, M., Trisha, N. F., Tasnim, S., Nuzhath, T., Hasan, N. T., Clark, H., Das, A., McKyer, E. L. J., Ahmed, H. U., &amp; Ma, P. (2021). Prevalence of anxiety and depression in South Asia during COVID-19: A systematic review and meta-analysis. </w:t>
      </w:r>
      <w:r>
        <w:rPr>
          <w:i/>
          <w:iCs/>
        </w:rPr>
        <w:t>Heliyon</w:t>
      </w:r>
      <w:r>
        <w:t xml:space="preserve">, </w:t>
      </w:r>
      <w:r>
        <w:rPr>
          <w:i/>
          <w:iCs/>
        </w:rPr>
        <w:t>7</w:t>
      </w:r>
      <w:r>
        <w:t>(4), e06677. https://doi.org/10.1016/j.heliyon.2021.e06677</w:t>
      </w:r>
    </w:p>
    <w:p w14:paraId="272F1409" w14:textId="77777777" w:rsidR="000412A2" w:rsidRDefault="000412A2" w:rsidP="00BC708F">
      <w:pPr>
        <w:pStyle w:val="Bibliography"/>
        <w:spacing w:line="276" w:lineRule="auto"/>
        <w:jc w:val="both"/>
      </w:pPr>
      <w:r>
        <w:t xml:space="preserve">Hubbe, M. A. (2013). Prospects for Maintaining Strength of Paper and Paperboard Products While Using Less Forest Resources: A Review. </w:t>
      </w:r>
      <w:r>
        <w:rPr>
          <w:i/>
          <w:iCs/>
        </w:rPr>
        <w:t>BioResources</w:t>
      </w:r>
      <w:r>
        <w:t xml:space="preserve">, </w:t>
      </w:r>
      <w:r>
        <w:rPr>
          <w:i/>
          <w:iCs/>
        </w:rPr>
        <w:t>9</w:t>
      </w:r>
      <w:r>
        <w:t>(1), 1634–1763. https://doi.org/10.15376/biores.9.1.1634-1763</w:t>
      </w:r>
    </w:p>
    <w:p w14:paraId="54206520" w14:textId="77777777" w:rsidR="000412A2" w:rsidRDefault="000412A2" w:rsidP="00BC708F">
      <w:pPr>
        <w:pStyle w:val="Bibliography"/>
        <w:spacing w:line="276" w:lineRule="auto"/>
        <w:jc w:val="both"/>
      </w:pPr>
      <w:r>
        <w:t xml:space="preserve">Ibrahim, B., Aljarah, A., &amp; Ababneh, B. (2020). Do Social Media Marketing Activities Enhance Consumer Perception of Brands? A Meta-Analytic Examination. </w:t>
      </w:r>
      <w:r>
        <w:rPr>
          <w:i/>
          <w:iCs/>
        </w:rPr>
        <w:t>Journal of Promotion Management</w:t>
      </w:r>
      <w:r>
        <w:t xml:space="preserve">, </w:t>
      </w:r>
      <w:r>
        <w:rPr>
          <w:i/>
          <w:iCs/>
        </w:rPr>
        <w:t>26</w:t>
      </w:r>
      <w:r>
        <w:t>(4), 544–568. https://doi.org/10.1080/10496491.2020.1719956</w:t>
      </w:r>
    </w:p>
    <w:p w14:paraId="79D45DE1" w14:textId="77777777" w:rsidR="000412A2" w:rsidRDefault="000412A2" w:rsidP="00BC708F">
      <w:pPr>
        <w:pStyle w:val="Bibliography"/>
        <w:spacing w:line="276" w:lineRule="auto"/>
        <w:jc w:val="both"/>
      </w:pPr>
      <w:r>
        <w:t xml:space="preserve">Jamil, K., Dunnan, L., Gul, R. F., Shehzad, M. U., Gillani, S. H. M., &amp; Awan, F. H. (2022). Role of Social Media Marketing Activities in Influencing Customer Intentions: A Perspective of a New Emerging Era. </w:t>
      </w:r>
      <w:r>
        <w:rPr>
          <w:i/>
          <w:iCs/>
        </w:rPr>
        <w:t>Frontiers in Psychology</w:t>
      </w:r>
      <w:r>
        <w:t xml:space="preserve">, </w:t>
      </w:r>
      <w:r>
        <w:rPr>
          <w:i/>
          <w:iCs/>
        </w:rPr>
        <w:t>12</w:t>
      </w:r>
      <w:r>
        <w:t>, 808525. https://doi.org/10.3389/fpsyg.2021.808525</w:t>
      </w:r>
    </w:p>
    <w:p w14:paraId="63227819" w14:textId="77777777" w:rsidR="000412A2" w:rsidRDefault="000412A2" w:rsidP="00BC708F">
      <w:pPr>
        <w:pStyle w:val="Bibliography"/>
        <w:spacing w:line="276" w:lineRule="auto"/>
        <w:jc w:val="both"/>
      </w:pPr>
      <w:r>
        <w:t xml:space="preserve">Kala, D., &amp; Chaubey, D. S. (2018). The effect of eWOM communication on brand image and purchase intention towards lifestyle products in India. </w:t>
      </w:r>
      <w:r>
        <w:rPr>
          <w:i/>
          <w:iCs/>
        </w:rPr>
        <w:t>International Journal of Services, Economics and Management</w:t>
      </w:r>
      <w:r>
        <w:t xml:space="preserve">, </w:t>
      </w:r>
      <w:r>
        <w:rPr>
          <w:i/>
          <w:iCs/>
        </w:rPr>
        <w:t>9</w:t>
      </w:r>
      <w:r>
        <w:t>(2), 143. https://doi.org/10.1504/IJSEM.2018.096077</w:t>
      </w:r>
    </w:p>
    <w:p w14:paraId="3C663E8F" w14:textId="77777777" w:rsidR="000412A2" w:rsidRDefault="000412A2" w:rsidP="00BC708F">
      <w:pPr>
        <w:pStyle w:val="Bibliography"/>
        <w:spacing w:line="276" w:lineRule="auto"/>
        <w:jc w:val="both"/>
      </w:pPr>
      <w:r>
        <w:t xml:space="preserve">Kemeç, U., &amp; Kaya, H. (2021). The Relationships among Influencer Credibility, Brand Trust, and Purchase Intention: The Case of Instagram. </w:t>
      </w:r>
      <w:r>
        <w:rPr>
          <w:i/>
          <w:iCs/>
        </w:rPr>
        <w:t>Tüketici ve Tüketim Araştırmaları Dergisi</w:t>
      </w:r>
      <w:r>
        <w:t xml:space="preserve">, </w:t>
      </w:r>
      <w:r>
        <w:rPr>
          <w:i/>
          <w:iCs/>
        </w:rPr>
        <w:t>13</w:t>
      </w:r>
      <w:r>
        <w:t>, 159–193.</w:t>
      </w:r>
    </w:p>
    <w:p w14:paraId="397AC7DF" w14:textId="77777777" w:rsidR="000412A2" w:rsidRDefault="000412A2" w:rsidP="00BC708F">
      <w:pPr>
        <w:pStyle w:val="Bibliography"/>
        <w:spacing w:line="276" w:lineRule="auto"/>
        <w:jc w:val="both"/>
      </w:pPr>
      <w:r>
        <w:t xml:space="preserve">Khadim, R. A., Hanan, M. A., Arshad, A., Saleem, N., &amp; Khadim, N. A. (2018). </w:t>
      </w:r>
      <w:r>
        <w:rPr>
          <w:i/>
          <w:iCs/>
        </w:rPr>
        <w:t>Revisiting Antecedents of Brand Loyalty: Impact of Perceived Social Media Communication with Brand Trust and Brand Equity as Mediators</w:t>
      </w:r>
      <w:r>
        <w:t xml:space="preserve">. </w:t>
      </w:r>
      <w:r>
        <w:rPr>
          <w:i/>
          <w:iCs/>
        </w:rPr>
        <w:t>17</w:t>
      </w:r>
      <w:r>
        <w:t>(1).</w:t>
      </w:r>
    </w:p>
    <w:p w14:paraId="36527A46" w14:textId="77777777" w:rsidR="000412A2" w:rsidRDefault="000412A2" w:rsidP="00BC708F">
      <w:pPr>
        <w:pStyle w:val="Bibliography"/>
        <w:spacing w:line="276" w:lineRule="auto"/>
        <w:jc w:val="both"/>
      </w:pPr>
      <w:r>
        <w:t xml:space="preserve">Kim, A. J., &amp; Ko, E. (2012). Do social media marketing activities enhance customer equity? An empirical study of luxury fashion brand. </w:t>
      </w:r>
      <w:r>
        <w:rPr>
          <w:i/>
          <w:iCs/>
        </w:rPr>
        <w:t>Journal of Business Research</w:t>
      </w:r>
      <w:r>
        <w:t xml:space="preserve">, </w:t>
      </w:r>
      <w:r>
        <w:rPr>
          <w:i/>
          <w:iCs/>
        </w:rPr>
        <w:t>65</w:t>
      </w:r>
      <w:r>
        <w:t>(10), 1480–1486. https://doi.org/10.1016/j.jbusres.2011.10.014</w:t>
      </w:r>
    </w:p>
    <w:p w14:paraId="1529951E" w14:textId="77777777" w:rsidR="000412A2" w:rsidRDefault="000412A2" w:rsidP="00BC708F">
      <w:pPr>
        <w:pStyle w:val="Bibliography"/>
        <w:spacing w:line="276" w:lineRule="auto"/>
        <w:jc w:val="both"/>
      </w:pPr>
      <w:r>
        <w:t xml:space="preserve">Kumaradeepan, V., Azam, S., &amp; Tham, J. (2024). </w:t>
      </w:r>
      <w:r>
        <w:rPr>
          <w:i/>
          <w:iCs/>
        </w:rPr>
        <w:t>Social Media Attributes and Social Media Engagement on Purchase Intention: Concept Paper</w:t>
      </w:r>
      <w:r>
        <w:t xml:space="preserve">. </w:t>
      </w:r>
      <w:r>
        <w:rPr>
          <w:i/>
          <w:iCs/>
        </w:rPr>
        <w:t>8</w:t>
      </w:r>
      <w:r>
        <w:t>(1), 11–23.</w:t>
      </w:r>
    </w:p>
    <w:p w14:paraId="774A5086" w14:textId="77777777" w:rsidR="000412A2" w:rsidRDefault="000412A2" w:rsidP="00BC708F">
      <w:pPr>
        <w:pStyle w:val="Bibliography"/>
        <w:spacing w:line="276" w:lineRule="auto"/>
        <w:jc w:val="both"/>
      </w:pPr>
      <w:r>
        <w:t xml:space="preserve">Lew, S., &amp; Sulaiman, Z. (2014). Consumer Purchase Intention toward Products Made in Malaysia vs. Made in China: A Conceptual Paper. </w:t>
      </w:r>
      <w:r>
        <w:rPr>
          <w:i/>
          <w:iCs/>
        </w:rPr>
        <w:t>Procedia - Social and Behavioral Sciences</w:t>
      </w:r>
      <w:r>
        <w:t xml:space="preserve">, </w:t>
      </w:r>
      <w:r>
        <w:rPr>
          <w:i/>
          <w:iCs/>
        </w:rPr>
        <w:t>130</w:t>
      </w:r>
      <w:r>
        <w:t>, 37–45. https://doi.org/10.1016/j.sbspro.2014.04.005</w:t>
      </w:r>
    </w:p>
    <w:p w14:paraId="79002075" w14:textId="77777777" w:rsidR="000412A2" w:rsidRDefault="000412A2" w:rsidP="00BC708F">
      <w:pPr>
        <w:pStyle w:val="Bibliography"/>
        <w:spacing w:line="276" w:lineRule="auto"/>
        <w:jc w:val="both"/>
      </w:pPr>
      <w:r>
        <w:t xml:space="preserve">Manzoor, U., Baig, S. A., Hashim, M., &amp; Sami, A. (2020). Impact of Social Media Marketing on Consumer’s Purchase Intentions: The Mediating role of Customer Trust. </w:t>
      </w:r>
      <w:r>
        <w:rPr>
          <w:i/>
          <w:iCs/>
        </w:rPr>
        <w:t>International Journal of Entrepreneurial Research</w:t>
      </w:r>
      <w:r>
        <w:t xml:space="preserve">, </w:t>
      </w:r>
      <w:r>
        <w:rPr>
          <w:i/>
          <w:iCs/>
        </w:rPr>
        <w:t>3</w:t>
      </w:r>
      <w:r>
        <w:t>(2), 41–48. https://doi.org/10.31580/ijer.v3i2.1386</w:t>
      </w:r>
    </w:p>
    <w:p w14:paraId="14EA2B68" w14:textId="77777777" w:rsidR="000412A2" w:rsidRDefault="000412A2" w:rsidP="00BC708F">
      <w:pPr>
        <w:pStyle w:val="Bibliography"/>
        <w:spacing w:line="276" w:lineRule="auto"/>
        <w:jc w:val="both"/>
      </w:pPr>
      <w:r>
        <w:t xml:space="preserve">McClure, C., &amp; Seock, Y.-K. (2020). The role of involvement: Investigating the effect of brand’s social media pages on consumer purchase intention. </w:t>
      </w:r>
      <w:r>
        <w:rPr>
          <w:i/>
          <w:iCs/>
        </w:rPr>
        <w:t>Journal of Retailing and Consumer Services</w:t>
      </w:r>
      <w:r>
        <w:t xml:space="preserve">, </w:t>
      </w:r>
      <w:r>
        <w:rPr>
          <w:i/>
          <w:iCs/>
        </w:rPr>
        <w:t>53</w:t>
      </w:r>
      <w:r>
        <w:t>, 101975. https://doi.org/10.1016/j.jretconser.2019.101975</w:t>
      </w:r>
    </w:p>
    <w:p w14:paraId="768FF4D8" w14:textId="77777777" w:rsidR="000412A2" w:rsidRDefault="000412A2" w:rsidP="00BC708F">
      <w:pPr>
        <w:pStyle w:val="Bibliography"/>
        <w:spacing w:line="276" w:lineRule="auto"/>
        <w:jc w:val="both"/>
      </w:pPr>
      <w:r>
        <w:t xml:space="preserve">Mehmood, S., &amp; Kazmi, U.-R. (2024). </w:t>
      </w:r>
      <w:r>
        <w:rPr>
          <w:i/>
          <w:iCs/>
        </w:rPr>
        <w:t>Mediating Role of Religiosity in the Relationship between Coronavirus Stress and Life Satisfaction among University Students of Pakistan</w:t>
      </w:r>
      <w:r>
        <w:t xml:space="preserve">. </w:t>
      </w:r>
      <w:r>
        <w:rPr>
          <w:i/>
          <w:iCs/>
        </w:rPr>
        <w:t>4</w:t>
      </w:r>
      <w:r>
        <w:t>(1). https://doi.org/10.32368/FJSS.20240423</w:t>
      </w:r>
    </w:p>
    <w:p w14:paraId="0BB0E7ED" w14:textId="77777777" w:rsidR="000412A2" w:rsidRDefault="000412A2" w:rsidP="00BC708F">
      <w:pPr>
        <w:pStyle w:val="Bibliography"/>
        <w:spacing w:line="276" w:lineRule="auto"/>
        <w:jc w:val="both"/>
      </w:pPr>
      <w:r>
        <w:lastRenderedPageBreak/>
        <w:t xml:space="preserve">Moorman, C., Zaltman, G., &amp; Deshpande, R. (1992). Relationships between Providers and Users of Market Research: The Dynamics of Trust within and between Organizations. </w:t>
      </w:r>
      <w:r>
        <w:rPr>
          <w:i/>
          <w:iCs/>
        </w:rPr>
        <w:t>Journal of Marketing Research</w:t>
      </w:r>
      <w:r>
        <w:t xml:space="preserve">, </w:t>
      </w:r>
      <w:r>
        <w:rPr>
          <w:i/>
          <w:iCs/>
        </w:rPr>
        <w:t>29</w:t>
      </w:r>
      <w:r>
        <w:t>(3), 314. https://doi.org/10.2307/3172742</w:t>
      </w:r>
    </w:p>
    <w:p w14:paraId="1CBE207A" w14:textId="77777777" w:rsidR="000412A2" w:rsidRDefault="000412A2" w:rsidP="00BC708F">
      <w:pPr>
        <w:pStyle w:val="Bibliography"/>
        <w:spacing w:line="276" w:lineRule="auto"/>
        <w:jc w:val="both"/>
      </w:pPr>
      <w:r>
        <w:t xml:space="preserve">Nandi, B., &amp; Rakiv, M. (2020). Antecedents of and Their Impact on Purchase Intention of Customers Purchasing through Social Media: An Empirical Research on Facebook in Bangladesh. </w:t>
      </w:r>
      <w:r>
        <w:rPr>
          <w:i/>
          <w:iCs/>
        </w:rPr>
        <w:t>TIJAB (The International Journal of Applied Business)</w:t>
      </w:r>
      <w:r>
        <w:t xml:space="preserve">, </w:t>
      </w:r>
      <w:r>
        <w:rPr>
          <w:i/>
          <w:iCs/>
        </w:rPr>
        <w:t>4</w:t>
      </w:r>
      <w:r>
        <w:t>(2), 63. https://doi.org/10.20473/tijab.V4.I2.2020.63-78</w:t>
      </w:r>
    </w:p>
    <w:p w14:paraId="44F0B6B2" w14:textId="77777777" w:rsidR="000412A2" w:rsidRDefault="000412A2" w:rsidP="00BC708F">
      <w:pPr>
        <w:pStyle w:val="Bibliography"/>
        <w:spacing w:line="276" w:lineRule="auto"/>
        <w:jc w:val="both"/>
      </w:pPr>
      <w:r>
        <w:t xml:space="preserve">Pop, R.-A., Săplăcan, Z., &amp; Alt, M.-A. (2020). Social Media Goes Green—The Impact of Social Media on Green Cosmetics Purchase Motivation and Intention. </w:t>
      </w:r>
      <w:r>
        <w:rPr>
          <w:i/>
          <w:iCs/>
        </w:rPr>
        <w:t>Information</w:t>
      </w:r>
      <w:r>
        <w:t xml:space="preserve">, </w:t>
      </w:r>
      <w:r>
        <w:rPr>
          <w:i/>
          <w:iCs/>
        </w:rPr>
        <w:t>11</w:t>
      </w:r>
      <w:r>
        <w:t>(9), 447. https://doi.org/10.3390/info11090447</w:t>
      </w:r>
    </w:p>
    <w:p w14:paraId="619DA45A" w14:textId="77777777" w:rsidR="000412A2" w:rsidRDefault="000412A2" w:rsidP="00BC708F">
      <w:pPr>
        <w:pStyle w:val="Bibliography"/>
        <w:spacing w:line="276" w:lineRule="auto"/>
        <w:jc w:val="both"/>
      </w:pPr>
      <w:r>
        <w:t xml:space="preserve">Puspaningrum, A. (2020). Social Media Marketing and Brand Loyalty: The Role of Brand Trust. </w:t>
      </w:r>
      <w:r>
        <w:rPr>
          <w:i/>
          <w:iCs/>
        </w:rPr>
        <w:t>The Journal of Asian Finance, Economics and Business</w:t>
      </w:r>
      <w:r>
        <w:t xml:space="preserve">, </w:t>
      </w:r>
      <w:r>
        <w:rPr>
          <w:i/>
          <w:iCs/>
        </w:rPr>
        <w:t>7</w:t>
      </w:r>
      <w:r>
        <w:t>(12), 951–958. https://doi.org/10.13106/JAFEB.2020.VOL7.NO12.951</w:t>
      </w:r>
    </w:p>
    <w:p w14:paraId="77B6FACA" w14:textId="77777777" w:rsidR="000412A2" w:rsidRDefault="000412A2" w:rsidP="00BC708F">
      <w:pPr>
        <w:pStyle w:val="Bibliography"/>
        <w:spacing w:line="276" w:lineRule="auto"/>
        <w:jc w:val="both"/>
      </w:pPr>
      <w:r>
        <w:t xml:space="preserve">Rachbini, W. (2018). The Impact of Consumer Trust, Perceived Risk, Perceived Benefit on Purchase Intention and Purchase Decision. </w:t>
      </w:r>
      <w:r>
        <w:rPr>
          <w:i/>
          <w:iCs/>
        </w:rPr>
        <w:t>International Journal of Advanced Research</w:t>
      </w:r>
      <w:r>
        <w:t xml:space="preserve">, </w:t>
      </w:r>
      <w:r>
        <w:rPr>
          <w:i/>
          <w:iCs/>
        </w:rPr>
        <w:t>6</w:t>
      </w:r>
      <w:r>
        <w:t>(1), 1036–1044. https://doi.org/10.21474/IJAR01/6317</w:t>
      </w:r>
    </w:p>
    <w:p w14:paraId="41C01F61" w14:textId="77777777" w:rsidR="000412A2" w:rsidRDefault="000412A2" w:rsidP="00BC708F">
      <w:pPr>
        <w:pStyle w:val="Bibliography"/>
        <w:spacing w:line="276" w:lineRule="auto"/>
        <w:jc w:val="both"/>
      </w:pPr>
      <w:r>
        <w:t xml:space="preserve">Rahman, M. A., Khan, S. A., Abdul Hamid, A. B., Latiff, A. S. A., &amp; Mahmood, R. (2018). Impact of Electronic Word of Mouth (e-WOM) on Brand Image and Online Purchase Intention: The Perspective of Bangladesh. </w:t>
      </w:r>
      <w:r>
        <w:rPr>
          <w:i/>
          <w:iCs/>
        </w:rPr>
        <w:t>SSRN Electronic Journal</w:t>
      </w:r>
      <w:r>
        <w:t>. https://doi.org/10.2139/ssrn.3490628</w:t>
      </w:r>
    </w:p>
    <w:p w14:paraId="028099CB" w14:textId="77777777" w:rsidR="000412A2" w:rsidRDefault="000412A2" w:rsidP="00BC708F">
      <w:pPr>
        <w:pStyle w:val="Bibliography"/>
        <w:spacing w:line="276" w:lineRule="auto"/>
        <w:jc w:val="both"/>
      </w:pPr>
      <w:r>
        <w:t xml:space="preserve">Salhab, H. A., Al-Amarneh, A., Aljabaly, S. M., Zoubi, M. M. A., &amp; Othman, M. D. (2023). The impact of social media marketing on purchase intention: The mediating role of brand trust and image. </w:t>
      </w:r>
      <w:r>
        <w:rPr>
          <w:i/>
          <w:iCs/>
        </w:rPr>
        <w:t>International Journal of Data and Network Science</w:t>
      </w:r>
      <w:r>
        <w:t xml:space="preserve">, </w:t>
      </w:r>
      <w:r>
        <w:rPr>
          <w:i/>
          <w:iCs/>
        </w:rPr>
        <w:t>7</w:t>
      </w:r>
      <w:r>
        <w:t>(2), 591–600. https://doi.org/10.5267/j.ijdns.2023.3.012</w:t>
      </w:r>
    </w:p>
    <w:p w14:paraId="1A98B426" w14:textId="77777777" w:rsidR="000412A2" w:rsidRDefault="000412A2" w:rsidP="00BC708F">
      <w:pPr>
        <w:pStyle w:val="Bibliography"/>
        <w:spacing w:line="276" w:lineRule="auto"/>
        <w:jc w:val="both"/>
      </w:pPr>
      <w:r>
        <w:t xml:space="preserve">Sanny, L., Arina, A. N., Maulidya, R. T., &amp; Pertiwi, R. P. (2020). Purchase intention on Indonesia male’s skin care by social media marketing effect towards brand image and brand trust. </w:t>
      </w:r>
      <w:r>
        <w:rPr>
          <w:i/>
          <w:iCs/>
        </w:rPr>
        <w:t>Management Science Letters</w:t>
      </w:r>
      <w:r>
        <w:t>, 2139–2146. https://doi.org/10.5267/j.msl.2020.3.023</w:t>
      </w:r>
    </w:p>
    <w:p w14:paraId="6F43E082" w14:textId="77777777" w:rsidR="000412A2" w:rsidRDefault="000412A2" w:rsidP="00BC708F">
      <w:pPr>
        <w:pStyle w:val="Bibliography"/>
        <w:spacing w:line="276" w:lineRule="auto"/>
        <w:jc w:val="both"/>
      </w:pPr>
      <w:r>
        <w:t xml:space="preserve">Si, S. (2015). Social Media and Its Role in Marketing. </w:t>
      </w:r>
      <w:r>
        <w:rPr>
          <w:i/>
          <w:iCs/>
        </w:rPr>
        <w:t>Business and Economics Journal</w:t>
      </w:r>
      <w:r>
        <w:t xml:space="preserve">, </w:t>
      </w:r>
      <w:r>
        <w:rPr>
          <w:i/>
          <w:iCs/>
        </w:rPr>
        <w:t>07</w:t>
      </w:r>
      <w:r>
        <w:t>(01). https://doi.org/10.4172/2151-6219.1000203</w:t>
      </w:r>
    </w:p>
    <w:p w14:paraId="1A08CFBE" w14:textId="77777777" w:rsidR="000412A2" w:rsidRDefault="000412A2" w:rsidP="00BC708F">
      <w:pPr>
        <w:pStyle w:val="Bibliography"/>
        <w:spacing w:line="276" w:lineRule="auto"/>
        <w:jc w:val="both"/>
      </w:pPr>
      <w:r>
        <w:t xml:space="preserve">Smith, D. C. (1992). [Review of </w:t>
      </w:r>
      <w:r>
        <w:rPr>
          <w:i/>
          <w:iCs/>
        </w:rPr>
        <w:t>Review of Managing Brand Equity: Capitalizing on the Value of a Brand Name</w:t>
      </w:r>
      <w:r>
        <w:t xml:space="preserve">, by D. A. Aaker]. </w:t>
      </w:r>
      <w:r>
        <w:rPr>
          <w:i/>
          <w:iCs/>
        </w:rPr>
        <w:t>Journal of Marketing</w:t>
      </w:r>
      <w:r>
        <w:t xml:space="preserve">, </w:t>
      </w:r>
      <w:r>
        <w:rPr>
          <w:i/>
          <w:iCs/>
        </w:rPr>
        <w:t>56</w:t>
      </w:r>
      <w:r>
        <w:t>(2), 125–128. https://doi.org/10.2307/1252048</w:t>
      </w:r>
    </w:p>
    <w:p w14:paraId="5F1670E2" w14:textId="77777777" w:rsidR="000412A2" w:rsidRDefault="000412A2" w:rsidP="00BC708F">
      <w:pPr>
        <w:pStyle w:val="Bibliography"/>
        <w:spacing w:line="276" w:lineRule="auto"/>
        <w:jc w:val="both"/>
      </w:pPr>
      <w:r>
        <w:t xml:space="preserve">Tharmi, U., &amp; Senthilnathan, S. (2011). The Relationship of Brand Equity to Purchase Intention. </w:t>
      </w:r>
      <w:r>
        <w:rPr>
          <w:i/>
          <w:iCs/>
        </w:rPr>
        <w:t>SSRN Electronic Journal</w:t>
      </w:r>
      <w:r>
        <w:t>. https://doi.org/10.2139/ssrn.1935740</w:t>
      </w:r>
    </w:p>
    <w:p w14:paraId="7AF5652A" w14:textId="77777777" w:rsidR="000412A2" w:rsidRDefault="000412A2" w:rsidP="00BC708F">
      <w:pPr>
        <w:pStyle w:val="Bibliography"/>
        <w:spacing w:line="276" w:lineRule="auto"/>
        <w:jc w:val="both"/>
      </w:pPr>
      <w:r>
        <w:t xml:space="preserve">Verhoef, P. C., Stephen, A. T., Kannan, P. K., Luo, X., Abhishek, V., Andrews, M., Bart, Y., Datta, H., Fong, N., Hoffman, D. L., Hu, M. M., Novak, T., Rand, W., &amp; Zhang, Y. (2017). Consumer Connectivity in a Complex, Technology-enabled, and Mobile-oriented World with Smart Products. </w:t>
      </w:r>
      <w:r>
        <w:rPr>
          <w:i/>
          <w:iCs/>
        </w:rPr>
        <w:t>Journal of Interactive Marketing</w:t>
      </w:r>
      <w:r>
        <w:t xml:space="preserve">, </w:t>
      </w:r>
      <w:r>
        <w:rPr>
          <w:i/>
          <w:iCs/>
        </w:rPr>
        <w:t>40</w:t>
      </w:r>
      <w:r>
        <w:t>(1), 1–8. https://doi.org/10.1016/j.intmar.2017.06.001</w:t>
      </w:r>
    </w:p>
    <w:p w14:paraId="3336FF02" w14:textId="77777777" w:rsidR="000412A2" w:rsidRDefault="000412A2" w:rsidP="00BC708F">
      <w:pPr>
        <w:pStyle w:val="Bibliography"/>
        <w:spacing w:line="276" w:lineRule="auto"/>
        <w:jc w:val="both"/>
      </w:pPr>
      <w:r>
        <w:t xml:space="preserve">Wahyudi, H. D., &amp; Parahiyanti, C. R. (2021). The Effect of Social Media Marketing to Satisfaction and Consumer Response: Examining the Roles of Perceived Value and Brand Equity as Mediation. </w:t>
      </w:r>
      <w:r>
        <w:rPr>
          <w:i/>
          <w:iCs/>
        </w:rPr>
        <w:t>International Journal of Multicultural and Multireligious Understanding</w:t>
      </w:r>
      <w:r>
        <w:t xml:space="preserve">, </w:t>
      </w:r>
      <w:r>
        <w:rPr>
          <w:i/>
          <w:iCs/>
        </w:rPr>
        <w:t>8</w:t>
      </w:r>
      <w:r>
        <w:t>(12), 285. https://doi.org/10.18415/ijmmu.v8i12.3210</w:t>
      </w:r>
    </w:p>
    <w:p w14:paraId="5FE1C837" w14:textId="77777777" w:rsidR="000412A2" w:rsidRDefault="000412A2" w:rsidP="00BC708F">
      <w:pPr>
        <w:pStyle w:val="Bibliography"/>
        <w:spacing w:line="276" w:lineRule="auto"/>
        <w:jc w:val="both"/>
      </w:pPr>
      <w:r>
        <w:lastRenderedPageBreak/>
        <w:t xml:space="preserve">Wiangsamut, B., &amp; Wiangsamut, M. E. L. (2023). Assessment of Natural Fruit Ripening and Fruit Quality of Three Elite Durian Cultivars for Overland Export. </w:t>
      </w:r>
      <w:r>
        <w:rPr>
          <w:i/>
          <w:iCs/>
        </w:rPr>
        <w:t>Trends in Sciences</w:t>
      </w:r>
      <w:r>
        <w:t xml:space="preserve">, </w:t>
      </w:r>
      <w:r>
        <w:rPr>
          <w:i/>
          <w:iCs/>
        </w:rPr>
        <w:t>20</w:t>
      </w:r>
      <w:r>
        <w:t>(5), 4647. https://doi.org/10.48048/tis.2023.4647</w:t>
      </w:r>
    </w:p>
    <w:p w14:paraId="73CAD3AC" w14:textId="77777777" w:rsidR="000412A2" w:rsidRDefault="000412A2" w:rsidP="00BC708F">
      <w:pPr>
        <w:pStyle w:val="Bibliography"/>
        <w:spacing w:line="276" w:lineRule="auto"/>
        <w:jc w:val="both"/>
      </w:pPr>
      <w:r>
        <w:t xml:space="preserve">YachouAityassine, F. L., Al-Ajlouni, M. M., &amp; Mohammad, A. (2022). The Effect of Digital Marketing Strategy on Customer and Organizational Outcomes. </w:t>
      </w:r>
      <w:r>
        <w:rPr>
          <w:i/>
          <w:iCs/>
        </w:rPr>
        <w:t>Marketing and Management of Innovations</w:t>
      </w:r>
      <w:r>
        <w:t xml:space="preserve">, </w:t>
      </w:r>
      <w:r>
        <w:rPr>
          <w:i/>
          <w:iCs/>
        </w:rPr>
        <w:t>13</w:t>
      </w:r>
      <w:r>
        <w:t>(4), 45–54. https://doi.org/10.21272/mmi.2022.4-05</w:t>
      </w:r>
    </w:p>
    <w:p w14:paraId="47276AB0" w14:textId="77777777" w:rsidR="000412A2" w:rsidRDefault="000412A2" w:rsidP="00BC708F">
      <w:pPr>
        <w:pStyle w:val="Bibliography"/>
        <w:spacing w:line="276" w:lineRule="auto"/>
        <w:jc w:val="both"/>
      </w:pPr>
      <w:r>
        <w:t xml:space="preserve">Yuliantoro, N., Goeltom, V., Bernarto, I., Pramono, R., &amp; Purwanto, A. (2019). Repurchase intention and word of mouth factors in the millennial generation against various brands of Boba drinks during the Covid 19 pandemic. </w:t>
      </w:r>
      <w:r>
        <w:rPr>
          <w:i/>
          <w:iCs/>
        </w:rPr>
        <w:t>Tourism and Leisure</w:t>
      </w:r>
      <w:r>
        <w:t xml:space="preserve">, </w:t>
      </w:r>
      <w:r>
        <w:rPr>
          <w:i/>
          <w:iCs/>
        </w:rPr>
        <w:t>8</w:t>
      </w:r>
      <w:r>
        <w:t>.</w:t>
      </w:r>
    </w:p>
    <w:p w14:paraId="4E34CFDB" w14:textId="77777777" w:rsidR="000412A2" w:rsidRDefault="000412A2" w:rsidP="00BC708F">
      <w:pPr>
        <w:pStyle w:val="Bibliography"/>
        <w:spacing w:line="276" w:lineRule="auto"/>
        <w:jc w:val="both"/>
      </w:pPr>
      <w:r>
        <w:t xml:space="preserve">Zaitseva, O., &amp; Zhosan, H. (2025). The impact of social media on consumer choice. </w:t>
      </w:r>
      <w:r>
        <w:rPr>
          <w:i/>
          <w:iCs/>
        </w:rPr>
        <w:t>Scientia Fructuosa</w:t>
      </w:r>
      <w:r>
        <w:t xml:space="preserve">, </w:t>
      </w:r>
      <w:r>
        <w:rPr>
          <w:i/>
          <w:iCs/>
        </w:rPr>
        <w:t>162</w:t>
      </w:r>
      <w:r>
        <w:t>(4), 150–162. https://doi.org/10.31617/1.2025(162)09</w:t>
      </w:r>
    </w:p>
    <w:p w14:paraId="5B16F04E" w14:textId="77777777" w:rsidR="000412A2" w:rsidRDefault="000412A2" w:rsidP="00BC708F">
      <w:pPr>
        <w:pStyle w:val="Bibliography"/>
        <w:spacing w:line="276" w:lineRule="auto"/>
        <w:jc w:val="both"/>
      </w:pPr>
      <w:r>
        <w:t xml:space="preserve">Zeng, F., Huang, L., &amp; Dou, W. (2009). Social Factors in User Perceptions and Responses to Advertising in Online Social Networking Communities. </w:t>
      </w:r>
      <w:r>
        <w:rPr>
          <w:i/>
          <w:iCs/>
        </w:rPr>
        <w:t>Journal of Interactive Advertising</w:t>
      </w:r>
      <w:r>
        <w:t xml:space="preserve">, </w:t>
      </w:r>
      <w:r>
        <w:rPr>
          <w:i/>
          <w:iCs/>
        </w:rPr>
        <w:t>10</w:t>
      </w:r>
      <w:r>
        <w:t>(1), 1–13. https://doi.org/10.1080/15252019.2009.10722159</w:t>
      </w:r>
    </w:p>
    <w:p w14:paraId="1A0DC1D2" w14:textId="77777777" w:rsidR="000412A2" w:rsidRDefault="000412A2" w:rsidP="00BC708F">
      <w:pPr>
        <w:pStyle w:val="Bibliography"/>
        <w:spacing w:line="276" w:lineRule="auto"/>
        <w:jc w:val="both"/>
      </w:pPr>
      <w:r>
        <w:t xml:space="preserve">Zollo, L., Filieri, R., Rialti, R., &amp; Yoon, S. (2020). Unpacking the relationship between social media marketing and brand equity: The mediating role of consumers’ benefits and experience. </w:t>
      </w:r>
      <w:r>
        <w:rPr>
          <w:i/>
          <w:iCs/>
        </w:rPr>
        <w:t>Journal of Business Research</w:t>
      </w:r>
      <w:r>
        <w:t xml:space="preserve">, </w:t>
      </w:r>
      <w:r>
        <w:rPr>
          <w:i/>
          <w:iCs/>
        </w:rPr>
        <w:t>117</w:t>
      </w:r>
      <w:r>
        <w:t>, 256–267. https://doi.org/10.1016/j.jbusres.2020.05.001</w:t>
      </w:r>
    </w:p>
    <w:p w14:paraId="1CD154D5" w14:textId="77777777" w:rsidR="000412A2" w:rsidRDefault="000412A2" w:rsidP="00BC708F">
      <w:pPr>
        <w:pStyle w:val="Bibliography"/>
        <w:spacing w:line="276" w:lineRule="auto"/>
        <w:jc w:val="both"/>
      </w:pPr>
      <w:r>
        <w:t xml:space="preserve">Zubiaga, A., Aker, A., Bontcheva, K., Liakata, M., &amp; Procter, R. (2019). Detection and Resolution of Rumours in Social Media: A Survey. </w:t>
      </w:r>
      <w:r>
        <w:rPr>
          <w:i/>
          <w:iCs/>
        </w:rPr>
        <w:t>ACM Computing Surveys</w:t>
      </w:r>
      <w:r>
        <w:t xml:space="preserve">, </w:t>
      </w:r>
      <w:r>
        <w:rPr>
          <w:i/>
          <w:iCs/>
        </w:rPr>
        <w:t>51</w:t>
      </w:r>
      <w:r>
        <w:t>(2), 1–36. https://doi.org/10.1145/3161603</w:t>
      </w:r>
    </w:p>
    <w:p w14:paraId="01CA5B77" w14:textId="7163FB29" w:rsidR="00860000" w:rsidRDefault="00081944" w:rsidP="00BC708F">
      <w:pPr>
        <w:pStyle w:val="ReferHead"/>
        <w:spacing w:after="0" w:line="276" w:lineRule="auto"/>
        <w:jc w:val="both"/>
        <w:rPr>
          <w:rFonts w:ascii="Arial" w:hAnsi="Arial" w:cs="Arial"/>
        </w:rPr>
      </w:pPr>
      <w:r w:rsidRPr="008A7740">
        <w:rPr>
          <w:rFonts w:ascii="Arial" w:hAnsi="Arial" w:cs="Arial"/>
          <w:sz w:val="20"/>
        </w:rPr>
        <w:fldChar w:fldCharType="end"/>
      </w:r>
    </w:p>
    <w:p w14:paraId="456216E8" w14:textId="42954568" w:rsidR="004D4277" w:rsidRPr="00FB3A86" w:rsidRDefault="004D4277" w:rsidP="00BC708F">
      <w:pPr>
        <w:pStyle w:val="Appendix"/>
        <w:spacing w:after="0" w:line="276" w:lineRule="auto"/>
        <w:jc w:val="both"/>
        <w:rPr>
          <w:rFonts w:ascii="Arial" w:hAnsi="Arial" w:cs="Arial"/>
          <w:b w:val="0"/>
        </w:rPr>
        <w:sectPr w:rsidR="004D4277" w:rsidRPr="00FB3A86" w:rsidSect="00004D27">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F1596B9" w14:textId="77777777" w:rsidR="00B01FCD" w:rsidRPr="00FB3A86" w:rsidRDefault="00B01FCD" w:rsidP="00441B6F">
      <w:pPr>
        <w:pStyle w:val="Appendix"/>
        <w:spacing w:after="0"/>
        <w:jc w:val="both"/>
        <w:rPr>
          <w:rFonts w:ascii="Arial" w:hAnsi="Arial" w:cs="Arial"/>
          <w:b w:val="0"/>
        </w:rPr>
      </w:pPr>
    </w:p>
    <w:sectPr w:rsidR="00B01FCD" w:rsidRPr="00FB3A86" w:rsidSect="00004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FF9A" w14:textId="77777777" w:rsidR="00034046" w:rsidRDefault="00034046" w:rsidP="00C37E61">
      <w:r>
        <w:separator/>
      </w:r>
    </w:p>
  </w:endnote>
  <w:endnote w:type="continuationSeparator" w:id="0">
    <w:p w14:paraId="16D5884F" w14:textId="77777777" w:rsidR="00034046" w:rsidRDefault="000340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44B8" w14:textId="77777777" w:rsidR="00004D27" w:rsidRDefault="00004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ED84" w14:textId="77777777" w:rsidR="00004D27" w:rsidRDefault="00004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E509" w14:textId="77777777" w:rsidR="009E048A" w:rsidRDefault="009E048A">
    <w:pPr>
      <w:pStyle w:val="Footer"/>
      <w:rPr>
        <w:rFonts w:ascii="Arial" w:hAnsi="Arial" w:cs="Arial"/>
        <w:sz w:val="16"/>
      </w:rPr>
    </w:pPr>
  </w:p>
  <w:p w14:paraId="430D4D0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050FFAC" w14:textId="77777777" w:rsidR="009E048A" w:rsidRDefault="009E048A">
    <w:pPr>
      <w:pStyle w:val="Footer"/>
      <w:rPr>
        <w:rFonts w:ascii="Arial" w:hAnsi="Arial" w:cs="Arial"/>
        <w:sz w:val="16"/>
      </w:rPr>
    </w:pPr>
  </w:p>
  <w:p w14:paraId="6E6D6C8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0FD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7932" w14:textId="77777777" w:rsidR="00034046" w:rsidRDefault="00034046" w:rsidP="00C37E61">
      <w:r>
        <w:separator/>
      </w:r>
    </w:p>
  </w:footnote>
  <w:footnote w:type="continuationSeparator" w:id="0">
    <w:p w14:paraId="51CC45DF" w14:textId="77777777" w:rsidR="00034046" w:rsidRDefault="000340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2745" w14:textId="1223935D" w:rsidR="00004D27" w:rsidRDefault="00000000">
    <w:pPr>
      <w:pStyle w:val="Header"/>
    </w:pPr>
    <w:r>
      <w:rPr>
        <w:noProof/>
      </w:rPr>
      <w:pict w14:anchorId="7BD76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9875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3C4A" w14:textId="1DA97F83" w:rsidR="00004D27" w:rsidRDefault="00000000">
    <w:pPr>
      <w:pStyle w:val="Header"/>
    </w:pPr>
    <w:r>
      <w:rPr>
        <w:noProof/>
      </w:rPr>
      <w:pict w14:anchorId="660D0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9875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7D5E" w14:textId="41668824" w:rsidR="00296529" w:rsidRPr="00296529" w:rsidRDefault="00000000" w:rsidP="00296529">
    <w:pPr>
      <w:ind w:left="2160"/>
      <w:jc w:val="center"/>
      <w:rPr>
        <w:rFonts w:ascii="Times New Roman" w:eastAsia="Calibri" w:hAnsi="Times New Roman"/>
        <w:i/>
        <w:sz w:val="18"/>
        <w:szCs w:val="22"/>
      </w:rPr>
    </w:pPr>
    <w:r>
      <w:rPr>
        <w:noProof/>
      </w:rPr>
      <w:pict w14:anchorId="611A1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9875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F45FC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0C47D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2BD89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2022F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EB4ED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3BEBB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1690" w14:textId="40113774" w:rsidR="00004D27" w:rsidRDefault="00000000">
    <w:pPr>
      <w:pStyle w:val="Header"/>
    </w:pPr>
    <w:r>
      <w:rPr>
        <w:noProof/>
      </w:rPr>
      <w:pict w14:anchorId="3CE88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9875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46D9" w14:textId="375D16C1" w:rsidR="00004D27" w:rsidRDefault="00000000">
    <w:pPr>
      <w:pStyle w:val="Header"/>
    </w:pPr>
    <w:r>
      <w:rPr>
        <w:noProof/>
      </w:rPr>
      <w:pict w14:anchorId="7E87B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9875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744B" w14:textId="7C5962D5" w:rsidR="00004D27" w:rsidRDefault="00000000">
    <w:pPr>
      <w:pStyle w:val="Header"/>
    </w:pPr>
    <w:r>
      <w:rPr>
        <w:noProof/>
      </w:rPr>
      <w:pict w14:anchorId="27FBA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9875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577AC"/>
    <w:multiLevelType w:val="hybridMultilevel"/>
    <w:tmpl w:val="80E0B0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410000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81144182">
    <w:abstractNumId w:val="16"/>
  </w:num>
  <w:num w:numId="3" w16cid:durableId="775564943">
    <w:abstractNumId w:val="24"/>
  </w:num>
  <w:num w:numId="4" w16cid:durableId="891477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72041723">
    <w:abstractNumId w:val="7"/>
  </w:num>
  <w:num w:numId="6" w16cid:durableId="612397501">
    <w:abstractNumId w:val="6"/>
  </w:num>
  <w:num w:numId="7" w16cid:durableId="2044355188">
    <w:abstractNumId w:val="1"/>
  </w:num>
  <w:num w:numId="8" w16cid:durableId="141387330">
    <w:abstractNumId w:val="13"/>
  </w:num>
  <w:num w:numId="9" w16cid:durableId="1204636943">
    <w:abstractNumId w:val="26"/>
  </w:num>
  <w:num w:numId="10" w16cid:durableId="2100177878">
    <w:abstractNumId w:val="2"/>
  </w:num>
  <w:num w:numId="11" w16cid:durableId="1270623727">
    <w:abstractNumId w:val="19"/>
  </w:num>
  <w:num w:numId="12" w16cid:durableId="586574507">
    <w:abstractNumId w:val="3"/>
  </w:num>
  <w:num w:numId="13" w16cid:durableId="1816022514">
    <w:abstractNumId w:val="18"/>
  </w:num>
  <w:num w:numId="14" w16cid:durableId="1998915879">
    <w:abstractNumId w:val="8"/>
  </w:num>
  <w:num w:numId="15" w16cid:durableId="222062998">
    <w:abstractNumId w:val="22"/>
  </w:num>
  <w:num w:numId="16" w16cid:durableId="220869349">
    <w:abstractNumId w:val="5"/>
  </w:num>
  <w:num w:numId="17" w16cid:durableId="514077134">
    <w:abstractNumId w:val="23"/>
  </w:num>
  <w:num w:numId="18" w16cid:durableId="1655716425">
    <w:abstractNumId w:val="15"/>
  </w:num>
  <w:num w:numId="19" w16cid:durableId="206140643">
    <w:abstractNumId w:val="29"/>
  </w:num>
  <w:num w:numId="20" w16cid:durableId="347565081">
    <w:abstractNumId w:val="12"/>
  </w:num>
  <w:num w:numId="21" w16cid:durableId="263922597">
    <w:abstractNumId w:val="9"/>
  </w:num>
  <w:num w:numId="22" w16cid:durableId="1274095791">
    <w:abstractNumId w:val="14"/>
  </w:num>
  <w:num w:numId="23" w16cid:durableId="607469910">
    <w:abstractNumId w:val="20"/>
  </w:num>
  <w:num w:numId="24" w16cid:durableId="1703089498">
    <w:abstractNumId w:val="27"/>
  </w:num>
  <w:num w:numId="25" w16cid:durableId="1255359352">
    <w:abstractNumId w:val="4"/>
  </w:num>
  <w:num w:numId="26" w16cid:durableId="1355764599">
    <w:abstractNumId w:val="17"/>
  </w:num>
  <w:num w:numId="27" w16cid:durableId="2079398058">
    <w:abstractNumId w:val="21"/>
  </w:num>
  <w:num w:numId="28" w16cid:durableId="535507211">
    <w:abstractNumId w:val="28"/>
  </w:num>
  <w:num w:numId="29" w16cid:durableId="130635701">
    <w:abstractNumId w:val="25"/>
  </w:num>
  <w:num w:numId="30" w16cid:durableId="2072074313">
    <w:abstractNumId w:val="10"/>
  </w:num>
  <w:num w:numId="31" w16cid:durableId="1734889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D27"/>
    <w:rsid w:val="000223A2"/>
    <w:rsid w:val="00023CD3"/>
    <w:rsid w:val="00030174"/>
    <w:rsid w:val="00034046"/>
    <w:rsid w:val="00040C60"/>
    <w:rsid w:val="000412A2"/>
    <w:rsid w:val="0004579C"/>
    <w:rsid w:val="00054BCD"/>
    <w:rsid w:val="0006060D"/>
    <w:rsid w:val="0006798C"/>
    <w:rsid w:val="0007062B"/>
    <w:rsid w:val="00081944"/>
    <w:rsid w:val="00083168"/>
    <w:rsid w:val="000839DC"/>
    <w:rsid w:val="000A1927"/>
    <w:rsid w:val="000A47FA"/>
    <w:rsid w:val="000A65D3"/>
    <w:rsid w:val="000B1E33"/>
    <w:rsid w:val="000B3B6B"/>
    <w:rsid w:val="000B45FA"/>
    <w:rsid w:val="000C4E9F"/>
    <w:rsid w:val="000D689F"/>
    <w:rsid w:val="000E7B7B"/>
    <w:rsid w:val="000E7D62"/>
    <w:rsid w:val="00103357"/>
    <w:rsid w:val="001231E4"/>
    <w:rsid w:val="00123C9F"/>
    <w:rsid w:val="00126190"/>
    <w:rsid w:val="00130F17"/>
    <w:rsid w:val="001320BF"/>
    <w:rsid w:val="00154E4F"/>
    <w:rsid w:val="00163BC4"/>
    <w:rsid w:val="001701D2"/>
    <w:rsid w:val="00171C21"/>
    <w:rsid w:val="00191062"/>
    <w:rsid w:val="00192B72"/>
    <w:rsid w:val="001A29D8"/>
    <w:rsid w:val="001A5CAA"/>
    <w:rsid w:val="001B0427"/>
    <w:rsid w:val="001B0E9F"/>
    <w:rsid w:val="001C1A21"/>
    <w:rsid w:val="001D0825"/>
    <w:rsid w:val="001D3A51"/>
    <w:rsid w:val="001E10D2"/>
    <w:rsid w:val="001E25B4"/>
    <w:rsid w:val="001E34EF"/>
    <w:rsid w:val="001E36EE"/>
    <w:rsid w:val="001E44FE"/>
    <w:rsid w:val="001E4F8F"/>
    <w:rsid w:val="001E6496"/>
    <w:rsid w:val="001F0DF9"/>
    <w:rsid w:val="00200595"/>
    <w:rsid w:val="00204835"/>
    <w:rsid w:val="00214F7A"/>
    <w:rsid w:val="00222D38"/>
    <w:rsid w:val="00231920"/>
    <w:rsid w:val="0023195C"/>
    <w:rsid w:val="00235CD6"/>
    <w:rsid w:val="00237D1C"/>
    <w:rsid w:val="0024160E"/>
    <w:rsid w:val="0024282C"/>
    <w:rsid w:val="0024425E"/>
    <w:rsid w:val="002460DC"/>
    <w:rsid w:val="002504F9"/>
    <w:rsid w:val="00250985"/>
    <w:rsid w:val="002556F6"/>
    <w:rsid w:val="00261FDA"/>
    <w:rsid w:val="00283105"/>
    <w:rsid w:val="00284C4C"/>
    <w:rsid w:val="00287E68"/>
    <w:rsid w:val="00290F88"/>
    <w:rsid w:val="00296529"/>
    <w:rsid w:val="002B27FB"/>
    <w:rsid w:val="002B685A"/>
    <w:rsid w:val="002C57D2"/>
    <w:rsid w:val="002D5681"/>
    <w:rsid w:val="002E0D56"/>
    <w:rsid w:val="00315186"/>
    <w:rsid w:val="00331AD3"/>
    <w:rsid w:val="0033343E"/>
    <w:rsid w:val="003338C0"/>
    <w:rsid w:val="003512C2"/>
    <w:rsid w:val="00353919"/>
    <w:rsid w:val="00371FB6"/>
    <w:rsid w:val="003763C1"/>
    <w:rsid w:val="00376BBE"/>
    <w:rsid w:val="0039224F"/>
    <w:rsid w:val="003A43A4"/>
    <w:rsid w:val="003A7E18"/>
    <w:rsid w:val="003B5A31"/>
    <w:rsid w:val="003B7DD8"/>
    <w:rsid w:val="003C4C86"/>
    <w:rsid w:val="003C6258"/>
    <w:rsid w:val="003E2904"/>
    <w:rsid w:val="003F4CD8"/>
    <w:rsid w:val="003F5AE9"/>
    <w:rsid w:val="0040033D"/>
    <w:rsid w:val="00401927"/>
    <w:rsid w:val="0041027F"/>
    <w:rsid w:val="00412475"/>
    <w:rsid w:val="00423789"/>
    <w:rsid w:val="00431640"/>
    <w:rsid w:val="00440F43"/>
    <w:rsid w:val="00441B6F"/>
    <w:rsid w:val="004452EA"/>
    <w:rsid w:val="00446221"/>
    <w:rsid w:val="00450E62"/>
    <w:rsid w:val="004539DB"/>
    <w:rsid w:val="00471A80"/>
    <w:rsid w:val="004A7234"/>
    <w:rsid w:val="004A7740"/>
    <w:rsid w:val="004B3D4E"/>
    <w:rsid w:val="004D305E"/>
    <w:rsid w:val="004D4277"/>
    <w:rsid w:val="004E0B4B"/>
    <w:rsid w:val="004E2E50"/>
    <w:rsid w:val="004E5C65"/>
    <w:rsid w:val="004F1425"/>
    <w:rsid w:val="00502516"/>
    <w:rsid w:val="00505F06"/>
    <w:rsid w:val="00506828"/>
    <w:rsid w:val="00514542"/>
    <w:rsid w:val="00514964"/>
    <w:rsid w:val="00523251"/>
    <w:rsid w:val="0053056E"/>
    <w:rsid w:val="00533E53"/>
    <w:rsid w:val="005358E6"/>
    <w:rsid w:val="005460E3"/>
    <w:rsid w:val="00554FDA"/>
    <w:rsid w:val="00557BCF"/>
    <w:rsid w:val="0057320C"/>
    <w:rsid w:val="005803C4"/>
    <w:rsid w:val="00582DE8"/>
    <w:rsid w:val="005C784C"/>
    <w:rsid w:val="005D17F6"/>
    <w:rsid w:val="005E26F7"/>
    <w:rsid w:val="005E5539"/>
    <w:rsid w:val="005E75DA"/>
    <w:rsid w:val="005F005F"/>
    <w:rsid w:val="00602BF5"/>
    <w:rsid w:val="00613EA0"/>
    <w:rsid w:val="00617FDD"/>
    <w:rsid w:val="006250CB"/>
    <w:rsid w:val="00633614"/>
    <w:rsid w:val="00633F68"/>
    <w:rsid w:val="00634E74"/>
    <w:rsid w:val="00636EB2"/>
    <w:rsid w:val="006375B8"/>
    <w:rsid w:val="00653441"/>
    <w:rsid w:val="0065700F"/>
    <w:rsid w:val="00662D77"/>
    <w:rsid w:val="0066510A"/>
    <w:rsid w:val="00673F9F"/>
    <w:rsid w:val="0067595D"/>
    <w:rsid w:val="0068254D"/>
    <w:rsid w:val="00686953"/>
    <w:rsid w:val="00687DEA"/>
    <w:rsid w:val="00687E67"/>
    <w:rsid w:val="006967F7"/>
    <w:rsid w:val="00697A28"/>
    <w:rsid w:val="006A250C"/>
    <w:rsid w:val="006B21D3"/>
    <w:rsid w:val="006B2403"/>
    <w:rsid w:val="006B4E44"/>
    <w:rsid w:val="006B57D0"/>
    <w:rsid w:val="006B6FA4"/>
    <w:rsid w:val="006D30FF"/>
    <w:rsid w:val="006D6940"/>
    <w:rsid w:val="006E76F3"/>
    <w:rsid w:val="006F11EC"/>
    <w:rsid w:val="006F1E54"/>
    <w:rsid w:val="0070082C"/>
    <w:rsid w:val="00720A1F"/>
    <w:rsid w:val="007369E6"/>
    <w:rsid w:val="00742BA8"/>
    <w:rsid w:val="00746E59"/>
    <w:rsid w:val="00754C9A"/>
    <w:rsid w:val="0075599A"/>
    <w:rsid w:val="00761D52"/>
    <w:rsid w:val="0077749E"/>
    <w:rsid w:val="00790ADA"/>
    <w:rsid w:val="007B11BC"/>
    <w:rsid w:val="007B1AA5"/>
    <w:rsid w:val="007D20EC"/>
    <w:rsid w:val="007D2288"/>
    <w:rsid w:val="007E088F"/>
    <w:rsid w:val="007F7B32"/>
    <w:rsid w:val="008010E3"/>
    <w:rsid w:val="00804BC2"/>
    <w:rsid w:val="00806725"/>
    <w:rsid w:val="0081431A"/>
    <w:rsid w:val="0082284B"/>
    <w:rsid w:val="0083216F"/>
    <w:rsid w:val="00844810"/>
    <w:rsid w:val="00860000"/>
    <w:rsid w:val="00862D82"/>
    <w:rsid w:val="00863BD3"/>
    <w:rsid w:val="008641ED"/>
    <w:rsid w:val="00866D66"/>
    <w:rsid w:val="008671C6"/>
    <w:rsid w:val="00875803"/>
    <w:rsid w:val="008A7740"/>
    <w:rsid w:val="008B2776"/>
    <w:rsid w:val="008B459E"/>
    <w:rsid w:val="008E13AE"/>
    <w:rsid w:val="008E1506"/>
    <w:rsid w:val="008E710C"/>
    <w:rsid w:val="008F5261"/>
    <w:rsid w:val="008F69D6"/>
    <w:rsid w:val="00902823"/>
    <w:rsid w:val="009032AE"/>
    <w:rsid w:val="009044CF"/>
    <w:rsid w:val="00915934"/>
    <w:rsid w:val="00915CA6"/>
    <w:rsid w:val="00917A99"/>
    <w:rsid w:val="00926270"/>
    <w:rsid w:val="00927834"/>
    <w:rsid w:val="0093222C"/>
    <w:rsid w:val="00942AD3"/>
    <w:rsid w:val="009500A6"/>
    <w:rsid w:val="00957C18"/>
    <w:rsid w:val="009659BA"/>
    <w:rsid w:val="00983040"/>
    <w:rsid w:val="009B3FB9"/>
    <w:rsid w:val="009C2465"/>
    <w:rsid w:val="009D35A0"/>
    <w:rsid w:val="009D7EB7"/>
    <w:rsid w:val="009E0320"/>
    <w:rsid w:val="009E048A"/>
    <w:rsid w:val="009E08E9"/>
    <w:rsid w:val="009E0E21"/>
    <w:rsid w:val="009E2213"/>
    <w:rsid w:val="009E28CB"/>
    <w:rsid w:val="009E3DB9"/>
    <w:rsid w:val="009E4F69"/>
    <w:rsid w:val="009E6E35"/>
    <w:rsid w:val="009F0EDA"/>
    <w:rsid w:val="00A0322D"/>
    <w:rsid w:val="00A03B96"/>
    <w:rsid w:val="00A05B19"/>
    <w:rsid w:val="00A1134E"/>
    <w:rsid w:val="00A24E7E"/>
    <w:rsid w:val="00A258C3"/>
    <w:rsid w:val="00A347C0"/>
    <w:rsid w:val="00A46DE1"/>
    <w:rsid w:val="00A51431"/>
    <w:rsid w:val="00A539AD"/>
    <w:rsid w:val="00A5543D"/>
    <w:rsid w:val="00A70B3D"/>
    <w:rsid w:val="00A76533"/>
    <w:rsid w:val="00A94063"/>
    <w:rsid w:val="00AA6219"/>
    <w:rsid w:val="00AA6562"/>
    <w:rsid w:val="00AA74E0"/>
    <w:rsid w:val="00AB703F"/>
    <w:rsid w:val="00AC6BB8"/>
    <w:rsid w:val="00AD24E8"/>
    <w:rsid w:val="00AD2B4E"/>
    <w:rsid w:val="00AE008F"/>
    <w:rsid w:val="00AF258E"/>
    <w:rsid w:val="00AF6269"/>
    <w:rsid w:val="00B01FCD"/>
    <w:rsid w:val="00B11D64"/>
    <w:rsid w:val="00B1776C"/>
    <w:rsid w:val="00B31311"/>
    <w:rsid w:val="00B52583"/>
    <w:rsid w:val="00B52896"/>
    <w:rsid w:val="00B95236"/>
    <w:rsid w:val="00B9553C"/>
    <w:rsid w:val="00B96BD9"/>
    <w:rsid w:val="00BA106D"/>
    <w:rsid w:val="00BA1B01"/>
    <w:rsid w:val="00BA2641"/>
    <w:rsid w:val="00BB37AA"/>
    <w:rsid w:val="00BC53A0"/>
    <w:rsid w:val="00BC708F"/>
    <w:rsid w:val="00BD7598"/>
    <w:rsid w:val="00BE0C81"/>
    <w:rsid w:val="00BE1AAF"/>
    <w:rsid w:val="00BE62AD"/>
    <w:rsid w:val="00BF121F"/>
    <w:rsid w:val="00BF1F80"/>
    <w:rsid w:val="00BF66B0"/>
    <w:rsid w:val="00C026B1"/>
    <w:rsid w:val="00C078AD"/>
    <w:rsid w:val="00C11633"/>
    <w:rsid w:val="00C166EF"/>
    <w:rsid w:val="00C17EB0"/>
    <w:rsid w:val="00C27F5F"/>
    <w:rsid w:val="00C30A0F"/>
    <w:rsid w:val="00C36DB4"/>
    <w:rsid w:val="00C37E61"/>
    <w:rsid w:val="00C43A07"/>
    <w:rsid w:val="00C55345"/>
    <w:rsid w:val="00C65AA3"/>
    <w:rsid w:val="00C67618"/>
    <w:rsid w:val="00C70F1B"/>
    <w:rsid w:val="00C71A47"/>
    <w:rsid w:val="00C7464C"/>
    <w:rsid w:val="00C85588"/>
    <w:rsid w:val="00CC1ED4"/>
    <w:rsid w:val="00CD6755"/>
    <w:rsid w:val="00CD6856"/>
    <w:rsid w:val="00CE0089"/>
    <w:rsid w:val="00CE14A9"/>
    <w:rsid w:val="00CE2AF3"/>
    <w:rsid w:val="00CE793C"/>
    <w:rsid w:val="00CF193C"/>
    <w:rsid w:val="00D113B0"/>
    <w:rsid w:val="00D173F1"/>
    <w:rsid w:val="00D45A87"/>
    <w:rsid w:val="00D74CB0"/>
    <w:rsid w:val="00D8295D"/>
    <w:rsid w:val="00D876BD"/>
    <w:rsid w:val="00D95CED"/>
    <w:rsid w:val="00DB602A"/>
    <w:rsid w:val="00DC00DF"/>
    <w:rsid w:val="00DC1980"/>
    <w:rsid w:val="00DC2A65"/>
    <w:rsid w:val="00DD3946"/>
    <w:rsid w:val="00DD3AFC"/>
    <w:rsid w:val="00DE15F0"/>
    <w:rsid w:val="00DE5663"/>
    <w:rsid w:val="00DE78AA"/>
    <w:rsid w:val="00DF1B44"/>
    <w:rsid w:val="00DF489A"/>
    <w:rsid w:val="00DF4A77"/>
    <w:rsid w:val="00DF538B"/>
    <w:rsid w:val="00E04D35"/>
    <w:rsid w:val="00E053D0"/>
    <w:rsid w:val="00E15994"/>
    <w:rsid w:val="00E3114E"/>
    <w:rsid w:val="00E31A70"/>
    <w:rsid w:val="00E35B02"/>
    <w:rsid w:val="00E66496"/>
    <w:rsid w:val="00E66B35"/>
    <w:rsid w:val="00E66E10"/>
    <w:rsid w:val="00E769F6"/>
    <w:rsid w:val="00E8407C"/>
    <w:rsid w:val="00E84F3C"/>
    <w:rsid w:val="00E904C2"/>
    <w:rsid w:val="00E92DB1"/>
    <w:rsid w:val="00E962A8"/>
    <w:rsid w:val="00EA012C"/>
    <w:rsid w:val="00EC2FCC"/>
    <w:rsid w:val="00EC6A55"/>
    <w:rsid w:val="00ED0288"/>
    <w:rsid w:val="00EE40EB"/>
    <w:rsid w:val="00EE52CB"/>
    <w:rsid w:val="00EE7396"/>
    <w:rsid w:val="00EF0DEC"/>
    <w:rsid w:val="00EF581D"/>
    <w:rsid w:val="00EF6183"/>
    <w:rsid w:val="00EF7FD8"/>
    <w:rsid w:val="00F06F59"/>
    <w:rsid w:val="00F11041"/>
    <w:rsid w:val="00F130B4"/>
    <w:rsid w:val="00F17988"/>
    <w:rsid w:val="00F30DE2"/>
    <w:rsid w:val="00F42C1B"/>
    <w:rsid w:val="00F469F0"/>
    <w:rsid w:val="00F53273"/>
    <w:rsid w:val="00F755E4"/>
    <w:rsid w:val="00F77D02"/>
    <w:rsid w:val="00F86F18"/>
    <w:rsid w:val="00FB3A86"/>
    <w:rsid w:val="00FD180E"/>
    <w:rsid w:val="00FD36C8"/>
    <w:rsid w:val="00FD3C59"/>
    <w:rsid w:val="00FE00C5"/>
    <w:rsid w:val="00FF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87FB4A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B6F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B6F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6B6F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6B6FA4"/>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926270"/>
    <w:pPr>
      <w:spacing w:after="160" w:line="259" w:lineRule="auto"/>
      <w:ind w:left="720"/>
      <w:contextualSpacing/>
    </w:pPr>
    <w:rPr>
      <w:rFonts w:asciiTheme="minorHAnsi" w:eastAsiaTheme="minorHAnsi" w:hAnsiTheme="minorHAnsi" w:cstheme="minorBidi"/>
      <w:sz w:val="22"/>
      <w:szCs w:val="22"/>
    </w:rPr>
  </w:style>
  <w:style w:type="paragraph" w:styleId="Bibliography">
    <w:name w:val="Bibliography"/>
    <w:basedOn w:val="Normal"/>
    <w:next w:val="Normal"/>
    <w:uiPriority w:val="37"/>
    <w:unhideWhenUsed/>
    <w:rsid w:val="00081944"/>
    <w:pPr>
      <w:spacing w:line="480" w:lineRule="auto"/>
      <w:ind w:left="720" w:hanging="720"/>
    </w:pPr>
  </w:style>
  <w:style w:type="paragraph" w:styleId="NormalWeb">
    <w:name w:val="Normal (Web)"/>
    <w:basedOn w:val="Normal"/>
    <w:uiPriority w:val="99"/>
    <w:rsid w:val="00BA106D"/>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359148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5D5FE-5197-4E07-9FE5-751947B2A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400</TotalTime>
  <Pages>18</Pages>
  <Words>23797</Words>
  <Characters>135645</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159124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Tarun Sen</cp:lastModifiedBy>
  <cp:revision>129</cp:revision>
  <cp:lastPrinted>1999-07-06T11:00:00Z</cp:lastPrinted>
  <dcterms:created xsi:type="dcterms:W3CDTF">2014-10-25T14:34:00Z</dcterms:created>
  <dcterms:modified xsi:type="dcterms:W3CDTF">2026-01-28T15:32:00Z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id="tktjUUbm"/&gt;&lt;style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