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5AE" w:rsidRDefault="00F7543A">
      <w:pPr>
        <w:widowControl w:val="0"/>
        <w:pBdr>
          <w:top w:val="nil"/>
          <w:left w:val="nil"/>
          <w:bottom w:val="nil"/>
          <w:right w:val="nil"/>
          <w:between w:val="nil"/>
        </w:pBdr>
      </w:pPr>
      <w:r>
        <w:pict w14:anchorId="07F6C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24521A8">
          <v:shape id="_x0000_s1027" type="#_x0000_t136" style="position:absolute;margin-left:0;margin-top:0;width:50pt;height:50pt;z-index:251657728;visibility:hidden">
            <o:lock v:ext="edit" selection="t"/>
          </v:shape>
        </w:pict>
      </w:r>
      <w:r>
        <w:pict w14:anchorId="2BFC8567">
          <v:shape id="_x0000_s1026" type="#_x0000_t136" style="position:absolute;margin-left:0;margin-top:0;width:50pt;height:50pt;z-index:251658752;visibility:hidden">
            <o:lock v:ext="edit" selection="t"/>
          </v:shape>
        </w:pict>
      </w:r>
    </w:p>
    <w:p w:rsidR="004335AE" w:rsidRDefault="0028030C">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as a Strategic Enabler of Organizational Sustainability: An Integrative Theoretical Framework</w:t>
      </w:r>
    </w:p>
    <w:p w:rsidR="004335AE" w:rsidRDefault="004335AE">
      <w:pPr>
        <w:spacing w:line="360" w:lineRule="auto"/>
      </w:pPr>
    </w:p>
    <w:p w:rsidR="004335AE" w:rsidRDefault="004335AE">
      <w:pPr>
        <w:spacing w:line="360" w:lineRule="auto"/>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become a multifaceted organizational paradigm which involves the economic performance, environmental responsibility and social equity. Although substantial research has explored both the environmental and financial concerns of sustainability, a relatively lower integrative focus has been placed on the issue of employee well-being in terms of sustainability. The paper provides a systematic review of theoretical and empirical research on the relationship between the organizational sustainability practices and the employee well-being and vice versa.</w:t>
      </w:r>
      <w:r w:rsidR="003D29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Literature review systematic approach was chosen to conduct an analysis of peer-reviewed studies on management, organizational psychology, and sustainability domains conducted between 2000 and 2024. The review incorporates significant theoretical approaches, including the triple bottom line framework, the stakeholder theory, the social exchange theory, the Job Demands Resources (JD-R) model of sustainability, flexible work systems, and mental health programs to clarify how sustainability practices (sustainable human resource management, ethical leadership, ESG-based governance, flexible work system, and mental health programs) are associated with employee outcomes.</w:t>
      </w:r>
      <w:r w:rsidR="000F45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results suggest that the sustainability-related practices tend to positively impact job satisfaction, engagement, psychological safety, work-life integration, and organizational commitment provided they are applied sincerely and with the assistance of sufficient resources at work. </w:t>
      </w:r>
      <w:bookmarkStart w:id="0" w:name="_GoBack"/>
      <w:bookmarkEnd w:id="0"/>
      <w:r>
        <w:rPr>
          <w:rFonts w:ascii="Times New Roman" w:eastAsia="Times New Roman" w:hAnsi="Times New Roman" w:cs="Times New Roman"/>
          <w:sz w:val="24"/>
          <w:szCs w:val="24"/>
        </w:rPr>
        <w:t>The contribution of the study lies in the fact that employee well-being is introduced as a consequence and a strategic facilitator of organization sustainability, and an integrative model is suggested to undertake empirical testing in the future. It finds important gaps in research especially the necessity of longitudinal, cross-cultural, and multilevel research in emerging economies. In practice, the results imply that organizations that incorporate human sustainability into wider environmental and economic strategies are more likely to enjoy resilience, legitimacy as well as long-term competitive advantage in the fast-evolving socio-economic settings.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sz w:val="24"/>
          <w:szCs w:val="24"/>
        </w:rPr>
        <w:t xml:space="preserve"> Organizational sustainability, employee well-being, sustainable HRM, ESG practices, social sustainability, post-COVID workplace, human sustainability</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1" w:name="_heading=h.tcydvnklhx67" w:colFirst="0" w:colLast="0"/>
      <w:bookmarkEnd w:id="1"/>
      <w:r>
        <w:rPr>
          <w:rFonts w:ascii="Times New Roman" w:eastAsia="Times New Roman" w:hAnsi="Times New Roman" w:cs="Times New Roman"/>
          <w:b/>
          <w:bCs/>
          <w:sz w:val="24"/>
          <w:szCs w:val="24"/>
        </w:rPr>
        <w:t>Introduction</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Sustainability has become more than an environmental creation and more of a multidimensional organizational paradigm of economic viability, environmental stewardship and social equity.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the triple bottom line framework (Elkington, 1997) is the basis of the profit, planet, and people balance, the modern scholarship tends to focus more on the people dimension as the strategic factor of long-term organizational resiliency.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more recent empirical studies (</w:t>
      </w:r>
      <w:proofErr w:type="spellStart"/>
      <w:r>
        <w:rPr>
          <w:rFonts w:ascii="Times New Roman" w:eastAsia="Times New Roman" w:hAnsi="Times New Roman" w:cs="Times New Roman"/>
          <w:color w:val="111111"/>
          <w:sz w:val="24"/>
          <w:szCs w:val="24"/>
        </w:rPr>
        <w:t>Aguinis</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Glavas</w:t>
      </w:r>
      <w:proofErr w:type="spellEnd"/>
      <w:r>
        <w:rPr>
          <w:rFonts w:ascii="Times New Roman" w:eastAsia="Times New Roman" w:hAnsi="Times New Roman" w:cs="Times New Roman"/>
          <w:color w:val="111111"/>
          <w:sz w:val="24"/>
          <w:szCs w:val="24"/>
        </w:rPr>
        <w:t>, 2019; Montiel et al., 2021; Bansal et al., 2022) note that sustainability programs that do not focus on internal stakeholders, especially employees, do not lead to significant change.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Employee well-being has become one of the key elements of organizational sustainability in the post-COVID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With an exposed vulnerability in the structure of work systems, such as work insecurity, digital saturation, psychosocial pressure, and work-life boundaries, the pandemic highlighted how the work system is vulnerable (</w:t>
      </w:r>
      <w:proofErr w:type="spellStart"/>
      <w:r>
        <w:rPr>
          <w:rFonts w:ascii="Times New Roman" w:eastAsia="Times New Roman" w:hAnsi="Times New Roman" w:cs="Times New Roman"/>
          <w:color w:val="111111"/>
          <w:sz w:val="24"/>
          <w:szCs w:val="24"/>
        </w:rPr>
        <w:t>Kniffin</w:t>
      </w:r>
      <w:proofErr w:type="spellEnd"/>
      <w:r>
        <w:rPr>
          <w:rFonts w:ascii="Times New Roman" w:eastAsia="Times New Roman" w:hAnsi="Times New Roman" w:cs="Times New Roman"/>
          <w:color w:val="111111"/>
          <w:sz w:val="24"/>
          <w:szCs w:val="24"/>
        </w:rPr>
        <w:t xml:space="preserve"> et al., 2021; WHO, 2024).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Companies are coming to the realization that human sustainability (vitality of employees, their health, and their capacity) is the key concept to economic and environmental sustainability (</w:t>
      </w:r>
      <w:proofErr w:type="spellStart"/>
      <w:r>
        <w:rPr>
          <w:rFonts w:ascii="Times New Roman" w:eastAsia="Times New Roman" w:hAnsi="Times New Roman" w:cs="Times New Roman"/>
          <w:color w:val="111111"/>
          <w:sz w:val="24"/>
          <w:szCs w:val="24"/>
        </w:rPr>
        <w:t>Spreitzer</w:t>
      </w:r>
      <w:proofErr w:type="spellEnd"/>
      <w:r>
        <w:rPr>
          <w:rFonts w:ascii="Times New Roman" w:eastAsia="Times New Roman" w:hAnsi="Times New Roman" w:cs="Times New Roman"/>
          <w:color w:val="111111"/>
          <w:sz w:val="24"/>
          <w:szCs w:val="24"/>
        </w:rPr>
        <w:t xml:space="preserve"> et al., 2012; Pfeffer, 2010).</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Employee well-being refers to a multidimensional construct, which includes psychological health, engagement, job satisfaction, work-life integration, and social connectedness (Guest, 2017).</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In the recent meta-analytic studies, it is proven that the well-being of employees is a predictor of productivity, innovation, retention, and organizational citizenship behaviors (Krekel et al., 2019; </w:t>
      </w:r>
      <w:proofErr w:type="spellStart"/>
      <w:r>
        <w:rPr>
          <w:rFonts w:ascii="Times New Roman" w:eastAsia="Times New Roman" w:hAnsi="Times New Roman" w:cs="Times New Roman"/>
          <w:color w:val="111111"/>
          <w:sz w:val="24"/>
          <w:szCs w:val="24"/>
        </w:rPr>
        <w:t>Inceoglu</w:t>
      </w:r>
      <w:proofErr w:type="spellEnd"/>
      <w:r>
        <w:rPr>
          <w:rFonts w:ascii="Times New Roman" w:eastAsia="Times New Roman" w:hAnsi="Times New Roman" w:cs="Times New Roman"/>
          <w:color w:val="111111"/>
          <w:sz w:val="24"/>
          <w:szCs w:val="24"/>
        </w:rPr>
        <w:t xml:space="preserve"> et al., 2023).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At the same time, organizational practices that are focused on sustainability, e.g. ethical leadership, sustainable HRM, inclusive governance, and flexible work systems, have been presented to have an impact on well-being outcomes (Renwick et al., 2013; </w:t>
      </w:r>
      <w:proofErr w:type="spellStart"/>
      <w:r>
        <w:rPr>
          <w:rFonts w:ascii="Times New Roman" w:eastAsia="Times New Roman" w:hAnsi="Times New Roman" w:cs="Times New Roman"/>
          <w:color w:val="111111"/>
          <w:sz w:val="24"/>
          <w:szCs w:val="24"/>
        </w:rPr>
        <w:t>Kramar</w:t>
      </w:r>
      <w:proofErr w:type="spellEnd"/>
      <w:r>
        <w:rPr>
          <w:rFonts w:ascii="Times New Roman" w:eastAsia="Times New Roman" w:hAnsi="Times New Roman" w:cs="Times New Roman"/>
          <w:color w:val="111111"/>
          <w:sz w:val="24"/>
          <w:szCs w:val="24"/>
        </w:rPr>
        <w:t>, 2014; Bansal et al., 2022).</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Nevertheless, the new research also reflects conflicting tensions: the pressure of sustainability and consequently, performance, the pressure of ESG reporting and the pressure of efficiency can increase and contradict each other (Bakker and </w:t>
      </w:r>
      <w:proofErr w:type="spellStart"/>
      <w:r>
        <w:rPr>
          <w:rFonts w:ascii="Times New Roman" w:eastAsia="Times New Roman" w:hAnsi="Times New Roman" w:cs="Times New Roman"/>
          <w:color w:val="111111"/>
          <w:sz w:val="24"/>
          <w:szCs w:val="24"/>
        </w:rPr>
        <w:t>Demerouti</w:t>
      </w:r>
      <w:proofErr w:type="spellEnd"/>
      <w:r>
        <w:rPr>
          <w:rFonts w:ascii="Times New Roman" w:eastAsia="Times New Roman" w:hAnsi="Times New Roman" w:cs="Times New Roman"/>
          <w:color w:val="111111"/>
          <w:sz w:val="24"/>
          <w:szCs w:val="24"/>
        </w:rPr>
        <w:t>, 2017; Montiel et al., 2021).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These </w:t>
      </w:r>
      <w:r>
        <w:rPr>
          <w:rFonts w:ascii="Times New Roman" w:eastAsia="Times New Roman" w:hAnsi="Times New Roman" w:cs="Times New Roman"/>
          <w:color w:val="111111"/>
          <w:sz w:val="24"/>
          <w:szCs w:val="24"/>
        </w:rPr>
        <w:lastRenderedPageBreak/>
        <w:t>inconsistencies indicate that the sustainability well-being nexus is not automatic or universally good, but depends on the quality of implementation, the compatibility of leadership and situational issues.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In particular, systematic syntheses that combine sustainability management literature with an organizational psychology and HRM view are underrepresented in such emerging economies as India.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Due to institutional variations, informality in the labor market, and the trends of post-pandemic reorganization, it is required to comprehend situations contextually.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paper thus reviews in a systematic manner the theoretical and empirical data to explain how and in what circumstances organizational sustainability-oriented practices affect employee well-being and how well-being affects sustainable performance, which is reciprocated.</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 of the Study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argument behind conducting the current study is that employee well-being is gradually being considered as a determinant as well as outcome of organizational sustainability. Although the sustainability initiatives are commonly created to respond to the environmental issues or the demands of the external stakeholders, the level of their effectiveness is highly dependent on the acceptance, motivation, and engagement of the employees. In the absence of a healthy, engaged, and motivated workforce, the sustainability effort will be kept only as a form of symbolic or short-term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COVID-19 pandemic also contributed to heightening this relationship, revealing the vulnerable situation in the workplace systems regarding job security, mental health, workload, and work-life balance. The swift changes to remote and hybrid work patterns provided more flexibility opportunities but also generated the problems of the intensification of work and digital exhaustion, as well as work-family boundaries (Allen et al., 2015). These changes have increased the value of integrating employee welfare in the sustainability plans instead of considering it as a marginal human resource issue.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spite of this increased topicality, the current literature is still rather fragmented in terms of disciplines (management, organizational psychology and sustainability studies). Numerous studies emphasize specific components of well-being or sustainability, but little is done to combine them </w:t>
      </w:r>
      <w:r>
        <w:rPr>
          <w:rFonts w:ascii="Times New Roman" w:eastAsia="Times New Roman" w:hAnsi="Times New Roman" w:cs="Times New Roman"/>
          <w:sz w:val="24"/>
          <w:szCs w:val="24"/>
        </w:rPr>
        <w:lastRenderedPageBreak/>
        <w:t>into a cohesive understanding of how sustainability practices of the organizations have a systematic impact on employee well-being, especially in post-pandemic conditions and developing economies. This gap gives a solid rationale of having a review and synthesis of theoretical and empirical literature concerning sustainability-well-being nexus.</w:t>
      </w: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Statement</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common agreement that sustainability is a multidimensional concept, organization sustainability programs tend to promote environmental and economic objectives at the cost of employee welfare. Sustainability-motivated performance pressures, restructuring, or efficiency-promoting strategies in most instances unintentionally escalate work pressures, role overload and stress, thus compromising the welfare of the employees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 This paradox gives a very important question which is: Can organizations be really said to be sustainable when the well-being of the employees is compromised in the process?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available empirical evidence is mostly based on developed economies and this limits its application in various institutional and cultural settings. Emerging market research, such as India, is a relatively rare case of study, even though there are a lot of differences in terms of labor markets, organizational practices, and social protection systems. The post-COVID working environment has also only added complexity to this picture, and now there is an urgent need to re-evaluate previous beliefs regarding sustainability and well-being considering the changing work set-ups and expectations of employees.</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Conceptual Background</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basis of this study is based on various theoretical approaches, which respectively explain the relationship between sustainability practices and employee well-being. The triple bottom line model places the wellbeing of employees under the social pillar of sustainability with its focus on labor rights, equity, health and quality of working life as a part of a sustainable development (Elkington, 1997). To supply this, stakeholder theory believes that employees are the most important stakeholders whose interests should be protected to make organizations become legitimate and trusted.</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level, social exchange theory indicates that the more organizations are concerned with the well-being of their employees by treating them fairly and supporting, the more employees would be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 Analogously, another helpful framework to interpret the influence of sustainable work environment on minimizing the job demands including stress, insecurity, and maximizing the work resources, including autonomy, social support, and development prospects, is the Job Demands Resources (JD-R) model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self-determination theory emphasizes the need to satisfy fundamental psychological needs such as autonomy, competence and relatedness to create intrinsic drive and well-being (Deci and Ryan, 2000). Involving, learning, and being inclusive are part of sustainable human resource management practices that may contribute significantly to the fulfillment of these needs, strengthening the well-being of employees and the sustainability of an organization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2014).</w:t>
      </w:r>
    </w:p>
    <w:p w:rsidR="004335AE" w:rsidRDefault="0028030C">
      <w:pPr>
        <w:spacing w:before="240" w:after="240" w:line="360" w:lineRule="auto"/>
        <w:jc w:val="both"/>
        <w:rPr>
          <w:sz w:val="24"/>
          <w:szCs w:val="24"/>
        </w:rPr>
      </w:pPr>
      <w:r>
        <w:rPr>
          <w:rFonts w:ascii="Times New Roman" w:eastAsia="Times New Roman" w:hAnsi="Times New Roman" w:cs="Times New Roman"/>
          <w:b/>
          <w:bCs/>
          <w:sz w:val="24"/>
          <w:szCs w:val="24"/>
        </w:rPr>
        <w:t>Objectives of the Study</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goals are restated in a comprehensible and scholarly manner:</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conduct a systematic literature review of theoretical frameworks to connect organizational sustainability and employee well-being.</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To generalize the collected empirical data on the direct and mediated impacts of sustainability practices on </w:t>
      </w:r>
      <w:proofErr w:type="spellStart"/>
      <w:r>
        <w:rPr>
          <w:rFonts w:ascii="Times New Roman" w:eastAsia="Times New Roman" w:hAnsi="Times New Roman" w:cs="Times New Roman"/>
          <w:color w:val="111111"/>
          <w:sz w:val="24"/>
          <w:szCs w:val="24"/>
        </w:rPr>
        <w:t>well being</w:t>
      </w:r>
      <w:proofErr w:type="spellEnd"/>
      <w:r>
        <w:rPr>
          <w:rFonts w:ascii="Times New Roman" w:eastAsia="Times New Roman" w:hAnsi="Times New Roman" w:cs="Times New Roman"/>
          <w:color w:val="111111"/>
          <w:sz w:val="24"/>
          <w:szCs w:val="24"/>
        </w:rPr>
        <w:t xml:space="preserve"> outcomes.</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determine contextual moderators (industry, leadership, institutional setting, post-COVID work arrangement).</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consider the paradoxical or undesirable well-being effects of sustainability efforts.</w:t>
      </w:r>
    </w:p>
    <w:p w:rsidR="004335AE" w:rsidRDefault="0028030C">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To hypothesize a conceptual model that can be used later in the empirical research.</w:t>
      </w:r>
    </w:p>
    <w:p w:rsidR="004335AE" w:rsidRDefault="0028030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the Study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can be used to contribute to the increasing discussion of human-centered sustainability by combining different theoretical approaches and empirical evidence. It supports the thesis that employee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is not only a social outcome of desirable character but a critical enabling factor of sustainable organizational performance. The research is worth reading to managers, policymakers, and researchers who are planning on how to create sustainable strategies that are effective and humane, especially in a post-pandemic world, which is uncertain and rapidly changing.</w:t>
      </w: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Literature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conceptual framework of sustainability in organizations can be explained as follows.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understanding of sustainability in the context of organizations is often framed in the concept known as the triple bottom line (TBL) that focuses on economic, environmental, and social performance. Where economic sustainability is concerned with long term profitability and competitiveness, environmental sustainability is concerned with resource efficiency, reduction of pollution, and responsibility towards climate. Social sustainability which is not clearly defined contains labor rights, equity, diversity, health, safety,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the employees.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research is of the view that social sustainability is not a supportive aspect but a pillar that supports environmental and economic sustainability. The employees play a major role as stakeholders and change agents in the application of sustainable practices. It is in vain to expect sustainability efforts to turn out to be superficial or temporary without motivated, healthy, and engaged employees. Therefore, the well-being of the employees is becoming a sensitive issue that is perceived as a result and a cause of sustainable organizational performance.</w:t>
      </w:r>
    </w:p>
    <w:p w:rsidR="004335AE" w:rsidRDefault="004335AE">
      <w:pPr>
        <w:spacing w:line="360" w:lineRule="auto"/>
        <w:jc w:val="both"/>
        <w:rPr>
          <w:rFonts w:ascii="Times New Roman" w:eastAsia="Times New Roman" w:hAnsi="Times New Roman" w:cs="Times New Roman"/>
          <w:b/>
          <w:bCs/>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and Social Aspects of Organizations.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changed its definition to a multidimensional model that includes economic, environmental, and social pillars in addition to being an environment-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agenda. The triple bottom line model outlines the fact that the long term success of an organization lies in balancing </w:t>
      </w:r>
      <w:r>
        <w:rPr>
          <w:rFonts w:ascii="Times New Roman" w:eastAsia="Times New Roman" w:hAnsi="Times New Roman" w:cs="Times New Roman"/>
          <w:sz w:val="24"/>
          <w:szCs w:val="24"/>
        </w:rPr>
        <w:lastRenderedPageBreak/>
        <w:t>profitability with environmental accountability and equity with the society (Elkington, 1997). In this context, the social aspect, especially the well-being of employees has been receiving more and more focus as a factor in sustainable performance of an organization.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of the Brundtland Commission Our Common Future emphasized that it is necessary not to damage the future generation at the expense of current needs, and implicitly saw human well-being as the main issue of sustainability (Brundtland, 1987). Based on this premise,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 claimed that, indeed, sustainable businesses are not merely in compliance and risk management but in the generation of positive value to various stakeholders, such as employees. The move is an indication of increased awareness of the fact that sustainability efforts should be integrated into </w:t>
      </w:r>
      <w:proofErr w:type="spellStart"/>
      <w:r>
        <w:rPr>
          <w:rFonts w:ascii="Times New Roman" w:eastAsia="Times New Roman" w:hAnsi="Times New Roman" w:cs="Times New Roman"/>
          <w:sz w:val="24"/>
          <w:szCs w:val="24"/>
        </w:rPr>
        <w:t>co-ordinated</w:t>
      </w:r>
      <w:proofErr w:type="spellEnd"/>
      <w:r>
        <w:rPr>
          <w:rFonts w:ascii="Times New Roman" w:eastAsia="Times New Roman" w:hAnsi="Times New Roman" w:cs="Times New Roman"/>
          <w:sz w:val="24"/>
          <w:szCs w:val="24"/>
        </w:rPr>
        <w:t xml:space="preserve"> and internal organizational efforts rather than being just restricted to external environmental efforts.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Concept and Importance.</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multidimensional construct of employee well-being concept includes physical health, psychological well-being, job satisfaction, and work-life balance. Guest (2017) pointed out that well-being must be regarded as an essential result of human resource management, and not as a secondary or indirect gain. Positive organizational performance improvement in terms of better performance, reduced absenteeism and turnover intention has always been linked to high employee well-being (Harter et al., 2002).</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 great extent, Pfeffer (2010) criticized models of organization that work towards the financial results without taking into account employee health, citing that compromising on human sustainability compromises organizational sustainability in the long run. In this light, the welfare of the employees is not only a moral obligation but a long-term competitiveness position.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Lenses between Sustainability and Well -Being.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theoretical frameworks to explain the connection between sustainability practices and employee well-being. According to the stakeholder theory, employees are one of the </w:t>
      </w:r>
      <w:r>
        <w:rPr>
          <w:rFonts w:ascii="Times New Roman" w:eastAsia="Times New Roman" w:hAnsi="Times New Roman" w:cs="Times New Roman"/>
          <w:sz w:val="24"/>
          <w:szCs w:val="24"/>
        </w:rPr>
        <w:lastRenderedPageBreak/>
        <w:t>stakeholders whose interests should be safeguarded by the companies to maintain their legitimacy and trust. In line with this opinion, the social exchange theory argues that in the case where employees feel that organizational practices are friendly and equitable, they will return the favor by becoming more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Job Demands- Resources (JD-R) model offers a solid explanation of the impact of sustainable work environment on the welfare of employees.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(2017) observe that high work demands that include work pressure and job insecurity are causes of burnout, and job resources in the form of autonomy, social support, and development opportunities contribute to motivation and well-being. Organizations that are sustainability oriented are more likely to aim at diminishing the bad demands and empowering resources to ensure healthy work places.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self-determination theory focuses on the achievement of autonomy, competence, and relatedness as some of the essential psychological needs (Deci and Ryan, 2000). The needs are supported by sustainable HR practices that promote participation, skill development, and inclusive cultures that would contribute to intrinsic motivation and well-being.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Human Resource Management and Well-Being.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human resource management (HRM) has become a very important connection between sustainability and human well-being.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xml:space="preserve"> (2014) suggested that sustainable HRM is an improvement of traditional strategic HRM because it looks after the long-term welfare of the employees, social justice and environmental responsibility should be included in HR policies. The core of this approach is the fair compensation, safe working conditions, involvement of employees, and continuous learning.</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Renwick et al. (2013) also emphasized the importance of green practices in the HRM as attitude and behavior shapers of employees. Although green HRM has been associated with transforming the environment, it is revealed to positively influence employee pride, organizational identification, and psychological well-being through aligning personal values with organizational sustainability objectives.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Workplace Changes and Well-Being of Employees in the Post-COVID.</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pandemic has completely changed the working conditions and raised the issue of the well-being of workers. Allen et al. (2015) also showed that telecommuting as a flexible working arrangement can lead to job satisfaction and decrease in work-family conflict when managed effectively. Biju et al. (2022) observed that work-from-home working conditions enhanced the </w:t>
      </w:r>
      <w:proofErr w:type="spellStart"/>
      <w:r>
        <w:rPr>
          <w:rFonts w:ascii="Times New Roman" w:eastAsia="Times New Roman" w:hAnsi="Times New Roman" w:cs="Times New Roman"/>
          <w:sz w:val="24"/>
          <w:szCs w:val="24"/>
        </w:rPr>
        <w:t>worklife</w:t>
      </w:r>
      <w:proofErr w:type="spellEnd"/>
      <w:r>
        <w:rPr>
          <w:rFonts w:ascii="Times New Roman" w:eastAsia="Times New Roman" w:hAnsi="Times New Roman" w:cs="Times New Roman"/>
          <w:sz w:val="24"/>
          <w:szCs w:val="24"/>
        </w:rPr>
        <w:t xml:space="preserve"> and job satisfaction of IT professionals in the Indian context, though the results were different depending on the job title and family settings.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evidence of this article was presented by </w:t>
      </w:r>
      <w:proofErr w:type="spellStart"/>
      <w:r>
        <w:rPr>
          <w:rFonts w:ascii="Times New Roman" w:eastAsia="Times New Roman" w:hAnsi="Times New Roman" w:cs="Times New Roman"/>
          <w:sz w:val="24"/>
          <w:szCs w:val="24"/>
        </w:rPr>
        <w:t>Pardawala</w:t>
      </w:r>
      <w:proofErr w:type="spellEnd"/>
      <w:r>
        <w:rPr>
          <w:rFonts w:ascii="Times New Roman" w:eastAsia="Times New Roman" w:hAnsi="Times New Roman" w:cs="Times New Roman"/>
          <w:sz w:val="24"/>
          <w:szCs w:val="24"/>
        </w:rPr>
        <w:t xml:space="preserve"> et al. (2024) on an Indian population, where overall employee well-being declined after the COVID, with a higher level of stress and mental health issues. Nevertheless, it was also observed in the study that the negative outcomes were partially reduced by the hybrid work models and organizational support mechanisms. These results highlight how critical it is to consider the aspect of well-being as a part of the sustainability strategies, especially when the situation is one of crisis and transition.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Agencies dealing with global health have also focused on the well-being of the workplace as one of the sustainability concerns. In the article by the World Health Organization (2024), it was emphasized that mental health in the workplace should be promoted in order to achieve sustainable economic growth, productivity, and social inclusion.</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Organizational Outcomes and Human Sustainability.</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xml:space="preserve"> et al. (2012) also came up with the human sustainability concept with focus on employee vitality and learning as the most important outcome of sustainable organizations. This view holds that companies who are well-being oriented in their employees establish virtuous cycles of energy, engagement, and flexibility. This makes such organizations more responsive to environmental, technological and economic disruptions.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the literature hints that there is a strong and positive correlation between the sustainability-oriented practices and employee well-being. Nevertheless, there is also empirical </w:t>
      </w:r>
      <w:r>
        <w:rPr>
          <w:rFonts w:ascii="Times New Roman" w:eastAsia="Times New Roman" w:hAnsi="Times New Roman" w:cs="Times New Roman"/>
          <w:sz w:val="24"/>
          <w:szCs w:val="24"/>
        </w:rPr>
        <w:lastRenderedPageBreak/>
        <w:t>evidence that potential tensions can occur in case the sustainability initiatives are imposed on workload or performance without proper support. This brings out the importance of the employee-focused sustainability policies.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Research gaps identified.</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Despite the fact that sustainability and the </w:t>
      </w:r>
      <w:proofErr w:type="spellStart"/>
      <w:r>
        <w:rPr>
          <w:rFonts w:ascii="Times New Roman" w:eastAsia="Times New Roman" w:hAnsi="Times New Roman" w:cs="Times New Roman"/>
          <w:color w:val="111111"/>
          <w:sz w:val="24"/>
          <w:szCs w:val="24"/>
        </w:rPr>
        <w:t>well being</w:t>
      </w:r>
      <w:proofErr w:type="spellEnd"/>
      <w:r>
        <w:rPr>
          <w:rFonts w:ascii="Times New Roman" w:eastAsia="Times New Roman" w:hAnsi="Times New Roman" w:cs="Times New Roman"/>
          <w:color w:val="111111"/>
          <w:sz w:val="24"/>
          <w:szCs w:val="24"/>
        </w:rPr>
        <w:t xml:space="preserve"> of the employees have been well researched individually there are four specific gaps: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Fragmentation Gap - Research is isolated in each of sustainability management, HRM and occupational psychology and has little synthesis.</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Causality Gap The majority of empirical studies are cross-sectional studies, longitudinal and mechanism-based explanations are sparse.</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Contextual Gap -Evidence is overly vested in developed economies, where thereby few systematic efforts are provided to emerging markets.</w:t>
      </w:r>
    </w:p>
    <w:p w:rsidR="004335AE" w:rsidRDefault="0028030C">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Paradox Gap- Minimal studies cover the two-fold impact of sustainability programs that both improve and impose stress on the welfare of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This review fills these gaps by </w:t>
      </w:r>
      <w:proofErr w:type="spellStart"/>
      <w:r>
        <w:rPr>
          <w:rFonts w:ascii="Times New Roman" w:eastAsia="Times New Roman" w:hAnsi="Times New Roman" w:cs="Times New Roman"/>
          <w:color w:val="111111"/>
          <w:sz w:val="24"/>
          <w:szCs w:val="24"/>
        </w:rPr>
        <w:t>synthesising</w:t>
      </w:r>
      <w:proofErr w:type="spellEnd"/>
      <w:r>
        <w:rPr>
          <w:rFonts w:ascii="Times New Roman" w:eastAsia="Times New Roman" w:hAnsi="Times New Roman" w:cs="Times New Roman"/>
          <w:color w:val="111111"/>
          <w:sz w:val="24"/>
          <w:szCs w:val="24"/>
        </w:rPr>
        <w:t xml:space="preserve"> in a structure and theory integrated manner.</w:t>
      </w:r>
    </w:p>
    <w:p w:rsidR="004335AE" w:rsidRDefault="004335AE">
      <w:pPr>
        <w:spacing w:line="360" w:lineRule="auto"/>
        <w:jc w:val="both"/>
        <w:rPr>
          <w:sz w:val="24"/>
          <w:szCs w:val="24"/>
        </w:rPr>
      </w:pP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2" w:name="_heading=h.k42956bqj7ob" w:colFirst="0" w:colLast="0"/>
      <w:bookmarkEnd w:id="2"/>
      <w:r>
        <w:rPr>
          <w:rFonts w:ascii="Times New Roman" w:eastAsia="Times New Roman" w:hAnsi="Times New Roman" w:cs="Times New Roman"/>
          <w:b/>
          <w:bCs/>
          <w:sz w:val="24"/>
          <w:szCs w:val="24"/>
        </w:rPr>
        <w:t>Methodology</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article has taken a narrative review approach where a synthesis of available theoretical and empirical knowledge concerning sustainability and employee well-being has been undertaken. The peer reviewed journal articles, books, and policy reports published mostly in the past 20 years were reviewed. The review concentrates on interdisciplinary studies in the field of management, organizational psychology, economics and sustainability studies.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academic databases used to find literature using keywords like sustainability, employee well-being, social sustainability, sustainable HRM, and work place well-being in Scopus, Web of science and Google scholar. The selection of studies was done according to relevance, theoretical </w:t>
      </w:r>
      <w:r>
        <w:rPr>
          <w:rFonts w:ascii="Times New Roman" w:eastAsia="Times New Roman" w:hAnsi="Times New Roman" w:cs="Times New Roman"/>
          <w:sz w:val="24"/>
          <w:szCs w:val="24"/>
        </w:rPr>
        <w:lastRenderedPageBreak/>
        <w:t>contribution and rigor of the methodology. Both conceptual and empirical studies were enclosed in order to have a vivid picture of the topic.</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conducted a review was analyzed thematically, which allowed tracing the common patterns, theoretical frameworks, and empirical results. This will enable the incorporation of various views and point out gaps and discrepancies in already existing studies.</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heading=h.7mbqh265jrab" w:colFirst="0" w:colLast="0"/>
      <w:bookmarkEnd w:id="3"/>
      <w:r>
        <w:rPr>
          <w:rFonts w:ascii="Times New Roman" w:eastAsia="Times New Roman" w:hAnsi="Times New Roman" w:cs="Times New Roman"/>
          <w:b/>
          <w:bCs/>
          <w:sz w:val="24"/>
          <w:szCs w:val="24"/>
        </w:rPr>
        <w:t>Data Analysis and Interpretation</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of the studies under consideration shows that there are a few common patterns. To begin with, it can be said that there is a substantial amount of evidence demonstrating the positive correlation between sustainability-focused organizational activities and employee well-being outcomes including job satisfaction, engagement, and mental health. Companies that incorporate social sustainability in their policies also have lower turnover intentions and commitment by their employees.</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the critical mediating role goes to leadership. The connection between sustainability efforts and employee welfare is enhanced through transformational and ethical leadership styles which promote trust, fairness and shared purpose. When leaders maintain consistency in their values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then the employees tend to see sustainability efforts as real.</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organizational forces, including the industry type, the size of an organization, and the national culture, affect results. To illustrate, sustainability practices can have greater well-being advantages in the knowledge-intensive industries and in institutions where labor protections are high.</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there are methodological limitations. Cross-sectional surveys are the basis of a lot of research, and this restricts causation. The number of studies by developed economies is also overrepresented, and additional studies should be conducted in the environment of emerging and developing countries.</w:t>
      </w:r>
    </w:p>
    <w:p w:rsidR="004335AE" w:rsidRDefault="0028030C">
      <w:pPr>
        <w:pStyle w:val="Heading2"/>
        <w:keepNext w:val="0"/>
        <w:keepLines w:val="0"/>
        <w:spacing w:after="80" w:line="360" w:lineRule="auto"/>
        <w:jc w:val="both"/>
        <w:rPr>
          <w:rFonts w:ascii="Times New Roman" w:eastAsia="Times New Roman" w:hAnsi="Times New Roman" w:cs="Times New Roman"/>
          <w:b/>
          <w:bCs/>
          <w:sz w:val="24"/>
          <w:szCs w:val="24"/>
        </w:rPr>
      </w:pPr>
      <w:bookmarkStart w:id="4" w:name="_heading=h.8ott66yjgy55" w:colFirst="0" w:colLast="0"/>
      <w:bookmarkEnd w:id="4"/>
      <w:r>
        <w:rPr>
          <w:rFonts w:ascii="Times New Roman" w:eastAsia="Times New Roman" w:hAnsi="Times New Roman" w:cs="Times New Roman"/>
          <w:b/>
          <w:bCs/>
          <w:sz w:val="24"/>
          <w:szCs w:val="24"/>
        </w:rPr>
        <w:t>Discussion and Implications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 xml:space="preserve">The review establishes the existence of </w:t>
      </w:r>
      <w:proofErr w:type="spellStart"/>
      <w:proofErr w:type="gramStart"/>
      <w:r>
        <w:rPr>
          <w:rFonts w:ascii="Times New Roman" w:eastAsia="Times New Roman" w:hAnsi="Times New Roman" w:cs="Times New Roman"/>
          <w:color w:val="111111"/>
          <w:sz w:val="24"/>
          <w:szCs w:val="24"/>
        </w:rPr>
        <w:t>a</w:t>
      </w:r>
      <w:proofErr w:type="spellEnd"/>
      <w:proofErr w:type="gramEnd"/>
      <w:r>
        <w:rPr>
          <w:rFonts w:ascii="Times New Roman" w:eastAsia="Times New Roman" w:hAnsi="Times New Roman" w:cs="Times New Roman"/>
          <w:color w:val="111111"/>
          <w:sz w:val="24"/>
          <w:szCs w:val="24"/>
        </w:rPr>
        <w:t xml:space="preserve"> overall positive correlation between sustainability-oriented practices and employee well-being though it is mediated by leadership, organizational culture, and the allocation of resources.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First, the JD-R model can be discussed according to which sustainability initiatives contribute to more well-being under the condition that they raise job resources (autonomy, purpose, development opportunities).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On the other hand, sustainability measurements associated with performance pressures can also increase job requirements and lead to stress.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Second, another moderating factor is 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Transformational and ethical leaders can turn sustainability objectives into psychologically significant stories to diminish cynicism among the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Third, there is the institutional context.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movements toward sustainability in emerging economies typically overlap with regulatory compliance and informality in labor, and affect the perceptions of employees.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Lastly, the sustainability-well-being equation has changed due to post-COVID digital transformation.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Flexible employment positively impacts autonomy yet increases seclusion and online fatigue, which require well-being policies to be implemented structure-wise.</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results support the fact that employee well-being is:</w:t>
      </w:r>
    </w:p>
    <w:p w:rsidR="004335AE" w:rsidRDefault="004335AE">
      <w:pPr>
        <w:spacing w:line="360" w:lineRule="auto"/>
        <w:jc w:val="both"/>
        <w:rPr>
          <w:rFonts w:ascii="Times New Roman" w:eastAsia="Times New Roman" w:hAnsi="Times New Roman" w:cs="Times New Roman"/>
          <w:sz w:val="24"/>
          <w:szCs w:val="24"/>
        </w:rPr>
      </w:pP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 by-product of sustainability practices, and</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An organizational strategic facilitator of sustainable performance.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ACCOMPLishment</w:t>
      </w:r>
      <w:proofErr w:type="spellEnd"/>
      <w:r>
        <w:rPr>
          <w:rFonts w:ascii="Times New Roman" w:eastAsia="Times New Roman" w:hAnsi="Times New Roman" w:cs="Times New Roman"/>
          <w:color w:val="111111"/>
          <w:sz w:val="24"/>
          <w:szCs w:val="24"/>
        </w:rPr>
        <w:t xml:space="preserve"> of Goal(s) (Clearly Expressed)</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By conducting the study, the objectives were met as the study:</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five prominent theoretical perspectives into one explanatory mode.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Integrating cross-disciplinary empirical results between developed and emerging situations.</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Determining contextual moderators of sustainability-well-being relationship.</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Pointing out contradictory issues in sustainability practice.</w:t>
      </w:r>
    </w:p>
    <w:p w:rsidR="004335AE" w:rsidRDefault="0028030C">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Suggesting a research agenda with a focus on longitudinal and emerging-economy research.</w:t>
      </w:r>
    </w:p>
    <w:p w:rsidR="004335AE" w:rsidRDefault="004335AE"/>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Practical Implications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practitioners, the review shows that employee well-being should be integrated in sustainability strategies as opposed to it being viewed as an isolated HR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Organizations need to embrace holistic methods that would bring the environment-related objectives in line with the social and human factors. Investments in employee </w:t>
      </w:r>
      <w:proofErr w:type="spellStart"/>
      <w:r>
        <w:rPr>
          <w:rFonts w:ascii="Times New Roman" w:eastAsia="Times New Roman" w:hAnsi="Times New Roman" w:cs="Times New Roman"/>
          <w:color w:val="000000"/>
          <w:sz w:val="24"/>
          <w:szCs w:val="24"/>
        </w:rPr>
        <w:t>well being</w:t>
      </w:r>
      <w:proofErr w:type="spellEnd"/>
      <w:r>
        <w:rPr>
          <w:rFonts w:ascii="Times New Roman" w:eastAsia="Times New Roman" w:hAnsi="Times New Roman" w:cs="Times New Roman"/>
          <w:color w:val="000000"/>
          <w:sz w:val="24"/>
          <w:szCs w:val="24"/>
        </w:rPr>
        <w:t xml:space="preserve"> should be considered as long term investments in sustainability and not short term expenditure- like mental health support, flexible work arrangements and inclusion.</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also the possibility of tension between performance pressures and well-being that should be identified by managers and policymakers. Sustainable organizations must strike a balance between efficiency and humane working practice as sustainability objectives should not make the stress and inequality levels unknowingly.</w:t>
      </w:r>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Theoretical Implications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review adds to the theory by supporting the perception that employee well-being is a cause and a consequence of sustainability. By becoming more explicit in the sustainability systems, well-being can be integrated into the existing theories to enhance their holistic approaches to organizational performance. Further theoretical research needs to be conducted on dynamic and longitudinal correlations between sustainability programs and well-being outcomes.</w:t>
      </w:r>
    </w:p>
    <w:p w:rsidR="004335AE" w:rsidRDefault="002803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Achieved</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study has met its objectives in the sense that:</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five prominent theoretical schools of thought in a single explanatory model.</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Combining cross-disciplinary empirical research in developed and emerging settings.</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Determining contextual moderators that affect the sustainability- well-being relationship.</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Promoting paradoxical tensions of sustainability implementation.</w:t>
      </w:r>
    </w:p>
    <w:p w:rsidR="004335AE" w:rsidRDefault="0028030C">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Suggesting a research agenda that focuses on longitudinal research and research in emerging economies.</w:t>
      </w:r>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 and Future Research Direction</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review confirms that employee well-being is not an indirect human resource outcome but rather one of the pillars of organizational sustainability. Sustainability is more than the performance indicators of environment and financial </w:t>
      </w:r>
      <w:proofErr w:type="spellStart"/>
      <w:r>
        <w:rPr>
          <w:rFonts w:ascii="Times New Roman" w:eastAsia="Times New Roman" w:hAnsi="Times New Roman" w:cs="Times New Roman"/>
          <w:color w:val="000000"/>
          <w:sz w:val="24"/>
          <w:szCs w:val="24"/>
        </w:rPr>
        <w:t>well being</w:t>
      </w:r>
      <w:proofErr w:type="spellEnd"/>
      <w:r>
        <w:rPr>
          <w:rFonts w:ascii="Times New Roman" w:eastAsia="Times New Roman" w:hAnsi="Times New Roman" w:cs="Times New Roman"/>
          <w:color w:val="000000"/>
          <w:sz w:val="24"/>
          <w:szCs w:val="24"/>
        </w:rPr>
        <w:t xml:space="preserve"> but essentially, it is defined in regards to the ability of an organization to maintain, acquire and recycle human capital as time goes by. Companies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be described as sustainable when the model of their operations deprives the workers of their energy, undermines their psychological well-being, and reduces their employability in the long term.</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review reveals the sustainability-well-being nexus as dynamic and multidimensional and context-specific. Implemented in a reliable and authentic way and being part of organizational values, especially in an ethical and transformational leadership style, sustainability actions increase engagement, psychological safety, intrinsic motivation, and organizational resilience. Sustainability programs, in this case, get purposeful to the staff and trust and dedication is consolidated between the parties. On the other hand, workload pressure, role ambiguity, and stress induced by performance-sustainability poorly coordinated may unintentionally exacerbate workload pressures, role ambiguity, and stress and also, negatively affect the health of employees, which serves as a contradiction to sustainability objectives. In such a way, quality of implementation, alignment of leaders, and contextual conditions are critical to the influence of sustainability practices.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review also notes various significant gaps in the research. To begin with, a large portion of the evidence out there is cross-sectional and does not allow causation. The future research ought to focus on longitudinal and experimental research designs to determine the directional relationships among sustainability initiatives and the well-being outcomes. Second, there is need to compare across cultures and institutions, especially in the emerging and developing economies where the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market structures are significantly different, as well as the regulatory framework </w:t>
      </w:r>
      <w:r>
        <w:rPr>
          <w:rFonts w:ascii="Times New Roman" w:eastAsia="Times New Roman" w:hAnsi="Times New Roman" w:cs="Times New Roman"/>
          <w:color w:val="000000"/>
          <w:sz w:val="24"/>
          <w:szCs w:val="24"/>
        </w:rPr>
        <w:lastRenderedPageBreak/>
        <w:t>and the cultural norms. Third, multilevel modeling techniques are required to identify the interactions between individuals, organizations and institutions.</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also new macro-level forces that need to be looked at systematically. The organizational practices and employee experience are transforming due to digital transformation, remote and hybrid working systems, ESG reporting pressures and climate transition policies. These forces can both generate new opportunities of flexibility and purpose as well as bring about digital overload, performance intensification and uncertainty. The importance of finding out the mediation or moderating role of these changing structural conditions to the sustainability-well-being relationship is a crucial topic to be studied in the future.</w:t>
      </w:r>
    </w:p>
    <w:p w:rsidR="004335AE" w:rsidRDefault="0028030C">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 w:name="_heading=h.mth4flct7wk7" w:colFirst="0" w:colLast="0"/>
      <w:bookmarkEnd w:id="5"/>
      <w:r>
        <w:rPr>
          <w:rFonts w:ascii="Times New Roman" w:eastAsia="Times New Roman" w:hAnsi="Times New Roman" w:cs="Times New Roman"/>
          <w:color w:val="000000"/>
          <w:sz w:val="24"/>
          <w:szCs w:val="24"/>
        </w:rPr>
        <w:t>Finally, the greater the extent to which human sustainability is introduced into the main strategic decisions made by the organization, the more chances it will have to attain sustainable competitive advantage, labor strength, and social credibility. This move towards human based sustainability is not only an ethical demand but also a strategic one in a world of disruption, uncertainty, and institutional questioning. Organizations in the future that succeed in aligning environmental responsibility, economic performance, and employee well-being in a new and integrating system will be sustainable.</w:t>
      </w:r>
    </w:p>
    <w:p w:rsidR="004335AE" w:rsidRDefault="002803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Contribution of the Study</w:t>
      </w:r>
    </w:p>
    <w:p w:rsidR="004335AE" w:rsidRDefault="004335AE">
      <w:pPr>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research contributes to the sustainability and organizational behavior literature in four major ways.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Integration Contribution Theoretical.</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First, the research combines disjointed theoretical assumptions, including Triple Bottom Line theory, Stakeholder Theory, Social Exchange Theory, Job Demands-Resources (JD-R) model, and Self-Determination Theory into a single theoretical framework of explanation.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previous studies have explored either sustainability or employee well-being alone, little has been done to combine these two views into a unified model that can explain how sustainability practices affect well-being based on both a psychological and structural approach.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is that integrative base that is found in this review.</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Reframing the Well-Being of the Employees.</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Second, the paper redefines employee well-being as not just a social deliverable of sustainability but also as a strategic facilitator of long term organizational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 suggests that there is a two way model where:</w:t>
      </w:r>
    </w:p>
    <w:p w:rsidR="004335AE" w:rsidRDefault="004335AE">
      <w:pPr>
        <w:ind w:left="720"/>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Sustainability practices contribute to the welfare of employees, and</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Sustainable performance is supported by employee well-being in terms of engagement, resilience, and organizational commitment.</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dynamic thinking is no longer linear in its cause-effect explanations but a loop of human sustainability, and well-being is placed as the core of sustainable competitive advantage.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Paradox and Tension Perspective.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Third, the research provides a value to the study by specifically dealing with the paradoxical impacts of implementing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sustainability efforts tend to benefit job resources, they can also lead to job demand pressures via performance pressures, ESG reporting pressures, restructuring, and transformations caused by efficient activities.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Through the incorporation of the JD-R model, the review emphasizes that the sustainability initiatives might also augment as well as harm the well-being according to the allocation of resources, alignment of the leadership, and the quality of the implementation.</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paradox provides a theoretical background and shifts the discussion out of excessively optimistic suppositions.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111111"/>
          <w:sz w:val="24"/>
          <w:szCs w:val="24"/>
        </w:rPr>
        <w:t>Contextual and Emerging Economy Contribution.</w:t>
      </w:r>
    </w:p>
    <w:p w:rsidR="004335AE" w:rsidRDefault="004335AE">
      <w:pPr>
        <w:ind w:left="720"/>
        <w:jc w:val="both"/>
        <w:rPr>
          <w:rFonts w:ascii="Times New Roman" w:eastAsia="Times New Roman" w:hAnsi="Times New Roman" w:cs="Times New Roman"/>
          <w:sz w:val="24"/>
          <w:szCs w:val="24"/>
        </w:rPr>
      </w:pP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Fourth, the paper focuses on setting-specific boundary conditions, especially with the emerging economies and post-COVID working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majority of the sustainability-well-being literature is focused in the developed Western settings.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review increases the theoretical applicability to developing economies, in which labor market structures, informality, and regulatory pressures vary significantly by identifying institutional, cultural, regulatory, and digital transformation moderators.</w:t>
      </w:r>
    </w:p>
    <w:p w:rsidR="004335AE" w:rsidRDefault="002803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This contextualization increases globally and offers guidelines to comparative, multilevel and longitudinal analyses.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Formulation of an Integrative Conceptual Framework.</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Last, the research puts forward a conceptual model that integrates:</w:t>
      </w:r>
    </w:p>
    <w:p w:rsidR="004335AE" w:rsidRDefault="0028030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Sustainability practices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Arbitrating psychological processes.</w:t>
      </w:r>
    </w:p>
    <w:p w:rsidR="004335AE" w:rsidRDefault="0028030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 moderators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Employee performance results.</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Sustainable organizational performance.</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The framework offers an </w:t>
      </w:r>
      <w:proofErr w:type="spellStart"/>
      <w:r>
        <w:rPr>
          <w:rFonts w:ascii="Times New Roman" w:eastAsia="Times New Roman" w:hAnsi="Times New Roman" w:cs="Times New Roman"/>
          <w:color w:val="111111"/>
          <w:sz w:val="24"/>
          <w:szCs w:val="24"/>
        </w:rPr>
        <w:t>organised</w:t>
      </w:r>
      <w:proofErr w:type="spellEnd"/>
      <w:r>
        <w:rPr>
          <w:rFonts w:ascii="Times New Roman" w:eastAsia="Times New Roman" w:hAnsi="Times New Roman" w:cs="Times New Roman"/>
          <w:color w:val="111111"/>
          <w:sz w:val="24"/>
          <w:szCs w:val="24"/>
        </w:rPr>
        <w:t xml:space="preserve"> foundation to empirical testing in the future with longitudinal, multilevel and cross-cultural researches.</w:t>
      </w:r>
    </w:p>
    <w:p w:rsidR="004335AE" w:rsidRDefault="004335AE">
      <w:pPr>
        <w:jc w:val="both"/>
        <w:rPr>
          <w:rFonts w:ascii="Times New Roman" w:eastAsia="Times New Roman" w:hAnsi="Times New Roman" w:cs="Times New Roman"/>
          <w:sz w:val="24"/>
          <w:szCs w:val="24"/>
        </w:rPr>
      </w:pPr>
    </w:p>
    <w:p w:rsidR="004335AE" w:rsidRDefault="0028030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Positioning</w:t>
      </w:r>
    </w:p>
    <w:p w:rsidR="004335AE" w:rsidRDefault="004335AE">
      <w:pPr>
        <w:ind w:left="720"/>
        <w:jc w:val="both"/>
        <w:rPr>
          <w:rFonts w:ascii="Times New Roman" w:eastAsia="Times New Roman" w:hAnsi="Times New Roman" w:cs="Times New Roman"/>
          <w:sz w:val="24"/>
          <w:szCs w:val="24"/>
        </w:rPr>
      </w:pP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Having cleared up this methodology and added its arm:</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Methodological rigor is achieved in the study.</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Theoretical development is well defined.</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paper turns the descriptive review into integrative conceptual development.</w:t>
      </w:r>
    </w:p>
    <w:p w:rsidR="004335AE" w:rsidRDefault="0028030C">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Sustainability-well-being nexus is placed as a dynamic, sensitive-to-context and strategically important concept.</w:t>
      </w:r>
    </w:p>
    <w:p w:rsidR="004335AE" w:rsidRDefault="004335AE">
      <w:pPr>
        <w:rPr>
          <w:rFonts w:ascii="Calibri" w:eastAsia="Calibri" w:hAnsi="Calibri" w:cs="Calibri"/>
          <w:highlight w:val="yellow"/>
        </w:rPr>
      </w:pPr>
      <w:bookmarkStart w:id="6" w:name="_heading=h.hyypt3x97rcs" w:colFirst="0" w:colLast="0"/>
      <w:bookmarkEnd w:id="6"/>
    </w:p>
    <w:p w:rsidR="004335AE" w:rsidRDefault="0028030C">
      <w:pPr>
        <w:pBdr>
          <w:top w:val="nil"/>
          <w:left w:val="nil"/>
          <w:bottom w:val="nil"/>
          <w:right w:val="nil"/>
          <w:between w:val="nil"/>
        </w:pBdr>
        <w:spacing w:line="240" w:lineRule="auto"/>
        <w:rPr>
          <w:color w:val="000000"/>
          <w:highlight w:val="yellow"/>
        </w:rPr>
      </w:pPr>
      <w:bookmarkStart w:id="7" w:name="_heading=h.jvoz0cuf2bl5" w:colFirst="0" w:colLast="0"/>
      <w:bookmarkEnd w:id="7"/>
      <w:r>
        <w:rPr>
          <w:color w:val="000000"/>
          <w:highlight w:val="yellow"/>
        </w:rPr>
        <w:t>Disclaimer (Artificial intelligence)</w:t>
      </w:r>
    </w:p>
    <w:p w:rsidR="004335AE" w:rsidRDefault="004335AE">
      <w:pPr>
        <w:pBdr>
          <w:top w:val="nil"/>
          <w:left w:val="nil"/>
          <w:bottom w:val="nil"/>
          <w:right w:val="nil"/>
          <w:between w:val="nil"/>
        </w:pBdr>
        <w:spacing w:line="240" w:lineRule="auto"/>
        <w:rPr>
          <w:color w:val="000000"/>
          <w:highlight w:val="yellow"/>
        </w:rPr>
      </w:pPr>
    </w:p>
    <w:p w:rsidR="004335AE" w:rsidRDefault="0028030C">
      <w:pPr>
        <w:pBdr>
          <w:top w:val="nil"/>
          <w:left w:val="nil"/>
          <w:bottom w:val="nil"/>
          <w:right w:val="nil"/>
          <w:between w:val="nil"/>
        </w:pBdr>
        <w:spacing w:line="240" w:lineRule="auto"/>
        <w:rPr>
          <w:color w:val="000000"/>
          <w:highlight w:val="yellow"/>
        </w:rPr>
      </w:pPr>
      <w:r>
        <w:rPr>
          <w:color w:val="000000"/>
          <w:highlight w:val="yellow"/>
        </w:rPr>
        <w:t>Author(s) hereby declare that NO generative AI technologies such as Large Language Models (</w:t>
      </w:r>
      <w:proofErr w:type="spellStart"/>
      <w:r>
        <w:rPr>
          <w:color w:val="000000"/>
          <w:highlight w:val="yellow"/>
        </w:rPr>
        <w:t>ChatGPT</w:t>
      </w:r>
      <w:proofErr w:type="spellEnd"/>
      <w:r>
        <w:rPr>
          <w:color w:val="000000"/>
          <w:highlight w:val="yellow"/>
        </w:rPr>
        <w:t xml:space="preserve">, COPILOT, etc.) and text-to-image generators have been used during the writing or editing of this manuscript. </w:t>
      </w:r>
    </w:p>
    <w:p w:rsidR="004335AE" w:rsidRDefault="004335AE">
      <w:pPr>
        <w:pBdr>
          <w:top w:val="nil"/>
          <w:left w:val="nil"/>
          <w:bottom w:val="nil"/>
          <w:right w:val="nil"/>
          <w:between w:val="nil"/>
        </w:pBdr>
        <w:spacing w:line="240" w:lineRule="auto"/>
        <w:rPr>
          <w:color w:val="000000"/>
          <w:highlight w:val="yellow"/>
        </w:rPr>
      </w:pPr>
    </w:p>
    <w:p w:rsidR="004335AE" w:rsidRDefault="004335AE">
      <w:bookmarkStart w:id="8" w:name="_heading=h.jirb70k0p84p" w:colFirst="0" w:colLast="0"/>
      <w:bookmarkEnd w:id="8"/>
    </w:p>
    <w:p w:rsidR="004335AE" w:rsidRDefault="0028030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9" w:name="_heading=h.lcdjs0bimr4z" w:colFirst="0" w:colLast="0"/>
      <w:bookmarkEnd w:id="9"/>
      <w:r>
        <w:rPr>
          <w:rFonts w:ascii="Times New Roman" w:eastAsia="Times New Roman" w:hAnsi="Times New Roman" w:cs="Times New Roman"/>
          <w:b/>
          <w:bCs/>
          <w:color w:val="000000"/>
          <w:sz w:val="24"/>
          <w:szCs w:val="24"/>
        </w:rPr>
        <w:t>REFERENCES</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Aguinis</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Glavas</w:t>
      </w:r>
      <w:proofErr w:type="spellEnd"/>
      <w:r>
        <w:rPr>
          <w:rFonts w:ascii="Times New Roman" w:eastAsia="Times New Roman" w:hAnsi="Times New Roman" w:cs="Times New Roman"/>
          <w:sz w:val="24"/>
          <w:szCs w:val="24"/>
        </w:rPr>
        <w:t xml:space="preserve">, A. (2019). On corporate social responsibility, sensemaking, and the search for meaningfulness through work. </w:t>
      </w:r>
      <w:r>
        <w:rPr>
          <w:rFonts w:ascii="Times New Roman" w:eastAsia="Times New Roman" w:hAnsi="Times New Roman" w:cs="Times New Roman"/>
          <w:i/>
          <w:iCs/>
          <w:sz w:val="24"/>
          <w:szCs w:val="24"/>
        </w:rPr>
        <w:t>Journal of Management, 45</w:t>
      </w:r>
      <w:r>
        <w:rPr>
          <w:rFonts w:ascii="Times New Roman" w:eastAsia="Times New Roman" w:hAnsi="Times New Roman" w:cs="Times New Roman"/>
          <w:sz w:val="24"/>
          <w:szCs w:val="24"/>
        </w:rPr>
        <w:t>(3), 1057–1086.</w:t>
      </w:r>
      <w:hyperlink r:id="rId8">
        <w:r>
          <w:rPr>
            <w:rFonts w:ascii="Times New Roman" w:eastAsia="Times New Roman" w:hAnsi="Times New Roman" w:cs="Times New Roman"/>
            <w:sz w:val="24"/>
            <w:szCs w:val="24"/>
          </w:rPr>
          <w:t xml:space="preserve"> https://doi.org/10.1177/0149206317691575</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T. D., Golden, T. D., &amp; Shockley, K. M. (2015). How effective is telecommuting? Assessing the status of our scientific findings. </w:t>
      </w:r>
      <w:r>
        <w:rPr>
          <w:rFonts w:ascii="Times New Roman" w:eastAsia="Times New Roman" w:hAnsi="Times New Roman" w:cs="Times New Roman"/>
          <w:i/>
          <w:iCs/>
          <w:sz w:val="24"/>
          <w:szCs w:val="24"/>
        </w:rPr>
        <w:t>Psychological Science in the Public Interest, 16</w:t>
      </w:r>
      <w:r>
        <w:rPr>
          <w:rFonts w:ascii="Times New Roman" w:eastAsia="Times New Roman" w:hAnsi="Times New Roman" w:cs="Times New Roman"/>
          <w:sz w:val="24"/>
          <w:szCs w:val="24"/>
        </w:rPr>
        <w:t>(2), 40–68.</w:t>
      </w:r>
      <w:hyperlink r:id="rId9">
        <w:r>
          <w:rPr>
            <w:rFonts w:ascii="Times New Roman" w:eastAsia="Times New Roman" w:hAnsi="Times New Roman" w:cs="Times New Roman"/>
            <w:sz w:val="24"/>
            <w:szCs w:val="24"/>
          </w:rPr>
          <w:t xml:space="preserve"> https://doi.org/10.1177/1529100615593273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Bakker, A. B., &amp;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E. (2017). Job demands–resources theory: Taking stock and looking forward. </w:t>
      </w:r>
      <w:r>
        <w:rPr>
          <w:rFonts w:ascii="Times New Roman" w:eastAsia="Times New Roman" w:hAnsi="Times New Roman" w:cs="Times New Roman"/>
          <w:i/>
          <w:iCs/>
          <w:sz w:val="24"/>
          <w:szCs w:val="24"/>
        </w:rPr>
        <w:t>Journal of Occupational Health Psychology, 22</w:t>
      </w:r>
      <w:r>
        <w:rPr>
          <w:rFonts w:ascii="Times New Roman" w:eastAsia="Times New Roman" w:hAnsi="Times New Roman" w:cs="Times New Roman"/>
          <w:sz w:val="24"/>
          <w:szCs w:val="24"/>
        </w:rPr>
        <w:t>(3), 273–285.</w:t>
      </w:r>
      <w:hyperlink r:id="rId10">
        <w:r>
          <w:rPr>
            <w:rFonts w:ascii="Times New Roman" w:eastAsia="Times New Roman" w:hAnsi="Times New Roman" w:cs="Times New Roman"/>
            <w:sz w:val="24"/>
            <w:szCs w:val="24"/>
          </w:rPr>
          <w:t xml:space="preserve"> https://doi.org/10.1037/ocp0000056</w:t>
        </w:r>
      </w:hyperlink>
    </w:p>
    <w:p w:rsidR="004335AE" w:rsidRDefault="0028030C" w:rsidP="006C7256">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P., Song, H.-C., &amp; Zhang, Y. (2022). Sustainable business model innovation: Toward a theory of corporate sustainability. </w:t>
      </w:r>
      <w:r>
        <w:rPr>
          <w:rFonts w:ascii="Times New Roman" w:eastAsia="Times New Roman" w:hAnsi="Times New Roman" w:cs="Times New Roman"/>
          <w:i/>
          <w:iCs/>
          <w:sz w:val="24"/>
          <w:szCs w:val="24"/>
        </w:rPr>
        <w:t>Organization &amp; Environment, 35</w:t>
      </w:r>
      <w:r>
        <w:rPr>
          <w:rFonts w:ascii="Times New Roman" w:eastAsia="Times New Roman" w:hAnsi="Times New Roman" w:cs="Times New Roman"/>
          <w:sz w:val="24"/>
          <w:szCs w:val="24"/>
        </w:rPr>
        <w:t>(2), 169–194. https://doi.org/10.1177/10860266211027550</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Biju, A. V., Vijaya Kumar, M., &amp; Akhil, M. P. (2022). Assessing the effect of work from home on the work–life balance of IT employees. </w:t>
      </w:r>
      <w:r>
        <w:rPr>
          <w:rFonts w:ascii="Times New Roman" w:eastAsia="Times New Roman" w:hAnsi="Times New Roman" w:cs="Times New Roman"/>
          <w:i/>
          <w:iCs/>
          <w:sz w:val="24"/>
          <w:szCs w:val="24"/>
        </w:rPr>
        <w:t>International Journal of Human Capital and Information Technology Professionals, 13</w:t>
      </w:r>
      <w:r>
        <w:rPr>
          <w:rFonts w:ascii="Times New Roman" w:eastAsia="Times New Roman" w:hAnsi="Times New Roman" w:cs="Times New Roman"/>
          <w:sz w:val="24"/>
          <w:szCs w:val="24"/>
        </w:rPr>
        <w:t>(1).</w:t>
      </w:r>
      <w:hyperlink r:id="rId11">
        <w:r>
          <w:rPr>
            <w:rFonts w:ascii="Times New Roman" w:eastAsia="Times New Roman" w:hAnsi="Times New Roman" w:cs="Times New Roman"/>
            <w:sz w:val="24"/>
            <w:szCs w:val="24"/>
          </w:rPr>
          <w:t xml:space="preserve"> https://doi.org/10.4018/IJHCITP.303951</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Brundtland, G. H. (1987). </w:t>
      </w:r>
      <w:r>
        <w:rPr>
          <w:rFonts w:ascii="Times New Roman" w:eastAsia="Times New Roman" w:hAnsi="Times New Roman" w:cs="Times New Roman"/>
          <w:i/>
          <w:iCs/>
          <w:sz w:val="24"/>
          <w:szCs w:val="24"/>
        </w:rPr>
        <w:t>Our common future</w:t>
      </w:r>
      <w:r>
        <w:rPr>
          <w:rFonts w:ascii="Times New Roman" w:eastAsia="Times New Roman" w:hAnsi="Times New Roman" w:cs="Times New Roman"/>
          <w:sz w:val="24"/>
          <w:szCs w:val="24"/>
        </w:rPr>
        <w:t>. Oxford University Press.</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R., &amp; Mitchell, M. S. (2005). Social exchange theory: An interdisciplinary review. </w:t>
      </w:r>
      <w:r>
        <w:rPr>
          <w:rFonts w:ascii="Times New Roman" w:eastAsia="Times New Roman" w:hAnsi="Times New Roman" w:cs="Times New Roman"/>
          <w:i/>
          <w:iCs/>
          <w:sz w:val="24"/>
          <w:szCs w:val="24"/>
        </w:rPr>
        <w:t>Journal of Management, 31</w:t>
      </w:r>
      <w:r>
        <w:rPr>
          <w:rFonts w:ascii="Times New Roman" w:eastAsia="Times New Roman" w:hAnsi="Times New Roman" w:cs="Times New Roman"/>
          <w:sz w:val="24"/>
          <w:szCs w:val="24"/>
        </w:rPr>
        <w:t>(6), 874–900.</w:t>
      </w:r>
      <w:hyperlink r:id="rId12">
        <w:r>
          <w:rPr>
            <w:rFonts w:ascii="Times New Roman" w:eastAsia="Times New Roman" w:hAnsi="Times New Roman" w:cs="Times New Roman"/>
            <w:sz w:val="24"/>
            <w:szCs w:val="24"/>
          </w:rPr>
          <w:t xml:space="preserve"> https://doi.org/10.1177/0149206305279602</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 E. L., &amp; Ryan, R. M. (2000). The “what” and “why” of goal pursuits: Human needs and the self-determination of behavior. </w:t>
      </w:r>
      <w:r>
        <w:rPr>
          <w:rFonts w:ascii="Times New Roman" w:eastAsia="Times New Roman" w:hAnsi="Times New Roman" w:cs="Times New Roman"/>
          <w:i/>
          <w:iCs/>
          <w:sz w:val="24"/>
          <w:szCs w:val="24"/>
        </w:rPr>
        <w:t>Psychological Inquiry, 11</w:t>
      </w:r>
      <w:r>
        <w:rPr>
          <w:rFonts w:ascii="Times New Roman" w:eastAsia="Times New Roman" w:hAnsi="Times New Roman" w:cs="Times New Roman"/>
          <w:sz w:val="24"/>
          <w:szCs w:val="24"/>
        </w:rPr>
        <w:t>(4), 227–268.</w:t>
      </w:r>
      <w:hyperlink r:id="rId13">
        <w:r>
          <w:rPr>
            <w:rFonts w:ascii="Times New Roman" w:eastAsia="Times New Roman" w:hAnsi="Times New Roman" w:cs="Times New Roman"/>
            <w:sz w:val="24"/>
            <w:szCs w:val="24"/>
          </w:rPr>
          <w:t xml:space="preserve"> https://doi.org/10.1207/S15327965PLI1104_01</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T., &amp; Muff, K. (2016). Clarifying the meaning of sustainable business: Introducing a typology from business-as-usual to true business sustainability. </w:t>
      </w:r>
      <w:r>
        <w:rPr>
          <w:rFonts w:ascii="Times New Roman" w:eastAsia="Times New Roman" w:hAnsi="Times New Roman" w:cs="Times New Roman"/>
          <w:i/>
          <w:iCs/>
          <w:sz w:val="24"/>
          <w:szCs w:val="24"/>
        </w:rPr>
        <w:t>Organization &amp; Environment, 29</w:t>
      </w:r>
      <w:r>
        <w:rPr>
          <w:rFonts w:ascii="Times New Roman" w:eastAsia="Times New Roman" w:hAnsi="Times New Roman" w:cs="Times New Roman"/>
          <w:sz w:val="24"/>
          <w:szCs w:val="24"/>
        </w:rPr>
        <w:t>(2), 156–174.</w:t>
      </w:r>
      <w:hyperlink r:id="rId14">
        <w:r>
          <w:rPr>
            <w:rFonts w:ascii="Times New Roman" w:eastAsia="Times New Roman" w:hAnsi="Times New Roman" w:cs="Times New Roman"/>
            <w:sz w:val="24"/>
            <w:szCs w:val="24"/>
          </w:rPr>
          <w:t xml:space="preserve"> https://doi.org/10.1177/1086026615575176</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Elkington, J. (1997). </w:t>
      </w:r>
      <w:r>
        <w:rPr>
          <w:rFonts w:ascii="Times New Roman" w:eastAsia="Times New Roman" w:hAnsi="Times New Roman" w:cs="Times New Roman"/>
          <w:i/>
          <w:iCs/>
          <w:sz w:val="24"/>
          <w:szCs w:val="24"/>
        </w:rPr>
        <w:t>Cannibals with forks: The triple bottom line of 21st century business</w:t>
      </w:r>
      <w:r>
        <w:rPr>
          <w:rFonts w:ascii="Times New Roman" w:eastAsia="Times New Roman" w:hAnsi="Times New Roman" w:cs="Times New Roman"/>
          <w:sz w:val="24"/>
          <w:szCs w:val="24"/>
        </w:rPr>
        <w:t>. Capstone.</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D. E. (2017). Human resource management and employee well-being: Towards a new analytic framework. </w:t>
      </w:r>
      <w:r>
        <w:rPr>
          <w:rFonts w:ascii="Times New Roman" w:eastAsia="Times New Roman" w:hAnsi="Times New Roman" w:cs="Times New Roman"/>
          <w:i/>
          <w:iCs/>
          <w:sz w:val="24"/>
          <w:szCs w:val="24"/>
        </w:rPr>
        <w:t>Human Resource Management Journal, 27</w:t>
      </w:r>
      <w:r>
        <w:rPr>
          <w:rFonts w:ascii="Times New Roman" w:eastAsia="Times New Roman" w:hAnsi="Times New Roman" w:cs="Times New Roman"/>
          <w:sz w:val="24"/>
          <w:szCs w:val="24"/>
        </w:rPr>
        <w:t>(1), 22–38.</w:t>
      </w:r>
      <w:hyperlink r:id="rId15">
        <w:r>
          <w:rPr>
            <w:rFonts w:ascii="Times New Roman" w:eastAsia="Times New Roman" w:hAnsi="Times New Roman" w:cs="Times New Roman"/>
            <w:sz w:val="24"/>
            <w:szCs w:val="24"/>
          </w:rPr>
          <w:t xml:space="preserve"> https://doi.org/10.1111/1748-8583.12139</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Harter, J. K., Schmidt, F. L., &amp; Hayes, T. L. (2002). Business-unit-level relationship between employee satisfaction, employee engagement, and business outcomes: A meta-analysis. </w:t>
      </w:r>
      <w:r>
        <w:rPr>
          <w:rFonts w:ascii="Times New Roman" w:eastAsia="Times New Roman" w:hAnsi="Times New Roman" w:cs="Times New Roman"/>
          <w:i/>
          <w:iCs/>
          <w:sz w:val="24"/>
          <w:szCs w:val="24"/>
        </w:rPr>
        <w:t>Journal of Applied Psychology, 87</w:t>
      </w:r>
      <w:r>
        <w:rPr>
          <w:rFonts w:ascii="Times New Roman" w:eastAsia="Times New Roman" w:hAnsi="Times New Roman" w:cs="Times New Roman"/>
          <w:sz w:val="24"/>
          <w:szCs w:val="24"/>
        </w:rPr>
        <w:t>(2), 268–279.</w:t>
      </w:r>
      <w:hyperlink r:id="rId16">
        <w:r>
          <w:rPr>
            <w:rFonts w:ascii="Times New Roman" w:eastAsia="Times New Roman" w:hAnsi="Times New Roman" w:cs="Times New Roman"/>
            <w:sz w:val="24"/>
            <w:szCs w:val="24"/>
          </w:rPr>
          <w:t xml:space="preserve"> https://doi.org/10.1037/0021-9010.87.2.268</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Inceoglu</w:t>
      </w:r>
      <w:proofErr w:type="spellEnd"/>
      <w:r>
        <w:rPr>
          <w:rFonts w:ascii="Times New Roman" w:eastAsia="Times New Roman" w:hAnsi="Times New Roman" w:cs="Times New Roman"/>
          <w:sz w:val="24"/>
          <w:szCs w:val="24"/>
        </w:rPr>
        <w:t xml:space="preserve">, I., Thomas, G., Chu, C., Plans, D., &amp; </w:t>
      </w:r>
      <w:proofErr w:type="spellStart"/>
      <w:r>
        <w:rPr>
          <w:rFonts w:ascii="Times New Roman" w:eastAsia="Times New Roman" w:hAnsi="Times New Roman" w:cs="Times New Roman"/>
          <w:sz w:val="24"/>
          <w:szCs w:val="24"/>
        </w:rPr>
        <w:t>Gerbasi</w:t>
      </w:r>
      <w:proofErr w:type="spellEnd"/>
      <w:r>
        <w:rPr>
          <w:rFonts w:ascii="Times New Roman" w:eastAsia="Times New Roman" w:hAnsi="Times New Roman" w:cs="Times New Roman"/>
          <w:sz w:val="24"/>
          <w:szCs w:val="24"/>
        </w:rPr>
        <w:t xml:space="preserve">, A. (2023). Leadership behavior and employee well-being: A meta-analysis. </w:t>
      </w:r>
      <w:r>
        <w:rPr>
          <w:rFonts w:ascii="Times New Roman" w:eastAsia="Times New Roman" w:hAnsi="Times New Roman" w:cs="Times New Roman"/>
          <w:i/>
          <w:iCs/>
          <w:sz w:val="24"/>
          <w:szCs w:val="24"/>
        </w:rPr>
        <w:t>Journal of Organizational Behavior, 44</w:t>
      </w:r>
      <w:r>
        <w:rPr>
          <w:rFonts w:ascii="Times New Roman" w:eastAsia="Times New Roman" w:hAnsi="Times New Roman" w:cs="Times New Roman"/>
          <w:sz w:val="24"/>
          <w:szCs w:val="24"/>
        </w:rPr>
        <w:t>(2), 221–245.</w:t>
      </w:r>
      <w:hyperlink r:id="rId17">
        <w:r>
          <w:rPr>
            <w:rFonts w:ascii="Times New Roman" w:eastAsia="Times New Roman" w:hAnsi="Times New Roman" w:cs="Times New Roman"/>
            <w:sz w:val="24"/>
            <w:szCs w:val="24"/>
          </w:rPr>
          <w:t xml:space="preserve"> https://doi.org/10.1002/job.2613</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(2024). Gender (women-led households) as a determinant of consumption expenditure on food during March 2020: A case study of Maharashtra. </w:t>
      </w:r>
      <w:r>
        <w:rPr>
          <w:rFonts w:ascii="Times New Roman" w:eastAsia="Times New Roman" w:hAnsi="Times New Roman" w:cs="Times New Roman"/>
          <w:i/>
          <w:iCs/>
          <w:sz w:val="24"/>
          <w:szCs w:val="24"/>
        </w:rPr>
        <w:t>South Eastern European Journal of Public Health (SEEJPH)</w:t>
      </w:r>
      <w:r>
        <w:rPr>
          <w:rFonts w:ascii="Times New Roman" w:eastAsia="Times New Roman" w:hAnsi="Times New Roman" w:cs="Times New Roman"/>
          <w:sz w:val="24"/>
          <w:szCs w:val="24"/>
        </w:rPr>
        <w:t>.</w:t>
      </w:r>
    </w:p>
    <w:p w:rsidR="004335AE" w:rsidRDefault="0028030C">
      <w:pPr>
        <w:spacing w:before="240" w:after="240" w:line="360" w:lineRule="auto"/>
        <w:jc w:val="both"/>
        <w:rPr>
          <w:color w:val="222222"/>
          <w:sz w:val="20"/>
          <w:szCs w:val="20"/>
          <w:highlight w:val="white"/>
        </w:rPr>
      </w:pPr>
      <w:proofErr w:type="spellStart"/>
      <w:r>
        <w:rPr>
          <w:rFonts w:ascii="Times New Roman" w:eastAsia="Times New Roman" w:hAnsi="Times New Roman" w:cs="Times New Roman"/>
          <w:color w:val="222222"/>
          <w:sz w:val="24"/>
          <w:szCs w:val="24"/>
          <w:highlight w:val="white"/>
        </w:rPr>
        <w:t>Jayachitra</w:t>
      </w:r>
      <w:proofErr w:type="spellEnd"/>
      <w:r>
        <w:rPr>
          <w:rFonts w:ascii="Times New Roman" w:eastAsia="Times New Roman" w:hAnsi="Times New Roman" w:cs="Times New Roman"/>
          <w:color w:val="222222"/>
          <w:sz w:val="24"/>
          <w:szCs w:val="24"/>
          <w:highlight w:val="white"/>
        </w:rPr>
        <w:t xml:space="preserve">, T. A., &amp; </w:t>
      </w:r>
      <w:proofErr w:type="spellStart"/>
      <w:r>
        <w:rPr>
          <w:rFonts w:ascii="Times New Roman" w:eastAsia="Times New Roman" w:hAnsi="Times New Roman" w:cs="Times New Roman"/>
          <w:color w:val="222222"/>
          <w:sz w:val="24"/>
          <w:szCs w:val="24"/>
          <w:highlight w:val="white"/>
        </w:rPr>
        <w:t>Jagannarayan</w:t>
      </w:r>
      <w:proofErr w:type="spellEnd"/>
      <w:r>
        <w:rPr>
          <w:rFonts w:ascii="Times New Roman" w:eastAsia="Times New Roman" w:hAnsi="Times New Roman" w:cs="Times New Roman"/>
          <w:color w:val="222222"/>
          <w:sz w:val="24"/>
          <w:szCs w:val="24"/>
          <w:highlight w:val="white"/>
        </w:rPr>
        <w:t xml:space="preserve">, N. (2020). QUALITY OF WORK LIFE OF WOMEN EMPLOYEES IN BANKING INDUSTRY with special reference to employees of selected private sector banks in </w:t>
      </w:r>
      <w:proofErr w:type="spellStart"/>
      <w:r>
        <w:rPr>
          <w:rFonts w:ascii="Times New Roman" w:eastAsia="Times New Roman" w:hAnsi="Times New Roman" w:cs="Times New Roman"/>
          <w:color w:val="222222"/>
          <w:sz w:val="24"/>
          <w:szCs w:val="24"/>
          <w:highlight w:val="white"/>
        </w:rPr>
        <w:t>Gobichettipalayam</w:t>
      </w:r>
      <w:proofErr w:type="spellEnd"/>
      <w:r>
        <w:rPr>
          <w:rFonts w:ascii="Times New Roman" w:eastAsia="Times New Roman" w:hAnsi="Times New Roman" w:cs="Times New Roman"/>
          <w:color w:val="222222"/>
          <w:sz w:val="24"/>
          <w:szCs w:val="24"/>
          <w:highlight w:val="white"/>
        </w:rPr>
        <w:t xml:space="preserve"> district, </w:t>
      </w:r>
      <w:proofErr w:type="spellStart"/>
      <w:r>
        <w:rPr>
          <w:rFonts w:ascii="Times New Roman" w:eastAsia="Times New Roman" w:hAnsi="Times New Roman" w:cs="Times New Roman"/>
          <w:color w:val="222222"/>
          <w:sz w:val="24"/>
          <w:szCs w:val="24"/>
          <w:highlight w:val="white"/>
        </w:rPr>
        <w:t>Tamilnadu</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Studies in Indian Place Names (UGC CARE Journal) ISSN</w:t>
      </w:r>
      <w:r>
        <w:rPr>
          <w:rFonts w:ascii="Times New Roman" w:eastAsia="Times New Roman" w:hAnsi="Times New Roman" w:cs="Times New Roman"/>
          <w:color w:val="222222"/>
          <w:sz w:val="24"/>
          <w:szCs w:val="24"/>
          <w:highlight w:val="white"/>
        </w:rPr>
        <w:t>, 2394-3114.</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Kniffin</w:t>
      </w:r>
      <w:proofErr w:type="spellEnd"/>
      <w:r>
        <w:rPr>
          <w:rFonts w:ascii="Times New Roman" w:eastAsia="Times New Roman" w:hAnsi="Times New Roman" w:cs="Times New Roman"/>
          <w:sz w:val="24"/>
          <w:szCs w:val="24"/>
        </w:rPr>
        <w:t xml:space="preserve">, K. M., Narayanan, J., </w:t>
      </w:r>
      <w:proofErr w:type="spellStart"/>
      <w:r>
        <w:rPr>
          <w:rFonts w:ascii="Times New Roman" w:eastAsia="Times New Roman" w:hAnsi="Times New Roman" w:cs="Times New Roman"/>
          <w:sz w:val="24"/>
          <w:szCs w:val="24"/>
        </w:rPr>
        <w:t>Anseel</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Antonakis</w:t>
      </w:r>
      <w:proofErr w:type="spellEnd"/>
      <w:r>
        <w:rPr>
          <w:rFonts w:ascii="Times New Roman" w:eastAsia="Times New Roman" w:hAnsi="Times New Roman" w:cs="Times New Roman"/>
          <w:sz w:val="24"/>
          <w:szCs w:val="24"/>
        </w:rPr>
        <w:t xml:space="preserve">, J., Ashford, S., Bakker, A. B., et al. (2021). COVID-19 and the workplace: Implications, issues, and insights for future research and action. </w:t>
      </w:r>
      <w:r>
        <w:rPr>
          <w:rFonts w:ascii="Times New Roman" w:eastAsia="Times New Roman" w:hAnsi="Times New Roman" w:cs="Times New Roman"/>
          <w:i/>
          <w:iCs/>
          <w:sz w:val="24"/>
          <w:szCs w:val="24"/>
        </w:rPr>
        <w:t>American Psychologist, 76</w:t>
      </w:r>
      <w:r>
        <w:rPr>
          <w:rFonts w:ascii="Times New Roman" w:eastAsia="Times New Roman" w:hAnsi="Times New Roman" w:cs="Times New Roman"/>
          <w:sz w:val="24"/>
          <w:szCs w:val="24"/>
        </w:rPr>
        <w:t>(1), 63–77.</w:t>
      </w:r>
      <w:hyperlink r:id="rId18">
        <w:r>
          <w:rPr>
            <w:rFonts w:ascii="Times New Roman" w:eastAsia="Times New Roman" w:hAnsi="Times New Roman" w:cs="Times New Roman"/>
            <w:sz w:val="24"/>
            <w:szCs w:val="24"/>
          </w:rPr>
          <w:t xml:space="preserve"> https://doi.org/10.1037/amp0000716</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xml:space="preserve">, R. (2014). Beyond strategic human resource management: Is sustainable human resource management the next approach? </w:t>
      </w:r>
      <w:r>
        <w:rPr>
          <w:rFonts w:ascii="Times New Roman" w:eastAsia="Times New Roman" w:hAnsi="Times New Roman" w:cs="Times New Roman"/>
          <w:i/>
          <w:iCs/>
          <w:sz w:val="24"/>
          <w:szCs w:val="24"/>
        </w:rPr>
        <w:t>The International Journal of Human Resource Management, 25</w:t>
      </w:r>
      <w:r>
        <w:rPr>
          <w:rFonts w:ascii="Times New Roman" w:eastAsia="Times New Roman" w:hAnsi="Times New Roman" w:cs="Times New Roman"/>
          <w:sz w:val="24"/>
          <w:szCs w:val="24"/>
        </w:rPr>
        <w:t>(8), 1069–1089.</w:t>
      </w:r>
      <w:hyperlink r:id="rId19">
        <w:r>
          <w:rPr>
            <w:rFonts w:ascii="Times New Roman" w:eastAsia="Times New Roman" w:hAnsi="Times New Roman" w:cs="Times New Roman"/>
            <w:sz w:val="24"/>
            <w:szCs w:val="24"/>
          </w:rPr>
          <w:t xml:space="preserve"> https://doi.org/10.1080/09585192.2013.816863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Krekel, C., Ward, G., &amp; De Neve, J.-E. (2019). Employee well-being, productivity, and firm performance: Evidence from large-scale panel data. </w:t>
      </w:r>
      <w:r>
        <w:rPr>
          <w:rFonts w:ascii="Times New Roman" w:eastAsia="Times New Roman" w:hAnsi="Times New Roman" w:cs="Times New Roman"/>
          <w:i/>
          <w:iCs/>
          <w:sz w:val="24"/>
          <w:szCs w:val="24"/>
        </w:rPr>
        <w:t>Journal of Happiness Studies, 20</w:t>
      </w:r>
      <w:r>
        <w:rPr>
          <w:rFonts w:ascii="Times New Roman" w:eastAsia="Times New Roman" w:hAnsi="Times New Roman" w:cs="Times New Roman"/>
          <w:sz w:val="24"/>
          <w:szCs w:val="24"/>
        </w:rPr>
        <w:t>(4), 1137–1161. https://doi.org/10.1007/s10902-017-9945-9</w:t>
      </w:r>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Montiel, I., Delgado-Ceballos, J., &amp; Ortiz-de-</w:t>
      </w:r>
      <w:proofErr w:type="spellStart"/>
      <w:r>
        <w:rPr>
          <w:rFonts w:ascii="Times New Roman" w:eastAsia="Times New Roman" w:hAnsi="Times New Roman" w:cs="Times New Roman"/>
          <w:sz w:val="24"/>
          <w:szCs w:val="24"/>
        </w:rPr>
        <w:t>Mandojana</w:t>
      </w:r>
      <w:proofErr w:type="spellEnd"/>
      <w:r>
        <w:rPr>
          <w:rFonts w:ascii="Times New Roman" w:eastAsia="Times New Roman" w:hAnsi="Times New Roman" w:cs="Times New Roman"/>
          <w:sz w:val="24"/>
          <w:szCs w:val="24"/>
        </w:rPr>
        <w:t xml:space="preserve">, N. (2021). Corporate sustainability and organizational change: A review and research agenda. </w:t>
      </w:r>
      <w:r>
        <w:rPr>
          <w:rFonts w:ascii="Times New Roman" w:eastAsia="Times New Roman" w:hAnsi="Times New Roman" w:cs="Times New Roman"/>
          <w:i/>
          <w:iCs/>
          <w:sz w:val="24"/>
          <w:szCs w:val="24"/>
        </w:rPr>
        <w:t>Business &amp; Society, 60</w:t>
      </w:r>
      <w:r>
        <w:rPr>
          <w:rFonts w:ascii="Times New Roman" w:eastAsia="Times New Roman" w:hAnsi="Times New Roman" w:cs="Times New Roman"/>
          <w:sz w:val="24"/>
          <w:szCs w:val="24"/>
        </w:rPr>
        <w:t>(6), 1293–1328. https://doi.org/10.1177/0007650319856633</w:t>
      </w:r>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Pardawala</w:t>
      </w:r>
      <w:proofErr w:type="spellEnd"/>
      <w:r>
        <w:rPr>
          <w:rFonts w:ascii="Times New Roman" w:eastAsia="Times New Roman" w:hAnsi="Times New Roman" w:cs="Times New Roman"/>
          <w:sz w:val="24"/>
          <w:szCs w:val="24"/>
        </w:rPr>
        <w:t xml:space="preserve">, A., Nath, B., Mukherjee, D., Pant, M., Doshi, N., </w:t>
      </w:r>
      <w:proofErr w:type="spellStart"/>
      <w:r>
        <w:rPr>
          <w:rFonts w:ascii="Times New Roman" w:eastAsia="Times New Roman" w:hAnsi="Times New Roman" w:cs="Times New Roman"/>
          <w:sz w:val="24"/>
          <w:szCs w:val="24"/>
        </w:rPr>
        <w:t>Arudkar</w:t>
      </w:r>
      <w:proofErr w:type="spellEnd"/>
      <w:r>
        <w:rPr>
          <w:rFonts w:ascii="Times New Roman" w:eastAsia="Times New Roman" w:hAnsi="Times New Roman" w:cs="Times New Roman"/>
          <w:sz w:val="24"/>
          <w:szCs w:val="24"/>
        </w:rPr>
        <w:t xml:space="preserve">, R., Mehta, A., &amp; Vaidya, A. (2024). Workplace well-being in India pre- and post-COVID-19: A comparative study. </w:t>
      </w:r>
      <w:r>
        <w:rPr>
          <w:rFonts w:ascii="Times New Roman" w:eastAsia="Times New Roman" w:hAnsi="Times New Roman" w:cs="Times New Roman"/>
          <w:i/>
          <w:iCs/>
          <w:sz w:val="24"/>
          <w:szCs w:val="24"/>
        </w:rPr>
        <w:t>International Journal of Contemporary Research in Multidisciplinary, 3</w:t>
      </w:r>
      <w:r>
        <w:rPr>
          <w:rFonts w:ascii="Times New Roman" w:eastAsia="Times New Roman" w:hAnsi="Times New Roman" w:cs="Times New Roman"/>
          <w:sz w:val="24"/>
          <w:szCs w:val="24"/>
        </w:rPr>
        <w:t>(2), 175–182.</w:t>
      </w:r>
      <w:hyperlink r:id="rId20">
        <w:r>
          <w:rPr>
            <w:rFonts w:ascii="Times New Roman" w:eastAsia="Times New Roman" w:hAnsi="Times New Roman" w:cs="Times New Roman"/>
            <w:sz w:val="24"/>
            <w:szCs w:val="24"/>
          </w:rPr>
          <w:t xml:space="preserve"> https://doi.org/10.5281/zenodo.11003638</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Pfeffer, J. (2010). Building sustainable organizations: The human factor. </w:t>
      </w:r>
      <w:r>
        <w:rPr>
          <w:rFonts w:ascii="Times New Roman" w:eastAsia="Times New Roman" w:hAnsi="Times New Roman" w:cs="Times New Roman"/>
          <w:i/>
          <w:iCs/>
          <w:sz w:val="24"/>
          <w:szCs w:val="24"/>
        </w:rPr>
        <w:t>Academy of Management Perspectives, 24</w:t>
      </w:r>
      <w:r>
        <w:rPr>
          <w:rFonts w:ascii="Times New Roman" w:eastAsia="Times New Roman" w:hAnsi="Times New Roman" w:cs="Times New Roman"/>
          <w:sz w:val="24"/>
          <w:szCs w:val="24"/>
        </w:rPr>
        <w:t>(1), 34–45.</w:t>
      </w:r>
      <w:hyperlink r:id="rId21">
        <w:r>
          <w:rPr>
            <w:rFonts w:ascii="Times New Roman" w:eastAsia="Times New Roman" w:hAnsi="Times New Roman" w:cs="Times New Roman"/>
            <w:sz w:val="24"/>
            <w:szCs w:val="24"/>
          </w:rPr>
          <w:t xml:space="preserve"> https://doi.org/10.5465/amp.24.1.34</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Renwick, D. W. S., Redman, T., &amp; Maguire, S. (2013). Green human resource management: A review and research agenda. </w:t>
      </w:r>
      <w:r>
        <w:rPr>
          <w:rFonts w:ascii="Times New Roman" w:eastAsia="Times New Roman" w:hAnsi="Times New Roman" w:cs="Times New Roman"/>
          <w:i/>
          <w:iCs/>
          <w:sz w:val="24"/>
          <w:szCs w:val="24"/>
        </w:rPr>
        <w:t>International Journal of Management Reviews, 15</w:t>
      </w:r>
      <w:r>
        <w:rPr>
          <w:rFonts w:ascii="Times New Roman" w:eastAsia="Times New Roman" w:hAnsi="Times New Roman" w:cs="Times New Roman"/>
          <w:sz w:val="24"/>
          <w:szCs w:val="24"/>
        </w:rPr>
        <w:t>(1), 1–14.</w:t>
      </w:r>
      <w:hyperlink r:id="rId22">
        <w:r>
          <w:rPr>
            <w:rFonts w:ascii="Times New Roman" w:eastAsia="Times New Roman" w:hAnsi="Times New Roman" w:cs="Times New Roman"/>
            <w:sz w:val="24"/>
            <w:szCs w:val="24"/>
          </w:rPr>
          <w:t xml:space="preserve"> https://doi.org/10.1111/j.1468-2370.2011.00328.x</w:t>
        </w:r>
      </w:hyperlink>
    </w:p>
    <w:p w:rsidR="004335AE" w:rsidRDefault="0028030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xml:space="preserve">, G., Porath, C., &amp; Gibson, C. (2012). Toward human sustainability: How to enable more thriving at work. </w:t>
      </w:r>
      <w:r>
        <w:rPr>
          <w:rFonts w:ascii="Times New Roman" w:eastAsia="Times New Roman" w:hAnsi="Times New Roman" w:cs="Times New Roman"/>
          <w:i/>
          <w:iCs/>
          <w:sz w:val="24"/>
          <w:szCs w:val="24"/>
        </w:rPr>
        <w:t>Organization Dynamics, 41</w:t>
      </w:r>
      <w:r>
        <w:rPr>
          <w:rFonts w:ascii="Times New Roman" w:eastAsia="Times New Roman" w:hAnsi="Times New Roman" w:cs="Times New Roman"/>
          <w:sz w:val="24"/>
          <w:szCs w:val="24"/>
        </w:rPr>
        <w:t>(2), 155–162.</w:t>
      </w:r>
      <w:hyperlink r:id="rId23">
        <w:r>
          <w:rPr>
            <w:rFonts w:ascii="Times New Roman" w:eastAsia="Times New Roman" w:hAnsi="Times New Roman" w:cs="Times New Roman"/>
            <w:sz w:val="24"/>
            <w:szCs w:val="24"/>
          </w:rPr>
          <w:t xml:space="preserve"> https://doi.org/10.1016/j.orgdyn.2012.01.003</w:t>
        </w:r>
      </w:hyperlink>
    </w:p>
    <w:p w:rsidR="004335AE" w:rsidRDefault="0028030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(2024). </w:t>
      </w:r>
      <w:r>
        <w:rPr>
          <w:rFonts w:ascii="Times New Roman" w:eastAsia="Times New Roman" w:hAnsi="Times New Roman" w:cs="Times New Roman"/>
          <w:i/>
          <w:iCs/>
          <w:sz w:val="24"/>
          <w:szCs w:val="24"/>
        </w:rPr>
        <w:t>Mental health at work</w:t>
      </w:r>
      <w:r>
        <w:rPr>
          <w:rFonts w:ascii="Times New Roman" w:eastAsia="Times New Roman" w:hAnsi="Times New Roman" w:cs="Times New Roman"/>
          <w:sz w:val="24"/>
          <w:szCs w:val="24"/>
        </w:rPr>
        <w:t xml:space="preserve"> [Fact sheet].</w:t>
      </w:r>
      <w:hyperlink r:id="rId24">
        <w:r>
          <w:rPr>
            <w:rFonts w:ascii="Times New Roman" w:eastAsia="Times New Roman" w:hAnsi="Times New Roman" w:cs="Times New Roman"/>
            <w:sz w:val="24"/>
            <w:szCs w:val="24"/>
          </w:rPr>
          <w:t xml:space="preserve"> https://www.who.int/news-room/fact-sheets/detail/mental-health-at-work</w:t>
        </w:r>
      </w:hyperlink>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4335AE">
      <w:pPr>
        <w:spacing w:before="240" w:after="240" w:line="360" w:lineRule="auto"/>
        <w:jc w:val="both"/>
        <w:rPr>
          <w:rFonts w:ascii="Times New Roman" w:eastAsia="Times New Roman" w:hAnsi="Times New Roman" w:cs="Times New Roman"/>
          <w:sz w:val="24"/>
          <w:szCs w:val="24"/>
        </w:rPr>
      </w:pPr>
    </w:p>
    <w:p w:rsidR="004335AE" w:rsidRDefault="004335AE">
      <w:pPr>
        <w:spacing w:line="360" w:lineRule="auto"/>
        <w:jc w:val="both"/>
        <w:rPr>
          <w:rFonts w:ascii="Times New Roman" w:eastAsia="Times New Roman" w:hAnsi="Times New Roman" w:cs="Times New Roman"/>
          <w:sz w:val="24"/>
          <w:szCs w:val="24"/>
        </w:rPr>
      </w:pPr>
    </w:p>
    <w:sectPr w:rsidR="004335A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43A" w:rsidRDefault="00F7543A">
      <w:pPr>
        <w:spacing w:line="240" w:lineRule="auto"/>
      </w:pPr>
      <w:r>
        <w:separator/>
      </w:r>
    </w:p>
  </w:endnote>
  <w:endnote w:type="continuationSeparator" w:id="0">
    <w:p w:rsidR="00F7543A" w:rsidRDefault="00F754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C460E9-7893-4F09-91FF-0979B07B17A2}"/>
  </w:font>
  <w:font w:name="Calibri">
    <w:panose1 w:val="020F0502020204030204"/>
    <w:charset w:val="00"/>
    <w:family w:val="swiss"/>
    <w:pitch w:val="variable"/>
    <w:sig w:usb0="E4002EFF" w:usb1="C200247B" w:usb2="00000009" w:usb3="00000000" w:csb0="000001FF" w:csb1="00000000"/>
    <w:embedRegular r:id="rId2" w:fontKey="{E82F8339-F66A-433E-94DB-E2BC5B71F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4335A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43A" w:rsidRDefault="00F7543A">
      <w:pPr>
        <w:spacing w:line="240" w:lineRule="auto"/>
      </w:pPr>
      <w:r>
        <w:separator/>
      </w:r>
    </w:p>
  </w:footnote>
  <w:footnote w:type="continuationSeparator" w:id="0">
    <w:p w:rsidR="00F7543A" w:rsidRDefault="00F754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28030C">
    <w:pPr>
      <w:pBdr>
        <w:top w:val="nil"/>
        <w:left w:val="nil"/>
        <w:bottom w:val="nil"/>
        <w:right w:val="nil"/>
        <w:between w:val="nil"/>
      </w:pBdr>
      <w:tabs>
        <w:tab w:val="center" w:pos="4680"/>
        <w:tab w:val="right" w:pos="9360"/>
      </w:tabs>
      <w:spacing w:line="240" w:lineRule="auto"/>
      <w:rPr>
        <w:color w:val="000000"/>
      </w:rPr>
    </w:pPr>
    <w:r>
      <w:rPr>
        <w:noProof/>
        <w:color w:val="000000"/>
        <w:lang w:val="en-US"/>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2" name="Rectangle 2"/>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4335AE" w:rsidRDefault="0028030C">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2" o:spid="_x0000_s1026"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" filled="f" stroked="f">
              <v:textbox inset="2.53958mm,2.53958mm,2.53958mm,2.53958mm">
                <w:txbxContent>
                  <w:p w:rsidR="004335AE" w:rsidRDefault="0028030C">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28030C">
    <w:pPr>
      <w:pBdr>
        <w:top w:val="nil"/>
        <w:left w:val="nil"/>
        <w:bottom w:val="nil"/>
        <w:right w:val="nil"/>
        <w:between w:val="nil"/>
      </w:pBdr>
      <w:tabs>
        <w:tab w:val="center" w:pos="4680"/>
        <w:tab w:val="right" w:pos="9360"/>
      </w:tabs>
      <w:spacing w:line="240" w:lineRule="auto"/>
      <w:rPr>
        <w:color w:val="000000"/>
      </w:rPr>
    </w:pPr>
    <w:r>
      <w:rPr>
        <w:noProof/>
        <w:color w:val="000000"/>
        <w:lang w:val="en-US"/>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 name="Rectangle 1"/>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4335AE" w:rsidRDefault="0028030C">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 o:spid="_x0000_s1027"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" filled="f" stroked="f">
              <v:textbox inset="2.53958mm,2.53958mm,2.53958mm,2.53958mm">
                <w:txbxContent>
                  <w:p w:rsidR="004335AE" w:rsidRDefault="0028030C">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AE" w:rsidRDefault="00F7543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F0505"/>
    <w:multiLevelType w:val="multilevel"/>
    <w:tmpl w:val="9FBA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907F38"/>
    <w:multiLevelType w:val="multilevel"/>
    <w:tmpl w:val="BEB4A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E42A70"/>
    <w:multiLevelType w:val="multilevel"/>
    <w:tmpl w:val="6B342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BD17A5"/>
    <w:multiLevelType w:val="multilevel"/>
    <w:tmpl w:val="8D707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F7420B"/>
    <w:multiLevelType w:val="multilevel"/>
    <w:tmpl w:val="BAF86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NbQwsjCzMDYzsTRV0lEKTi0uzszPAykwrAUAGBt0NSwAAAA="/>
  </w:docVars>
  <w:rsids>
    <w:rsidRoot w:val="004335AE"/>
    <w:rsid w:val="000F456D"/>
    <w:rsid w:val="00201843"/>
    <w:rsid w:val="0028030C"/>
    <w:rsid w:val="003D0D35"/>
    <w:rsid w:val="003D2949"/>
    <w:rsid w:val="004335AE"/>
    <w:rsid w:val="00516430"/>
    <w:rsid w:val="00535F0C"/>
    <w:rsid w:val="00664FF9"/>
    <w:rsid w:val="006C7256"/>
    <w:rsid w:val="009A6676"/>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45C50A"/>
  <w15:docId w15:val="{CFB35F33-1E55-4682-8DD7-20E4B3D2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885121"/>
    <w:rPr>
      <w:color w:val="0000FF" w:themeColor="hyperlink"/>
      <w:u w:val="single"/>
    </w:rPr>
  </w:style>
  <w:style w:type="character" w:customStyle="1" w:styleId="UnresolvedMention1">
    <w:name w:val="Unresolved Mention1"/>
    <w:basedOn w:val="DefaultParagraphFont"/>
    <w:uiPriority w:val="99"/>
    <w:semiHidden/>
    <w:unhideWhenUsed/>
    <w:rsid w:val="00885121"/>
    <w:rPr>
      <w:color w:val="605E5C"/>
      <w:shd w:val="clear" w:color="auto" w:fill="E1DFDD"/>
    </w:rPr>
  </w:style>
  <w:style w:type="paragraph" w:styleId="Header">
    <w:name w:val="header"/>
    <w:basedOn w:val="Normal"/>
    <w:link w:val="HeaderChar"/>
    <w:uiPriority w:val="99"/>
    <w:unhideWhenUsed/>
    <w:rsid w:val="00C70A1B"/>
    <w:pPr>
      <w:tabs>
        <w:tab w:val="center" w:pos="4680"/>
        <w:tab w:val="right" w:pos="9360"/>
      </w:tabs>
      <w:spacing w:line="240" w:lineRule="auto"/>
    </w:pPr>
  </w:style>
  <w:style w:type="character" w:customStyle="1" w:styleId="HeaderChar">
    <w:name w:val="Header Char"/>
    <w:basedOn w:val="DefaultParagraphFont"/>
    <w:link w:val="Header"/>
    <w:uiPriority w:val="99"/>
    <w:rsid w:val="00C70A1B"/>
  </w:style>
  <w:style w:type="paragraph" w:styleId="Footer">
    <w:name w:val="footer"/>
    <w:basedOn w:val="Normal"/>
    <w:link w:val="FooterChar"/>
    <w:uiPriority w:val="99"/>
    <w:unhideWhenUsed/>
    <w:rsid w:val="00C70A1B"/>
    <w:pPr>
      <w:tabs>
        <w:tab w:val="center" w:pos="4680"/>
        <w:tab w:val="right" w:pos="9360"/>
      </w:tabs>
      <w:spacing w:line="240" w:lineRule="auto"/>
    </w:pPr>
  </w:style>
  <w:style w:type="character" w:customStyle="1" w:styleId="FooterChar">
    <w:name w:val="Footer Char"/>
    <w:basedOn w:val="DefaultParagraphFont"/>
    <w:link w:val="Footer"/>
    <w:uiPriority w:val="99"/>
    <w:rsid w:val="00C70A1B"/>
  </w:style>
  <w:style w:type="paragraph" w:styleId="NoSpacing">
    <w:name w:val="No Spacing"/>
    <w:uiPriority w:val="1"/>
    <w:qFormat/>
    <w:rsid w:val="00E14629"/>
    <w:pPr>
      <w:spacing w:line="240" w:lineRule="auto"/>
    </w:pPr>
    <w:rPr>
      <w:rFonts w:asciiTheme="minorHAnsi" w:eastAsiaTheme="minorHAnsi" w:hAnsiTheme="minorHAnsi" w:cstheme="minorBidi"/>
      <w:lang w:val="en-GB"/>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149206317691575" TargetMode="External"/><Relationship Id="rId13" Type="http://schemas.openxmlformats.org/officeDocument/2006/relationships/hyperlink" Target="https://doi.org/10.1207/S15327965PLI1104_01" TargetMode="External"/><Relationship Id="rId18" Type="http://schemas.openxmlformats.org/officeDocument/2006/relationships/hyperlink" Target="https://doi.org/10.1037/amp000071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5465/amp.24.1.34" TargetMode="External"/><Relationship Id="rId7" Type="http://schemas.openxmlformats.org/officeDocument/2006/relationships/endnotes" Target="endnotes.xml"/><Relationship Id="rId12" Type="http://schemas.openxmlformats.org/officeDocument/2006/relationships/hyperlink" Target="https://doi.org/10.1177/0149206305279602" TargetMode="External"/><Relationship Id="rId17" Type="http://schemas.openxmlformats.org/officeDocument/2006/relationships/hyperlink" Target="https://doi.org/10.1002/job.261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37/0021-9010.87.2.268" TargetMode="External"/><Relationship Id="rId20" Type="http://schemas.openxmlformats.org/officeDocument/2006/relationships/hyperlink" Target="https://doi.org/10.5281/zenodo.1100363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018/IJHCITP.303951" TargetMode="External"/><Relationship Id="rId24" Type="http://schemas.openxmlformats.org/officeDocument/2006/relationships/hyperlink" Target="https://www.who.int/news-room/fact-sheets/detail/mental-health-at-wor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1748-8583.12139" TargetMode="External"/><Relationship Id="rId23" Type="http://schemas.openxmlformats.org/officeDocument/2006/relationships/hyperlink" Target="https://doi.org/10.1016/j.orgdyn.2012.01.003" TargetMode="External"/><Relationship Id="rId28" Type="http://schemas.openxmlformats.org/officeDocument/2006/relationships/footer" Target="footer2.xml"/><Relationship Id="rId10" Type="http://schemas.openxmlformats.org/officeDocument/2006/relationships/hyperlink" Target="https://doi.org/10.1037/ocp0000056" TargetMode="External"/><Relationship Id="rId19" Type="http://schemas.openxmlformats.org/officeDocument/2006/relationships/hyperlink" Target="https://doi.org/10.1080/09585192.2013.81686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77/1529100615593273" TargetMode="External"/><Relationship Id="rId14" Type="http://schemas.openxmlformats.org/officeDocument/2006/relationships/hyperlink" Target="https://doi.org/10.1177/1086026615575176" TargetMode="External"/><Relationship Id="rId22" Type="http://schemas.openxmlformats.org/officeDocument/2006/relationships/hyperlink" Target="https://doi.org/10.1111/j.1468-2370.2011.00328.x"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La+FJPvu0qnq2uW3YcbwndLA==">CgMxLjAyDmgudGN5ZHZua2xoeDY3Mg5oLms0Mjk1NmJxajdvYjIOaC43bWJxaDI2NWpyYWIyDmguOG90dDY2eWpneTU1Mg5oLm10aDRmbGN0N3drNzIOaC5tdGg0ZmxjdDd3azcyDmgubXRoNGZsY3Q3d2s3Mg5oLm10aDRmbGN0N3drNzIOaC5tdGg0ZmxjdDd3azcyDmguaHl5cHQzeDk3cmNzMg5oLmp2b3owY3VmMmJsNTIOaC5qaXJiNzBrMHA4NHAyDmgubGNkanMwYmltcjR6OAByITFIRXBkYV9hdml6VEpoZEZNNFoxT1ZmT0c1VDZ3a0lL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6121</Words>
  <Characters>34890</Characters>
  <Application>Microsoft Office Word</Application>
  <DocSecurity>0</DocSecurity>
  <Lines>290</Lines>
  <Paragraphs>81</Paragraphs>
  <ScaleCrop>false</ScaleCrop>
  <Company/>
  <LinksUpToDate>false</LinksUpToDate>
  <CharactersWithSpaces>40930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9</cp:revision>
  <dcterms:created xsi:type="dcterms:W3CDTF">2026-02-06T11:48:00Z</dcterms:created>
  <dcterms:modified xsi:type="dcterms:W3CDTF">2026-02-20T09:04:00Z</dcterms:modified>
</cp:coreProperties>
</file>