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35AE" w:rsidRDefault="0028030C">
      <w:pPr>
        <w:widowControl w:val="0"/>
        <w:pBdr>
          <w:top w:val="nil"/>
          <w:left w:val="nil"/>
          <w:bottom w:val="nil"/>
          <w:right w:val="nil"/>
          <w:between w:val="nil"/>
        </w:pBdr>
      </w:pPr>
      <w:r>
        <w:pict w14:anchorId="07F6C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224521A8">
          <v:shape id="_x0000_s1027" type="#_x0000_t136" style="position:absolute;margin-left:0;margin-top:0;width:50pt;height:50pt;z-index:251657728;visibility:hidden">
            <o:lock v:ext="edit" selection="t"/>
          </v:shape>
        </w:pict>
      </w:r>
      <w:r>
        <w:pict w14:anchorId="2BFC8567">
          <v:shape id="_x0000_s1026" type="#_x0000_t136" style="position:absolute;margin-left:0;margin-top:0;width:50pt;height:50pt;z-index:251658752;visibility:hidden">
            <o:lock v:ext="edit" selection="t"/>
          </v:shape>
        </w:pict>
      </w:r>
    </w:p>
    <w:p w:rsidR="004335AE" w:rsidRDefault="0028030C">
      <w:pPr>
        <w:pStyle w:val="Heading1"/>
        <w:keepNext w:val="0"/>
        <w:keepLines w:val="0"/>
        <w:spacing w:before="4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Original Research Article </w:t>
      </w:r>
    </w:p>
    <w:p w:rsidR="004335AE" w:rsidRDefault="0028030C">
      <w:pPr>
        <w:pStyle w:val="Heading1"/>
        <w:keepNext w:val="0"/>
        <w:keepLines w:val="0"/>
        <w:spacing w:before="4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Employee Well-Being as a Strategic Enabler of Organizational Sustainability: An Integrative Theoretical Framework</w:t>
      </w:r>
    </w:p>
    <w:p w:rsidR="004335AE" w:rsidRDefault="004335AE">
      <w:pPr>
        <w:spacing w:line="360" w:lineRule="auto"/>
      </w:pPr>
    </w:p>
    <w:p w:rsidR="004335AE" w:rsidRDefault="004335AE">
      <w:pPr>
        <w:spacing w:line="360" w:lineRule="auto"/>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has become a multifaceted organizational paradigm which involves the economic performance, environmental responsibility and social equity. Although substantial research has explored both the environmental and financial concerns of sustainabi</w:t>
      </w:r>
      <w:r>
        <w:rPr>
          <w:rFonts w:ascii="Times New Roman" w:eastAsia="Times New Roman" w:hAnsi="Times New Roman" w:cs="Times New Roman"/>
          <w:sz w:val="24"/>
          <w:szCs w:val="24"/>
        </w:rPr>
        <w:t>lity, a relatively lower integrative focus has been placed on the issue of employee well-being in terms of sustainability. The paper provides a systematic review of theoretical and empirical research on the relationship between the organizational sustainab</w:t>
      </w:r>
      <w:r>
        <w:rPr>
          <w:rFonts w:ascii="Times New Roman" w:eastAsia="Times New Roman" w:hAnsi="Times New Roman" w:cs="Times New Roman"/>
          <w:sz w:val="24"/>
          <w:szCs w:val="24"/>
        </w:rPr>
        <w:t>ility practices and the employee well-being and vice versa.</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 review systematic approach was chosen to conduct an analysis of peer-reviewed studies on management, organizational psychology, and sustainability domains conducted between 2000 and 202</w:t>
      </w:r>
      <w:r>
        <w:rPr>
          <w:rFonts w:ascii="Times New Roman" w:eastAsia="Times New Roman" w:hAnsi="Times New Roman" w:cs="Times New Roman"/>
          <w:sz w:val="24"/>
          <w:szCs w:val="24"/>
        </w:rPr>
        <w:t>4. The review incorporates significant theoretical approaches, including the triple bottom line framework, the stakeholder theory, the social exchange theory, the Job Demands Resources (JD-R) model of sustainability, flexible work systems, and mental healt</w:t>
      </w:r>
      <w:r>
        <w:rPr>
          <w:rFonts w:ascii="Times New Roman" w:eastAsia="Times New Roman" w:hAnsi="Times New Roman" w:cs="Times New Roman"/>
          <w:sz w:val="24"/>
          <w:szCs w:val="24"/>
        </w:rPr>
        <w:t>h programs to clarify how sustainability practices (sustainable human resource management, ethical leadership, ESG-based governance, flexible work system, and mental health programs) are associated with employee outcomes.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suggest that the susta</w:t>
      </w:r>
      <w:r>
        <w:rPr>
          <w:rFonts w:ascii="Times New Roman" w:eastAsia="Times New Roman" w:hAnsi="Times New Roman" w:cs="Times New Roman"/>
          <w:sz w:val="24"/>
          <w:szCs w:val="24"/>
        </w:rPr>
        <w:t>inability-related practices tend to positively impact job satisfaction, engagement, psychological safety, work-life integration, and organizational commitment provided they are applied sincerely and with the assistance of sufficient resources at work. None</w:t>
      </w:r>
      <w:r>
        <w:rPr>
          <w:rFonts w:ascii="Times New Roman" w:eastAsia="Times New Roman" w:hAnsi="Times New Roman" w:cs="Times New Roman"/>
          <w:sz w:val="24"/>
          <w:szCs w:val="24"/>
        </w:rPr>
        <w:t>theless, there are paradoxical outcomes that develop when sustainability efforts come with increased performance growth, role overloading, or the lack of coordinated efforts which may negatively affect the well-being of employees. The contextual moderators</w:t>
      </w:r>
      <w:r>
        <w:rPr>
          <w:rFonts w:ascii="Times New Roman" w:eastAsia="Times New Roman" w:hAnsi="Times New Roman" w:cs="Times New Roman"/>
          <w:sz w:val="24"/>
          <w:szCs w:val="24"/>
        </w:rPr>
        <w:t xml:space="preserve"> are also mentioned in </w:t>
      </w:r>
      <w:r>
        <w:rPr>
          <w:rFonts w:ascii="Times New Roman" w:eastAsia="Times New Roman" w:hAnsi="Times New Roman" w:cs="Times New Roman"/>
          <w:sz w:val="24"/>
          <w:szCs w:val="24"/>
        </w:rPr>
        <w:lastRenderedPageBreak/>
        <w:t>the review, such as industry characteristics, leadership style, institutional environment, and post-COVID digital transformation.</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contribution of the study lies in the fact that employee well-being is introduced as a consequence </w:t>
      </w:r>
      <w:r>
        <w:rPr>
          <w:rFonts w:ascii="Times New Roman" w:eastAsia="Times New Roman" w:hAnsi="Times New Roman" w:cs="Times New Roman"/>
          <w:sz w:val="24"/>
          <w:szCs w:val="24"/>
        </w:rPr>
        <w:t>and a strategic facilitator of organization sustainability, and an integrative model is suggested to undertake empirical testing in the future. It finds important gaps in research especially the necessity of longitudinal, cross-cultural, and multilevel res</w:t>
      </w:r>
      <w:r>
        <w:rPr>
          <w:rFonts w:ascii="Times New Roman" w:eastAsia="Times New Roman" w:hAnsi="Times New Roman" w:cs="Times New Roman"/>
          <w:sz w:val="24"/>
          <w:szCs w:val="24"/>
        </w:rPr>
        <w:t>earch in emerging economies. In practice, the results imply that organizations that incorporate human sustainability into wider environmental and economic strategies are more likely to enjoy resilience, legitimacy as well as long-term competitive advantage</w:t>
      </w:r>
      <w:r>
        <w:rPr>
          <w:rFonts w:ascii="Times New Roman" w:eastAsia="Times New Roman" w:hAnsi="Times New Roman" w:cs="Times New Roman"/>
          <w:sz w:val="24"/>
          <w:szCs w:val="24"/>
        </w:rPr>
        <w:t xml:space="preserve"> in the fast-evolving socio-economic settings.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Organizational sustainability, employee well-being, sustainable HRM, ESG practices, social sustainability, post-COVID workplace, human sustainability</w:t>
      </w:r>
    </w:p>
    <w:p w:rsidR="004335AE" w:rsidRDefault="0028030C">
      <w:pPr>
        <w:pStyle w:val="Heading2"/>
        <w:keepNext w:val="0"/>
        <w:keepLines w:val="0"/>
        <w:spacing w:after="80" w:line="360" w:lineRule="auto"/>
        <w:jc w:val="both"/>
        <w:rPr>
          <w:rFonts w:ascii="Times New Roman" w:eastAsia="Times New Roman" w:hAnsi="Times New Roman" w:cs="Times New Roman"/>
          <w:b/>
          <w:bCs/>
          <w:sz w:val="24"/>
          <w:szCs w:val="24"/>
        </w:rPr>
      </w:pPr>
      <w:bookmarkStart w:id="0" w:name="_heading=h.tcydvnklhx67" w:colFirst="0" w:colLast="0"/>
      <w:bookmarkEnd w:id="0"/>
      <w:r>
        <w:rPr>
          <w:rFonts w:ascii="Times New Roman" w:eastAsia="Times New Roman" w:hAnsi="Times New Roman" w:cs="Times New Roman"/>
          <w:b/>
          <w:bCs/>
          <w:sz w:val="24"/>
          <w:szCs w:val="24"/>
        </w:rPr>
        <w:t>Introduction</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Sustainability has become more than </w:t>
      </w:r>
      <w:r>
        <w:rPr>
          <w:rFonts w:ascii="Times New Roman" w:eastAsia="Times New Roman" w:hAnsi="Times New Roman" w:cs="Times New Roman"/>
          <w:color w:val="111111"/>
          <w:sz w:val="24"/>
          <w:szCs w:val="24"/>
        </w:rPr>
        <w:t>an environmental creation and more of a multidimensional organizational paradigm of economic viability, environmental stewardship and social equity.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Although the triple bottom line framework (Elkington, 1997) is the basis of the profit, planet, and people </w:t>
      </w:r>
      <w:r>
        <w:rPr>
          <w:rFonts w:ascii="Times New Roman" w:eastAsia="Times New Roman" w:hAnsi="Times New Roman" w:cs="Times New Roman"/>
          <w:color w:val="111111"/>
          <w:sz w:val="24"/>
          <w:szCs w:val="24"/>
        </w:rPr>
        <w:t>balance, the modern scholarship tends to focus more on the people dimension as the strategic factor of long-term organizational resiliency.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more recent empirical studies (</w:t>
      </w:r>
      <w:proofErr w:type="spellStart"/>
      <w:r>
        <w:rPr>
          <w:rFonts w:ascii="Times New Roman" w:eastAsia="Times New Roman" w:hAnsi="Times New Roman" w:cs="Times New Roman"/>
          <w:color w:val="111111"/>
          <w:sz w:val="24"/>
          <w:szCs w:val="24"/>
        </w:rPr>
        <w:t>Aguinis</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Glavas</w:t>
      </w:r>
      <w:proofErr w:type="spellEnd"/>
      <w:r>
        <w:rPr>
          <w:rFonts w:ascii="Times New Roman" w:eastAsia="Times New Roman" w:hAnsi="Times New Roman" w:cs="Times New Roman"/>
          <w:color w:val="111111"/>
          <w:sz w:val="24"/>
          <w:szCs w:val="24"/>
        </w:rPr>
        <w:t>, 2019; Montiel et al., 2021; Bansal et al., 2022) note that su</w:t>
      </w:r>
      <w:r>
        <w:rPr>
          <w:rFonts w:ascii="Times New Roman" w:eastAsia="Times New Roman" w:hAnsi="Times New Roman" w:cs="Times New Roman"/>
          <w:color w:val="111111"/>
          <w:sz w:val="24"/>
          <w:szCs w:val="24"/>
        </w:rPr>
        <w:t>stainability programs that do not focus on internal stakeholders, especially employees, do not lead to significant change.</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Employee well-being has become one of the key elements of organizational sustainability in the post-COVID environment.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With an expose</w:t>
      </w:r>
      <w:r>
        <w:rPr>
          <w:rFonts w:ascii="Times New Roman" w:eastAsia="Times New Roman" w:hAnsi="Times New Roman" w:cs="Times New Roman"/>
          <w:color w:val="111111"/>
          <w:sz w:val="24"/>
          <w:szCs w:val="24"/>
        </w:rPr>
        <w:t>d vulnerability in the structure of work systems, such as work insecurity, digital saturation, psychosocial pressure, and work-life boundaries, the pandemic highlighted how the work system is vulnerable (</w:t>
      </w:r>
      <w:proofErr w:type="spellStart"/>
      <w:r>
        <w:rPr>
          <w:rFonts w:ascii="Times New Roman" w:eastAsia="Times New Roman" w:hAnsi="Times New Roman" w:cs="Times New Roman"/>
          <w:color w:val="111111"/>
          <w:sz w:val="24"/>
          <w:szCs w:val="24"/>
        </w:rPr>
        <w:t>Kniffin</w:t>
      </w:r>
      <w:proofErr w:type="spellEnd"/>
      <w:r>
        <w:rPr>
          <w:rFonts w:ascii="Times New Roman" w:eastAsia="Times New Roman" w:hAnsi="Times New Roman" w:cs="Times New Roman"/>
          <w:color w:val="111111"/>
          <w:sz w:val="24"/>
          <w:szCs w:val="24"/>
        </w:rPr>
        <w:t xml:space="preserve"> et al., 2021; WHO, 2024).</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Companies are comi</w:t>
      </w:r>
      <w:r>
        <w:rPr>
          <w:rFonts w:ascii="Times New Roman" w:eastAsia="Times New Roman" w:hAnsi="Times New Roman" w:cs="Times New Roman"/>
          <w:color w:val="111111"/>
          <w:sz w:val="24"/>
          <w:szCs w:val="24"/>
        </w:rPr>
        <w:t>ng to the realization that human sustainability (vitality of employees, their health, and their capacity) is the key concept to economic and environmental sustainability (</w:t>
      </w:r>
      <w:proofErr w:type="spellStart"/>
      <w:r>
        <w:rPr>
          <w:rFonts w:ascii="Times New Roman" w:eastAsia="Times New Roman" w:hAnsi="Times New Roman" w:cs="Times New Roman"/>
          <w:color w:val="111111"/>
          <w:sz w:val="24"/>
          <w:szCs w:val="24"/>
        </w:rPr>
        <w:t>Spreitzer</w:t>
      </w:r>
      <w:proofErr w:type="spellEnd"/>
      <w:r>
        <w:rPr>
          <w:rFonts w:ascii="Times New Roman" w:eastAsia="Times New Roman" w:hAnsi="Times New Roman" w:cs="Times New Roman"/>
          <w:color w:val="111111"/>
          <w:sz w:val="24"/>
          <w:szCs w:val="24"/>
        </w:rPr>
        <w:t xml:space="preserve"> et al., 2012; Pfeffer, 2010).</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Employee well-being refers to a multidimensio</w:t>
      </w:r>
      <w:r>
        <w:rPr>
          <w:rFonts w:ascii="Times New Roman" w:eastAsia="Times New Roman" w:hAnsi="Times New Roman" w:cs="Times New Roman"/>
          <w:color w:val="111111"/>
          <w:sz w:val="24"/>
          <w:szCs w:val="24"/>
        </w:rPr>
        <w:t>nal construct, which includes psychological health, engagement, job satisfaction, work-life integration, and social connectedness (Guest, 2017).</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In the recent meta-analytic studies, it is proven that the well-being of employees is a predictor of productivi</w:t>
      </w:r>
      <w:r>
        <w:rPr>
          <w:rFonts w:ascii="Times New Roman" w:eastAsia="Times New Roman" w:hAnsi="Times New Roman" w:cs="Times New Roman"/>
          <w:color w:val="111111"/>
          <w:sz w:val="24"/>
          <w:szCs w:val="24"/>
        </w:rPr>
        <w:t xml:space="preserve">ty, innovation, retention, and organizational citizenship behaviors (Krekel et al., 2019; </w:t>
      </w:r>
      <w:proofErr w:type="spellStart"/>
      <w:r>
        <w:rPr>
          <w:rFonts w:ascii="Times New Roman" w:eastAsia="Times New Roman" w:hAnsi="Times New Roman" w:cs="Times New Roman"/>
          <w:color w:val="111111"/>
          <w:sz w:val="24"/>
          <w:szCs w:val="24"/>
        </w:rPr>
        <w:t>Inceoglu</w:t>
      </w:r>
      <w:proofErr w:type="spellEnd"/>
      <w:r>
        <w:rPr>
          <w:rFonts w:ascii="Times New Roman" w:eastAsia="Times New Roman" w:hAnsi="Times New Roman" w:cs="Times New Roman"/>
          <w:color w:val="111111"/>
          <w:sz w:val="24"/>
          <w:szCs w:val="24"/>
        </w:rPr>
        <w:t xml:space="preserve"> et al., 2023).</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At the same time, organizational practices that are focused on sustainability, e.g. ethical leadership, sustainable HRM, inclusive governance,</w:t>
      </w:r>
      <w:r>
        <w:rPr>
          <w:rFonts w:ascii="Times New Roman" w:eastAsia="Times New Roman" w:hAnsi="Times New Roman" w:cs="Times New Roman"/>
          <w:color w:val="111111"/>
          <w:sz w:val="24"/>
          <w:szCs w:val="24"/>
        </w:rPr>
        <w:t xml:space="preserve"> and flexible work systems, have been presented to have an impact on well-being outcomes (Renwick et al., 2013; </w:t>
      </w:r>
      <w:proofErr w:type="spellStart"/>
      <w:r>
        <w:rPr>
          <w:rFonts w:ascii="Times New Roman" w:eastAsia="Times New Roman" w:hAnsi="Times New Roman" w:cs="Times New Roman"/>
          <w:color w:val="111111"/>
          <w:sz w:val="24"/>
          <w:szCs w:val="24"/>
        </w:rPr>
        <w:t>Kramar</w:t>
      </w:r>
      <w:proofErr w:type="spellEnd"/>
      <w:r>
        <w:rPr>
          <w:rFonts w:ascii="Times New Roman" w:eastAsia="Times New Roman" w:hAnsi="Times New Roman" w:cs="Times New Roman"/>
          <w:color w:val="111111"/>
          <w:sz w:val="24"/>
          <w:szCs w:val="24"/>
        </w:rPr>
        <w:t>, 2014; Bansal et al., 2022).</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Nevertheless, the new research also reflects conflicting tensions: the pressure of sustainability and conseq</w:t>
      </w:r>
      <w:r>
        <w:rPr>
          <w:rFonts w:ascii="Times New Roman" w:eastAsia="Times New Roman" w:hAnsi="Times New Roman" w:cs="Times New Roman"/>
          <w:color w:val="111111"/>
          <w:sz w:val="24"/>
          <w:szCs w:val="24"/>
        </w:rPr>
        <w:t xml:space="preserve">uently, performance, the pressure of ESG reporting and the pressure of efficiency can increase and contradict each other (Bakker and </w:t>
      </w:r>
      <w:proofErr w:type="spellStart"/>
      <w:r>
        <w:rPr>
          <w:rFonts w:ascii="Times New Roman" w:eastAsia="Times New Roman" w:hAnsi="Times New Roman" w:cs="Times New Roman"/>
          <w:color w:val="111111"/>
          <w:sz w:val="24"/>
          <w:szCs w:val="24"/>
        </w:rPr>
        <w:t>Demerouti</w:t>
      </w:r>
      <w:proofErr w:type="spellEnd"/>
      <w:r>
        <w:rPr>
          <w:rFonts w:ascii="Times New Roman" w:eastAsia="Times New Roman" w:hAnsi="Times New Roman" w:cs="Times New Roman"/>
          <w:color w:val="111111"/>
          <w:sz w:val="24"/>
          <w:szCs w:val="24"/>
        </w:rPr>
        <w:t>, 2017; Montiel et al., 2021).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These inconsistencies indicate that the sustainability well-being nexus is not auto</w:t>
      </w:r>
      <w:r>
        <w:rPr>
          <w:rFonts w:ascii="Times New Roman" w:eastAsia="Times New Roman" w:hAnsi="Times New Roman" w:cs="Times New Roman"/>
          <w:color w:val="111111"/>
          <w:sz w:val="24"/>
          <w:szCs w:val="24"/>
        </w:rPr>
        <w:t>matic or universally good, but depends on the quality of implementation, the compatibility of leadership and situational issues.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In particular, systematic syntheses that combine sustainability management literature with an organizational psychology and HRM</w:t>
      </w:r>
      <w:r>
        <w:rPr>
          <w:rFonts w:ascii="Times New Roman" w:eastAsia="Times New Roman" w:hAnsi="Times New Roman" w:cs="Times New Roman"/>
          <w:color w:val="111111"/>
          <w:sz w:val="24"/>
          <w:szCs w:val="24"/>
        </w:rPr>
        <w:t xml:space="preserve"> view are underrepresented in such emerging economies as India.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Due to institutional variations, informality in the labor market, and the trends of post-pandemic reorganization, it is required to comprehend situations contextually.</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This paper thus reviews </w:t>
      </w:r>
      <w:r>
        <w:rPr>
          <w:rFonts w:ascii="Times New Roman" w:eastAsia="Times New Roman" w:hAnsi="Times New Roman" w:cs="Times New Roman"/>
          <w:color w:val="111111"/>
          <w:sz w:val="24"/>
          <w:szCs w:val="24"/>
        </w:rPr>
        <w:t>in a systematic manner the theoretical and empirical data to explain how and in what circumstances organizational sustainability-oriented practices affect employee well-being and how well-being affects sustainable performance, which is reciprocated.</w:t>
      </w:r>
    </w:p>
    <w:p w:rsidR="004335AE" w:rsidRDefault="0028030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Rationale of the Study</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argument behind conducting the current study is that employee well-being is gradually being considered as a determinant as well as outcome of organizational sustainability. Although the sustainability initiatives are commonly cre</w:t>
      </w:r>
      <w:r>
        <w:rPr>
          <w:rFonts w:ascii="Times New Roman" w:eastAsia="Times New Roman" w:hAnsi="Times New Roman" w:cs="Times New Roman"/>
          <w:sz w:val="24"/>
          <w:szCs w:val="24"/>
        </w:rPr>
        <w:t xml:space="preserve">ated to respond to the environmental issues or the demands of the external stakeholders, the level of their effectiveness is highly dependent on the acceptance, motivation, and engagement of the employees. In the absence of a healthy, engaged, </w:t>
      </w:r>
      <w:r>
        <w:rPr>
          <w:rFonts w:ascii="Times New Roman" w:eastAsia="Times New Roman" w:hAnsi="Times New Roman" w:cs="Times New Roman"/>
          <w:sz w:val="24"/>
          <w:szCs w:val="24"/>
        </w:rPr>
        <w:lastRenderedPageBreak/>
        <w:t>and motivate</w:t>
      </w:r>
      <w:r>
        <w:rPr>
          <w:rFonts w:ascii="Times New Roman" w:eastAsia="Times New Roman" w:hAnsi="Times New Roman" w:cs="Times New Roman"/>
          <w:sz w:val="24"/>
          <w:szCs w:val="24"/>
        </w:rPr>
        <w:t>d workforce, the sustainability effort will be kept only as a form of symbolic or short-term (</w:t>
      </w:r>
      <w:proofErr w:type="spellStart"/>
      <w:r>
        <w:rPr>
          <w:rFonts w:ascii="Times New Roman" w:eastAsia="Times New Roman" w:hAnsi="Times New Roman" w:cs="Times New Roman"/>
          <w:sz w:val="24"/>
          <w:szCs w:val="24"/>
        </w:rPr>
        <w:t>Dyllick</w:t>
      </w:r>
      <w:proofErr w:type="spellEnd"/>
      <w:r>
        <w:rPr>
          <w:rFonts w:ascii="Times New Roman" w:eastAsia="Times New Roman" w:hAnsi="Times New Roman" w:cs="Times New Roman"/>
          <w:sz w:val="24"/>
          <w:szCs w:val="24"/>
        </w:rPr>
        <w:t xml:space="preserve"> and Muff, 2016).</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COVID-19 pandemic also contributed to heightening this relationship, revealing the vulnerable situation in the workplace systems rega</w:t>
      </w:r>
      <w:r>
        <w:rPr>
          <w:rFonts w:ascii="Times New Roman" w:eastAsia="Times New Roman" w:hAnsi="Times New Roman" w:cs="Times New Roman"/>
          <w:sz w:val="24"/>
          <w:szCs w:val="24"/>
        </w:rPr>
        <w:t xml:space="preserve">rding job security, mental health, workload, and work-life balance. The swift changes to remote and hybrid work patterns provided more flexibility opportunities but also generated the problems of the intensification of work and digital exhaustion, as well </w:t>
      </w:r>
      <w:r>
        <w:rPr>
          <w:rFonts w:ascii="Times New Roman" w:eastAsia="Times New Roman" w:hAnsi="Times New Roman" w:cs="Times New Roman"/>
          <w:sz w:val="24"/>
          <w:szCs w:val="24"/>
        </w:rPr>
        <w:t>as work-family boundaries (Allen et al., 2015). These changes have increased the value of integrating employee welfare in the sustainability plans instead of considering it as a marginal human resource issue.</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spite of this increased topicality, the curr</w:t>
      </w:r>
      <w:r>
        <w:rPr>
          <w:rFonts w:ascii="Times New Roman" w:eastAsia="Times New Roman" w:hAnsi="Times New Roman" w:cs="Times New Roman"/>
          <w:sz w:val="24"/>
          <w:szCs w:val="24"/>
        </w:rPr>
        <w:t xml:space="preserve">ent literature is still rather fragmented in terms of disciplines (management, organizational psychology and sustainability studies). Numerous studies emphasize specific components of well-being or sustainability, but little is done to combine them into a </w:t>
      </w:r>
      <w:r>
        <w:rPr>
          <w:rFonts w:ascii="Times New Roman" w:eastAsia="Times New Roman" w:hAnsi="Times New Roman" w:cs="Times New Roman"/>
          <w:sz w:val="24"/>
          <w:szCs w:val="24"/>
        </w:rPr>
        <w:t xml:space="preserve">cohesive understanding of how sustainability practices of the organizations have a systematic impact on employee well-being, especially in post-pandemic conditions and developing economies. This gap gives a solid rationale of having a review and synthesis </w:t>
      </w:r>
      <w:r>
        <w:rPr>
          <w:rFonts w:ascii="Times New Roman" w:eastAsia="Times New Roman" w:hAnsi="Times New Roman" w:cs="Times New Roman"/>
          <w:sz w:val="24"/>
          <w:szCs w:val="24"/>
        </w:rPr>
        <w:t>of theoretical and empirical literature concerning sustainability-well-being nexus.</w:t>
      </w:r>
    </w:p>
    <w:p w:rsidR="004335AE" w:rsidRDefault="004335AE">
      <w:pPr>
        <w:spacing w:before="240" w:after="240" w:line="360" w:lineRule="auto"/>
        <w:jc w:val="both"/>
        <w:rPr>
          <w:rFonts w:ascii="Times New Roman" w:eastAsia="Times New Roman" w:hAnsi="Times New Roman" w:cs="Times New Roman"/>
          <w:sz w:val="24"/>
          <w:szCs w:val="24"/>
        </w:rPr>
      </w:pPr>
    </w:p>
    <w:p w:rsidR="004335AE" w:rsidRDefault="0028030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Problem Statement</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common agreement that sustainability is a multidimensional concept, organization sustainability programs tend to promote environmental and economic objectives at the cost of employee welfare. Sustainability-motivated performance pressures, rest</w:t>
      </w:r>
      <w:r>
        <w:rPr>
          <w:rFonts w:ascii="Times New Roman" w:eastAsia="Times New Roman" w:hAnsi="Times New Roman" w:cs="Times New Roman"/>
          <w:sz w:val="24"/>
          <w:szCs w:val="24"/>
        </w:rPr>
        <w:t xml:space="preserve">ructuring, or efficiency-promoting strategies in most instances unintentionally escalate work pressures, role overload and stress, thus compromising the welfare of the employees (Bakker and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2017). This paradox gives a very important question whi</w:t>
      </w:r>
      <w:r>
        <w:rPr>
          <w:rFonts w:ascii="Times New Roman" w:eastAsia="Times New Roman" w:hAnsi="Times New Roman" w:cs="Times New Roman"/>
          <w:sz w:val="24"/>
          <w:szCs w:val="24"/>
        </w:rPr>
        <w:t>ch is: Can organizations be really said to be sustainable when the well-being of the employees is compromised in the process?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available empirical evidence is mostly based on developed economies and this limits its application in various insti</w:t>
      </w:r>
      <w:r>
        <w:rPr>
          <w:rFonts w:ascii="Times New Roman" w:eastAsia="Times New Roman" w:hAnsi="Times New Roman" w:cs="Times New Roman"/>
          <w:sz w:val="24"/>
          <w:szCs w:val="24"/>
        </w:rPr>
        <w:t xml:space="preserve">tutional and cultural settings. Emerging market research, such as India, is a relatively rare case of study, even though there are a lot of differences in terms of </w:t>
      </w:r>
      <w:r>
        <w:rPr>
          <w:rFonts w:ascii="Times New Roman" w:eastAsia="Times New Roman" w:hAnsi="Times New Roman" w:cs="Times New Roman"/>
          <w:sz w:val="24"/>
          <w:szCs w:val="24"/>
        </w:rPr>
        <w:lastRenderedPageBreak/>
        <w:t>labor markets, organizational practices, and social protection systems. The post-COVID worki</w:t>
      </w:r>
      <w:r>
        <w:rPr>
          <w:rFonts w:ascii="Times New Roman" w:eastAsia="Times New Roman" w:hAnsi="Times New Roman" w:cs="Times New Roman"/>
          <w:sz w:val="24"/>
          <w:szCs w:val="24"/>
        </w:rPr>
        <w:t>ng environment has also only added complexity to this picture, and now there is an urgent need to re-evaluate previous beliefs regarding sustainability and well-being considering the changing work set-ups and expectations of employees.</w:t>
      </w:r>
    </w:p>
    <w:p w:rsidR="004335AE" w:rsidRDefault="0028030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Conceptual Backgroun</w:t>
      </w:r>
      <w:r>
        <w:rPr>
          <w:rFonts w:ascii="Times New Roman" w:eastAsia="Times New Roman" w:hAnsi="Times New Roman" w:cs="Times New Roman"/>
          <w:b/>
          <w:bCs/>
          <w:sz w:val="24"/>
          <w:szCs w:val="24"/>
        </w:rPr>
        <w:t>d</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theoretical basis of this study is based on various theoretical approaches, which respectively explain the relationship between sustainability practices and employee well-being. The triple bottom line model places the wellbeing of employees under the</w:t>
      </w:r>
      <w:r>
        <w:rPr>
          <w:rFonts w:ascii="Times New Roman" w:eastAsia="Times New Roman" w:hAnsi="Times New Roman" w:cs="Times New Roman"/>
          <w:sz w:val="24"/>
          <w:szCs w:val="24"/>
        </w:rPr>
        <w:t xml:space="preserve"> social pillar of sustainability with its focus on labor rights, equity, health and quality of working life as a part of a sustainable development (Elkington, 1997). To supply this, stakeholder theory believes that employees are the most important stakehol</w:t>
      </w:r>
      <w:r>
        <w:rPr>
          <w:rFonts w:ascii="Times New Roman" w:eastAsia="Times New Roman" w:hAnsi="Times New Roman" w:cs="Times New Roman"/>
          <w:sz w:val="24"/>
          <w:szCs w:val="24"/>
        </w:rPr>
        <w:t>ders whose interests should be protected to make organizations become legitimate and trusted.</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level, social exchange theory indicates that the more organizations are concerned with the well-being of their employees by treating them fairly </w:t>
      </w:r>
      <w:r>
        <w:rPr>
          <w:rFonts w:ascii="Times New Roman" w:eastAsia="Times New Roman" w:hAnsi="Times New Roman" w:cs="Times New Roman"/>
          <w:sz w:val="24"/>
          <w:szCs w:val="24"/>
        </w:rPr>
        <w:t>and supporting, the more employees would be committed and engaged (</w:t>
      </w: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xml:space="preserve"> and Mitchell, 2005). Analogously, another helpful framework to interpret the influence of sustainable work environment on minimizing the job demands including stress, insecurity,</w:t>
      </w:r>
      <w:r>
        <w:rPr>
          <w:rFonts w:ascii="Times New Roman" w:eastAsia="Times New Roman" w:hAnsi="Times New Roman" w:cs="Times New Roman"/>
          <w:sz w:val="24"/>
          <w:szCs w:val="24"/>
        </w:rPr>
        <w:t xml:space="preserve"> and maximizing the work resources, including autonomy, social support, and development prospects, is the Job Demands Resources (JD-R) model (Bakker and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2017).</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self-determination theory emphasizes the need to satisfy fundamental psychologi</w:t>
      </w:r>
      <w:r>
        <w:rPr>
          <w:rFonts w:ascii="Times New Roman" w:eastAsia="Times New Roman" w:hAnsi="Times New Roman" w:cs="Times New Roman"/>
          <w:sz w:val="24"/>
          <w:szCs w:val="24"/>
        </w:rPr>
        <w:t>cal needs such as autonomy, competence and relatedness to create intrinsic drive and well-being (Deci and Ryan, 2000). Involving, learning, and being inclusive are part of sustainable human resource management practices that may contribute significantly to</w:t>
      </w:r>
      <w:r>
        <w:rPr>
          <w:rFonts w:ascii="Times New Roman" w:eastAsia="Times New Roman" w:hAnsi="Times New Roman" w:cs="Times New Roman"/>
          <w:sz w:val="24"/>
          <w:szCs w:val="24"/>
        </w:rPr>
        <w:t xml:space="preserve"> the fulfillment of these needs, strengthening the well-being of employees and the sustainability of an organization (</w:t>
      </w:r>
      <w:proofErr w:type="spellStart"/>
      <w:r>
        <w:rPr>
          <w:rFonts w:ascii="Times New Roman" w:eastAsia="Times New Roman" w:hAnsi="Times New Roman" w:cs="Times New Roman"/>
          <w:sz w:val="24"/>
          <w:szCs w:val="24"/>
        </w:rPr>
        <w:t>Kramar</w:t>
      </w:r>
      <w:proofErr w:type="spellEnd"/>
      <w:r>
        <w:rPr>
          <w:rFonts w:ascii="Times New Roman" w:eastAsia="Times New Roman" w:hAnsi="Times New Roman" w:cs="Times New Roman"/>
          <w:sz w:val="24"/>
          <w:szCs w:val="24"/>
        </w:rPr>
        <w:t>, 2014).</w:t>
      </w:r>
    </w:p>
    <w:p w:rsidR="004335AE" w:rsidRDefault="0028030C">
      <w:pPr>
        <w:spacing w:before="240" w:after="240" w:line="360" w:lineRule="auto"/>
        <w:jc w:val="both"/>
        <w:rPr>
          <w:sz w:val="24"/>
          <w:szCs w:val="24"/>
        </w:rPr>
      </w:pPr>
      <w:r>
        <w:rPr>
          <w:rFonts w:ascii="Times New Roman" w:eastAsia="Times New Roman" w:hAnsi="Times New Roman" w:cs="Times New Roman"/>
          <w:b/>
          <w:bCs/>
          <w:sz w:val="24"/>
          <w:szCs w:val="24"/>
        </w:rPr>
        <w:t>Objectives of the Study</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The goals are restated in a comprehensible and scholarly manner:</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To conduct a systematic literature</w:t>
      </w:r>
      <w:r>
        <w:rPr>
          <w:rFonts w:ascii="Times New Roman" w:eastAsia="Times New Roman" w:hAnsi="Times New Roman" w:cs="Times New Roman"/>
          <w:color w:val="111111"/>
          <w:sz w:val="24"/>
          <w:szCs w:val="24"/>
        </w:rPr>
        <w:t xml:space="preserve"> review of theoretical frameworks to connect organizational sustainability and employee well-being.</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To generalize the collected empirical data on the direct and mediated impacts of sustainability practices on </w:t>
      </w:r>
      <w:proofErr w:type="spellStart"/>
      <w:r>
        <w:rPr>
          <w:rFonts w:ascii="Times New Roman" w:eastAsia="Times New Roman" w:hAnsi="Times New Roman" w:cs="Times New Roman"/>
          <w:color w:val="111111"/>
          <w:sz w:val="24"/>
          <w:szCs w:val="24"/>
        </w:rPr>
        <w:t>well being</w:t>
      </w:r>
      <w:proofErr w:type="spellEnd"/>
      <w:r>
        <w:rPr>
          <w:rFonts w:ascii="Times New Roman" w:eastAsia="Times New Roman" w:hAnsi="Times New Roman" w:cs="Times New Roman"/>
          <w:color w:val="111111"/>
          <w:sz w:val="24"/>
          <w:szCs w:val="24"/>
        </w:rPr>
        <w:t xml:space="preserve"> outcomes.</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To determine contextual mo</w:t>
      </w:r>
      <w:r>
        <w:rPr>
          <w:rFonts w:ascii="Times New Roman" w:eastAsia="Times New Roman" w:hAnsi="Times New Roman" w:cs="Times New Roman"/>
          <w:color w:val="111111"/>
          <w:sz w:val="24"/>
          <w:szCs w:val="24"/>
        </w:rPr>
        <w:t>derators (industry, leadership, institutional setting, post-COVID work arrangement).</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To consider the paradoxical or undesirable well-being effects of sustainability efforts.</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To hypothesize a conceptual model that can be used later in the empirical research</w:t>
      </w:r>
      <w:r>
        <w:rPr>
          <w:rFonts w:ascii="Times New Roman" w:eastAsia="Times New Roman" w:hAnsi="Times New Roman" w:cs="Times New Roman"/>
          <w:color w:val="111111"/>
          <w:sz w:val="24"/>
          <w:szCs w:val="24"/>
        </w:rPr>
        <w:t>.</w:t>
      </w:r>
    </w:p>
    <w:p w:rsidR="004335AE" w:rsidRDefault="0028030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 of the Study</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can be used to contribute to the increasing discussion of human-centered sustainability by combining different theoretical approaches and empirical evidence. It supports the thesis that employee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is not only</w:t>
      </w:r>
      <w:r>
        <w:rPr>
          <w:rFonts w:ascii="Times New Roman" w:eastAsia="Times New Roman" w:hAnsi="Times New Roman" w:cs="Times New Roman"/>
          <w:sz w:val="24"/>
          <w:szCs w:val="24"/>
        </w:rPr>
        <w:t xml:space="preserve"> a social outcome of desirable character but a critical enabling factor of sustainable organizational performance. The research is worth reading to managers, policymakers, and researchers who are planning on how to create sustainable strategies that are ef</w:t>
      </w:r>
      <w:r>
        <w:rPr>
          <w:rFonts w:ascii="Times New Roman" w:eastAsia="Times New Roman" w:hAnsi="Times New Roman" w:cs="Times New Roman"/>
          <w:sz w:val="24"/>
          <w:szCs w:val="24"/>
        </w:rPr>
        <w:t>fective and humane, especially in a post-pandemic world, which is uncertain and rapidly changing.</w:t>
      </w:r>
    </w:p>
    <w:p w:rsidR="004335AE" w:rsidRDefault="004335AE">
      <w:pPr>
        <w:spacing w:before="240" w:after="240"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 of Literature</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conceptual framework of sustainability in organizations can be explained as follows.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understanding of sustainability in the cont</w:t>
      </w:r>
      <w:r>
        <w:rPr>
          <w:rFonts w:ascii="Times New Roman" w:eastAsia="Times New Roman" w:hAnsi="Times New Roman" w:cs="Times New Roman"/>
          <w:sz w:val="24"/>
          <w:szCs w:val="24"/>
        </w:rPr>
        <w:t>ext of organizations is often framed in the concept known as the triple bottom line (TBL) that focuses on economic, environmental, and social performance. Where economic sustainability is concerned with long term profitability and competitiveness, environm</w:t>
      </w:r>
      <w:r>
        <w:rPr>
          <w:rFonts w:ascii="Times New Roman" w:eastAsia="Times New Roman" w:hAnsi="Times New Roman" w:cs="Times New Roman"/>
          <w:sz w:val="24"/>
          <w:szCs w:val="24"/>
        </w:rPr>
        <w:t xml:space="preserve">ental sustainability is concerned with resource efficiency, reduction of pollution, and responsibility towards climate. Social sustainability which is not clearly defined contains labor rights, equity, diversity, health, safety, and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of the emplo</w:t>
      </w:r>
      <w:r>
        <w:rPr>
          <w:rFonts w:ascii="Times New Roman" w:eastAsia="Times New Roman" w:hAnsi="Times New Roman" w:cs="Times New Roman"/>
          <w:sz w:val="24"/>
          <w:szCs w:val="24"/>
        </w:rPr>
        <w:t>yees.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recent research is of the view that social sustainability is not a supportive aspect but a pillar that supports environmental and economic sustainability. The employees play a major role as stakeholders and change agents in the application of sustainab</w:t>
      </w:r>
      <w:r>
        <w:rPr>
          <w:rFonts w:ascii="Times New Roman" w:eastAsia="Times New Roman" w:hAnsi="Times New Roman" w:cs="Times New Roman"/>
          <w:sz w:val="24"/>
          <w:szCs w:val="24"/>
        </w:rPr>
        <w:t>le practices. It is in vain to expect sustainability efforts to turn out to be superficial or temporary without motivated, healthy, and engaged employees. Therefore, the well-being of the employees is becoming a sensitive issue that is perceived as a resul</w:t>
      </w:r>
      <w:r>
        <w:rPr>
          <w:rFonts w:ascii="Times New Roman" w:eastAsia="Times New Roman" w:hAnsi="Times New Roman" w:cs="Times New Roman"/>
          <w:sz w:val="24"/>
          <w:szCs w:val="24"/>
        </w:rPr>
        <w:t>t and a cause of sustainable organizational performance.</w:t>
      </w:r>
    </w:p>
    <w:p w:rsidR="004335AE" w:rsidRDefault="004335AE">
      <w:pPr>
        <w:spacing w:line="360" w:lineRule="auto"/>
        <w:jc w:val="both"/>
        <w:rPr>
          <w:rFonts w:ascii="Times New Roman" w:eastAsia="Times New Roman" w:hAnsi="Times New Roman" w:cs="Times New Roman"/>
          <w:b/>
          <w:bCs/>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Sustainability and Social Aspects of Organizations.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has changed its definition to a multidimensional model that includes economic, environmental, and social pillars in addition to be</w:t>
      </w:r>
      <w:r>
        <w:rPr>
          <w:rFonts w:ascii="Times New Roman" w:eastAsia="Times New Roman" w:hAnsi="Times New Roman" w:cs="Times New Roman"/>
          <w:sz w:val="24"/>
          <w:szCs w:val="24"/>
        </w:rPr>
        <w:t>ing an environment-</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agenda. The triple bottom line model outlines the fact that the </w:t>
      </w:r>
      <w:proofErr w:type="gramStart"/>
      <w:r>
        <w:rPr>
          <w:rFonts w:ascii="Times New Roman" w:eastAsia="Times New Roman" w:hAnsi="Times New Roman" w:cs="Times New Roman"/>
          <w:sz w:val="24"/>
          <w:szCs w:val="24"/>
        </w:rPr>
        <w:t>long term</w:t>
      </w:r>
      <w:proofErr w:type="gramEnd"/>
      <w:r>
        <w:rPr>
          <w:rFonts w:ascii="Times New Roman" w:eastAsia="Times New Roman" w:hAnsi="Times New Roman" w:cs="Times New Roman"/>
          <w:sz w:val="24"/>
          <w:szCs w:val="24"/>
        </w:rPr>
        <w:t xml:space="preserve"> success of an organization lies in balancing profitability with environmental accountability and equity with the society (Elkington, 1997). In this context</w:t>
      </w:r>
      <w:r>
        <w:rPr>
          <w:rFonts w:ascii="Times New Roman" w:eastAsia="Times New Roman" w:hAnsi="Times New Roman" w:cs="Times New Roman"/>
          <w:sz w:val="24"/>
          <w:szCs w:val="24"/>
        </w:rPr>
        <w:t>, the social aspect, especially the well-being of employees has been receiving more and more focus as a factor in sustainable performance of an organization.</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report of the Brundtland Commission Our Common Future emphasized that it is necessary not to </w:t>
      </w:r>
      <w:r>
        <w:rPr>
          <w:rFonts w:ascii="Times New Roman" w:eastAsia="Times New Roman" w:hAnsi="Times New Roman" w:cs="Times New Roman"/>
          <w:sz w:val="24"/>
          <w:szCs w:val="24"/>
        </w:rPr>
        <w:t xml:space="preserve">damage the future generation at the expense of current needs, and implicitly saw human well-being as the main issue of sustainability (Brundtland, 1987). Based on this premise, </w:t>
      </w:r>
      <w:proofErr w:type="spellStart"/>
      <w:r>
        <w:rPr>
          <w:rFonts w:ascii="Times New Roman" w:eastAsia="Times New Roman" w:hAnsi="Times New Roman" w:cs="Times New Roman"/>
          <w:sz w:val="24"/>
          <w:szCs w:val="24"/>
        </w:rPr>
        <w:t>Dyllick</w:t>
      </w:r>
      <w:proofErr w:type="spellEnd"/>
      <w:r>
        <w:rPr>
          <w:rFonts w:ascii="Times New Roman" w:eastAsia="Times New Roman" w:hAnsi="Times New Roman" w:cs="Times New Roman"/>
          <w:sz w:val="24"/>
          <w:szCs w:val="24"/>
        </w:rPr>
        <w:t xml:space="preserve"> and Muff (2016) claimed that, indeed, sustainable businesses are not me</w:t>
      </w:r>
      <w:r>
        <w:rPr>
          <w:rFonts w:ascii="Times New Roman" w:eastAsia="Times New Roman" w:hAnsi="Times New Roman" w:cs="Times New Roman"/>
          <w:sz w:val="24"/>
          <w:szCs w:val="24"/>
        </w:rPr>
        <w:t xml:space="preserve">rely in compliance and risk management but in the generation of positive value to various stakeholders, such as employees. The move is an indication of increased awareness of the fact that sustainability efforts should be integrated into </w:t>
      </w:r>
      <w:proofErr w:type="spellStart"/>
      <w:r>
        <w:rPr>
          <w:rFonts w:ascii="Times New Roman" w:eastAsia="Times New Roman" w:hAnsi="Times New Roman" w:cs="Times New Roman"/>
          <w:sz w:val="24"/>
          <w:szCs w:val="24"/>
        </w:rPr>
        <w:t>co-ordinated</w:t>
      </w:r>
      <w:proofErr w:type="spellEnd"/>
      <w:r>
        <w:rPr>
          <w:rFonts w:ascii="Times New Roman" w:eastAsia="Times New Roman" w:hAnsi="Times New Roman" w:cs="Times New Roman"/>
          <w:sz w:val="24"/>
          <w:szCs w:val="24"/>
        </w:rPr>
        <w:t xml:space="preserve"> and i</w:t>
      </w:r>
      <w:r>
        <w:rPr>
          <w:rFonts w:ascii="Times New Roman" w:eastAsia="Times New Roman" w:hAnsi="Times New Roman" w:cs="Times New Roman"/>
          <w:sz w:val="24"/>
          <w:szCs w:val="24"/>
        </w:rPr>
        <w:t>nternal organizational efforts rather than being just restricted to external environmental efforts.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Employee Well-Being: Concept and Importance.</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multidimensional construct of employee well-being concept includes physical health, psychological well-be</w:t>
      </w:r>
      <w:r>
        <w:rPr>
          <w:rFonts w:ascii="Times New Roman" w:eastAsia="Times New Roman" w:hAnsi="Times New Roman" w:cs="Times New Roman"/>
          <w:sz w:val="24"/>
          <w:szCs w:val="24"/>
        </w:rPr>
        <w:t>ing, job satisfaction, and work-life balance. Guest (2017) pointed out that well-being must be regarded as an essential result of human resource management, and not as a secondary or indirect gain. Positive organizational performance improvement in terms o</w:t>
      </w:r>
      <w:r>
        <w:rPr>
          <w:rFonts w:ascii="Times New Roman" w:eastAsia="Times New Roman" w:hAnsi="Times New Roman" w:cs="Times New Roman"/>
          <w:sz w:val="24"/>
          <w:szCs w:val="24"/>
        </w:rPr>
        <w:t xml:space="preserve">f better </w:t>
      </w:r>
      <w:r>
        <w:rPr>
          <w:rFonts w:ascii="Times New Roman" w:eastAsia="Times New Roman" w:hAnsi="Times New Roman" w:cs="Times New Roman"/>
          <w:sz w:val="24"/>
          <w:szCs w:val="24"/>
        </w:rPr>
        <w:lastRenderedPageBreak/>
        <w:t>performance, reduced absenteeism and turnover intention has always been linked to high employee well-being (Harter et al., 2002).</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 great extent, Pfeffer (2010) criticized models of organization that work towards the financial results without </w:t>
      </w:r>
      <w:proofErr w:type="gramStart"/>
      <w:r>
        <w:rPr>
          <w:rFonts w:ascii="Times New Roman" w:eastAsia="Times New Roman" w:hAnsi="Times New Roman" w:cs="Times New Roman"/>
          <w:sz w:val="24"/>
          <w:szCs w:val="24"/>
        </w:rPr>
        <w:t>taking into account</w:t>
      </w:r>
      <w:proofErr w:type="gramEnd"/>
      <w:r>
        <w:rPr>
          <w:rFonts w:ascii="Times New Roman" w:eastAsia="Times New Roman" w:hAnsi="Times New Roman" w:cs="Times New Roman"/>
          <w:sz w:val="24"/>
          <w:szCs w:val="24"/>
        </w:rPr>
        <w:t xml:space="preserve"> employee health, citing that compromising on human sustainability compromises organizational sustainability in the long run. In this light, the welfare of the employees is not only a moral obligation but a long-term competitiveness posi</w:t>
      </w:r>
      <w:r>
        <w:rPr>
          <w:rFonts w:ascii="Times New Roman" w:eastAsia="Times New Roman" w:hAnsi="Times New Roman" w:cs="Times New Roman"/>
          <w:sz w:val="24"/>
          <w:szCs w:val="24"/>
        </w:rPr>
        <w:t>tion.</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Lenses between Sustainability and Well -Being.</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 number of theoretical frameworks to explain the connection between sustainability practices and employee well-being. According to the stakeholder theory, employees are one of th</w:t>
      </w:r>
      <w:r>
        <w:rPr>
          <w:rFonts w:ascii="Times New Roman" w:eastAsia="Times New Roman" w:hAnsi="Times New Roman" w:cs="Times New Roman"/>
          <w:sz w:val="24"/>
          <w:szCs w:val="24"/>
        </w:rPr>
        <w:t xml:space="preserve">e stakeholders whose interests should be safeguarded by the companies to maintain their legitimacy and trust. In line with this opinion, the social exchange theory argues that in the case where employees feel that organizational practices are friendly and </w:t>
      </w:r>
      <w:r>
        <w:rPr>
          <w:rFonts w:ascii="Times New Roman" w:eastAsia="Times New Roman" w:hAnsi="Times New Roman" w:cs="Times New Roman"/>
          <w:sz w:val="24"/>
          <w:szCs w:val="24"/>
        </w:rPr>
        <w:t>equitable, they will return the favor by becoming more committed and engaged (</w:t>
      </w: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xml:space="preserve"> and Mitchell, 2005).</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Job Demands- Resources (JD-R) model offers a solid explanation of the impact of sustainable work environment on the welfare of employees. Bak</w:t>
      </w:r>
      <w:r>
        <w:rPr>
          <w:rFonts w:ascii="Times New Roman" w:eastAsia="Times New Roman" w:hAnsi="Times New Roman" w:cs="Times New Roman"/>
          <w:sz w:val="24"/>
          <w:szCs w:val="24"/>
        </w:rPr>
        <w:t xml:space="preserve">ker and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xml:space="preserve"> (2017) observe that high work demands that include work pressure and job insecurity are causes of burnout, and job resources in the form of autonomy, social support, and development opportunities contribute to motivation and well-being. O</w:t>
      </w:r>
      <w:r>
        <w:rPr>
          <w:rFonts w:ascii="Times New Roman" w:eastAsia="Times New Roman" w:hAnsi="Times New Roman" w:cs="Times New Roman"/>
          <w:sz w:val="24"/>
          <w:szCs w:val="24"/>
        </w:rPr>
        <w:t>rganizations that are sustainability oriented are more likely to aim at diminishing the bad demands and empowering resources to ensure healthy work places.</w:t>
      </w: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the self-determination theory focuses on the achievement of autonomy, competence, and relatedn</w:t>
      </w:r>
      <w:r>
        <w:rPr>
          <w:rFonts w:ascii="Times New Roman" w:eastAsia="Times New Roman" w:hAnsi="Times New Roman" w:cs="Times New Roman"/>
          <w:sz w:val="24"/>
          <w:szCs w:val="24"/>
        </w:rPr>
        <w:t>ess as some of the essential psychological needs (Deci and Ryan, 2000). The needs are supported by sustainable HR practices that promote participation, skill development, and inclusive cultures that would contribute to intrinsic motivation and well-being.</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Sustainable Human Resource Management and Well-Being.</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Sustainable human resource management (HRM) has become a very important connection between sustainability and human well-being. </w:t>
      </w:r>
      <w:proofErr w:type="spellStart"/>
      <w:r>
        <w:rPr>
          <w:rFonts w:ascii="Times New Roman" w:eastAsia="Times New Roman" w:hAnsi="Times New Roman" w:cs="Times New Roman"/>
          <w:sz w:val="24"/>
          <w:szCs w:val="24"/>
        </w:rPr>
        <w:t>Kramar</w:t>
      </w:r>
      <w:proofErr w:type="spellEnd"/>
      <w:r>
        <w:rPr>
          <w:rFonts w:ascii="Times New Roman" w:eastAsia="Times New Roman" w:hAnsi="Times New Roman" w:cs="Times New Roman"/>
          <w:sz w:val="24"/>
          <w:szCs w:val="24"/>
        </w:rPr>
        <w:t xml:space="preserve"> (2014) suggested that sustainable HRM is an improvement of traditional strategic HRM because it looks after the long-term</w:t>
      </w:r>
      <w:r>
        <w:rPr>
          <w:rFonts w:ascii="Times New Roman" w:eastAsia="Times New Roman" w:hAnsi="Times New Roman" w:cs="Times New Roman"/>
          <w:sz w:val="24"/>
          <w:szCs w:val="24"/>
        </w:rPr>
        <w:t xml:space="preserve"> welfare of the employees, social justice and environmental responsibility should be included in HR policies. The core of this approach is the fair compensation, safe working conditions, involvement of employees, and continuous learning.</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Renwick et al. (2</w:t>
      </w:r>
      <w:r>
        <w:rPr>
          <w:rFonts w:ascii="Times New Roman" w:eastAsia="Times New Roman" w:hAnsi="Times New Roman" w:cs="Times New Roman"/>
          <w:sz w:val="24"/>
          <w:szCs w:val="24"/>
        </w:rPr>
        <w:t>013) also emphasized the importance of green practices in the HRM as attitude and behavior shapers of employees. Although green HRM has been associated with transforming the environment, it is revealed to positively influence employee pride, organizational</w:t>
      </w:r>
      <w:r>
        <w:rPr>
          <w:rFonts w:ascii="Times New Roman" w:eastAsia="Times New Roman" w:hAnsi="Times New Roman" w:cs="Times New Roman"/>
          <w:sz w:val="24"/>
          <w:szCs w:val="24"/>
        </w:rPr>
        <w:t xml:space="preserve"> identification, and psychological well-being through aligning personal values with organizational sustainability objectives.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Workplace Changes and Well-Being of Employees in the Post-COVID.</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pandemic has completely changed the working conditions and raised the issue of the well-being of workers. Allen et al. (2015) also showed that telecommuting as a flexible working arrangement can lead to job satisfaction and decrease in work-family conf</w:t>
      </w:r>
      <w:r>
        <w:rPr>
          <w:rFonts w:ascii="Times New Roman" w:eastAsia="Times New Roman" w:hAnsi="Times New Roman" w:cs="Times New Roman"/>
          <w:sz w:val="24"/>
          <w:szCs w:val="24"/>
        </w:rPr>
        <w:t xml:space="preserve">lict when managed effectively. Biju et al. (2022) observed that work-from-home working conditions enhanced the </w:t>
      </w:r>
      <w:proofErr w:type="spellStart"/>
      <w:r>
        <w:rPr>
          <w:rFonts w:ascii="Times New Roman" w:eastAsia="Times New Roman" w:hAnsi="Times New Roman" w:cs="Times New Roman"/>
          <w:sz w:val="24"/>
          <w:szCs w:val="24"/>
        </w:rPr>
        <w:t>worklife</w:t>
      </w:r>
      <w:proofErr w:type="spellEnd"/>
      <w:r>
        <w:rPr>
          <w:rFonts w:ascii="Times New Roman" w:eastAsia="Times New Roman" w:hAnsi="Times New Roman" w:cs="Times New Roman"/>
          <w:sz w:val="24"/>
          <w:szCs w:val="24"/>
        </w:rPr>
        <w:t xml:space="preserve"> and job satisfaction of IT professionals in the Indian context, though the results were different depending on the job title and family </w:t>
      </w:r>
      <w:r>
        <w:rPr>
          <w:rFonts w:ascii="Times New Roman" w:eastAsia="Times New Roman" w:hAnsi="Times New Roman" w:cs="Times New Roman"/>
          <w:sz w:val="24"/>
          <w:szCs w:val="24"/>
        </w:rPr>
        <w:t>settings.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 evidence of this article was presented by </w:t>
      </w:r>
      <w:proofErr w:type="spellStart"/>
      <w:r>
        <w:rPr>
          <w:rFonts w:ascii="Times New Roman" w:eastAsia="Times New Roman" w:hAnsi="Times New Roman" w:cs="Times New Roman"/>
          <w:sz w:val="24"/>
          <w:szCs w:val="24"/>
        </w:rPr>
        <w:t>Pardawala</w:t>
      </w:r>
      <w:proofErr w:type="spellEnd"/>
      <w:r>
        <w:rPr>
          <w:rFonts w:ascii="Times New Roman" w:eastAsia="Times New Roman" w:hAnsi="Times New Roman" w:cs="Times New Roman"/>
          <w:sz w:val="24"/>
          <w:szCs w:val="24"/>
        </w:rPr>
        <w:t xml:space="preserve"> et al. (2024) on an Indian population, where overall employee well-being declined after the COVID, with a higher level of stress and mental health issues. Nevertheless, it was also </w:t>
      </w:r>
      <w:r>
        <w:rPr>
          <w:rFonts w:ascii="Times New Roman" w:eastAsia="Times New Roman" w:hAnsi="Times New Roman" w:cs="Times New Roman"/>
          <w:sz w:val="24"/>
          <w:szCs w:val="24"/>
        </w:rPr>
        <w:t>observed in the study that the negative outcomes were partially reduced by the hybrid work models and organizational support mechanisms. These results highlight how critical it is to consider the aspect of well-being as a part of the sustainability strateg</w:t>
      </w:r>
      <w:r>
        <w:rPr>
          <w:rFonts w:ascii="Times New Roman" w:eastAsia="Times New Roman" w:hAnsi="Times New Roman" w:cs="Times New Roman"/>
          <w:sz w:val="24"/>
          <w:szCs w:val="24"/>
        </w:rPr>
        <w:t>ies, especially when the situation is one of crisis and transition.</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Agencies dealing with global health have also focused on the well-being of the workplace as one of the sustainability concerns. In the article by the World Health Organization (2024), it </w:t>
      </w:r>
      <w:r>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lastRenderedPageBreak/>
        <w:t>emphasized that mental health in the workplace should be promoted in order to achieve sustainable economic growth, productivity, and social inclusion.</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Organizational Outcomes and Human Sustainability.</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Spreitzer</w:t>
      </w:r>
      <w:proofErr w:type="spellEnd"/>
      <w:r>
        <w:rPr>
          <w:rFonts w:ascii="Times New Roman" w:eastAsia="Times New Roman" w:hAnsi="Times New Roman" w:cs="Times New Roman"/>
          <w:sz w:val="24"/>
          <w:szCs w:val="24"/>
        </w:rPr>
        <w:t xml:space="preserve"> et al. (2012) also came up with the hum</w:t>
      </w:r>
      <w:r>
        <w:rPr>
          <w:rFonts w:ascii="Times New Roman" w:eastAsia="Times New Roman" w:hAnsi="Times New Roman" w:cs="Times New Roman"/>
          <w:sz w:val="24"/>
          <w:szCs w:val="24"/>
        </w:rPr>
        <w:t>an sustainability concept with focus on employee vitality and learning as the most important outcome of sustainable organizations. This view holds that companies who are well-being oriented in their employees establish virtuous cycles of energy, engagement</w:t>
      </w:r>
      <w:r>
        <w:rPr>
          <w:rFonts w:ascii="Times New Roman" w:eastAsia="Times New Roman" w:hAnsi="Times New Roman" w:cs="Times New Roman"/>
          <w:sz w:val="24"/>
          <w:szCs w:val="24"/>
        </w:rPr>
        <w:t>, and flexibility. This makes such organizations more responsive to environmental, technological and economic disruptions.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the literature hints that there is a strong and positive correlation between the sustainability-oriented practices and e</w:t>
      </w:r>
      <w:r>
        <w:rPr>
          <w:rFonts w:ascii="Times New Roman" w:eastAsia="Times New Roman" w:hAnsi="Times New Roman" w:cs="Times New Roman"/>
          <w:sz w:val="24"/>
          <w:szCs w:val="24"/>
        </w:rPr>
        <w:t>mployee well-being. Nevertheless, there is also empirical evidence that potential tensions can occur in case the sustainability initiatives are imposed on workload or performance without proper support. This brings out the importance of the employee-focuse</w:t>
      </w:r>
      <w:r>
        <w:rPr>
          <w:rFonts w:ascii="Times New Roman" w:eastAsia="Times New Roman" w:hAnsi="Times New Roman" w:cs="Times New Roman"/>
          <w:sz w:val="24"/>
          <w:szCs w:val="24"/>
        </w:rPr>
        <w:t>d sustainability policies.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111111"/>
          <w:sz w:val="24"/>
          <w:szCs w:val="24"/>
        </w:rPr>
        <w:t>Research gaps identified.</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Despite the fact that sustainability and the </w:t>
      </w:r>
      <w:proofErr w:type="spellStart"/>
      <w:r>
        <w:rPr>
          <w:rFonts w:ascii="Times New Roman" w:eastAsia="Times New Roman" w:hAnsi="Times New Roman" w:cs="Times New Roman"/>
          <w:color w:val="111111"/>
          <w:sz w:val="24"/>
          <w:szCs w:val="24"/>
        </w:rPr>
        <w:t>well being</w:t>
      </w:r>
      <w:proofErr w:type="spellEnd"/>
      <w:r>
        <w:rPr>
          <w:rFonts w:ascii="Times New Roman" w:eastAsia="Times New Roman" w:hAnsi="Times New Roman" w:cs="Times New Roman"/>
          <w:color w:val="111111"/>
          <w:sz w:val="24"/>
          <w:szCs w:val="24"/>
        </w:rPr>
        <w:t xml:space="preserve"> of the employees have been well researched individually there are four specific gaps: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Fragmentation Gap - Research is isolated in each of sustai</w:t>
      </w:r>
      <w:r>
        <w:rPr>
          <w:rFonts w:ascii="Times New Roman" w:eastAsia="Times New Roman" w:hAnsi="Times New Roman" w:cs="Times New Roman"/>
          <w:color w:val="111111"/>
          <w:sz w:val="24"/>
          <w:szCs w:val="24"/>
        </w:rPr>
        <w:t>nability management, HRM and occupational psychology and has little synthesis.</w:t>
      </w:r>
    </w:p>
    <w:p w:rsidR="004335AE" w:rsidRDefault="0028030C">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Causality Gap The majority of empirical studies are cross-sectional studies, longitudinal and mechanism-based explanations are sparse.</w:t>
      </w:r>
    </w:p>
    <w:p w:rsidR="004335AE" w:rsidRDefault="0028030C">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Contextual Gap -Evidence is overly vested </w:t>
      </w:r>
      <w:r>
        <w:rPr>
          <w:rFonts w:ascii="Times New Roman" w:eastAsia="Times New Roman" w:hAnsi="Times New Roman" w:cs="Times New Roman"/>
          <w:color w:val="111111"/>
          <w:sz w:val="24"/>
          <w:szCs w:val="24"/>
        </w:rPr>
        <w:t>in developed economies, where thereby few systematic efforts are provided to emerging markets.</w:t>
      </w:r>
    </w:p>
    <w:p w:rsidR="004335AE" w:rsidRDefault="0028030C">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Paradox Gap- Minimal studies cover the two-fold impact of sustainability programs that both improve and impose stress on the welfare of employees.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This review f</w:t>
      </w:r>
      <w:r>
        <w:rPr>
          <w:rFonts w:ascii="Times New Roman" w:eastAsia="Times New Roman" w:hAnsi="Times New Roman" w:cs="Times New Roman"/>
          <w:color w:val="111111"/>
          <w:sz w:val="24"/>
          <w:szCs w:val="24"/>
        </w:rPr>
        <w:t xml:space="preserve">ills these gaps by </w:t>
      </w:r>
      <w:proofErr w:type="spellStart"/>
      <w:r>
        <w:rPr>
          <w:rFonts w:ascii="Times New Roman" w:eastAsia="Times New Roman" w:hAnsi="Times New Roman" w:cs="Times New Roman"/>
          <w:color w:val="111111"/>
          <w:sz w:val="24"/>
          <w:szCs w:val="24"/>
        </w:rPr>
        <w:t>synthesising</w:t>
      </w:r>
      <w:proofErr w:type="spellEnd"/>
      <w:r>
        <w:rPr>
          <w:rFonts w:ascii="Times New Roman" w:eastAsia="Times New Roman" w:hAnsi="Times New Roman" w:cs="Times New Roman"/>
          <w:color w:val="111111"/>
          <w:sz w:val="24"/>
          <w:szCs w:val="24"/>
        </w:rPr>
        <w:t xml:space="preserve"> in a structure and theory integrated manner.</w:t>
      </w:r>
    </w:p>
    <w:p w:rsidR="004335AE" w:rsidRDefault="004335AE">
      <w:pPr>
        <w:spacing w:line="360" w:lineRule="auto"/>
        <w:jc w:val="both"/>
        <w:rPr>
          <w:sz w:val="24"/>
          <w:szCs w:val="24"/>
        </w:rPr>
      </w:pPr>
    </w:p>
    <w:p w:rsidR="004335AE" w:rsidRDefault="0028030C">
      <w:pPr>
        <w:pStyle w:val="Heading2"/>
        <w:keepNext w:val="0"/>
        <w:keepLines w:val="0"/>
        <w:spacing w:after="80" w:line="360" w:lineRule="auto"/>
        <w:jc w:val="both"/>
        <w:rPr>
          <w:rFonts w:ascii="Times New Roman" w:eastAsia="Times New Roman" w:hAnsi="Times New Roman" w:cs="Times New Roman"/>
          <w:b/>
          <w:bCs/>
          <w:sz w:val="24"/>
          <w:szCs w:val="24"/>
        </w:rPr>
      </w:pPr>
      <w:bookmarkStart w:id="1" w:name="_heading=h.k42956bqj7ob" w:colFirst="0" w:colLast="0"/>
      <w:bookmarkEnd w:id="1"/>
      <w:r>
        <w:rPr>
          <w:rFonts w:ascii="Times New Roman" w:eastAsia="Times New Roman" w:hAnsi="Times New Roman" w:cs="Times New Roman"/>
          <w:b/>
          <w:bCs/>
          <w:sz w:val="24"/>
          <w:szCs w:val="24"/>
        </w:rPr>
        <w:t>Research Methodology</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article has taken a narrative review approach where a synthesis of available theoretical and empirical knowledge concerning sustainability and employee well-being has been undertaken. The peer reviewed journal articles, books, and policy reports publis</w:t>
      </w:r>
      <w:r>
        <w:rPr>
          <w:rFonts w:ascii="Times New Roman" w:eastAsia="Times New Roman" w:hAnsi="Times New Roman" w:cs="Times New Roman"/>
          <w:sz w:val="24"/>
          <w:szCs w:val="24"/>
        </w:rPr>
        <w:t>hed mostly in the past 20 years were reviewed. The review concentrates on interdisciplinary studies in the field of management, organizational psychology, economics and sustainability studies.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academic databases used to find literature using keywords l</w:t>
      </w:r>
      <w:r>
        <w:rPr>
          <w:rFonts w:ascii="Times New Roman" w:eastAsia="Times New Roman" w:hAnsi="Times New Roman" w:cs="Times New Roman"/>
          <w:sz w:val="24"/>
          <w:szCs w:val="24"/>
        </w:rPr>
        <w:t>ike sustainability, employee well-being, social sustainability, sustainable HRM, and work place well-being in Scopus, Web of science and Google scholar. The selection of studies was done according to relevance, theoretical contribution and rigor of the met</w:t>
      </w:r>
      <w:r>
        <w:rPr>
          <w:rFonts w:ascii="Times New Roman" w:eastAsia="Times New Roman" w:hAnsi="Times New Roman" w:cs="Times New Roman"/>
          <w:sz w:val="24"/>
          <w:szCs w:val="24"/>
        </w:rPr>
        <w:t>hodology. Both conceptual and empirical studies were enclosed in order to have a vivid picture of the topic.</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conducted a review was analyzed thematically, which allowed tracing the common patterns, theoretical frameworks, and empirical resul</w:t>
      </w:r>
      <w:r>
        <w:rPr>
          <w:rFonts w:ascii="Times New Roman" w:eastAsia="Times New Roman" w:hAnsi="Times New Roman" w:cs="Times New Roman"/>
          <w:sz w:val="24"/>
          <w:szCs w:val="24"/>
        </w:rPr>
        <w:t>ts. This will enable the incorporation of various views and point out gaps and discrepancies in already existing studies.</w:t>
      </w:r>
    </w:p>
    <w:p w:rsidR="004335AE" w:rsidRDefault="0028030C">
      <w:pPr>
        <w:pStyle w:val="Heading2"/>
        <w:keepNext w:val="0"/>
        <w:keepLines w:val="0"/>
        <w:spacing w:after="80" w:line="360" w:lineRule="auto"/>
        <w:jc w:val="both"/>
        <w:rPr>
          <w:rFonts w:ascii="Times New Roman" w:eastAsia="Times New Roman" w:hAnsi="Times New Roman" w:cs="Times New Roman"/>
          <w:b/>
          <w:bCs/>
          <w:sz w:val="24"/>
          <w:szCs w:val="24"/>
        </w:rPr>
      </w:pPr>
      <w:bookmarkStart w:id="2" w:name="_heading=h.7mbqh265jrab" w:colFirst="0" w:colLast="0"/>
      <w:bookmarkEnd w:id="2"/>
      <w:r>
        <w:rPr>
          <w:rFonts w:ascii="Times New Roman" w:eastAsia="Times New Roman" w:hAnsi="Times New Roman" w:cs="Times New Roman"/>
          <w:b/>
          <w:bCs/>
          <w:sz w:val="24"/>
          <w:szCs w:val="24"/>
        </w:rPr>
        <w:t>Data Analysis and Interpretation</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of the studies under consideration shows that there are a few common patterns. To begin with, it can be said that there is a substantial amount of evidence demonstrating the positive correlation between sustainability-focused organizational acti</w:t>
      </w:r>
      <w:r>
        <w:rPr>
          <w:rFonts w:ascii="Times New Roman" w:eastAsia="Times New Roman" w:hAnsi="Times New Roman" w:cs="Times New Roman"/>
          <w:sz w:val="24"/>
          <w:szCs w:val="24"/>
        </w:rPr>
        <w:t>vities and employee well-being outcomes including job satisfaction, engagement, and mental health. Companies that incorporate social sustainability in their policies also have lower turnover intentions and commitment by their employees.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the critica</w:t>
      </w:r>
      <w:r>
        <w:rPr>
          <w:rFonts w:ascii="Times New Roman" w:eastAsia="Times New Roman" w:hAnsi="Times New Roman" w:cs="Times New Roman"/>
          <w:sz w:val="24"/>
          <w:szCs w:val="24"/>
        </w:rPr>
        <w:t>l mediating role goes to leadership. The connection between sustainability efforts and employee welfare is enhanced through transformational and ethical leadership styles which promote trust, fairness and shared purpose. When leaders maintain consistency i</w:t>
      </w:r>
      <w:r>
        <w:rPr>
          <w:rFonts w:ascii="Times New Roman" w:eastAsia="Times New Roman" w:hAnsi="Times New Roman" w:cs="Times New Roman"/>
          <w:sz w:val="24"/>
          <w:szCs w:val="24"/>
        </w:rPr>
        <w:t xml:space="preserve">n their values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then the employees tend to see sustainability efforts as real.</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Third, organizational forces, including the industry type, the size of an organization, and the national culture, affect results. To illustrate, sustainability pr</w:t>
      </w:r>
      <w:r>
        <w:rPr>
          <w:rFonts w:ascii="Times New Roman" w:eastAsia="Times New Roman" w:hAnsi="Times New Roman" w:cs="Times New Roman"/>
          <w:sz w:val="24"/>
          <w:szCs w:val="24"/>
        </w:rPr>
        <w:t>actices can have greater well-being advantages in the knowledge-intensive industries and in institutions where labor protections are high.</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there are methodological limitations. Cross-sectional surveys are the basis of a lot of research, and this re</w:t>
      </w:r>
      <w:r>
        <w:rPr>
          <w:rFonts w:ascii="Times New Roman" w:eastAsia="Times New Roman" w:hAnsi="Times New Roman" w:cs="Times New Roman"/>
          <w:sz w:val="24"/>
          <w:szCs w:val="24"/>
        </w:rPr>
        <w:t>stricts causation. The number of studies by developed economies is also overrepresented, and additional studies should be conducted in the environment of emerging and developing countries.</w:t>
      </w:r>
    </w:p>
    <w:p w:rsidR="004335AE" w:rsidRDefault="0028030C">
      <w:pPr>
        <w:pStyle w:val="Heading2"/>
        <w:keepNext w:val="0"/>
        <w:keepLines w:val="0"/>
        <w:spacing w:after="80" w:line="360" w:lineRule="auto"/>
        <w:jc w:val="both"/>
        <w:rPr>
          <w:rFonts w:ascii="Times New Roman" w:eastAsia="Times New Roman" w:hAnsi="Times New Roman" w:cs="Times New Roman"/>
          <w:b/>
          <w:bCs/>
          <w:sz w:val="24"/>
          <w:szCs w:val="24"/>
        </w:rPr>
      </w:pPr>
      <w:bookmarkStart w:id="3" w:name="_heading=h.8ott66yjgy55" w:colFirst="0" w:colLast="0"/>
      <w:bookmarkEnd w:id="3"/>
      <w:r>
        <w:rPr>
          <w:rFonts w:ascii="Times New Roman" w:eastAsia="Times New Roman" w:hAnsi="Times New Roman" w:cs="Times New Roman"/>
          <w:b/>
          <w:bCs/>
          <w:sz w:val="24"/>
          <w:szCs w:val="24"/>
        </w:rPr>
        <w:t>Discussion and Implications</w:t>
      </w: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The review establishes the existence of</w:t>
      </w:r>
      <w:r>
        <w:rPr>
          <w:rFonts w:ascii="Times New Roman" w:eastAsia="Times New Roman" w:hAnsi="Times New Roman" w:cs="Times New Roman"/>
          <w:color w:val="111111"/>
          <w:sz w:val="24"/>
          <w:szCs w:val="24"/>
        </w:rPr>
        <w:t xml:space="preserve"> </w:t>
      </w:r>
      <w:proofErr w:type="spellStart"/>
      <w:proofErr w:type="gramStart"/>
      <w:r>
        <w:rPr>
          <w:rFonts w:ascii="Times New Roman" w:eastAsia="Times New Roman" w:hAnsi="Times New Roman" w:cs="Times New Roman"/>
          <w:color w:val="111111"/>
          <w:sz w:val="24"/>
          <w:szCs w:val="24"/>
        </w:rPr>
        <w:t>a</w:t>
      </w:r>
      <w:proofErr w:type="spellEnd"/>
      <w:proofErr w:type="gramEnd"/>
      <w:r>
        <w:rPr>
          <w:rFonts w:ascii="Times New Roman" w:eastAsia="Times New Roman" w:hAnsi="Times New Roman" w:cs="Times New Roman"/>
          <w:color w:val="111111"/>
          <w:sz w:val="24"/>
          <w:szCs w:val="24"/>
        </w:rPr>
        <w:t xml:space="preserve"> overall positive correlation between sustainability-oriented practices and employee well-being though it is mediated by leadership, organizational culture, and the allocation of resources.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First, the JD-R model can be discussed according to which susta</w:t>
      </w:r>
      <w:r>
        <w:rPr>
          <w:rFonts w:ascii="Times New Roman" w:eastAsia="Times New Roman" w:hAnsi="Times New Roman" w:cs="Times New Roman"/>
          <w:color w:val="111111"/>
          <w:sz w:val="24"/>
          <w:szCs w:val="24"/>
        </w:rPr>
        <w:t>inability initiatives contribute to more well-being under the condition that they raise job resources (autonomy, purpose, development opportunities).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On the other hand, sustainability measurements associated with performance pressures can also increase job</w:t>
      </w:r>
      <w:r>
        <w:rPr>
          <w:rFonts w:ascii="Times New Roman" w:eastAsia="Times New Roman" w:hAnsi="Times New Roman" w:cs="Times New Roman"/>
          <w:color w:val="111111"/>
          <w:sz w:val="24"/>
          <w:szCs w:val="24"/>
        </w:rPr>
        <w:t xml:space="preserve"> requirements and lead to stress.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Second, another moderating factor is leadership.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Transformational and ethical leaders can turn sustainability objectives into psychologically significant stories to diminish cynicism among the employees.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Third, there is </w:t>
      </w:r>
      <w:r>
        <w:rPr>
          <w:rFonts w:ascii="Times New Roman" w:eastAsia="Times New Roman" w:hAnsi="Times New Roman" w:cs="Times New Roman"/>
          <w:color w:val="111111"/>
          <w:sz w:val="24"/>
          <w:szCs w:val="24"/>
        </w:rPr>
        <w:t>the institutional context.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movements toward sustainability in emerging economies typically overlap with regulatory compliance and informality in labor, and affect the perceptions of employees.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Lastly, the sustainability-well-being equation has changed</w:t>
      </w:r>
      <w:r>
        <w:rPr>
          <w:rFonts w:ascii="Times New Roman" w:eastAsia="Times New Roman" w:hAnsi="Times New Roman" w:cs="Times New Roman"/>
          <w:color w:val="111111"/>
          <w:sz w:val="24"/>
          <w:szCs w:val="24"/>
        </w:rPr>
        <w:t xml:space="preserve"> due to post-COVID digital transformation.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Flexible employment positively impacts autonomy yet increases seclusion and online fatigue, which require well-being policies to be implemented structure-wise.</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The results support the fact that employee well-bein</w:t>
      </w:r>
      <w:r>
        <w:rPr>
          <w:rFonts w:ascii="Times New Roman" w:eastAsia="Times New Roman" w:hAnsi="Times New Roman" w:cs="Times New Roman"/>
          <w:color w:val="111111"/>
          <w:sz w:val="24"/>
          <w:szCs w:val="24"/>
        </w:rPr>
        <w:t>g is: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 by-product of sustainability practices, and</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An organizational strategic facilitator of sustainable performance.</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ACCOMPLishment</w:t>
      </w:r>
      <w:proofErr w:type="spellEnd"/>
      <w:r>
        <w:rPr>
          <w:rFonts w:ascii="Times New Roman" w:eastAsia="Times New Roman" w:hAnsi="Times New Roman" w:cs="Times New Roman"/>
          <w:color w:val="111111"/>
          <w:sz w:val="24"/>
          <w:szCs w:val="24"/>
        </w:rPr>
        <w:t xml:space="preserve"> of Goal(s) (Clearly Expressed)</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By conducting the study, the objectives were met as the study:</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Combining five prominent theoretical perspectives into one explanatory mode.</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Integrating cross-disciplinary empirical results between developed and emerging situations.</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Determining contextual moderators of sustainability-well-being relationship.</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Pointing o</w:t>
      </w:r>
      <w:r>
        <w:rPr>
          <w:rFonts w:ascii="Times New Roman" w:eastAsia="Times New Roman" w:hAnsi="Times New Roman" w:cs="Times New Roman"/>
          <w:color w:val="111111"/>
          <w:sz w:val="24"/>
          <w:szCs w:val="24"/>
        </w:rPr>
        <w:t>ut contradictory issues in sustainability practice.</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Suggesting a research agenda with a focus on longitudinal and emerging-economy research.</w:t>
      </w:r>
    </w:p>
    <w:p w:rsidR="004335AE" w:rsidRDefault="004335AE"/>
    <w:p w:rsidR="004335AE" w:rsidRDefault="0028030C">
      <w:pPr>
        <w:pStyle w:val="Heading3"/>
        <w:keepNext w:val="0"/>
        <w:keepLines w:val="0"/>
        <w:spacing w:before="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Practical Implications</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practitioners, the review shows that employee well-being should be integrated in sustainability strategies as opposed to it being viewed as an isolated HR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Organizations need to embrace holistic methods that would bring the environment-related</w:t>
      </w:r>
      <w:r>
        <w:rPr>
          <w:rFonts w:ascii="Times New Roman" w:eastAsia="Times New Roman" w:hAnsi="Times New Roman" w:cs="Times New Roman"/>
          <w:color w:val="000000"/>
          <w:sz w:val="24"/>
          <w:szCs w:val="24"/>
        </w:rPr>
        <w:t xml:space="preserve"> objectives in line with the social and human factors. Investments in employee </w:t>
      </w:r>
      <w:proofErr w:type="spellStart"/>
      <w:r>
        <w:rPr>
          <w:rFonts w:ascii="Times New Roman" w:eastAsia="Times New Roman" w:hAnsi="Times New Roman" w:cs="Times New Roman"/>
          <w:color w:val="000000"/>
          <w:sz w:val="24"/>
          <w:szCs w:val="24"/>
        </w:rPr>
        <w:t>well being</w:t>
      </w:r>
      <w:proofErr w:type="spellEnd"/>
      <w:r>
        <w:rPr>
          <w:rFonts w:ascii="Times New Roman" w:eastAsia="Times New Roman" w:hAnsi="Times New Roman" w:cs="Times New Roman"/>
          <w:color w:val="000000"/>
          <w:sz w:val="24"/>
          <w:szCs w:val="24"/>
        </w:rPr>
        <w:t xml:space="preserve"> should be considered as </w:t>
      </w:r>
      <w:proofErr w:type="gramStart"/>
      <w:r>
        <w:rPr>
          <w:rFonts w:ascii="Times New Roman" w:eastAsia="Times New Roman" w:hAnsi="Times New Roman" w:cs="Times New Roman"/>
          <w:color w:val="000000"/>
          <w:sz w:val="24"/>
          <w:szCs w:val="24"/>
        </w:rPr>
        <w:t>long term</w:t>
      </w:r>
      <w:proofErr w:type="gramEnd"/>
      <w:r>
        <w:rPr>
          <w:rFonts w:ascii="Times New Roman" w:eastAsia="Times New Roman" w:hAnsi="Times New Roman" w:cs="Times New Roman"/>
          <w:color w:val="000000"/>
          <w:sz w:val="24"/>
          <w:szCs w:val="24"/>
        </w:rPr>
        <w:t xml:space="preserve"> investments in sustainability and not short term expenditure- like mental health support, flexible work arrangements and inclusion.</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also the possibility of tension between performance pressures and well-being that should be identified by managers and policymakers. Sustainable organizations must strike a balance between efficiency and humane working practice as sustainability o</w:t>
      </w:r>
      <w:r>
        <w:rPr>
          <w:rFonts w:ascii="Times New Roman" w:eastAsia="Times New Roman" w:hAnsi="Times New Roman" w:cs="Times New Roman"/>
          <w:color w:val="000000"/>
          <w:sz w:val="24"/>
          <w:szCs w:val="24"/>
        </w:rPr>
        <w:t>bjectives should not make the stress and inequality levels unknowingly.</w:t>
      </w:r>
    </w:p>
    <w:p w:rsidR="004335AE" w:rsidRDefault="0028030C">
      <w:pPr>
        <w:pStyle w:val="Heading3"/>
        <w:keepNext w:val="0"/>
        <w:keepLines w:val="0"/>
        <w:spacing w:before="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Theoretical Implications</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review adds to the theory by supporting the perception that employee well-being is a cause and a consequence of sustainability. By becoming more explicit i</w:t>
      </w:r>
      <w:r>
        <w:rPr>
          <w:rFonts w:ascii="Times New Roman" w:eastAsia="Times New Roman" w:hAnsi="Times New Roman" w:cs="Times New Roman"/>
          <w:color w:val="000000"/>
          <w:sz w:val="24"/>
          <w:szCs w:val="24"/>
        </w:rPr>
        <w:t>n the sustainability systems, well-being can be integrated into the existing theories to enhance their holistic approaches to organizational performance. Further theoretical research needs to be conducted on dynamic and longitudinal correlations between su</w:t>
      </w:r>
      <w:r>
        <w:rPr>
          <w:rFonts w:ascii="Times New Roman" w:eastAsia="Times New Roman" w:hAnsi="Times New Roman" w:cs="Times New Roman"/>
          <w:color w:val="000000"/>
          <w:sz w:val="24"/>
          <w:szCs w:val="24"/>
        </w:rPr>
        <w:t>stainability programs and well-being outcomes.</w:t>
      </w:r>
    </w:p>
    <w:p w:rsidR="004335AE" w:rsidRDefault="0028030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 Achieved</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study has met its objectives in the sense that:</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Combining five prominent theoretical schools of thought in a single explanatory model.</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Combining cross-disciplinary empirical research in</w:t>
      </w:r>
      <w:r>
        <w:rPr>
          <w:rFonts w:ascii="Times New Roman" w:eastAsia="Times New Roman" w:hAnsi="Times New Roman" w:cs="Times New Roman"/>
          <w:color w:val="111111"/>
          <w:sz w:val="24"/>
          <w:szCs w:val="24"/>
        </w:rPr>
        <w:t xml:space="preserve"> developed and emerging settings.</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Determining contextual moderators that affect the sustainability- well-being relationship.</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Promoting paradoxical tensions of sustainability implementation.</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Suggesting a research agenda that focuses on longitudinal research</w:t>
      </w:r>
      <w:r>
        <w:rPr>
          <w:rFonts w:ascii="Times New Roman" w:eastAsia="Times New Roman" w:hAnsi="Times New Roman" w:cs="Times New Roman"/>
          <w:color w:val="111111"/>
          <w:sz w:val="24"/>
          <w:szCs w:val="24"/>
        </w:rPr>
        <w:t xml:space="preserve"> and research in emerging economies.</w:t>
      </w:r>
    </w:p>
    <w:p w:rsidR="004335AE" w:rsidRDefault="0028030C">
      <w:pPr>
        <w:pStyle w:val="Heading3"/>
        <w:keepNext w:val="0"/>
        <w:keepLines w:val="0"/>
        <w:spacing w:before="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 and Future Research Direction</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review confirms that employee well-being is not an indirect human resource outcome but rather one of the pillars of organizational sustainability. Sustainability is more than</w:t>
      </w:r>
      <w:r>
        <w:rPr>
          <w:rFonts w:ascii="Times New Roman" w:eastAsia="Times New Roman" w:hAnsi="Times New Roman" w:cs="Times New Roman"/>
          <w:color w:val="000000"/>
          <w:sz w:val="24"/>
          <w:szCs w:val="24"/>
        </w:rPr>
        <w:t xml:space="preserve"> the performance indicators of environment and financial </w:t>
      </w:r>
      <w:proofErr w:type="spellStart"/>
      <w:r>
        <w:rPr>
          <w:rFonts w:ascii="Times New Roman" w:eastAsia="Times New Roman" w:hAnsi="Times New Roman" w:cs="Times New Roman"/>
          <w:color w:val="000000"/>
          <w:sz w:val="24"/>
          <w:szCs w:val="24"/>
        </w:rPr>
        <w:t>well being</w:t>
      </w:r>
      <w:proofErr w:type="spellEnd"/>
      <w:r>
        <w:rPr>
          <w:rFonts w:ascii="Times New Roman" w:eastAsia="Times New Roman" w:hAnsi="Times New Roman" w:cs="Times New Roman"/>
          <w:color w:val="000000"/>
          <w:sz w:val="24"/>
          <w:szCs w:val="24"/>
        </w:rPr>
        <w:t xml:space="preserve"> but essentially, it is defined in regards to the ability of an organization to maintain, acquire and recycle human capital as time goes by. Companies </w:t>
      </w:r>
      <w:proofErr w:type="spellStart"/>
      <w:r>
        <w:rPr>
          <w:rFonts w:ascii="Times New Roman" w:eastAsia="Times New Roman" w:hAnsi="Times New Roman" w:cs="Times New Roman"/>
          <w:color w:val="000000"/>
          <w:sz w:val="24"/>
          <w:szCs w:val="24"/>
        </w:rPr>
        <w:t>can not</w:t>
      </w:r>
      <w:proofErr w:type="spellEnd"/>
      <w:r>
        <w:rPr>
          <w:rFonts w:ascii="Times New Roman" w:eastAsia="Times New Roman" w:hAnsi="Times New Roman" w:cs="Times New Roman"/>
          <w:color w:val="000000"/>
          <w:sz w:val="24"/>
          <w:szCs w:val="24"/>
        </w:rPr>
        <w:t xml:space="preserve"> be described as sustainable wh</w:t>
      </w:r>
      <w:r>
        <w:rPr>
          <w:rFonts w:ascii="Times New Roman" w:eastAsia="Times New Roman" w:hAnsi="Times New Roman" w:cs="Times New Roman"/>
          <w:color w:val="000000"/>
          <w:sz w:val="24"/>
          <w:szCs w:val="24"/>
        </w:rPr>
        <w:t>en the model of their operations deprives the workers of their energy, undermines their psychological well-being, and reduces their employability in the long term.</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review reveals the sustainability-well-being nexus as dynamic and multidimensional and </w:t>
      </w:r>
      <w:r>
        <w:rPr>
          <w:rFonts w:ascii="Times New Roman" w:eastAsia="Times New Roman" w:hAnsi="Times New Roman" w:cs="Times New Roman"/>
          <w:color w:val="000000"/>
          <w:sz w:val="24"/>
          <w:szCs w:val="24"/>
        </w:rPr>
        <w:t>context-specific. Implemented in a reliable and authentic way and being part of organizational values, especially in an ethical and transformational leadership style, sustainability actions increase engagement, psychological safety, intrinsic motivation, a</w:t>
      </w:r>
      <w:r>
        <w:rPr>
          <w:rFonts w:ascii="Times New Roman" w:eastAsia="Times New Roman" w:hAnsi="Times New Roman" w:cs="Times New Roman"/>
          <w:color w:val="000000"/>
          <w:sz w:val="24"/>
          <w:szCs w:val="24"/>
        </w:rPr>
        <w:t>nd organizational resilience. Sustainability programs, in this case, get purposeful to the staff and trust and dedication is consolidated between the parties. On the other hand, workload pressure, role ambiguity, and stress induced by performance-sustainab</w:t>
      </w:r>
      <w:r>
        <w:rPr>
          <w:rFonts w:ascii="Times New Roman" w:eastAsia="Times New Roman" w:hAnsi="Times New Roman" w:cs="Times New Roman"/>
          <w:color w:val="000000"/>
          <w:sz w:val="24"/>
          <w:szCs w:val="24"/>
        </w:rPr>
        <w:t xml:space="preserve">ility poorly coordinated may unintentionally exacerbate workload pressures, role ambiguity, and stress and also, negatively affect the health of employees, </w:t>
      </w:r>
      <w:r>
        <w:rPr>
          <w:rFonts w:ascii="Times New Roman" w:eastAsia="Times New Roman" w:hAnsi="Times New Roman" w:cs="Times New Roman"/>
          <w:color w:val="000000"/>
          <w:sz w:val="24"/>
          <w:szCs w:val="24"/>
        </w:rPr>
        <w:lastRenderedPageBreak/>
        <w:t>which serves as a contradiction to sustainability objectives. In such a way, quality of implementati</w:t>
      </w:r>
      <w:r>
        <w:rPr>
          <w:rFonts w:ascii="Times New Roman" w:eastAsia="Times New Roman" w:hAnsi="Times New Roman" w:cs="Times New Roman"/>
          <w:color w:val="000000"/>
          <w:sz w:val="24"/>
          <w:szCs w:val="24"/>
        </w:rPr>
        <w:t>on, alignment of leaders, and contextual conditions are critical to the influence of sustainability practices.</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review also notes various significant gaps in the research. To begin with, a large portion of the evidence out there is cross-sectional and d</w:t>
      </w:r>
      <w:r>
        <w:rPr>
          <w:rFonts w:ascii="Times New Roman" w:eastAsia="Times New Roman" w:hAnsi="Times New Roman" w:cs="Times New Roman"/>
          <w:color w:val="000000"/>
          <w:sz w:val="24"/>
          <w:szCs w:val="24"/>
        </w:rPr>
        <w:t>oes not allow causation. The future research ought to focus on longitudinal and experimental research designs to determine the directional relationships among sustainability initiatives and the well-being outcomes. Second, there is need to compare across c</w:t>
      </w:r>
      <w:r>
        <w:rPr>
          <w:rFonts w:ascii="Times New Roman" w:eastAsia="Times New Roman" w:hAnsi="Times New Roman" w:cs="Times New Roman"/>
          <w:color w:val="000000"/>
          <w:sz w:val="24"/>
          <w:szCs w:val="24"/>
        </w:rPr>
        <w:t xml:space="preserve">ultures and institutions, especially in the emerging and developing economies where the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market structures are significantly different, as well as the regulatory framework and the cultural norms. Third, multilevel modeling techniques are required to </w:t>
      </w:r>
      <w:r>
        <w:rPr>
          <w:rFonts w:ascii="Times New Roman" w:eastAsia="Times New Roman" w:hAnsi="Times New Roman" w:cs="Times New Roman"/>
          <w:color w:val="000000"/>
          <w:sz w:val="24"/>
          <w:szCs w:val="24"/>
        </w:rPr>
        <w:t>identify the interactions between individuals, organizations and institutions.</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also new macro-level forces that need to be looked at systematically. The organizational practices and employee experience are transforming due to digital transformati</w:t>
      </w:r>
      <w:r>
        <w:rPr>
          <w:rFonts w:ascii="Times New Roman" w:eastAsia="Times New Roman" w:hAnsi="Times New Roman" w:cs="Times New Roman"/>
          <w:color w:val="000000"/>
          <w:sz w:val="24"/>
          <w:szCs w:val="24"/>
        </w:rPr>
        <w:t>on, remote and hybrid working systems, ESG reporting pressures and climate transition policies. These forces can both generate new opportunities of flexibility and purpose as well as bring about digital overload, performance intensification and uncertainty</w:t>
      </w:r>
      <w:r>
        <w:rPr>
          <w:rFonts w:ascii="Times New Roman" w:eastAsia="Times New Roman" w:hAnsi="Times New Roman" w:cs="Times New Roman"/>
          <w:color w:val="000000"/>
          <w:sz w:val="24"/>
          <w:szCs w:val="24"/>
        </w:rPr>
        <w:t>. The importance of finding out the mediation or moderating role of these changing structural conditions to the sustainability-well-being relationship is a crucial topic to be studied in the future.</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 w:name="_heading=h.mth4flct7wk7" w:colFirst="0" w:colLast="0"/>
      <w:bookmarkEnd w:id="4"/>
      <w:r>
        <w:rPr>
          <w:rFonts w:ascii="Times New Roman" w:eastAsia="Times New Roman" w:hAnsi="Times New Roman" w:cs="Times New Roman"/>
          <w:color w:val="000000"/>
          <w:sz w:val="24"/>
          <w:szCs w:val="24"/>
        </w:rPr>
        <w:t>Finally, the greater the extent to which human sustainabi</w:t>
      </w:r>
      <w:r>
        <w:rPr>
          <w:rFonts w:ascii="Times New Roman" w:eastAsia="Times New Roman" w:hAnsi="Times New Roman" w:cs="Times New Roman"/>
          <w:color w:val="000000"/>
          <w:sz w:val="24"/>
          <w:szCs w:val="24"/>
        </w:rPr>
        <w:t>lity is introduced into the main strategic decisions made by the organization, the more chances it will have to attain sustainable competitive advantage, labor strength, and social credibility. This move towards human based sustainability is not only an et</w:t>
      </w:r>
      <w:r>
        <w:rPr>
          <w:rFonts w:ascii="Times New Roman" w:eastAsia="Times New Roman" w:hAnsi="Times New Roman" w:cs="Times New Roman"/>
          <w:color w:val="000000"/>
          <w:sz w:val="24"/>
          <w:szCs w:val="24"/>
        </w:rPr>
        <w:t>hical demand but also a strategic one in a world of disruption, uncertainty, and institutional questioning. Organizations in the future that succeed in aligning environmental responsibility, economic performance, and employee well-being in a new and integr</w:t>
      </w:r>
      <w:r>
        <w:rPr>
          <w:rFonts w:ascii="Times New Roman" w:eastAsia="Times New Roman" w:hAnsi="Times New Roman" w:cs="Times New Roman"/>
          <w:color w:val="000000"/>
          <w:sz w:val="24"/>
          <w:szCs w:val="24"/>
        </w:rPr>
        <w:t>ating system will be sustainable.</w:t>
      </w:r>
    </w:p>
    <w:p w:rsidR="004335AE" w:rsidRDefault="0028030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Contribution of the Study</w:t>
      </w:r>
    </w:p>
    <w:p w:rsidR="004335AE" w:rsidRDefault="004335AE">
      <w:pPr>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This research contributes to the sustainability and organizational behavior literature in four major ways.</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111111"/>
          <w:sz w:val="24"/>
          <w:szCs w:val="24"/>
        </w:rPr>
        <w:lastRenderedPageBreak/>
        <w:t>Integration Contribution Theoretical.</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First, the research combines disjointed theoretical assumptions, including Triple Bottom Line theory, Stakeholder Theory, Social Exchange Theory, Job Demands-Resources (JD-R) model, and Self-Determination Theory into a single theoretical framework of expla</w:t>
      </w:r>
      <w:r>
        <w:rPr>
          <w:rFonts w:ascii="Times New Roman" w:eastAsia="Times New Roman" w:hAnsi="Times New Roman" w:cs="Times New Roman"/>
          <w:color w:val="111111"/>
          <w:sz w:val="24"/>
          <w:szCs w:val="24"/>
        </w:rPr>
        <w:t>nation.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Although previous studies have explored either sustainability or employee well-being alone, little has been done to combine these two views into a unified model that can explain how sustainability practices affect well-being based on both a psychol</w:t>
      </w:r>
      <w:r>
        <w:rPr>
          <w:rFonts w:ascii="Times New Roman" w:eastAsia="Times New Roman" w:hAnsi="Times New Roman" w:cs="Times New Roman"/>
          <w:color w:val="111111"/>
          <w:sz w:val="24"/>
          <w:szCs w:val="24"/>
        </w:rPr>
        <w:t>ogical and structural approach.</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This is that integrative base that is found in this review.</w:t>
      </w:r>
    </w:p>
    <w:p w:rsidR="004335AE" w:rsidRDefault="004335AE">
      <w:pPr>
        <w:ind w:left="720"/>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111111"/>
          <w:sz w:val="24"/>
          <w:szCs w:val="24"/>
        </w:rPr>
        <w:t>Reframing the Well-Being of the Employees.</w:t>
      </w:r>
    </w:p>
    <w:p w:rsidR="004335AE" w:rsidRDefault="004335AE">
      <w:pPr>
        <w:ind w:left="720"/>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Second, the paper redefines employee well-being as not just a social deliverable of sustainability but also as a strate</w:t>
      </w:r>
      <w:r>
        <w:rPr>
          <w:rFonts w:ascii="Times New Roman" w:eastAsia="Times New Roman" w:hAnsi="Times New Roman" w:cs="Times New Roman"/>
          <w:color w:val="111111"/>
          <w:sz w:val="24"/>
          <w:szCs w:val="24"/>
        </w:rPr>
        <w:t xml:space="preserve">gic facilitator of </w:t>
      </w:r>
      <w:proofErr w:type="gramStart"/>
      <w:r>
        <w:rPr>
          <w:rFonts w:ascii="Times New Roman" w:eastAsia="Times New Roman" w:hAnsi="Times New Roman" w:cs="Times New Roman"/>
          <w:color w:val="111111"/>
          <w:sz w:val="24"/>
          <w:szCs w:val="24"/>
        </w:rPr>
        <w:t>long term</w:t>
      </w:r>
      <w:proofErr w:type="gramEnd"/>
      <w:r>
        <w:rPr>
          <w:rFonts w:ascii="Times New Roman" w:eastAsia="Times New Roman" w:hAnsi="Times New Roman" w:cs="Times New Roman"/>
          <w:color w:val="111111"/>
          <w:sz w:val="24"/>
          <w:szCs w:val="24"/>
        </w:rPr>
        <w:t xml:space="preserve"> organizational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It suggests that there is a </w:t>
      </w:r>
      <w:proofErr w:type="gramStart"/>
      <w:r>
        <w:rPr>
          <w:rFonts w:ascii="Times New Roman" w:eastAsia="Times New Roman" w:hAnsi="Times New Roman" w:cs="Times New Roman"/>
          <w:color w:val="111111"/>
          <w:sz w:val="24"/>
          <w:szCs w:val="24"/>
        </w:rPr>
        <w:t>two way</w:t>
      </w:r>
      <w:proofErr w:type="gramEnd"/>
      <w:r>
        <w:rPr>
          <w:rFonts w:ascii="Times New Roman" w:eastAsia="Times New Roman" w:hAnsi="Times New Roman" w:cs="Times New Roman"/>
          <w:color w:val="111111"/>
          <w:sz w:val="24"/>
          <w:szCs w:val="24"/>
        </w:rPr>
        <w:t xml:space="preserve"> model where:</w:t>
      </w:r>
    </w:p>
    <w:p w:rsidR="004335AE" w:rsidRDefault="004335AE">
      <w:pPr>
        <w:ind w:left="720"/>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Sustainability practices contribute to the welfare of employees, and</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Sustainable performance is supported by employee well-being in terms of enga</w:t>
      </w:r>
      <w:r>
        <w:rPr>
          <w:rFonts w:ascii="Times New Roman" w:eastAsia="Times New Roman" w:hAnsi="Times New Roman" w:cs="Times New Roman"/>
          <w:color w:val="111111"/>
          <w:sz w:val="24"/>
          <w:szCs w:val="24"/>
        </w:rPr>
        <w:t>gement, resilience, and organizational commitment.</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This dynamic thinking is no longer linear in its cause-effect explanations but a loop of human sustainability, and well-being is placed as the core of sustainable competitive advantage.</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111111"/>
          <w:sz w:val="24"/>
          <w:szCs w:val="24"/>
        </w:rPr>
        <w:t>Paradox and Tensi</w:t>
      </w:r>
      <w:r>
        <w:rPr>
          <w:rFonts w:ascii="Times New Roman" w:eastAsia="Times New Roman" w:hAnsi="Times New Roman" w:cs="Times New Roman"/>
          <w:b/>
          <w:bCs/>
          <w:color w:val="111111"/>
          <w:sz w:val="24"/>
          <w:szCs w:val="24"/>
        </w:rPr>
        <w:t>on Perspective.</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Third, the research provides a value to the study by specifically dealing with the paradoxical impacts of implementing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Although sustainability efforts tend to benefit job resources, they can also lead to job demand pressure</w:t>
      </w:r>
      <w:r>
        <w:rPr>
          <w:rFonts w:ascii="Times New Roman" w:eastAsia="Times New Roman" w:hAnsi="Times New Roman" w:cs="Times New Roman"/>
          <w:color w:val="111111"/>
          <w:sz w:val="24"/>
          <w:szCs w:val="24"/>
        </w:rPr>
        <w:t>s via performance pressures, ESG reporting pressures, restructuring, and transformations caused by efficient activities.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Through the incorporation of the JD-R model, the review emphasizes that the sustainability initiatives might also augment as well as ha</w:t>
      </w:r>
      <w:r>
        <w:rPr>
          <w:rFonts w:ascii="Times New Roman" w:eastAsia="Times New Roman" w:hAnsi="Times New Roman" w:cs="Times New Roman"/>
          <w:color w:val="111111"/>
          <w:sz w:val="24"/>
          <w:szCs w:val="24"/>
        </w:rPr>
        <w:t>rm the well-being according to the allocation of resources, alignment of the leadership, and the quality of the implementation.</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This paradox provides a theoretical background and shifts the discussion out of excessively optimistic suppositions.</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111111"/>
          <w:sz w:val="24"/>
          <w:szCs w:val="24"/>
        </w:rPr>
        <w:t>Contextua</w:t>
      </w:r>
      <w:r>
        <w:rPr>
          <w:rFonts w:ascii="Times New Roman" w:eastAsia="Times New Roman" w:hAnsi="Times New Roman" w:cs="Times New Roman"/>
          <w:b/>
          <w:bCs/>
          <w:color w:val="111111"/>
          <w:sz w:val="24"/>
          <w:szCs w:val="24"/>
        </w:rPr>
        <w:t>l and Emerging Economy Contribution.</w:t>
      </w:r>
    </w:p>
    <w:p w:rsidR="004335AE" w:rsidRDefault="004335AE">
      <w:pPr>
        <w:ind w:left="720"/>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Fourth, the paper focuses on setting-specific boundary conditions, especially with the emerging economies and post-COVID working conditions.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majority of the sustainability-well-being literature is focused in the developed Western settings.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This review increases the theoretical applicability to developing economies, in which labor market structures, informality, and regulatory pressures vary</w:t>
      </w:r>
      <w:r>
        <w:rPr>
          <w:rFonts w:ascii="Times New Roman" w:eastAsia="Times New Roman" w:hAnsi="Times New Roman" w:cs="Times New Roman"/>
          <w:color w:val="111111"/>
          <w:sz w:val="24"/>
          <w:szCs w:val="24"/>
        </w:rPr>
        <w:t xml:space="preserve"> significantly by identifying institutional, cultural, regulatory, and digital transformation moderators.</w:t>
      </w: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This contextualization increases globally and offers guidelines to comparative, multilevel and longitudinal analyses.</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Formulation of an Integrative Co</w:t>
      </w:r>
      <w:r>
        <w:rPr>
          <w:rFonts w:ascii="Times New Roman" w:eastAsia="Times New Roman" w:hAnsi="Times New Roman" w:cs="Times New Roman"/>
          <w:color w:val="111111"/>
          <w:sz w:val="24"/>
          <w:szCs w:val="24"/>
        </w:rPr>
        <w:t>nceptual Framework.</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Last, the research puts forward a conceptual model that integrates:</w:t>
      </w:r>
    </w:p>
    <w:p w:rsidR="004335AE" w:rsidRDefault="0028030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practices</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Arbitrating psychological processes.</w:t>
      </w:r>
    </w:p>
    <w:p w:rsidR="004335AE" w:rsidRDefault="0028030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 moderators</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Employee performance results.</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Sustainable organizational performance.</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The framework offers an </w:t>
      </w:r>
      <w:proofErr w:type="spellStart"/>
      <w:r>
        <w:rPr>
          <w:rFonts w:ascii="Times New Roman" w:eastAsia="Times New Roman" w:hAnsi="Times New Roman" w:cs="Times New Roman"/>
          <w:color w:val="111111"/>
          <w:sz w:val="24"/>
          <w:szCs w:val="24"/>
        </w:rPr>
        <w:t>organised</w:t>
      </w:r>
      <w:proofErr w:type="spellEnd"/>
      <w:r>
        <w:rPr>
          <w:rFonts w:ascii="Times New Roman" w:eastAsia="Times New Roman" w:hAnsi="Times New Roman" w:cs="Times New Roman"/>
          <w:color w:val="111111"/>
          <w:sz w:val="24"/>
          <w:szCs w:val="24"/>
        </w:rPr>
        <w:t xml:space="preserve"> foundation to empirical testing in the future with longitudinal, multilevel and cross-cultural researches.</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 Positioning</w:t>
      </w:r>
    </w:p>
    <w:p w:rsidR="004335AE" w:rsidRDefault="004335AE">
      <w:pPr>
        <w:ind w:left="720"/>
        <w:jc w:val="both"/>
        <w:rPr>
          <w:rFonts w:ascii="Times New Roman" w:eastAsia="Times New Roman" w:hAnsi="Times New Roman" w:cs="Times New Roman"/>
          <w:sz w:val="24"/>
          <w:szCs w:val="24"/>
        </w:rPr>
      </w:pP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Having cleared up this methodology and added its arm:</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Methodological rigor is achieved in the</w:t>
      </w:r>
      <w:r>
        <w:rPr>
          <w:rFonts w:ascii="Times New Roman" w:eastAsia="Times New Roman" w:hAnsi="Times New Roman" w:cs="Times New Roman"/>
          <w:color w:val="111111"/>
          <w:sz w:val="24"/>
          <w:szCs w:val="24"/>
        </w:rPr>
        <w:t xml:space="preserve"> study.</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Theoretical development is well defined.</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paper turns the descriptive review into integrative conceptual development.</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Sustainability-well-being nexus is placed as a dynamic, sensitive-to-context and strategically important concept.</w:t>
      </w:r>
    </w:p>
    <w:p w:rsidR="004335AE" w:rsidRDefault="004335AE">
      <w:pPr>
        <w:rPr>
          <w:rFonts w:ascii="Calibri" w:eastAsia="Calibri" w:hAnsi="Calibri" w:cs="Calibri"/>
          <w:highlight w:val="yellow"/>
        </w:rPr>
      </w:pPr>
      <w:bookmarkStart w:id="5" w:name="_heading=h.hyypt3x97rcs" w:colFirst="0" w:colLast="0"/>
      <w:bookmarkEnd w:id="5"/>
    </w:p>
    <w:p w:rsidR="004335AE" w:rsidRDefault="0028030C">
      <w:pPr>
        <w:pBdr>
          <w:top w:val="nil"/>
          <w:left w:val="nil"/>
          <w:bottom w:val="nil"/>
          <w:right w:val="nil"/>
          <w:between w:val="nil"/>
        </w:pBdr>
        <w:spacing w:line="240" w:lineRule="auto"/>
        <w:rPr>
          <w:color w:val="000000"/>
          <w:highlight w:val="yellow"/>
        </w:rPr>
      </w:pPr>
      <w:bookmarkStart w:id="6" w:name="_heading=h.jvoz0cuf2bl5" w:colFirst="0" w:colLast="0"/>
      <w:bookmarkEnd w:id="6"/>
      <w:r>
        <w:rPr>
          <w:color w:val="000000"/>
          <w:highlight w:val="yellow"/>
        </w:rPr>
        <w:t>Disclaimer (Artificial intelligence)</w:t>
      </w:r>
    </w:p>
    <w:p w:rsidR="004335AE" w:rsidRDefault="004335AE">
      <w:pPr>
        <w:pBdr>
          <w:top w:val="nil"/>
          <w:left w:val="nil"/>
          <w:bottom w:val="nil"/>
          <w:right w:val="nil"/>
          <w:between w:val="nil"/>
        </w:pBdr>
        <w:spacing w:line="240" w:lineRule="auto"/>
        <w:rPr>
          <w:color w:val="000000"/>
          <w:highlight w:val="yellow"/>
        </w:rPr>
      </w:pPr>
    </w:p>
    <w:p w:rsidR="004335AE" w:rsidRDefault="0028030C">
      <w:pPr>
        <w:pBdr>
          <w:top w:val="nil"/>
          <w:left w:val="nil"/>
          <w:bottom w:val="nil"/>
          <w:right w:val="nil"/>
          <w:between w:val="nil"/>
        </w:pBdr>
        <w:spacing w:line="240" w:lineRule="auto"/>
        <w:rPr>
          <w:color w:val="000000"/>
          <w:highlight w:val="yellow"/>
        </w:rPr>
      </w:pPr>
      <w:r>
        <w:rPr>
          <w:color w:val="000000"/>
          <w:highlight w:val="yellow"/>
        </w:rPr>
        <w:t>Author(s) hereby declare that NO generative AI technologies such as Large Language Models (</w:t>
      </w:r>
      <w:proofErr w:type="spellStart"/>
      <w:r>
        <w:rPr>
          <w:color w:val="000000"/>
          <w:highlight w:val="yellow"/>
        </w:rPr>
        <w:t>ChatGPT</w:t>
      </w:r>
      <w:proofErr w:type="spellEnd"/>
      <w:r>
        <w:rPr>
          <w:color w:val="000000"/>
          <w:highlight w:val="yellow"/>
        </w:rPr>
        <w:t xml:space="preserve">, COPILOT, etc.) and text-to-image generators have been used during the writing or editing of this manuscript. </w:t>
      </w:r>
    </w:p>
    <w:p w:rsidR="004335AE" w:rsidRDefault="004335AE">
      <w:pPr>
        <w:pBdr>
          <w:top w:val="nil"/>
          <w:left w:val="nil"/>
          <w:bottom w:val="nil"/>
          <w:right w:val="nil"/>
          <w:between w:val="nil"/>
        </w:pBdr>
        <w:spacing w:line="240" w:lineRule="auto"/>
        <w:rPr>
          <w:color w:val="000000"/>
          <w:highlight w:val="yellow"/>
        </w:rPr>
      </w:pPr>
    </w:p>
    <w:p w:rsidR="004335AE" w:rsidRDefault="004335AE">
      <w:bookmarkStart w:id="7" w:name="_heading=h.jirb70k0p84p" w:colFirst="0" w:colLast="0"/>
      <w:bookmarkEnd w:id="7"/>
    </w:p>
    <w:p w:rsidR="004335AE" w:rsidRDefault="0028030C">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8" w:name="_heading=h.lcdjs0bimr4z" w:colFirst="0" w:colLast="0"/>
      <w:bookmarkEnd w:id="8"/>
      <w:r>
        <w:rPr>
          <w:rFonts w:ascii="Times New Roman" w:eastAsia="Times New Roman" w:hAnsi="Times New Roman" w:cs="Times New Roman"/>
          <w:b/>
          <w:bCs/>
          <w:color w:val="000000"/>
          <w:sz w:val="24"/>
          <w:szCs w:val="24"/>
        </w:rPr>
        <w:lastRenderedPageBreak/>
        <w:t>REFERENCES</w:t>
      </w:r>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Aguinis</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Glavas</w:t>
      </w:r>
      <w:proofErr w:type="spellEnd"/>
      <w:r>
        <w:rPr>
          <w:rFonts w:ascii="Times New Roman" w:eastAsia="Times New Roman" w:hAnsi="Times New Roman" w:cs="Times New Roman"/>
          <w:sz w:val="24"/>
          <w:szCs w:val="24"/>
        </w:rPr>
        <w:t xml:space="preserve">, A. (2019). On corporate social responsibility, sensemaking, and the search for meaningfulness through work. </w:t>
      </w:r>
      <w:r>
        <w:rPr>
          <w:rFonts w:ascii="Times New Roman" w:eastAsia="Times New Roman" w:hAnsi="Times New Roman" w:cs="Times New Roman"/>
          <w:i/>
          <w:iCs/>
          <w:sz w:val="24"/>
          <w:szCs w:val="24"/>
        </w:rPr>
        <w:t>Journal of Management, 45</w:t>
      </w:r>
      <w:r>
        <w:rPr>
          <w:rFonts w:ascii="Times New Roman" w:eastAsia="Times New Roman" w:hAnsi="Times New Roman" w:cs="Times New Roman"/>
          <w:sz w:val="24"/>
          <w:szCs w:val="24"/>
        </w:rPr>
        <w:t>(3), 1057–1086.</w:t>
      </w:r>
      <w:hyperlink r:id="rId8">
        <w:r>
          <w:rPr>
            <w:rFonts w:ascii="Times New Roman" w:eastAsia="Times New Roman" w:hAnsi="Times New Roman" w:cs="Times New Roman"/>
            <w:sz w:val="24"/>
            <w:szCs w:val="24"/>
          </w:rPr>
          <w:t xml:space="preserve"> https://doi.o</w:t>
        </w:r>
        <w:r>
          <w:rPr>
            <w:rFonts w:ascii="Times New Roman" w:eastAsia="Times New Roman" w:hAnsi="Times New Roman" w:cs="Times New Roman"/>
            <w:sz w:val="24"/>
            <w:szCs w:val="24"/>
          </w:rPr>
          <w:t>rg/10.1177/0149206317691575</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Allen, T. D., Golden, T. D., &amp; Shockley, K. M. (2015). How effective is telecommuting? Assessing the status of our scientific findings. </w:t>
      </w:r>
      <w:r>
        <w:rPr>
          <w:rFonts w:ascii="Times New Roman" w:eastAsia="Times New Roman" w:hAnsi="Times New Roman" w:cs="Times New Roman"/>
          <w:i/>
          <w:iCs/>
          <w:sz w:val="24"/>
          <w:szCs w:val="24"/>
        </w:rPr>
        <w:t>Psychological Science in the Public Interest, 16</w:t>
      </w:r>
      <w:r>
        <w:rPr>
          <w:rFonts w:ascii="Times New Roman" w:eastAsia="Times New Roman" w:hAnsi="Times New Roman" w:cs="Times New Roman"/>
          <w:sz w:val="24"/>
          <w:szCs w:val="24"/>
        </w:rPr>
        <w:t>(2), 40–68.</w:t>
      </w:r>
      <w:hyperlink r:id="rId9">
        <w:r>
          <w:rPr>
            <w:rFonts w:ascii="Times New Roman" w:eastAsia="Times New Roman" w:hAnsi="Times New Roman" w:cs="Times New Roman"/>
            <w:sz w:val="24"/>
            <w:szCs w:val="24"/>
          </w:rPr>
          <w:t xml:space="preserve"> https://doi.org/10.1177/1529100615593273</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Bakker, A. B., &amp;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xml:space="preserve">, E. (2017). Job demands–resources theory: Taking stock and looking forward. </w:t>
      </w:r>
      <w:r>
        <w:rPr>
          <w:rFonts w:ascii="Times New Roman" w:eastAsia="Times New Roman" w:hAnsi="Times New Roman" w:cs="Times New Roman"/>
          <w:i/>
          <w:iCs/>
          <w:sz w:val="24"/>
          <w:szCs w:val="24"/>
        </w:rPr>
        <w:t>Journal of Occupational Health Psychology, 22</w:t>
      </w:r>
      <w:r>
        <w:rPr>
          <w:rFonts w:ascii="Times New Roman" w:eastAsia="Times New Roman" w:hAnsi="Times New Roman" w:cs="Times New Roman"/>
          <w:sz w:val="24"/>
          <w:szCs w:val="24"/>
        </w:rPr>
        <w:t>(3), 273–285.</w:t>
      </w:r>
      <w:hyperlink r:id="rId10">
        <w:r>
          <w:rPr>
            <w:rFonts w:ascii="Times New Roman" w:eastAsia="Times New Roman" w:hAnsi="Times New Roman" w:cs="Times New Roman"/>
            <w:sz w:val="24"/>
            <w:szCs w:val="24"/>
          </w:rPr>
          <w:t xml:space="preserve"> https://doi.org/10.1037/ocp0000056</w:t>
        </w:r>
      </w:hyperlink>
    </w:p>
    <w:p w:rsidR="004335AE" w:rsidRDefault="0028030C" w:rsidP="006C7256">
      <w:pPr>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Bansal, P., Song, H.-C., &amp; Zhang, Y. (2022). Sustainable business model innovation: Toward a theory of corporate sustainability. </w:t>
      </w:r>
      <w:r>
        <w:rPr>
          <w:rFonts w:ascii="Times New Roman" w:eastAsia="Times New Roman" w:hAnsi="Times New Roman" w:cs="Times New Roman"/>
          <w:i/>
          <w:iCs/>
          <w:sz w:val="24"/>
          <w:szCs w:val="24"/>
        </w:rPr>
        <w:t>Organization &amp; Environment, 35</w:t>
      </w:r>
      <w:r>
        <w:rPr>
          <w:rFonts w:ascii="Times New Roman" w:eastAsia="Times New Roman" w:hAnsi="Times New Roman" w:cs="Times New Roman"/>
          <w:sz w:val="24"/>
          <w:szCs w:val="24"/>
        </w:rPr>
        <w:t>(2), 169–194. https://doi.org/10.</w:t>
      </w:r>
      <w:r>
        <w:rPr>
          <w:rFonts w:ascii="Times New Roman" w:eastAsia="Times New Roman" w:hAnsi="Times New Roman" w:cs="Times New Roman"/>
          <w:sz w:val="24"/>
          <w:szCs w:val="24"/>
        </w:rPr>
        <w:t>1177/10860266211027550</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Biju, A. V., Vijaya Kumar, M., &amp; Akhil, M. P. (2022). Assessing the effect of work from home on the work–life balance of IT employees. </w:t>
      </w:r>
      <w:r>
        <w:rPr>
          <w:rFonts w:ascii="Times New Roman" w:eastAsia="Times New Roman" w:hAnsi="Times New Roman" w:cs="Times New Roman"/>
          <w:i/>
          <w:iCs/>
          <w:sz w:val="24"/>
          <w:szCs w:val="24"/>
        </w:rPr>
        <w:t>International Journal of Human Capital and Information Technology Professionals, 13</w:t>
      </w:r>
      <w:r>
        <w:rPr>
          <w:rFonts w:ascii="Times New Roman" w:eastAsia="Times New Roman" w:hAnsi="Times New Roman" w:cs="Times New Roman"/>
          <w:sz w:val="24"/>
          <w:szCs w:val="24"/>
        </w:rPr>
        <w:t>(1).</w:t>
      </w:r>
      <w:hyperlink r:id="rId11">
        <w:r>
          <w:rPr>
            <w:rFonts w:ascii="Times New Roman" w:eastAsia="Times New Roman" w:hAnsi="Times New Roman" w:cs="Times New Roman"/>
            <w:sz w:val="24"/>
            <w:szCs w:val="24"/>
          </w:rPr>
          <w:t xml:space="preserve"> https://doi.org/10.4018/IJHCITP.303951</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Brundtland, G. H. (1987). </w:t>
      </w:r>
      <w:r>
        <w:rPr>
          <w:rFonts w:ascii="Times New Roman" w:eastAsia="Times New Roman" w:hAnsi="Times New Roman" w:cs="Times New Roman"/>
          <w:i/>
          <w:iCs/>
          <w:sz w:val="24"/>
          <w:szCs w:val="24"/>
        </w:rPr>
        <w:t>Our common future</w:t>
      </w:r>
      <w:r>
        <w:rPr>
          <w:rFonts w:ascii="Times New Roman" w:eastAsia="Times New Roman" w:hAnsi="Times New Roman" w:cs="Times New Roman"/>
          <w:sz w:val="24"/>
          <w:szCs w:val="24"/>
        </w:rPr>
        <w:t>. Oxford University Press.</w:t>
      </w:r>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xml:space="preserve">, R., &amp; Mitchell, M. S. (2005). Social exchange theory: An interdisciplinary review. </w:t>
      </w:r>
      <w:r>
        <w:rPr>
          <w:rFonts w:ascii="Times New Roman" w:eastAsia="Times New Roman" w:hAnsi="Times New Roman" w:cs="Times New Roman"/>
          <w:i/>
          <w:iCs/>
          <w:sz w:val="24"/>
          <w:szCs w:val="24"/>
        </w:rPr>
        <w:t>Jour</w:t>
      </w:r>
      <w:r>
        <w:rPr>
          <w:rFonts w:ascii="Times New Roman" w:eastAsia="Times New Roman" w:hAnsi="Times New Roman" w:cs="Times New Roman"/>
          <w:i/>
          <w:iCs/>
          <w:sz w:val="24"/>
          <w:szCs w:val="24"/>
        </w:rPr>
        <w:t>nal of Management, 31</w:t>
      </w:r>
      <w:r>
        <w:rPr>
          <w:rFonts w:ascii="Times New Roman" w:eastAsia="Times New Roman" w:hAnsi="Times New Roman" w:cs="Times New Roman"/>
          <w:sz w:val="24"/>
          <w:szCs w:val="24"/>
        </w:rPr>
        <w:t>(6), 874–900.</w:t>
      </w:r>
      <w:hyperlink r:id="rId12">
        <w:r>
          <w:rPr>
            <w:rFonts w:ascii="Times New Roman" w:eastAsia="Times New Roman" w:hAnsi="Times New Roman" w:cs="Times New Roman"/>
            <w:sz w:val="24"/>
            <w:szCs w:val="24"/>
          </w:rPr>
          <w:t xml:space="preserve"> https://doi.org/10.1177/0149206305279602</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Deci, E. L., &amp; Ryan, R. M. (2000). The “what” and “why” of goal pursuits: Human needs and the self-determination of beha</w:t>
      </w:r>
      <w:r>
        <w:rPr>
          <w:rFonts w:ascii="Times New Roman" w:eastAsia="Times New Roman" w:hAnsi="Times New Roman" w:cs="Times New Roman"/>
          <w:sz w:val="24"/>
          <w:szCs w:val="24"/>
        </w:rPr>
        <w:t xml:space="preserve">vior. </w:t>
      </w:r>
      <w:r>
        <w:rPr>
          <w:rFonts w:ascii="Times New Roman" w:eastAsia="Times New Roman" w:hAnsi="Times New Roman" w:cs="Times New Roman"/>
          <w:i/>
          <w:iCs/>
          <w:sz w:val="24"/>
          <w:szCs w:val="24"/>
        </w:rPr>
        <w:t>Psychological Inquiry, 11</w:t>
      </w:r>
      <w:r>
        <w:rPr>
          <w:rFonts w:ascii="Times New Roman" w:eastAsia="Times New Roman" w:hAnsi="Times New Roman" w:cs="Times New Roman"/>
          <w:sz w:val="24"/>
          <w:szCs w:val="24"/>
        </w:rPr>
        <w:t>(4), 227–268.</w:t>
      </w:r>
      <w:hyperlink r:id="rId13">
        <w:r>
          <w:rPr>
            <w:rFonts w:ascii="Times New Roman" w:eastAsia="Times New Roman" w:hAnsi="Times New Roman" w:cs="Times New Roman"/>
            <w:sz w:val="24"/>
            <w:szCs w:val="24"/>
          </w:rPr>
          <w:t xml:space="preserve"> https://doi.org/10.1207/S15327965PLI1104_01</w:t>
        </w:r>
      </w:hyperlink>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Dyllick</w:t>
      </w:r>
      <w:proofErr w:type="spellEnd"/>
      <w:r>
        <w:rPr>
          <w:rFonts w:ascii="Times New Roman" w:eastAsia="Times New Roman" w:hAnsi="Times New Roman" w:cs="Times New Roman"/>
          <w:sz w:val="24"/>
          <w:szCs w:val="24"/>
        </w:rPr>
        <w:t>, T., &amp; Muff, K. (2016). Clarifying the meaning of sustainable business: Introducing a typology f</w:t>
      </w:r>
      <w:r>
        <w:rPr>
          <w:rFonts w:ascii="Times New Roman" w:eastAsia="Times New Roman" w:hAnsi="Times New Roman" w:cs="Times New Roman"/>
          <w:sz w:val="24"/>
          <w:szCs w:val="24"/>
        </w:rPr>
        <w:t xml:space="preserve">rom business-as-usual to true business sustainability. </w:t>
      </w:r>
      <w:r>
        <w:rPr>
          <w:rFonts w:ascii="Times New Roman" w:eastAsia="Times New Roman" w:hAnsi="Times New Roman" w:cs="Times New Roman"/>
          <w:i/>
          <w:iCs/>
          <w:sz w:val="24"/>
          <w:szCs w:val="24"/>
        </w:rPr>
        <w:t>Organization &amp; Environment, 29</w:t>
      </w:r>
      <w:r>
        <w:rPr>
          <w:rFonts w:ascii="Times New Roman" w:eastAsia="Times New Roman" w:hAnsi="Times New Roman" w:cs="Times New Roman"/>
          <w:sz w:val="24"/>
          <w:szCs w:val="24"/>
        </w:rPr>
        <w:t>(2), 156–174.</w:t>
      </w:r>
      <w:hyperlink r:id="rId14">
        <w:r>
          <w:rPr>
            <w:rFonts w:ascii="Times New Roman" w:eastAsia="Times New Roman" w:hAnsi="Times New Roman" w:cs="Times New Roman"/>
            <w:sz w:val="24"/>
            <w:szCs w:val="24"/>
          </w:rPr>
          <w:t xml:space="preserve"> https://doi.org/10.1177/1086026615575176</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Elkington, J. (1997). </w:t>
      </w:r>
      <w:r>
        <w:rPr>
          <w:rFonts w:ascii="Times New Roman" w:eastAsia="Times New Roman" w:hAnsi="Times New Roman" w:cs="Times New Roman"/>
          <w:i/>
          <w:iCs/>
          <w:sz w:val="24"/>
          <w:szCs w:val="24"/>
        </w:rPr>
        <w:t>Cannibals with forks: The triple bottom line of 21st century business</w:t>
      </w:r>
      <w:r>
        <w:rPr>
          <w:rFonts w:ascii="Times New Roman" w:eastAsia="Times New Roman" w:hAnsi="Times New Roman" w:cs="Times New Roman"/>
          <w:sz w:val="24"/>
          <w:szCs w:val="24"/>
        </w:rPr>
        <w:t>. Capstone.</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Guest, D. E. (2017). Human resource management and employee well-being: Towards a new analytic framework. </w:t>
      </w:r>
      <w:r>
        <w:rPr>
          <w:rFonts w:ascii="Times New Roman" w:eastAsia="Times New Roman" w:hAnsi="Times New Roman" w:cs="Times New Roman"/>
          <w:i/>
          <w:iCs/>
          <w:sz w:val="24"/>
          <w:szCs w:val="24"/>
        </w:rPr>
        <w:t>Human Resource Management Journal, 27</w:t>
      </w:r>
      <w:r>
        <w:rPr>
          <w:rFonts w:ascii="Times New Roman" w:eastAsia="Times New Roman" w:hAnsi="Times New Roman" w:cs="Times New Roman"/>
          <w:sz w:val="24"/>
          <w:szCs w:val="24"/>
        </w:rPr>
        <w:t>(1), 22–38.</w:t>
      </w:r>
      <w:hyperlink r:id="rId15">
        <w:r>
          <w:rPr>
            <w:rFonts w:ascii="Times New Roman" w:eastAsia="Times New Roman" w:hAnsi="Times New Roman" w:cs="Times New Roman"/>
            <w:sz w:val="24"/>
            <w:szCs w:val="24"/>
          </w:rPr>
          <w:t xml:space="preserve"> https://doi.org/10.1111/1748-8583.12139</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Harter, J. K., Schmidt, F. L., &amp; Hayes, T. L. (2002). Business-unit-level relationship between employee satisfaction, employee engagement, and business outcomes: A meta-analysis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Applied Psychology, 87</w:t>
      </w:r>
      <w:r>
        <w:rPr>
          <w:rFonts w:ascii="Times New Roman" w:eastAsia="Times New Roman" w:hAnsi="Times New Roman" w:cs="Times New Roman"/>
          <w:sz w:val="24"/>
          <w:szCs w:val="24"/>
        </w:rPr>
        <w:t>(2), 268–279.</w:t>
      </w:r>
      <w:hyperlink r:id="rId16">
        <w:r>
          <w:rPr>
            <w:rFonts w:ascii="Times New Roman" w:eastAsia="Times New Roman" w:hAnsi="Times New Roman" w:cs="Times New Roman"/>
            <w:sz w:val="24"/>
            <w:szCs w:val="24"/>
          </w:rPr>
          <w:t xml:space="preserve"> https://doi.org/10.1037/0021-9010.87.2.268</w:t>
        </w:r>
      </w:hyperlink>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Inceoglu</w:t>
      </w:r>
      <w:proofErr w:type="spellEnd"/>
      <w:r>
        <w:rPr>
          <w:rFonts w:ascii="Times New Roman" w:eastAsia="Times New Roman" w:hAnsi="Times New Roman" w:cs="Times New Roman"/>
          <w:sz w:val="24"/>
          <w:szCs w:val="24"/>
        </w:rPr>
        <w:t xml:space="preserve">, I., Thomas, G., Chu, C., Plans, D., &amp; </w:t>
      </w:r>
      <w:proofErr w:type="spellStart"/>
      <w:r>
        <w:rPr>
          <w:rFonts w:ascii="Times New Roman" w:eastAsia="Times New Roman" w:hAnsi="Times New Roman" w:cs="Times New Roman"/>
          <w:sz w:val="24"/>
          <w:szCs w:val="24"/>
        </w:rPr>
        <w:t>Gerbasi</w:t>
      </w:r>
      <w:proofErr w:type="spellEnd"/>
      <w:r>
        <w:rPr>
          <w:rFonts w:ascii="Times New Roman" w:eastAsia="Times New Roman" w:hAnsi="Times New Roman" w:cs="Times New Roman"/>
          <w:sz w:val="24"/>
          <w:szCs w:val="24"/>
        </w:rPr>
        <w:t>, A. (2023). Leadership behavior and employee w</w:t>
      </w:r>
      <w:r>
        <w:rPr>
          <w:rFonts w:ascii="Times New Roman" w:eastAsia="Times New Roman" w:hAnsi="Times New Roman" w:cs="Times New Roman"/>
          <w:sz w:val="24"/>
          <w:szCs w:val="24"/>
        </w:rPr>
        <w:t xml:space="preserve">ell-being: A meta-analysis. </w:t>
      </w:r>
      <w:r>
        <w:rPr>
          <w:rFonts w:ascii="Times New Roman" w:eastAsia="Times New Roman" w:hAnsi="Times New Roman" w:cs="Times New Roman"/>
          <w:i/>
          <w:iCs/>
          <w:sz w:val="24"/>
          <w:szCs w:val="24"/>
        </w:rPr>
        <w:t>Journal of Organizational Behavior, 44</w:t>
      </w:r>
      <w:r>
        <w:rPr>
          <w:rFonts w:ascii="Times New Roman" w:eastAsia="Times New Roman" w:hAnsi="Times New Roman" w:cs="Times New Roman"/>
          <w:sz w:val="24"/>
          <w:szCs w:val="24"/>
        </w:rPr>
        <w:t>(2), 221–245.</w:t>
      </w:r>
      <w:hyperlink r:id="rId17">
        <w:r>
          <w:rPr>
            <w:rFonts w:ascii="Times New Roman" w:eastAsia="Times New Roman" w:hAnsi="Times New Roman" w:cs="Times New Roman"/>
            <w:sz w:val="24"/>
            <w:szCs w:val="24"/>
          </w:rPr>
          <w:t xml:space="preserve"> https://doi.org/10.1002/job.2613</w:t>
        </w:r>
      </w:hyperlink>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N. (2024). Gender (women-led households) as a determinant of consumption expe</w:t>
      </w:r>
      <w:r>
        <w:rPr>
          <w:rFonts w:ascii="Times New Roman" w:eastAsia="Times New Roman" w:hAnsi="Times New Roman" w:cs="Times New Roman"/>
          <w:sz w:val="24"/>
          <w:szCs w:val="24"/>
        </w:rPr>
        <w:t xml:space="preserve">nditure on food during March 2020: A case study of Maharashtra. </w:t>
      </w:r>
      <w:r>
        <w:rPr>
          <w:rFonts w:ascii="Times New Roman" w:eastAsia="Times New Roman" w:hAnsi="Times New Roman" w:cs="Times New Roman"/>
          <w:i/>
          <w:iCs/>
          <w:sz w:val="24"/>
          <w:szCs w:val="24"/>
        </w:rPr>
        <w:t>South Eastern European Journal of Public Health (SEEJPH)</w:t>
      </w:r>
      <w:r>
        <w:rPr>
          <w:rFonts w:ascii="Times New Roman" w:eastAsia="Times New Roman" w:hAnsi="Times New Roman" w:cs="Times New Roman"/>
          <w:sz w:val="24"/>
          <w:szCs w:val="24"/>
        </w:rPr>
        <w:t>.</w:t>
      </w:r>
    </w:p>
    <w:p w:rsidR="004335AE" w:rsidRDefault="0028030C">
      <w:pPr>
        <w:spacing w:before="240" w:after="240" w:line="360" w:lineRule="auto"/>
        <w:jc w:val="both"/>
        <w:rPr>
          <w:color w:val="222222"/>
          <w:sz w:val="20"/>
          <w:szCs w:val="20"/>
          <w:highlight w:val="white"/>
        </w:rPr>
      </w:pPr>
      <w:proofErr w:type="spellStart"/>
      <w:r>
        <w:rPr>
          <w:rFonts w:ascii="Times New Roman" w:eastAsia="Times New Roman" w:hAnsi="Times New Roman" w:cs="Times New Roman"/>
          <w:color w:val="222222"/>
          <w:sz w:val="24"/>
          <w:szCs w:val="24"/>
          <w:highlight w:val="white"/>
        </w:rPr>
        <w:t>Jayachitra</w:t>
      </w:r>
      <w:proofErr w:type="spellEnd"/>
      <w:r>
        <w:rPr>
          <w:rFonts w:ascii="Times New Roman" w:eastAsia="Times New Roman" w:hAnsi="Times New Roman" w:cs="Times New Roman"/>
          <w:color w:val="222222"/>
          <w:sz w:val="24"/>
          <w:szCs w:val="24"/>
          <w:highlight w:val="white"/>
        </w:rPr>
        <w:t xml:space="preserve">, T. A., &amp; </w:t>
      </w:r>
      <w:proofErr w:type="spellStart"/>
      <w:r>
        <w:rPr>
          <w:rFonts w:ascii="Times New Roman" w:eastAsia="Times New Roman" w:hAnsi="Times New Roman" w:cs="Times New Roman"/>
          <w:color w:val="222222"/>
          <w:sz w:val="24"/>
          <w:szCs w:val="24"/>
          <w:highlight w:val="white"/>
        </w:rPr>
        <w:t>Jagannarayan</w:t>
      </w:r>
      <w:proofErr w:type="spellEnd"/>
      <w:r>
        <w:rPr>
          <w:rFonts w:ascii="Times New Roman" w:eastAsia="Times New Roman" w:hAnsi="Times New Roman" w:cs="Times New Roman"/>
          <w:color w:val="222222"/>
          <w:sz w:val="24"/>
          <w:szCs w:val="24"/>
          <w:highlight w:val="white"/>
        </w:rPr>
        <w:t>, N. (2020). QUALITY OF WORK LIFE OF WOMEN EMPLOYEES IN BANKING INDUSTRY with special reference to em</w:t>
      </w:r>
      <w:r>
        <w:rPr>
          <w:rFonts w:ascii="Times New Roman" w:eastAsia="Times New Roman" w:hAnsi="Times New Roman" w:cs="Times New Roman"/>
          <w:color w:val="222222"/>
          <w:sz w:val="24"/>
          <w:szCs w:val="24"/>
          <w:highlight w:val="white"/>
        </w:rPr>
        <w:t xml:space="preserve">ployees of selected private sector banks in </w:t>
      </w:r>
      <w:proofErr w:type="spellStart"/>
      <w:r>
        <w:rPr>
          <w:rFonts w:ascii="Times New Roman" w:eastAsia="Times New Roman" w:hAnsi="Times New Roman" w:cs="Times New Roman"/>
          <w:color w:val="222222"/>
          <w:sz w:val="24"/>
          <w:szCs w:val="24"/>
          <w:highlight w:val="white"/>
        </w:rPr>
        <w:t>Gobichettipalayam</w:t>
      </w:r>
      <w:proofErr w:type="spellEnd"/>
      <w:r>
        <w:rPr>
          <w:rFonts w:ascii="Times New Roman" w:eastAsia="Times New Roman" w:hAnsi="Times New Roman" w:cs="Times New Roman"/>
          <w:color w:val="222222"/>
          <w:sz w:val="24"/>
          <w:szCs w:val="24"/>
          <w:highlight w:val="white"/>
        </w:rPr>
        <w:t xml:space="preserve"> district, </w:t>
      </w:r>
      <w:proofErr w:type="spellStart"/>
      <w:r>
        <w:rPr>
          <w:rFonts w:ascii="Times New Roman" w:eastAsia="Times New Roman" w:hAnsi="Times New Roman" w:cs="Times New Roman"/>
          <w:color w:val="222222"/>
          <w:sz w:val="24"/>
          <w:szCs w:val="24"/>
          <w:highlight w:val="white"/>
        </w:rPr>
        <w:t>Tamilnadu</w:t>
      </w:r>
      <w:proofErr w:type="spell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Studies in Indian Place Names (UGC CARE Journal) ISSN</w:t>
      </w:r>
      <w:r>
        <w:rPr>
          <w:rFonts w:ascii="Times New Roman" w:eastAsia="Times New Roman" w:hAnsi="Times New Roman" w:cs="Times New Roman"/>
          <w:color w:val="222222"/>
          <w:sz w:val="24"/>
          <w:szCs w:val="24"/>
          <w:highlight w:val="white"/>
        </w:rPr>
        <w:t>, 2394-3114.</w:t>
      </w:r>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Kniffin</w:t>
      </w:r>
      <w:proofErr w:type="spellEnd"/>
      <w:r>
        <w:rPr>
          <w:rFonts w:ascii="Times New Roman" w:eastAsia="Times New Roman" w:hAnsi="Times New Roman" w:cs="Times New Roman"/>
          <w:sz w:val="24"/>
          <w:szCs w:val="24"/>
        </w:rPr>
        <w:t xml:space="preserve">, K. M., Narayanan, J., </w:t>
      </w:r>
      <w:proofErr w:type="spellStart"/>
      <w:r>
        <w:rPr>
          <w:rFonts w:ascii="Times New Roman" w:eastAsia="Times New Roman" w:hAnsi="Times New Roman" w:cs="Times New Roman"/>
          <w:sz w:val="24"/>
          <w:szCs w:val="24"/>
        </w:rPr>
        <w:t>Anseel</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Antonakis</w:t>
      </w:r>
      <w:proofErr w:type="spellEnd"/>
      <w:r>
        <w:rPr>
          <w:rFonts w:ascii="Times New Roman" w:eastAsia="Times New Roman" w:hAnsi="Times New Roman" w:cs="Times New Roman"/>
          <w:sz w:val="24"/>
          <w:szCs w:val="24"/>
        </w:rPr>
        <w:t xml:space="preserve">, J., Ashford, S., Bakker, A. B., et al. (2021). COVID-19 and the workplace: Implications, issues, and insights for future research and action. </w:t>
      </w:r>
      <w:r>
        <w:rPr>
          <w:rFonts w:ascii="Times New Roman" w:eastAsia="Times New Roman" w:hAnsi="Times New Roman" w:cs="Times New Roman"/>
          <w:i/>
          <w:iCs/>
          <w:sz w:val="24"/>
          <w:szCs w:val="24"/>
        </w:rPr>
        <w:t>American Psychologist, 76</w:t>
      </w:r>
      <w:r>
        <w:rPr>
          <w:rFonts w:ascii="Times New Roman" w:eastAsia="Times New Roman" w:hAnsi="Times New Roman" w:cs="Times New Roman"/>
          <w:sz w:val="24"/>
          <w:szCs w:val="24"/>
        </w:rPr>
        <w:t>(1), 63–77.</w:t>
      </w:r>
      <w:hyperlink r:id="rId18">
        <w:r>
          <w:rPr>
            <w:rFonts w:ascii="Times New Roman" w:eastAsia="Times New Roman" w:hAnsi="Times New Roman" w:cs="Times New Roman"/>
            <w:sz w:val="24"/>
            <w:szCs w:val="24"/>
          </w:rPr>
          <w:t xml:space="preserve"> https://doi.org/10.1037/amp0000716</w:t>
        </w:r>
      </w:hyperlink>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Kramar</w:t>
      </w:r>
      <w:proofErr w:type="spellEnd"/>
      <w:r>
        <w:rPr>
          <w:rFonts w:ascii="Times New Roman" w:eastAsia="Times New Roman" w:hAnsi="Times New Roman" w:cs="Times New Roman"/>
          <w:sz w:val="24"/>
          <w:szCs w:val="24"/>
        </w:rPr>
        <w:t xml:space="preserve">, R. (2014). Beyond strategic human resource management: Is sustainable human resource management the next approach? </w:t>
      </w:r>
      <w:r>
        <w:rPr>
          <w:rFonts w:ascii="Times New Roman" w:eastAsia="Times New Roman" w:hAnsi="Times New Roman" w:cs="Times New Roman"/>
          <w:i/>
          <w:iCs/>
          <w:sz w:val="24"/>
          <w:szCs w:val="24"/>
        </w:rPr>
        <w:t>The International Journal of Human Resource Management, 25</w:t>
      </w:r>
      <w:r>
        <w:rPr>
          <w:rFonts w:ascii="Times New Roman" w:eastAsia="Times New Roman" w:hAnsi="Times New Roman" w:cs="Times New Roman"/>
          <w:sz w:val="24"/>
          <w:szCs w:val="24"/>
        </w:rPr>
        <w:t>(8), 1069</w:t>
      </w:r>
      <w:r>
        <w:rPr>
          <w:rFonts w:ascii="Times New Roman" w:eastAsia="Times New Roman" w:hAnsi="Times New Roman" w:cs="Times New Roman"/>
          <w:sz w:val="24"/>
          <w:szCs w:val="24"/>
        </w:rPr>
        <w:t>–1089.</w:t>
      </w:r>
      <w:hyperlink r:id="rId19">
        <w:r>
          <w:rPr>
            <w:rFonts w:ascii="Times New Roman" w:eastAsia="Times New Roman" w:hAnsi="Times New Roman" w:cs="Times New Roman"/>
            <w:sz w:val="24"/>
            <w:szCs w:val="24"/>
          </w:rPr>
          <w:t xml:space="preserve"> https://doi.org/10.1080/09585192.2013.816863</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Krekel, C., Ward, G., &amp; De Neve, J.-E. (2019). Employee well-being, productivity, and firm performance: Evidence from large-scale panel data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Happiness Studies, 20</w:t>
      </w:r>
      <w:r>
        <w:rPr>
          <w:rFonts w:ascii="Times New Roman" w:eastAsia="Times New Roman" w:hAnsi="Times New Roman" w:cs="Times New Roman"/>
          <w:sz w:val="24"/>
          <w:szCs w:val="24"/>
        </w:rPr>
        <w:t>(4), 1137–1161. https://doi.org/10.1007/s10902-017-9945-9</w:t>
      </w:r>
    </w:p>
    <w:p w:rsidR="004335AE" w:rsidRDefault="0028030C">
      <w:pPr>
        <w:spacing w:before="240" w:after="240" w:line="360" w:lineRule="auto"/>
        <w:jc w:val="both"/>
        <w:rPr>
          <w:rFonts w:ascii="Times New Roman" w:eastAsia="Times New Roman" w:hAnsi="Times New Roman" w:cs="Times New Roman"/>
          <w:sz w:val="24"/>
          <w:szCs w:val="24"/>
        </w:rPr>
      </w:pPr>
      <w:bookmarkStart w:id="9" w:name="_GoBack"/>
      <w:r>
        <w:rPr>
          <w:rFonts w:ascii="Times New Roman" w:eastAsia="Times New Roman" w:hAnsi="Times New Roman" w:cs="Times New Roman"/>
          <w:sz w:val="24"/>
          <w:szCs w:val="24"/>
        </w:rPr>
        <w:lastRenderedPageBreak/>
        <w:t>Montiel, I., Delgado-Ceballos, J., &amp; Ortiz-de-</w:t>
      </w:r>
      <w:proofErr w:type="spellStart"/>
      <w:r>
        <w:rPr>
          <w:rFonts w:ascii="Times New Roman" w:eastAsia="Times New Roman" w:hAnsi="Times New Roman" w:cs="Times New Roman"/>
          <w:sz w:val="24"/>
          <w:szCs w:val="24"/>
        </w:rPr>
        <w:t>Mandojana</w:t>
      </w:r>
      <w:proofErr w:type="spellEnd"/>
      <w:r>
        <w:rPr>
          <w:rFonts w:ascii="Times New Roman" w:eastAsia="Times New Roman" w:hAnsi="Times New Roman" w:cs="Times New Roman"/>
          <w:sz w:val="24"/>
          <w:szCs w:val="24"/>
        </w:rPr>
        <w:t xml:space="preserve">, N. (2021). Corporate sustainability and organizational change: A review and research agenda. </w:t>
      </w:r>
      <w:r>
        <w:rPr>
          <w:rFonts w:ascii="Times New Roman" w:eastAsia="Times New Roman" w:hAnsi="Times New Roman" w:cs="Times New Roman"/>
          <w:i/>
          <w:iCs/>
          <w:sz w:val="24"/>
          <w:szCs w:val="24"/>
        </w:rPr>
        <w:t>Business &amp; Society, 60</w:t>
      </w:r>
      <w:r>
        <w:rPr>
          <w:rFonts w:ascii="Times New Roman" w:eastAsia="Times New Roman" w:hAnsi="Times New Roman" w:cs="Times New Roman"/>
          <w:sz w:val="24"/>
          <w:szCs w:val="24"/>
        </w:rPr>
        <w:t>(6), 1293–1328. https://doi.org/10.1177/0007650319856633</w:t>
      </w:r>
    </w:p>
    <w:bookmarkEnd w:id="9"/>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Pardawala</w:t>
      </w:r>
      <w:proofErr w:type="spellEnd"/>
      <w:r>
        <w:rPr>
          <w:rFonts w:ascii="Times New Roman" w:eastAsia="Times New Roman" w:hAnsi="Times New Roman" w:cs="Times New Roman"/>
          <w:sz w:val="24"/>
          <w:szCs w:val="24"/>
        </w:rPr>
        <w:t xml:space="preserve">, A., Nath, B., Mukherjee, D., Pant, M., Doshi, N., </w:t>
      </w:r>
      <w:proofErr w:type="spellStart"/>
      <w:r>
        <w:rPr>
          <w:rFonts w:ascii="Times New Roman" w:eastAsia="Times New Roman" w:hAnsi="Times New Roman" w:cs="Times New Roman"/>
          <w:sz w:val="24"/>
          <w:szCs w:val="24"/>
        </w:rPr>
        <w:t>Arudkar</w:t>
      </w:r>
      <w:proofErr w:type="spellEnd"/>
      <w:r>
        <w:rPr>
          <w:rFonts w:ascii="Times New Roman" w:eastAsia="Times New Roman" w:hAnsi="Times New Roman" w:cs="Times New Roman"/>
          <w:sz w:val="24"/>
          <w:szCs w:val="24"/>
        </w:rPr>
        <w:t>, R., Mehta, A., &amp; Vaidya, A. (2024). Workplace well-being in India pre- and post-COVID-19: A comparative stu</w:t>
      </w:r>
      <w:r>
        <w:rPr>
          <w:rFonts w:ascii="Times New Roman" w:eastAsia="Times New Roman" w:hAnsi="Times New Roman" w:cs="Times New Roman"/>
          <w:sz w:val="24"/>
          <w:szCs w:val="24"/>
        </w:rPr>
        <w:t xml:space="preserve">dy. </w:t>
      </w:r>
      <w:r>
        <w:rPr>
          <w:rFonts w:ascii="Times New Roman" w:eastAsia="Times New Roman" w:hAnsi="Times New Roman" w:cs="Times New Roman"/>
          <w:i/>
          <w:iCs/>
          <w:sz w:val="24"/>
          <w:szCs w:val="24"/>
        </w:rPr>
        <w:t>International Journal of Contemporary Research in Multidisciplinary, 3</w:t>
      </w:r>
      <w:r>
        <w:rPr>
          <w:rFonts w:ascii="Times New Roman" w:eastAsia="Times New Roman" w:hAnsi="Times New Roman" w:cs="Times New Roman"/>
          <w:sz w:val="24"/>
          <w:szCs w:val="24"/>
        </w:rPr>
        <w:t>(2), 175–182.</w:t>
      </w:r>
      <w:hyperlink r:id="rId20">
        <w:r>
          <w:rPr>
            <w:rFonts w:ascii="Times New Roman" w:eastAsia="Times New Roman" w:hAnsi="Times New Roman" w:cs="Times New Roman"/>
            <w:sz w:val="24"/>
            <w:szCs w:val="24"/>
          </w:rPr>
          <w:t xml:space="preserve"> https://doi.org/10.5281/zenodo.11003638</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Pfeffer, J. (2010). Building sustainable organizations: The human fac</w:t>
      </w:r>
      <w:r>
        <w:rPr>
          <w:rFonts w:ascii="Times New Roman" w:eastAsia="Times New Roman" w:hAnsi="Times New Roman" w:cs="Times New Roman"/>
          <w:sz w:val="24"/>
          <w:szCs w:val="24"/>
        </w:rPr>
        <w:t xml:space="preserve">tor. </w:t>
      </w:r>
      <w:r>
        <w:rPr>
          <w:rFonts w:ascii="Times New Roman" w:eastAsia="Times New Roman" w:hAnsi="Times New Roman" w:cs="Times New Roman"/>
          <w:i/>
          <w:iCs/>
          <w:sz w:val="24"/>
          <w:szCs w:val="24"/>
        </w:rPr>
        <w:t>Academy of Management Perspectives, 24</w:t>
      </w:r>
      <w:r>
        <w:rPr>
          <w:rFonts w:ascii="Times New Roman" w:eastAsia="Times New Roman" w:hAnsi="Times New Roman" w:cs="Times New Roman"/>
          <w:sz w:val="24"/>
          <w:szCs w:val="24"/>
        </w:rPr>
        <w:t>(1), 34–45.</w:t>
      </w:r>
      <w:hyperlink r:id="rId21">
        <w:r>
          <w:rPr>
            <w:rFonts w:ascii="Times New Roman" w:eastAsia="Times New Roman" w:hAnsi="Times New Roman" w:cs="Times New Roman"/>
            <w:sz w:val="24"/>
            <w:szCs w:val="24"/>
          </w:rPr>
          <w:t xml:space="preserve"> https://doi.org/10.5465/amp.24.1.34</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Renwick, D. W. S., Redman, T., &amp; Maguire, S. (2013). Green human resource management: A review and research ag</w:t>
      </w:r>
      <w:r>
        <w:rPr>
          <w:rFonts w:ascii="Times New Roman" w:eastAsia="Times New Roman" w:hAnsi="Times New Roman" w:cs="Times New Roman"/>
          <w:sz w:val="24"/>
          <w:szCs w:val="24"/>
        </w:rPr>
        <w:t xml:space="preserve">enda. </w:t>
      </w:r>
      <w:r>
        <w:rPr>
          <w:rFonts w:ascii="Times New Roman" w:eastAsia="Times New Roman" w:hAnsi="Times New Roman" w:cs="Times New Roman"/>
          <w:i/>
          <w:iCs/>
          <w:sz w:val="24"/>
          <w:szCs w:val="24"/>
        </w:rPr>
        <w:t>International Journal of Management Reviews, 15</w:t>
      </w:r>
      <w:r>
        <w:rPr>
          <w:rFonts w:ascii="Times New Roman" w:eastAsia="Times New Roman" w:hAnsi="Times New Roman" w:cs="Times New Roman"/>
          <w:sz w:val="24"/>
          <w:szCs w:val="24"/>
        </w:rPr>
        <w:t>(1), 1–14.</w:t>
      </w:r>
      <w:hyperlink r:id="rId22">
        <w:r>
          <w:rPr>
            <w:rFonts w:ascii="Times New Roman" w:eastAsia="Times New Roman" w:hAnsi="Times New Roman" w:cs="Times New Roman"/>
            <w:sz w:val="24"/>
            <w:szCs w:val="24"/>
          </w:rPr>
          <w:t xml:space="preserve"> https://doi.org/10.1111/j.1468-2370.2011.00328.x</w:t>
        </w:r>
      </w:hyperlink>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Spreitzer</w:t>
      </w:r>
      <w:proofErr w:type="spellEnd"/>
      <w:r>
        <w:rPr>
          <w:rFonts w:ascii="Times New Roman" w:eastAsia="Times New Roman" w:hAnsi="Times New Roman" w:cs="Times New Roman"/>
          <w:sz w:val="24"/>
          <w:szCs w:val="24"/>
        </w:rPr>
        <w:t>, G., Porath, C., &amp; Gibson, C. (2012). Toward human sustainability</w:t>
      </w:r>
      <w:r>
        <w:rPr>
          <w:rFonts w:ascii="Times New Roman" w:eastAsia="Times New Roman" w:hAnsi="Times New Roman" w:cs="Times New Roman"/>
          <w:sz w:val="24"/>
          <w:szCs w:val="24"/>
        </w:rPr>
        <w:t xml:space="preserve">: How to enable more thriving at work. </w:t>
      </w:r>
      <w:r>
        <w:rPr>
          <w:rFonts w:ascii="Times New Roman" w:eastAsia="Times New Roman" w:hAnsi="Times New Roman" w:cs="Times New Roman"/>
          <w:i/>
          <w:iCs/>
          <w:sz w:val="24"/>
          <w:szCs w:val="24"/>
        </w:rPr>
        <w:t>Organization Dynamics, 41</w:t>
      </w:r>
      <w:r>
        <w:rPr>
          <w:rFonts w:ascii="Times New Roman" w:eastAsia="Times New Roman" w:hAnsi="Times New Roman" w:cs="Times New Roman"/>
          <w:sz w:val="24"/>
          <w:szCs w:val="24"/>
        </w:rPr>
        <w:t>(2), 155–162.</w:t>
      </w:r>
      <w:hyperlink r:id="rId23">
        <w:r>
          <w:rPr>
            <w:rFonts w:ascii="Times New Roman" w:eastAsia="Times New Roman" w:hAnsi="Times New Roman" w:cs="Times New Roman"/>
            <w:sz w:val="24"/>
            <w:szCs w:val="24"/>
          </w:rPr>
          <w:t xml:space="preserve"> https://doi.org/10.1016/j.orgdyn.2012.01.003</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(2024). </w:t>
      </w:r>
      <w:r>
        <w:rPr>
          <w:rFonts w:ascii="Times New Roman" w:eastAsia="Times New Roman" w:hAnsi="Times New Roman" w:cs="Times New Roman"/>
          <w:i/>
          <w:iCs/>
          <w:sz w:val="24"/>
          <w:szCs w:val="24"/>
        </w:rPr>
        <w:t>Mental health at work</w:t>
      </w:r>
      <w:r>
        <w:rPr>
          <w:rFonts w:ascii="Times New Roman" w:eastAsia="Times New Roman" w:hAnsi="Times New Roman" w:cs="Times New Roman"/>
          <w:sz w:val="24"/>
          <w:szCs w:val="24"/>
        </w:rPr>
        <w:t xml:space="preserve"> [Fact sheet]</w:t>
      </w:r>
      <w:r>
        <w:rPr>
          <w:rFonts w:ascii="Times New Roman" w:eastAsia="Times New Roman" w:hAnsi="Times New Roman" w:cs="Times New Roman"/>
          <w:sz w:val="24"/>
          <w:szCs w:val="24"/>
        </w:rPr>
        <w:t>.</w:t>
      </w:r>
      <w:hyperlink r:id="rId24">
        <w:r>
          <w:rPr>
            <w:rFonts w:ascii="Times New Roman" w:eastAsia="Times New Roman" w:hAnsi="Times New Roman" w:cs="Times New Roman"/>
            <w:sz w:val="24"/>
            <w:szCs w:val="24"/>
          </w:rPr>
          <w:t xml:space="preserve"> https://www.who.int/news-room/fact-sheets/detail/mental-health-at-work</w:t>
        </w:r>
      </w:hyperlink>
    </w:p>
    <w:p w:rsidR="004335AE" w:rsidRDefault="004335AE">
      <w:pPr>
        <w:spacing w:before="240" w:after="240" w:line="360" w:lineRule="auto"/>
        <w:jc w:val="both"/>
        <w:rPr>
          <w:rFonts w:ascii="Times New Roman" w:eastAsia="Times New Roman" w:hAnsi="Times New Roman" w:cs="Times New Roman"/>
          <w:sz w:val="24"/>
          <w:szCs w:val="24"/>
        </w:rPr>
      </w:pPr>
    </w:p>
    <w:p w:rsidR="004335AE" w:rsidRDefault="004335AE">
      <w:pPr>
        <w:spacing w:before="240" w:after="240" w:line="360" w:lineRule="auto"/>
        <w:jc w:val="both"/>
        <w:rPr>
          <w:rFonts w:ascii="Times New Roman" w:eastAsia="Times New Roman" w:hAnsi="Times New Roman" w:cs="Times New Roman"/>
          <w:sz w:val="24"/>
          <w:szCs w:val="24"/>
        </w:rPr>
      </w:pPr>
    </w:p>
    <w:p w:rsidR="004335AE" w:rsidRDefault="004335AE">
      <w:pPr>
        <w:spacing w:line="360" w:lineRule="auto"/>
        <w:jc w:val="both"/>
        <w:rPr>
          <w:rFonts w:ascii="Times New Roman" w:eastAsia="Times New Roman" w:hAnsi="Times New Roman" w:cs="Times New Roman"/>
          <w:sz w:val="24"/>
          <w:szCs w:val="24"/>
        </w:rPr>
      </w:pPr>
    </w:p>
    <w:sectPr w:rsidR="004335AE">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030C" w:rsidRDefault="0028030C">
      <w:pPr>
        <w:spacing w:line="240" w:lineRule="auto"/>
      </w:pPr>
      <w:r>
        <w:separator/>
      </w:r>
    </w:p>
  </w:endnote>
  <w:endnote w:type="continuationSeparator" w:id="0">
    <w:p w:rsidR="0028030C" w:rsidRDefault="00280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C30BFAD-4200-4B04-B00B-856F168E05B4}"/>
  </w:font>
  <w:font w:name="Calibri">
    <w:panose1 w:val="020F0502020204030204"/>
    <w:charset w:val="00"/>
    <w:family w:val="swiss"/>
    <w:pitch w:val="variable"/>
    <w:sig w:usb0="E4002EFF" w:usb1="C000247B" w:usb2="00000009" w:usb3="00000000" w:csb0="000001FF" w:csb1="00000000"/>
    <w:embedRegular r:id="rId2" w:fontKey="{198BEA31-29FB-4953-A378-41BD150667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4335A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4335AE">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4335A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030C" w:rsidRDefault="0028030C">
      <w:pPr>
        <w:spacing w:line="240" w:lineRule="auto"/>
      </w:pPr>
      <w:r>
        <w:separator/>
      </w:r>
    </w:p>
  </w:footnote>
  <w:footnote w:type="continuationSeparator" w:id="0">
    <w:p w:rsidR="0028030C" w:rsidRDefault="002803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28030C">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s">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5938194" cy="5938194"/>
              <wp:effectExtent l="0" t="0" r="0" b="0"/>
              <wp:wrapNone/>
              <wp:docPr id="2" name="Rectangle 2"/>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4335AE" w:rsidRDefault="0028030C">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2" o:spid="_x0000_s1026" style="position:absolute;margin-left:0;margin-top:0;width:467.55pt;height:467.55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" filled="f" stroked="f">
              <v:textbox inset="2.53958mm,2.53958mm,2.53958mm,2.53958mm">
                <w:txbxContent>
                  <w:p w:rsidR="004335AE" w:rsidRDefault="0028030C">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28030C">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s">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5938194" cy="5938194"/>
              <wp:effectExtent l="0" t="0" r="0" b="0"/>
              <wp:wrapNone/>
              <wp:docPr id="1" name="Rectangle 1"/>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4335AE" w:rsidRDefault="0028030C">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1" o:spid="_x0000_s1027" style="position:absolute;margin-left:0;margin-top:0;width:467.55pt;height:467.5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" filled="f" stroked="f">
              <v:textbox inset="2.53958mm,2.53958mm,2.53958mm,2.53958mm">
                <w:txbxContent>
                  <w:p w:rsidR="004335AE" w:rsidRDefault="0028030C">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28030C">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F0505"/>
    <w:multiLevelType w:val="multilevel"/>
    <w:tmpl w:val="9FBA2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907F38"/>
    <w:multiLevelType w:val="multilevel"/>
    <w:tmpl w:val="BEB4A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E42A70"/>
    <w:multiLevelType w:val="multilevel"/>
    <w:tmpl w:val="6B342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BD17A5"/>
    <w:multiLevelType w:val="multilevel"/>
    <w:tmpl w:val="8D707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F7420B"/>
    <w:multiLevelType w:val="multilevel"/>
    <w:tmpl w:val="BAF86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5AE"/>
    <w:rsid w:val="0028030C"/>
    <w:rsid w:val="004335AE"/>
    <w:rsid w:val="006C7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BCD922"/>
  <w15:docId w15:val="{CFB35F33-1E55-4682-8DD7-20E4B3D2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885121"/>
    <w:rPr>
      <w:color w:val="0000FF" w:themeColor="hyperlink"/>
      <w:u w:val="single"/>
    </w:rPr>
  </w:style>
  <w:style w:type="character" w:styleId="UnresolvedMention">
    <w:name w:val="Unresolved Mention"/>
    <w:basedOn w:val="DefaultParagraphFont"/>
    <w:uiPriority w:val="99"/>
    <w:semiHidden/>
    <w:unhideWhenUsed/>
    <w:rsid w:val="00885121"/>
    <w:rPr>
      <w:color w:val="605E5C"/>
      <w:shd w:val="clear" w:color="auto" w:fill="E1DFDD"/>
    </w:rPr>
  </w:style>
  <w:style w:type="paragraph" w:styleId="Header">
    <w:name w:val="header"/>
    <w:basedOn w:val="Normal"/>
    <w:link w:val="HeaderChar"/>
    <w:uiPriority w:val="99"/>
    <w:unhideWhenUsed/>
    <w:rsid w:val="00C70A1B"/>
    <w:pPr>
      <w:tabs>
        <w:tab w:val="center" w:pos="4680"/>
        <w:tab w:val="right" w:pos="9360"/>
      </w:tabs>
      <w:spacing w:line="240" w:lineRule="auto"/>
    </w:pPr>
  </w:style>
  <w:style w:type="character" w:customStyle="1" w:styleId="HeaderChar">
    <w:name w:val="Header Char"/>
    <w:basedOn w:val="DefaultParagraphFont"/>
    <w:link w:val="Header"/>
    <w:uiPriority w:val="99"/>
    <w:rsid w:val="00C70A1B"/>
  </w:style>
  <w:style w:type="paragraph" w:styleId="Footer">
    <w:name w:val="footer"/>
    <w:basedOn w:val="Normal"/>
    <w:link w:val="FooterChar"/>
    <w:uiPriority w:val="99"/>
    <w:unhideWhenUsed/>
    <w:rsid w:val="00C70A1B"/>
    <w:pPr>
      <w:tabs>
        <w:tab w:val="center" w:pos="4680"/>
        <w:tab w:val="right" w:pos="9360"/>
      </w:tabs>
      <w:spacing w:line="240" w:lineRule="auto"/>
    </w:pPr>
  </w:style>
  <w:style w:type="character" w:customStyle="1" w:styleId="FooterChar">
    <w:name w:val="Footer Char"/>
    <w:basedOn w:val="DefaultParagraphFont"/>
    <w:link w:val="Footer"/>
    <w:uiPriority w:val="99"/>
    <w:rsid w:val="00C70A1B"/>
  </w:style>
  <w:style w:type="paragraph" w:styleId="NoSpacing">
    <w:name w:val="No Spacing"/>
    <w:uiPriority w:val="1"/>
    <w:qFormat/>
    <w:rsid w:val="00E14629"/>
    <w:pPr>
      <w:spacing w:line="240" w:lineRule="auto"/>
    </w:pPr>
    <w:rPr>
      <w:rFonts w:asciiTheme="minorHAnsi" w:eastAsiaTheme="minorHAnsi" w:hAnsiTheme="minorHAnsi" w:cstheme="minorBidi"/>
      <w:lang w:val="en-GB"/>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177/0149206317691575" TargetMode="External"/><Relationship Id="rId13" Type="http://schemas.openxmlformats.org/officeDocument/2006/relationships/hyperlink" Target="https://doi.org/10.1207/S15327965PLI1104_01" TargetMode="External"/><Relationship Id="rId18" Type="http://schemas.openxmlformats.org/officeDocument/2006/relationships/hyperlink" Target="https://doi.org/10.1037/amp000071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5465/amp.24.1.34" TargetMode="External"/><Relationship Id="rId7" Type="http://schemas.openxmlformats.org/officeDocument/2006/relationships/endnotes" Target="endnotes.xml"/><Relationship Id="rId12" Type="http://schemas.openxmlformats.org/officeDocument/2006/relationships/hyperlink" Target="https://doi.org/10.1177/0149206305279602" TargetMode="External"/><Relationship Id="rId17" Type="http://schemas.openxmlformats.org/officeDocument/2006/relationships/hyperlink" Target="https://doi.org/10.1002/job.261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37/0021-9010.87.2.268" TargetMode="External"/><Relationship Id="rId20" Type="http://schemas.openxmlformats.org/officeDocument/2006/relationships/hyperlink" Target="https://doi.org/10.5281/zenodo.1100363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018/IJHCITP.303951" TargetMode="External"/><Relationship Id="rId24" Type="http://schemas.openxmlformats.org/officeDocument/2006/relationships/hyperlink" Target="https://www.who.int/news-room/fact-sheets/detail/mental-health-at-wor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11/1748-8583.12139" TargetMode="External"/><Relationship Id="rId23" Type="http://schemas.openxmlformats.org/officeDocument/2006/relationships/hyperlink" Target="https://doi.org/10.1016/j.orgdyn.2012.01.003" TargetMode="External"/><Relationship Id="rId28" Type="http://schemas.openxmlformats.org/officeDocument/2006/relationships/footer" Target="footer2.xml"/><Relationship Id="rId10" Type="http://schemas.openxmlformats.org/officeDocument/2006/relationships/hyperlink" Target="https://doi.org/10.1037/ocp0000056" TargetMode="External"/><Relationship Id="rId19" Type="http://schemas.openxmlformats.org/officeDocument/2006/relationships/hyperlink" Target="https://doi.org/10.1080/09585192.2013.81686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177/1529100615593273" TargetMode="External"/><Relationship Id="rId14" Type="http://schemas.openxmlformats.org/officeDocument/2006/relationships/hyperlink" Target="https://doi.org/10.1177/1086026615575176" TargetMode="External"/><Relationship Id="rId22" Type="http://schemas.openxmlformats.org/officeDocument/2006/relationships/hyperlink" Target="https://doi.org/10.1111/j.1468-2370.2011.00328.x"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La+FJPvu0qnq2uW3YcbwndLA==">CgMxLjAyDmgudGN5ZHZua2xoeDY3Mg5oLms0Mjk1NmJxajdvYjIOaC43bWJxaDI2NWpyYWIyDmguOG90dDY2eWpneTU1Mg5oLm10aDRmbGN0N3drNzIOaC5tdGg0ZmxjdDd3azcyDmgubXRoNGZsY3Q3d2s3Mg5oLm10aDRmbGN0N3drNzIOaC5tdGg0ZmxjdDd3azcyDmguaHl5cHQzeDk3cmNzMg5oLmp2b3owY3VmMmJsNTIOaC5qaXJiNzBrMHA4NHAyDmgubGNkanMwYmltcjR6OAByITFIRXBkYV9hdml6VEpoZEZNNFoxT1ZmT0c1VDZ3a0lL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6188</Words>
  <Characters>35272</Characters>
  <Application>Microsoft Office Word</Application>
  <DocSecurity>0</DocSecurity>
  <Lines>293</Lines>
  <Paragraphs>82</Paragraphs>
  <ScaleCrop>false</ScaleCrop>
  <Company/>
  <LinksUpToDate>false</LinksUpToDate>
  <CharactersWithSpaces>41378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2</cp:revision>
  <dcterms:created xsi:type="dcterms:W3CDTF">2026-02-06T11:48:00Z</dcterms:created>
  <dcterms:modified xsi:type="dcterms:W3CDTF">2026-02-13T11:38:00Z</dcterms:modified>
</cp:coreProperties>
</file>