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005" w:rsidRDefault="006B79DD" w:rsidP="00BB20E8">
      <w:pPr>
        <w:widowControl w:val="0"/>
        <w:pBdr>
          <w:top w:val="nil"/>
          <w:left w:val="nil"/>
          <w:bottom w:val="nil"/>
          <w:right w:val="nil"/>
          <w:between w:val="nil"/>
        </w:pBdr>
        <w:rPr>
          <w:rFonts w:ascii="Times New Roman" w:eastAsia="Times New Roman" w:hAnsi="Times New Roman" w:cs="Times New Roman"/>
          <w:b/>
          <w:bCs/>
          <w:sz w:val="24"/>
          <w:szCs w:val="24"/>
        </w:rPr>
      </w:pPr>
      <w:r>
        <w:pict w14:anchorId="778A7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C935F30">
          <v:shape id="_x0000_s1027" type="#_x0000_t136" style="position:absolute;margin-left:0;margin-top:0;width:50pt;height:50pt;z-index:251657728;visibility:hidden">
            <o:lock v:ext="edit" selection="t"/>
          </v:shape>
        </w:pict>
      </w:r>
      <w:r>
        <w:pict w14:anchorId="1505D791">
          <v:shape id="_x0000_s1026" type="#_x0000_t136" style="position:absolute;margin-left:0;margin-top:0;width:50pt;height:50pt;z-index:251658752;visibility:hidden">
            <o:lock v:ext="edit" selection="t"/>
          </v:shape>
        </w:pict>
      </w:r>
      <w:r>
        <w:rPr>
          <w:rFonts w:ascii="Times New Roman" w:eastAsia="Times New Roman" w:hAnsi="Times New Roman" w:cs="Times New Roman"/>
          <w:b/>
          <w:bCs/>
          <w:sz w:val="24"/>
          <w:szCs w:val="24"/>
        </w:rPr>
        <w:t xml:space="preserve">Original Research Article </w:t>
      </w:r>
      <w:bookmarkStart w:id="0" w:name="_GoBack"/>
      <w:bookmarkEnd w:id="0"/>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ustainable Leisure Consumption Patterns in Urban Mumbai (2022–2025)</w:t>
      </w:r>
    </w:p>
    <w:p w:rsidR="00946005" w:rsidRDefault="00946005">
      <w:pPr>
        <w:pStyle w:val="Heading2"/>
        <w:spacing w:after="80" w:line="240" w:lineRule="auto"/>
        <w:jc w:val="both"/>
        <w:rPr>
          <w:rFonts w:ascii="Times New Roman" w:eastAsia="Times New Roman" w:hAnsi="Times New Roman" w:cs="Times New Roman"/>
          <w:b/>
          <w:bCs/>
          <w:sz w:val="24"/>
          <w:szCs w:val="24"/>
        </w:rPr>
      </w:pPr>
      <w:bookmarkStart w:id="1" w:name="_heading=h.o9mpucbn7bi8" w:colFirst="0" w:colLast="0"/>
      <w:bookmarkEnd w:id="1"/>
    </w:p>
    <w:p w:rsidR="00946005" w:rsidRDefault="006B79DD">
      <w:pPr>
        <w:pStyle w:val="Heading2"/>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Rapid urbanization and higher incomes have changed how people in India's big cities </w:t>
      </w:r>
      <w:proofErr w:type="gramStart"/>
      <w:r>
        <w:rPr>
          <w:rFonts w:ascii="Times New Roman" w:eastAsia="Times New Roman" w:hAnsi="Times New Roman" w:cs="Times New Roman"/>
          <w:sz w:val="24"/>
          <w:szCs w:val="24"/>
        </w:rPr>
        <w:t>spend</w:t>
      </w:r>
      <w:proofErr w:type="gramEnd"/>
      <w:r>
        <w:rPr>
          <w:rFonts w:ascii="Times New Roman" w:eastAsia="Times New Roman" w:hAnsi="Times New Roman" w:cs="Times New Roman"/>
          <w:sz w:val="24"/>
          <w:szCs w:val="24"/>
        </w:rPr>
        <w:t xml:space="preserve"> their money. This study considers leisure expenditure as a significant indicator of urban lifestyle, rather than merely an inconsequential expense. Current research o</w:t>
      </w:r>
      <w:r>
        <w:rPr>
          <w:rFonts w:ascii="Times New Roman" w:eastAsia="Times New Roman" w:hAnsi="Times New Roman" w:cs="Times New Roman"/>
          <w:sz w:val="24"/>
          <w:szCs w:val="24"/>
        </w:rPr>
        <w:t xml:space="preserve">n household consumption in India predominantly emphasizes food, health, or overall non-food expenditures, with insufficient focus on leisure expenditures as a separate category. Moreover, leisure spending is rarely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through a sustainability lens, d</w:t>
      </w:r>
      <w:r>
        <w:rPr>
          <w:rFonts w:ascii="Times New Roman" w:eastAsia="Times New Roman" w:hAnsi="Times New Roman" w:cs="Times New Roman"/>
          <w:sz w:val="24"/>
          <w:szCs w:val="24"/>
        </w:rPr>
        <w:t xml:space="preserve">espite its growing environmental and social footprint in large cities. Mumbai, as India’s financial and commercial capital, provides an appropriate urban context to examine these emerging consumption patterns. The paper analyzes household data from Mumbai </w:t>
      </w:r>
      <w:r>
        <w:rPr>
          <w:rFonts w:ascii="Times New Roman" w:eastAsia="Times New Roman" w:hAnsi="Times New Roman" w:cs="Times New Roman"/>
          <w:sz w:val="24"/>
          <w:szCs w:val="24"/>
        </w:rPr>
        <w:t>spanning 2022 to 2025, investigating the socio-economic factors that affect leisure expenditure and elucidating the relationship between these trends and sustainable urban development. The case study of leisure spending of urban households in Mumbai betwee</w:t>
      </w:r>
      <w:r>
        <w:rPr>
          <w:rFonts w:ascii="Times New Roman" w:eastAsia="Times New Roman" w:hAnsi="Times New Roman" w:cs="Times New Roman"/>
          <w:sz w:val="24"/>
          <w:szCs w:val="24"/>
        </w:rPr>
        <w:t xml:space="preserve">n 2022 and 2025 shows that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definitely shifts in the post-pandemic world. Leisure spending which encompasses expenditure on eating out, recreation and vacations comes out as a growing proportion of household budgets, which indicate</w:t>
      </w:r>
      <w:r>
        <w:rPr>
          <w:rFonts w:ascii="Times New Roman" w:eastAsia="Times New Roman" w:hAnsi="Times New Roman" w:cs="Times New Roman"/>
          <w:sz w:val="24"/>
          <w:szCs w:val="24"/>
        </w:rPr>
        <w:t xml:space="preserve"> economic recovery as well as change in the lifestyles of the urban population. Regression diagnostics show a moderate explanatory capacity over the four years, and the values of R 2 vary between 0.151 in 2025 and 0.290 in 2022. Although leisure spending i</w:t>
      </w:r>
      <w:r>
        <w:rPr>
          <w:rFonts w:ascii="Times New Roman" w:eastAsia="Times New Roman" w:hAnsi="Times New Roman" w:cs="Times New Roman"/>
          <w:sz w:val="24"/>
          <w:szCs w:val="24"/>
        </w:rPr>
        <w:t xml:space="preserve">s discretionary in nature, and experiencing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heterogeneity, the values indicate that the socio-economic and demographic factors play a significant role in explaining differences in leisure consumption. Placing leisure spending in a sustainabilit</w:t>
      </w:r>
      <w:r>
        <w:rPr>
          <w:rFonts w:ascii="Times New Roman" w:eastAsia="Times New Roman" w:hAnsi="Times New Roman" w:cs="Times New Roman"/>
          <w:sz w:val="24"/>
          <w:szCs w:val="24"/>
        </w:rPr>
        <w:t>y context, the paper has indicated that discretionary consumption is an area that should be re-conceived as a policy-relevant area. Sustainable leisure does not mean limitations to pleasure but is the repositioning of city consumption that would ensure tha</w:t>
      </w:r>
      <w:r>
        <w:rPr>
          <w:rFonts w:ascii="Times New Roman" w:eastAsia="Times New Roman" w:hAnsi="Times New Roman" w:cs="Times New Roman"/>
          <w:sz w:val="24"/>
          <w:szCs w:val="24"/>
        </w:rPr>
        <w:t>t economic activity, social inclusion and environmental stewardship are balanced.</w:t>
      </w:r>
    </w:p>
    <w:p w:rsidR="00946005" w:rsidRDefault="006B79DD">
      <w:pPr>
        <w:spacing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Sustainable consumption; Leisure expenditure; Urban households; Eating out; Recreation; Vacations; Mumbai</w:t>
      </w:r>
    </w:p>
    <w:p w:rsidR="00946005" w:rsidRDefault="006B79DD">
      <w:pPr>
        <w:pStyle w:val="Heading2"/>
        <w:spacing w:after="80" w:line="360" w:lineRule="auto"/>
        <w:jc w:val="both"/>
        <w:rPr>
          <w:rFonts w:ascii="Times New Roman" w:eastAsia="Times New Roman" w:hAnsi="Times New Roman" w:cs="Times New Roman"/>
          <w:b/>
          <w:bCs/>
          <w:sz w:val="24"/>
          <w:szCs w:val="24"/>
        </w:rPr>
      </w:pPr>
      <w:bookmarkStart w:id="2" w:name="_heading=h.psd5s5iw106a" w:colFirst="0" w:colLast="0"/>
      <w:bookmarkEnd w:id="2"/>
      <w:r>
        <w:rPr>
          <w:rFonts w:ascii="Times New Roman" w:eastAsia="Times New Roman" w:hAnsi="Times New Roman" w:cs="Times New Roman"/>
          <w:b/>
          <w:bCs/>
          <w:sz w:val="24"/>
          <w:szCs w:val="24"/>
        </w:rPr>
        <w:lastRenderedPageBreak/>
        <w:t>Introduction</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way people in Indian cit</w:t>
      </w:r>
      <w:r>
        <w:rPr>
          <w:rFonts w:ascii="Times New Roman" w:eastAsia="Times New Roman" w:hAnsi="Times New Roman" w:cs="Times New Roman"/>
          <w:sz w:val="24"/>
          <w:szCs w:val="24"/>
        </w:rPr>
        <w:t xml:space="preserve">ies spend their money has been greatly impacted by changes in family structures, incomes, and lifestyles. In addition to meeting their basic needs, people in cities are spending more on things like going out to eat, going on vacation, and having fun. This </w:t>
      </w:r>
      <w:r>
        <w:rPr>
          <w:rFonts w:ascii="Times New Roman" w:eastAsia="Times New Roman" w:hAnsi="Times New Roman" w:cs="Times New Roman"/>
          <w:sz w:val="24"/>
          <w:szCs w:val="24"/>
        </w:rPr>
        <w:t>spending makes life better, but it also puts more stress on the city's infrastructure, transportation systems, food supply chains, and energy use.</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 consumption can help or hurt sustainability. It helps the economy grow and people get to know each ot</w:t>
      </w:r>
      <w:r>
        <w:rPr>
          <w:rFonts w:ascii="Times New Roman" w:eastAsia="Times New Roman" w:hAnsi="Times New Roman" w:cs="Times New Roman"/>
          <w:sz w:val="24"/>
          <w:szCs w:val="24"/>
        </w:rPr>
        <w:t>her better, which is a good thing. It creates more trash, pollution, and unfair access to city services, which is not good. Sustainable policy planning should include travel and recreational activities since they greatly increase environmental pressures. G</w:t>
      </w:r>
      <w:r>
        <w:rPr>
          <w:rFonts w:ascii="Times New Roman" w:eastAsia="Times New Roman" w:hAnsi="Times New Roman" w:cs="Times New Roman"/>
          <w:sz w:val="24"/>
          <w:szCs w:val="24"/>
        </w:rPr>
        <w:t>lobal tourism, which includes flights, ground transportation, lodging, and activities, accounts for approximately 8% of total greenhouse gas emissions.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financial and environmental costs associated with eating out. Every step of the food supply ch</w:t>
      </w:r>
      <w:r>
        <w:rPr>
          <w:rFonts w:ascii="Times New Roman" w:eastAsia="Times New Roman" w:hAnsi="Times New Roman" w:cs="Times New Roman"/>
          <w:sz w:val="24"/>
          <w:szCs w:val="24"/>
        </w:rPr>
        <w:t>ain, from production and transportation to storage and cooking, requires energy, and this process produces waste in the form of food leftovers and packaging. Single-use plastics and food waste put more strain on waste management systems that are already un</w:t>
      </w:r>
      <w:r>
        <w:rPr>
          <w:rFonts w:ascii="Times New Roman" w:eastAsia="Times New Roman" w:hAnsi="Times New Roman" w:cs="Times New Roman"/>
          <w:sz w:val="24"/>
          <w:szCs w:val="24"/>
        </w:rPr>
        <w:t>der a lot of stress in cities that are growing quickly, like **Mumbai**. From an economic point of view, these problems are related to how people spend their money. People who travel a lot and eat out a lot use more energy and make more trash.</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Policymakers</w:t>
      </w:r>
      <w:r>
        <w:rPr>
          <w:rFonts w:ascii="Times New Roman" w:eastAsia="Times New Roman" w:hAnsi="Times New Roman" w:cs="Times New Roman"/>
          <w:sz w:val="24"/>
          <w:szCs w:val="24"/>
        </w:rPr>
        <w:t xml:space="preserve"> need to know how people in big cities like **Mumbai** spend their free time and money on things like travel, eating out, and the environment in order to make good policies. This knowledge can help city planners find a balance between protecting the enviro</w:t>
      </w:r>
      <w:r>
        <w:rPr>
          <w:rFonts w:ascii="Times New Roman" w:eastAsia="Times New Roman" w:hAnsi="Times New Roman" w:cs="Times New Roman"/>
          <w:sz w:val="24"/>
          <w:szCs w:val="24"/>
        </w:rPr>
        <w:t>nment, boosting the economy, and improving people's lives.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considers leisure expenditure as a significant indicator of urban lifestyle, rather than merely an inconsequential expense. The paper analyzes household data from Mumbai spanning 2022 to</w:t>
      </w:r>
      <w:r>
        <w:rPr>
          <w:rFonts w:ascii="Times New Roman" w:eastAsia="Times New Roman" w:hAnsi="Times New Roman" w:cs="Times New Roman"/>
          <w:sz w:val="24"/>
          <w:szCs w:val="24"/>
        </w:rPr>
        <w:t xml:space="preserve"> 2025, investigating the socio-economic factors that affect leisure expenditure and elucidating the relationship between these trends and sustainable urban development.</w:t>
      </w:r>
    </w:p>
    <w:p w:rsidR="00946005" w:rsidRDefault="006B79DD">
      <w:pPr>
        <w:pStyle w:val="Heading2"/>
        <w:keepNext w:val="0"/>
        <w:keepLines w:val="0"/>
        <w:spacing w:after="80" w:line="360" w:lineRule="auto"/>
        <w:jc w:val="both"/>
        <w:rPr>
          <w:rFonts w:ascii="Times New Roman" w:eastAsia="Times New Roman" w:hAnsi="Times New Roman" w:cs="Times New Roman"/>
          <w:b/>
          <w:bCs/>
          <w:sz w:val="24"/>
          <w:szCs w:val="24"/>
        </w:rPr>
      </w:pPr>
      <w:bookmarkStart w:id="3" w:name="_heading=h.z812rjtc7tz9" w:colFirst="0" w:colLast="0"/>
      <w:bookmarkEnd w:id="3"/>
      <w:r>
        <w:rPr>
          <w:rFonts w:ascii="Times New Roman" w:eastAsia="Times New Roman" w:hAnsi="Times New Roman" w:cs="Times New Roman"/>
          <w:b/>
          <w:bCs/>
          <w:sz w:val="24"/>
          <w:szCs w:val="24"/>
        </w:rPr>
        <w:lastRenderedPageBreak/>
        <w:t>Rationale of the Study</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urbanization and higher incomes have changed how people in</w:t>
      </w:r>
      <w:r>
        <w:rPr>
          <w:rFonts w:ascii="Times New Roman" w:eastAsia="Times New Roman" w:hAnsi="Times New Roman" w:cs="Times New Roman"/>
          <w:sz w:val="24"/>
          <w:szCs w:val="24"/>
        </w:rPr>
        <w:t xml:space="preserve"> India's big cities </w:t>
      </w:r>
      <w:proofErr w:type="gramStart"/>
      <w:r>
        <w:rPr>
          <w:rFonts w:ascii="Times New Roman" w:eastAsia="Times New Roman" w:hAnsi="Times New Roman" w:cs="Times New Roman"/>
          <w:sz w:val="24"/>
          <w:szCs w:val="24"/>
        </w:rPr>
        <w:t>spend</w:t>
      </w:r>
      <w:proofErr w:type="gramEnd"/>
      <w:r>
        <w:rPr>
          <w:rFonts w:ascii="Times New Roman" w:eastAsia="Times New Roman" w:hAnsi="Times New Roman" w:cs="Times New Roman"/>
          <w:sz w:val="24"/>
          <w:szCs w:val="24"/>
        </w:rPr>
        <w:t xml:space="preserve"> their money. Now, they spend more on leisure activities like eating out, traveling, and going to the movies. This is good for the service sector and quality of life, but it also raises concerns about sustainability when it comes t</w:t>
      </w:r>
      <w:r>
        <w:rPr>
          <w:rFonts w:ascii="Times New Roman" w:eastAsia="Times New Roman" w:hAnsi="Times New Roman" w:cs="Times New Roman"/>
          <w:sz w:val="24"/>
          <w:szCs w:val="24"/>
        </w:rPr>
        <w:t>o energy use, waste, pollution, and pressure on urban infrastructure. This shows how important it is to have balanced and sustainable urban development.</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research on household consumption in India predominantly emphasizes food, health, or overall non-food expenditures, with insufficient focus on leisure expenditures as a separate category. Moreover, leisure spending is rarely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through a sust</w:t>
      </w:r>
      <w:r>
        <w:rPr>
          <w:rFonts w:ascii="Times New Roman" w:eastAsia="Times New Roman" w:hAnsi="Times New Roman" w:cs="Times New Roman"/>
          <w:sz w:val="24"/>
          <w:szCs w:val="24"/>
        </w:rPr>
        <w:t>ainability lens, despite its growing environmental and social footprint in large cities. Mumbai, as India’s financial and commercial capital, provides an appropriate urban context to examine these emerging consumption patterns.</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period from 2022 to 2025</w:t>
      </w:r>
      <w:r>
        <w:rPr>
          <w:rFonts w:ascii="Times New Roman" w:eastAsia="Times New Roman" w:hAnsi="Times New Roman" w:cs="Times New Roman"/>
          <w:sz w:val="24"/>
          <w:szCs w:val="24"/>
        </w:rPr>
        <w:t xml:space="preserve"> is particularly relevant, as it captures the post-pandemic phase marked by economic recovery, renewed mobility, and a resurgence of discretionary spending. Understanding the socio-economic determinants of leisure expenditure during this phase is essential</w:t>
      </w:r>
      <w:r>
        <w:rPr>
          <w:rFonts w:ascii="Times New Roman" w:eastAsia="Times New Roman" w:hAnsi="Times New Roman" w:cs="Times New Roman"/>
          <w:sz w:val="24"/>
          <w:szCs w:val="24"/>
        </w:rPr>
        <w:t xml:space="preserve"> for designing urban policies that encourage responsible consumption and align household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with the principles of sustainable development. This study therefore seeks to bridge the gap between empirical consumption analysis and sustainability-orient</w:t>
      </w:r>
      <w:r>
        <w:rPr>
          <w:rFonts w:ascii="Times New Roman" w:eastAsia="Times New Roman" w:hAnsi="Times New Roman" w:cs="Times New Roman"/>
          <w:sz w:val="24"/>
          <w:szCs w:val="24"/>
        </w:rPr>
        <w:t>ed urban policy discourse.</w:t>
      </w:r>
    </w:p>
    <w:p w:rsidR="00946005" w:rsidRDefault="006B79DD">
      <w:pPr>
        <w:pStyle w:val="Heading2"/>
        <w:keepNext w:val="0"/>
        <w:keepLines w:val="0"/>
        <w:spacing w:after="80" w:line="360" w:lineRule="auto"/>
        <w:jc w:val="both"/>
        <w:rPr>
          <w:rFonts w:ascii="Times New Roman" w:eastAsia="Times New Roman" w:hAnsi="Times New Roman" w:cs="Times New Roman"/>
          <w:b/>
          <w:bCs/>
          <w:sz w:val="24"/>
          <w:szCs w:val="24"/>
        </w:rPr>
      </w:pPr>
      <w:bookmarkStart w:id="4" w:name="_heading=h.7hc70wopozgz" w:colFirst="0" w:colLast="0"/>
      <w:bookmarkEnd w:id="4"/>
      <w:r>
        <w:rPr>
          <w:rFonts w:ascii="Times New Roman" w:eastAsia="Times New Roman" w:hAnsi="Times New Roman" w:cs="Times New Roman"/>
          <w:b/>
          <w:bCs/>
          <w:sz w:val="24"/>
          <w:szCs w:val="24"/>
        </w:rPr>
        <w:t>Objectives of the Study</w:t>
      </w:r>
    </w:p>
    <w:p w:rsidR="00946005" w:rsidRDefault="006B79DD">
      <w:pPr>
        <w:numPr>
          <w:ilvl w:val="0"/>
          <w:numId w:val="1"/>
        </w:numPr>
        <w:spacing w:before="240" w:line="360" w:lineRule="auto"/>
        <w:jc w:val="both"/>
        <w:rPr>
          <w:sz w:val="24"/>
          <w:szCs w:val="24"/>
        </w:rPr>
      </w:pPr>
      <w:r>
        <w:rPr>
          <w:rFonts w:ascii="Times New Roman" w:eastAsia="Times New Roman" w:hAnsi="Times New Roman" w:cs="Times New Roman"/>
          <w:sz w:val="24"/>
          <w:szCs w:val="24"/>
        </w:rPr>
        <w:t>To study how much urban households in Mumbai spent on leisure activities such as eating out, recreation, and vacations during 2022–2025.</w:t>
      </w:r>
    </w:p>
    <w:p w:rsidR="00946005" w:rsidRDefault="006B79DD">
      <w:pPr>
        <w:numPr>
          <w:ilvl w:val="0"/>
          <w:numId w:val="1"/>
        </w:numPr>
        <w:spacing w:line="360" w:lineRule="auto"/>
        <w:jc w:val="both"/>
        <w:rPr>
          <w:sz w:val="24"/>
          <w:szCs w:val="24"/>
        </w:rPr>
      </w:pPr>
      <w:r>
        <w:rPr>
          <w:rFonts w:ascii="Times New Roman" w:eastAsia="Times New Roman" w:hAnsi="Times New Roman" w:cs="Times New Roman"/>
          <w:sz w:val="24"/>
          <w:szCs w:val="24"/>
        </w:rPr>
        <w:t>To identify the main social and economic factors that influence leis</w:t>
      </w:r>
      <w:r>
        <w:rPr>
          <w:rFonts w:ascii="Times New Roman" w:eastAsia="Times New Roman" w:hAnsi="Times New Roman" w:cs="Times New Roman"/>
          <w:sz w:val="24"/>
          <w:szCs w:val="24"/>
        </w:rPr>
        <w:t>ure spending, especially income, type of job, education, age, gender, and family size.</w:t>
      </w:r>
    </w:p>
    <w:p w:rsidR="00946005" w:rsidRDefault="006B79DD">
      <w:pPr>
        <w:numPr>
          <w:ilvl w:val="0"/>
          <w:numId w:val="1"/>
        </w:numPr>
        <w:spacing w:line="360" w:lineRule="auto"/>
        <w:jc w:val="both"/>
        <w:rPr>
          <w:sz w:val="24"/>
          <w:szCs w:val="24"/>
        </w:rPr>
      </w:pPr>
      <w:r>
        <w:rPr>
          <w:rFonts w:ascii="Times New Roman" w:eastAsia="Times New Roman" w:hAnsi="Times New Roman" w:cs="Times New Roman"/>
          <w:sz w:val="24"/>
          <w:szCs w:val="24"/>
        </w:rPr>
        <w:t>To understand leisure spending from a sustainability point of view and explain its importance for responsible consumption and urban policy.</w:t>
      </w:r>
    </w:p>
    <w:p w:rsidR="00946005" w:rsidRDefault="006B79DD">
      <w:pPr>
        <w:numPr>
          <w:ilvl w:val="0"/>
          <w:numId w:val="1"/>
        </w:numPr>
        <w:spacing w:after="240" w:line="360" w:lineRule="auto"/>
        <w:jc w:val="both"/>
        <w:rPr>
          <w:sz w:val="24"/>
          <w:szCs w:val="24"/>
        </w:rPr>
      </w:pPr>
      <w:r>
        <w:rPr>
          <w:rFonts w:ascii="Times New Roman" w:eastAsia="Times New Roman" w:hAnsi="Times New Roman" w:cs="Times New Roman"/>
          <w:sz w:val="24"/>
          <w:szCs w:val="24"/>
        </w:rPr>
        <w:t>To examine changes in leisure</w:t>
      </w:r>
      <w:r>
        <w:rPr>
          <w:rFonts w:ascii="Times New Roman" w:eastAsia="Times New Roman" w:hAnsi="Times New Roman" w:cs="Times New Roman"/>
          <w:sz w:val="24"/>
          <w:szCs w:val="24"/>
        </w:rPr>
        <w:t xml:space="preserv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post-pandemic period, reflecting evolving urban lifestyles and discretionary spending patterns.</w:t>
      </w:r>
    </w:p>
    <w:p w:rsidR="00946005" w:rsidRDefault="006B79DD">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Review of Literature</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systematic review of existing literature was conducted to examine studies related to household leisure expe</w:t>
      </w:r>
      <w:r>
        <w:rPr>
          <w:rFonts w:ascii="Times New Roman" w:eastAsia="Times New Roman" w:hAnsi="Times New Roman" w:cs="Times New Roman"/>
          <w:sz w:val="24"/>
          <w:szCs w:val="24"/>
        </w:rPr>
        <w:t>nditure, non-food consumption, and sustainability in urban contexts. Peer-reviewed journal articles, policy reports, and empirical studies published over the last two decades were reviewed, with particular emphasis on urban India and emerging economies. Ea</w:t>
      </w:r>
      <w:r>
        <w:rPr>
          <w:rFonts w:ascii="Times New Roman" w:eastAsia="Times New Roman" w:hAnsi="Times New Roman" w:cs="Times New Roman"/>
          <w:sz w:val="24"/>
          <w:szCs w:val="24"/>
        </w:rPr>
        <w:t xml:space="preserve">rly studies on household consumption consistently identify income as the strongest determinant of non-food and leisure expenditure. Deaton and </w:t>
      </w:r>
      <w:proofErr w:type="spellStart"/>
      <w:r>
        <w:rPr>
          <w:rFonts w:ascii="Times New Roman" w:eastAsia="Times New Roman" w:hAnsi="Times New Roman" w:cs="Times New Roman"/>
          <w:sz w:val="24"/>
          <w:szCs w:val="24"/>
        </w:rPr>
        <w:t>Muellbauer</w:t>
      </w:r>
      <w:proofErr w:type="spellEnd"/>
      <w:r>
        <w:rPr>
          <w:rFonts w:ascii="Times New Roman" w:eastAsia="Times New Roman" w:hAnsi="Times New Roman" w:cs="Times New Roman"/>
          <w:sz w:val="24"/>
          <w:szCs w:val="24"/>
        </w:rPr>
        <w:t xml:space="preserve"> (1980) and Engel curve–based analyses demonstrate that as income rises, households allocate a greater </w:t>
      </w:r>
      <w:r>
        <w:rPr>
          <w:rFonts w:ascii="Times New Roman" w:eastAsia="Times New Roman" w:hAnsi="Times New Roman" w:cs="Times New Roman"/>
          <w:sz w:val="24"/>
          <w:szCs w:val="24"/>
        </w:rPr>
        <w:t xml:space="preserve">proportion of expenditure to discretionary items, including recreation and travel. Banks et al. (1997) back up this finding in developing countries by showing that spending on leisure is very sensitive to </w:t>
      </w:r>
      <w:proofErr w:type="spellStart"/>
      <w:proofErr w:type="gramStart"/>
      <w:r>
        <w:rPr>
          <w:rFonts w:ascii="Times New Roman" w:eastAsia="Times New Roman" w:hAnsi="Times New Roman" w:cs="Times New Roman"/>
          <w:sz w:val="24"/>
          <w:szCs w:val="24"/>
        </w:rPr>
        <w:t>income.There</w:t>
      </w:r>
      <w:proofErr w:type="spellEnd"/>
      <w:proofErr w:type="gramEnd"/>
      <w:r>
        <w:rPr>
          <w:rFonts w:ascii="Times New Roman" w:eastAsia="Times New Roman" w:hAnsi="Times New Roman" w:cs="Times New Roman"/>
          <w:sz w:val="24"/>
          <w:szCs w:val="24"/>
        </w:rPr>
        <w:t xml:space="preserve"> have been a lot of studies in India ab</w:t>
      </w:r>
      <w:r>
        <w:rPr>
          <w:rFonts w:ascii="Times New Roman" w:eastAsia="Times New Roman" w:hAnsi="Times New Roman" w:cs="Times New Roman"/>
          <w:sz w:val="24"/>
          <w:szCs w:val="24"/>
        </w:rPr>
        <w:t>out how people in cities spend money on things other than food, like going out to eat and having fun. These studies show that things like what kind of job someone has, how much school they have, and how big their family is are very important. People who wo</w:t>
      </w:r>
      <w:r>
        <w:rPr>
          <w:rFonts w:ascii="Times New Roman" w:eastAsia="Times New Roman" w:hAnsi="Times New Roman" w:cs="Times New Roman"/>
          <w:sz w:val="24"/>
          <w:szCs w:val="24"/>
        </w:rPr>
        <w:t>rk in offices tend to spend more on leisure activities because their pay is higher and more stable. People who have more education also tend to spend more on things that make their lives better. Families with more members often spend more because more peop</w:t>
      </w:r>
      <w:r>
        <w:rPr>
          <w:rFonts w:ascii="Times New Roman" w:eastAsia="Times New Roman" w:hAnsi="Times New Roman" w:cs="Times New Roman"/>
          <w:sz w:val="24"/>
          <w:szCs w:val="24"/>
        </w:rPr>
        <w:t xml:space="preserve">le are involved in social and recreational </w:t>
      </w:r>
      <w:proofErr w:type="spellStart"/>
      <w:proofErr w:type="gramStart"/>
      <w:r>
        <w:rPr>
          <w:rFonts w:ascii="Times New Roman" w:eastAsia="Times New Roman" w:hAnsi="Times New Roman" w:cs="Times New Roman"/>
          <w:sz w:val="24"/>
          <w:szCs w:val="24"/>
        </w:rPr>
        <w:t>activities.Chakraborty</w:t>
      </w:r>
      <w:proofErr w:type="spellEnd"/>
      <w:proofErr w:type="gramEnd"/>
      <w:r>
        <w:rPr>
          <w:rFonts w:ascii="Times New Roman" w:eastAsia="Times New Roman" w:hAnsi="Times New Roman" w:cs="Times New Roman"/>
          <w:sz w:val="24"/>
          <w:szCs w:val="24"/>
        </w:rPr>
        <w:t xml:space="preserve"> and Singh (2018) also note that nuclear families in urban India spend more on leisure activities per person than larger </w:t>
      </w:r>
      <w:proofErr w:type="spellStart"/>
      <w:r>
        <w:rPr>
          <w:rFonts w:ascii="Times New Roman" w:eastAsia="Times New Roman" w:hAnsi="Times New Roman" w:cs="Times New Roman"/>
          <w:sz w:val="24"/>
          <w:szCs w:val="24"/>
        </w:rPr>
        <w:t>families.Studies</w:t>
      </w:r>
      <w:proofErr w:type="spellEnd"/>
      <w:r>
        <w:rPr>
          <w:rFonts w:ascii="Times New Roman" w:eastAsia="Times New Roman" w:hAnsi="Times New Roman" w:cs="Times New Roman"/>
          <w:sz w:val="24"/>
          <w:szCs w:val="24"/>
        </w:rPr>
        <w:t xml:space="preserve"> done after the pandemic show that people are spending</w:t>
      </w:r>
      <w:r>
        <w:rPr>
          <w:rFonts w:ascii="Times New Roman" w:eastAsia="Times New Roman" w:hAnsi="Times New Roman" w:cs="Times New Roman"/>
          <w:sz w:val="24"/>
          <w:szCs w:val="24"/>
        </w:rPr>
        <w:t xml:space="preserve"> more money on things they don't need. Agarwal et al. (2022) state that urban households spent more on eating out and traveling short distances after COVID-19 restrictions were lifted, but the gap in access to leisure activities grew. Bhattacharya and Roy </w:t>
      </w:r>
      <w:r>
        <w:rPr>
          <w:rFonts w:ascii="Times New Roman" w:eastAsia="Times New Roman" w:hAnsi="Times New Roman" w:cs="Times New Roman"/>
          <w:sz w:val="24"/>
          <w:szCs w:val="24"/>
        </w:rPr>
        <w:t xml:space="preserve">(2023) demonstrate that leisure consumption rebounded more rapidly within higher-income urban demographics, thereby exacerbating income-based </w:t>
      </w:r>
      <w:proofErr w:type="spellStart"/>
      <w:proofErr w:type="gramStart"/>
      <w:r>
        <w:rPr>
          <w:rFonts w:ascii="Times New Roman" w:eastAsia="Times New Roman" w:hAnsi="Times New Roman" w:cs="Times New Roman"/>
          <w:sz w:val="24"/>
          <w:szCs w:val="24"/>
        </w:rPr>
        <w:t>disparities.From</w:t>
      </w:r>
      <w:proofErr w:type="spellEnd"/>
      <w:proofErr w:type="gramEnd"/>
      <w:r>
        <w:rPr>
          <w:rFonts w:ascii="Times New Roman" w:eastAsia="Times New Roman" w:hAnsi="Times New Roman" w:cs="Times New Roman"/>
          <w:sz w:val="24"/>
          <w:szCs w:val="24"/>
        </w:rPr>
        <w:t xml:space="preserve"> a sustainability standpoint, global literature is progressively associating leisure and tourism c</w:t>
      </w:r>
      <w:r>
        <w:rPr>
          <w:rFonts w:ascii="Times New Roman" w:eastAsia="Times New Roman" w:hAnsi="Times New Roman" w:cs="Times New Roman"/>
          <w:sz w:val="24"/>
          <w:szCs w:val="24"/>
        </w:rPr>
        <w:t xml:space="preserve">onsumption with environmental stresses. </w:t>
      </w: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et al. (2015) show that leisure travel adds a lot to carbon emissions, and food services create a lot of waste. In the Indian context, NITI Aayog (2022) recognizes that increasing urban consumption, especial</w:t>
      </w:r>
      <w:r>
        <w:rPr>
          <w:rFonts w:ascii="Times New Roman" w:eastAsia="Times New Roman" w:hAnsi="Times New Roman" w:cs="Times New Roman"/>
          <w:sz w:val="24"/>
          <w:szCs w:val="24"/>
        </w:rPr>
        <w:t>ly in hospitality and tourism, presents challenges for sustainable resource utilization, yet it lacks micro-level household evidence.</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is still not much research that directly links sustainability to household leisure spending. Jackson (2009) asserts </w:t>
      </w:r>
      <w:r>
        <w:rPr>
          <w:rFonts w:ascii="Times New Roman" w:eastAsia="Times New Roman" w:hAnsi="Times New Roman" w:cs="Times New Roman"/>
          <w:sz w:val="24"/>
          <w:szCs w:val="24"/>
        </w:rPr>
        <w:t xml:space="preserve">that research on sustainable consumption has primarily focused on production rather than consumption patterns. </w:t>
      </w:r>
      <w:proofErr w:type="spellStart"/>
      <w:r>
        <w:rPr>
          <w:rFonts w:ascii="Times New Roman" w:eastAsia="Times New Roman" w:hAnsi="Times New Roman" w:cs="Times New Roman"/>
          <w:sz w:val="24"/>
          <w:szCs w:val="24"/>
        </w:rPr>
        <w:t>Lorek</w:t>
      </w:r>
      <w:proofErr w:type="spellEnd"/>
      <w:r>
        <w:rPr>
          <w:rFonts w:ascii="Times New Roman" w:eastAsia="Times New Roman" w:hAnsi="Times New Roman" w:cs="Times New Roman"/>
          <w:sz w:val="24"/>
          <w:szCs w:val="24"/>
        </w:rPr>
        <w:t xml:space="preserve"> and Fuchs (2013) assert that comprehending sustainability transitions necessitates an examination of quotidian consumption categories, such</w:t>
      </w:r>
      <w:r>
        <w:rPr>
          <w:rFonts w:ascii="Times New Roman" w:eastAsia="Times New Roman" w:hAnsi="Times New Roman" w:cs="Times New Roman"/>
          <w:sz w:val="24"/>
          <w:szCs w:val="24"/>
        </w:rPr>
        <w:t xml:space="preserve"> as leisure. </w:t>
      </w: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latest sources, the post-COVID era shows the great reorganization of the household consumption patterns, where expenditures are gradual and become more connected to discretionary spending and recreational spending. The offici</w:t>
      </w:r>
      <w:r>
        <w:rPr>
          <w:rFonts w:ascii="Times New Roman" w:eastAsia="Times New Roman" w:hAnsi="Times New Roman" w:cs="Times New Roman"/>
          <w:sz w:val="24"/>
          <w:szCs w:val="24"/>
        </w:rPr>
        <w:t>al data provided by the Household Consumption Expenditure Survey (HCES) 202324 shows that the ratio of the food expenditure has decreased and the non-food elements have increased in both rural and urban India (</w:t>
      </w:r>
      <w:proofErr w:type="spellStart"/>
      <w:r>
        <w:rPr>
          <w:rFonts w:ascii="Times New Roman" w:eastAsia="Times New Roman" w:hAnsi="Times New Roman" w:cs="Times New Roman"/>
          <w:sz w:val="24"/>
          <w:szCs w:val="24"/>
        </w:rPr>
        <w:t>MoSPI</w:t>
      </w:r>
      <w:proofErr w:type="spellEnd"/>
      <w:r>
        <w:rPr>
          <w:rFonts w:ascii="Times New Roman" w:eastAsia="Times New Roman" w:hAnsi="Times New Roman" w:cs="Times New Roman"/>
          <w:sz w:val="24"/>
          <w:szCs w:val="24"/>
        </w:rPr>
        <w:t>, 2024). This change in structure is a re</w:t>
      </w:r>
      <w:r>
        <w:rPr>
          <w:rFonts w:ascii="Times New Roman" w:eastAsia="Times New Roman" w:hAnsi="Times New Roman" w:cs="Times New Roman"/>
          <w:sz w:val="24"/>
          <w:szCs w:val="24"/>
        </w:rPr>
        <w:t>presentation of recovery of income, shifting lifestyles and a fresh involvement in leisure, transport and consumer services. Notably, the narrowing of urban-rural gap in per capita expenditure is also recorded in the survey and indicates that consumption a</w:t>
      </w:r>
      <w:r>
        <w:rPr>
          <w:rFonts w:ascii="Times New Roman" w:eastAsia="Times New Roman" w:hAnsi="Times New Roman" w:cs="Times New Roman"/>
          <w:sz w:val="24"/>
          <w:szCs w:val="24"/>
        </w:rPr>
        <w:t xml:space="preserve">spirations diffuse out of the metropolitan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are supported by policy-based summary reports of the HCES, which report accelerated rural consumption growth and growth in the number of items like transport, entertainment, and consumer du</w:t>
      </w:r>
      <w:r>
        <w:rPr>
          <w:rFonts w:ascii="Times New Roman" w:eastAsia="Times New Roman" w:hAnsi="Times New Roman" w:cs="Times New Roman"/>
          <w:sz w:val="24"/>
          <w:szCs w:val="24"/>
        </w:rPr>
        <w:t>rables (Press Information Bureau, 2024). The same data is also the basis of media analyses that point out that the increase in non-food spending has macroeconomic consequences, such as inflation composition, infrastructure demand, and pressure on urban ser</w:t>
      </w:r>
      <w:r>
        <w:rPr>
          <w:rFonts w:ascii="Times New Roman" w:eastAsia="Times New Roman" w:hAnsi="Times New Roman" w:cs="Times New Roman"/>
          <w:sz w:val="24"/>
          <w:szCs w:val="24"/>
        </w:rPr>
        <w:t>vices (Reuters, 2024). Combined, these sources create a solid empirical basis of the analysis of leisure spending as a post-pandemic recovery and lifestyle change indicator.</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further narrowed down by micro-level evidence on household panel data. Ba</w:t>
      </w:r>
      <w:r>
        <w:rPr>
          <w:rFonts w:ascii="Times New Roman" w:eastAsia="Times New Roman" w:hAnsi="Times New Roman" w:cs="Times New Roman"/>
          <w:sz w:val="24"/>
          <w:szCs w:val="24"/>
        </w:rPr>
        <w:t xml:space="preserve">sed on CMIE-CPHS statistics, </w:t>
      </w:r>
      <w:proofErr w:type="spellStart"/>
      <w:r>
        <w:rPr>
          <w:rFonts w:ascii="Times New Roman" w:eastAsia="Times New Roman" w:hAnsi="Times New Roman" w:cs="Times New Roman"/>
          <w:sz w:val="24"/>
          <w:szCs w:val="24"/>
        </w:rPr>
        <w:t>Dvara</w:t>
      </w:r>
      <w:proofErr w:type="spellEnd"/>
      <w:r>
        <w:rPr>
          <w:rFonts w:ascii="Times New Roman" w:eastAsia="Times New Roman" w:hAnsi="Times New Roman" w:cs="Times New Roman"/>
          <w:sz w:val="24"/>
          <w:szCs w:val="24"/>
        </w:rPr>
        <w:t xml:space="preserve"> Research (2024) demonstrates that the household balance sheets changed significantly after the pandemic, with the preference to work with formal credit and careful reconstruction of savings. These expenditure modification</w:t>
      </w:r>
      <w:r>
        <w:rPr>
          <w:rFonts w:ascii="Times New Roman" w:eastAsia="Times New Roman" w:hAnsi="Times New Roman" w:cs="Times New Roman"/>
          <w:sz w:val="24"/>
          <w:szCs w:val="24"/>
        </w:rPr>
        <w:t xml:space="preserve">s affect the consumption smoothing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can be used to explain the heterogeneous recovery in discretionary expenditure, especially leisure and recreation, between income groups. Families with more rigid liquidity requirements still focus on necess</w:t>
      </w:r>
      <w:r>
        <w:rPr>
          <w:rFonts w:ascii="Times New Roman" w:eastAsia="Times New Roman" w:hAnsi="Times New Roman" w:cs="Times New Roman"/>
          <w:sz w:val="24"/>
          <w:szCs w:val="24"/>
        </w:rPr>
        <w:t>ities, and greater-income households are much quicker to revert to leisure consumption.</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Sectoral and international research give complementary information. The study of high-frequency consumption data by Chen et al. (2024) reveals that sectors that are as</w:t>
      </w:r>
      <w:r>
        <w:rPr>
          <w:rFonts w:ascii="Times New Roman" w:eastAsia="Times New Roman" w:hAnsi="Times New Roman" w:cs="Times New Roman"/>
          <w:sz w:val="24"/>
          <w:szCs w:val="24"/>
        </w:rPr>
        <w:t>sociated with leisure also suffered the most during COVID-19 but also exhibited varying recovering patterns by regions and income groups. Their sectoral breakdown shows that leisure consumption is extremely income-elastic, and sensitive to mobility limitat</w:t>
      </w:r>
      <w:r>
        <w:rPr>
          <w:rFonts w:ascii="Times New Roman" w:eastAsia="Times New Roman" w:hAnsi="Times New Roman" w:cs="Times New Roman"/>
          <w:sz w:val="24"/>
          <w:szCs w:val="24"/>
        </w:rPr>
        <w:t xml:space="preserve">ions, which supports its relevance as an economic </w:t>
      </w:r>
      <w:proofErr w:type="spellStart"/>
      <w:r>
        <w:rPr>
          <w:rFonts w:ascii="Times New Roman" w:eastAsia="Times New Roman" w:hAnsi="Times New Roman" w:cs="Times New Roman"/>
          <w:sz w:val="24"/>
          <w:szCs w:val="24"/>
        </w:rPr>
        <w:t>normalisation</w:t>
      </w:r>
      <w:proofErr w:type="spellEnd"/>
      <w:r>
        <w:rPr>
          <w:rFonts w:ascii="Times New Roman" w:eastAsia="Times New Roman" w:hAnsi="Times New Roman" w:cs="Times New Roman"/>
          <w:sz w:val="24"/>
          <w:szCs w:val="24"/>
        </w:rPr>
        <w:t xml:space="preserve"> indicator. In terms of the industry, KPMG (2024) highlights the leisure and hospitality industry demand recovery through experiential consumption and digital platforms and changing consumer pr</w:t>
      </w:r>
      <w:r>
        <w:rPr>
          <w:rFonts w:ascii="Times New Roman" w:eastAsia="Times New Roman" w:hAnsi="Times New Roman" w:cs="Times New Roman"/>
          <w:sz w:val="24"/>
          <w:szCs w:val="24"/>
        </w:rPr>
        <w:t>eferences, that provides contextual support to the econometric results.</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India-specific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studies enhance insight on the dynamics of leisure expenditure. </w:t>
      </w:r>
      <w:proofErr w:type="spellStart"/>
      <w:r>
        <w:rPr>
          <w:rFonts w:ascii="Times New Roman" w:eastAsia="Times New Roman" w:hAnsi="Times New Roman" w:cs="Times New Roman"/>
          <w:sz w:val="24"/>
          <w:szCs w:val="24"/>
        </w:rPr>
        <w:t>Kaicker</w:t>
      </w:r>
      <w:proofErr w:type="spellEnd"/>
      <w:r>
        <w:rPr>
          <w:rFonts w:ascii="Times New Roman" w:eastAsia="Times New Roman" w:hAnsi="Times New Roman" w:cs="Times New Roman"/>
          <w:sz w:val="24"/>
          <w:szCs w:val="24"/>
        </w:rPr>
        <w:t xml:space="preserve"> (2024) looks at the expenditure of activities of </w:t>
      </w:r>
      <w:proofErr w:type="spellStart"/>
      <w:r>
        <w:rPr>
          <w:rFonts w:ascii="Times New Roman" w:eastAsia="Times New Roman" w:hAnsi="Times New Roman" w:cs="Times New Roman"/>
          <w:sz w:val="24"/>
          <w:szCs w:val="24"/>
        </w:rPr>
        <w:t>socialising</w:t>
      </w:r>
      <w:proofErr w:type="spellEnd"/>
      <w:r>
        <w:rPr>
          <w:rFonts w:ascii="Times New Roman" w:eastAsia="Times New Roman" w:hAnsi="Times New Roman" w:cs="Times New Roman"/>
          <w:sz w:val="24"/>
          <w:szCs w:val="24"/>
        </w:rPr>
        <w:t xml:space="preserve"> (eating, entertainm</w:t>
      </w:r>
      <w:r>
        <w:rPr>
          <w:rFonts w:ascii="Times New Roman" w:eastAsia="Times New Roman" w:hAnsi="Times New Roman" w:cs="Times New Roman"/>
          <w:sz w:val="24"/>
          <w:szCs w:val="24"/>
        </w:rPr>
        <w:t>ent, and social obligations) and concludes that the impact of the pandemic on these payments was much more severe than expected, affecting the choice to spend affecting income and urban-rural location. This paper highlights the social aspect of leisure exp</w:t>
      </w:r>
      <w:r>
        <w:rPr>
          <w:rFonts w:ascii="Times New Roman" w:eastAsia="Times New Roman" w:hAnsi="Times New Roman" w:cs="Times New Roman"/>
          <w:sz w:val="24"/>
          <w:szCs w:val="24"/>
        </w:rPr>
        <w:t xml:space="preserve">enditure and how it is susceptible to health epidemics. Correspondingly, </w:t>
      </w:r>
      <w:proofErr w:type="spellStart"/>
      <w:r>
        <w:rPr>
          <w:rFonts w:ascii="Times New Roman" w:eastAsia="Times New Roman" w:hAnsi="Times New Roman" w:cs="Times New Roman"/>
          <w:sz w:val="24"/>
          <w:szCs w:val="24"/>
        </w:rPr>
        <w:t>Wanjari</w:t>
      </w:r>
      <w:proofErr w:type="spellEnd"/>
      <w:r>
        <w:rPr>
          <w:rFonts w:ascii="Times New Roman" w:eastAsia="Times New Roman" w:hAnsi="Times New Roman" w:cs="Times New Roman"/>
          <w:sz w:val="24"/>
          <w:szCs w:val="24"/>
        </w:rPr>
        <w:t xml:space="preserve"> et al. (2024) also record how young people in rural India redistribute the leisure time to the </w:t>
      </w:r>
      <w:proofErr w:type="gramStart"/>
      <w:r>
        <w:rPr>
          <w:rFonts w:ascii="Times New Roman" w:eastAsia="Times New Roman" w:hAnsi="Times New Roman" w:cs="Times New Roman"/>
          <w:sz w:val="24"/>
          <w:szCs w:val="24"/>
        </w:rPr>
        <w:t>low cost</w:t>
      </w:r>
      <w:proofErr w:type="gramEnd"/>
      <w:r>
        <w:rPr>
          <w:rFonts w:ascii="Times New Roman" w:eastAsia="Times New Roman" w:hAnsi="Times New Roman" w:cs="Times New Roman"/>
          <w:sz w:val="24"/>
          <w:szCs w:val="24"/>
        </w:rPr>
        <w:t xml:space="preserve"> social activities subject to income limits implying substitution effect</w:t>
      </w:r>
      <w:r>
        <w:rPr>
          <w:rFonts w:ascii="Times New Roman" w:eastAsia="Times New Roman" w:hAnsi="Times New Roman" w:cs="Times New Roman"/>
          <w:sz w:val="24"/>
          <w:szCs w:val="24"/>
        </w:rPr>
        <w:t>s that may not be well represented in the monetary expenditure data.</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also the intersection between the consumption studies related to health and leisure expenditure. According to </w:t>
      </w:r>
      <w:proofErr w:type="spellStart"/>
      <w:r>
        <w:rPr>
          <w:rFonts w:ascii="Times New Roman" w:eastAsia="Times New Roman" w:hAnsi="Times New Roman" w:cs="Times New Roman"/>
          <w:sz w:val="24"/>
          <w:szCs w:val="24"/>
        </w:rPr>
        <w:t>Summan</w:t>
      </w:r>
      <w:proofErr w:type="spellEnd"/>
      <w:r>
        <w:rPr>
          <w:rFonts w:ascii="Times New Roman" w:eastAsia="Times New Roman" w:hAnsi="Times New Roman" w:cs="Times New Roman"/>
          <w:sz w:val="24"/>
          <w:szCs w:val="24"/>
        </w:rPr>
        <w:t xml:space="preserve"> et al. (2024), there are modifiable changes in tobacco and alcohol use during and after COVID-19 with slight decreases in the affe</w:t>
      </w:r>
      <w:r>
        <w:rPr>
          <w:rFonts w:ascii="Times New Roman" w:eastAsia="Times New Roman" w:hAnsi="Times New Roman" w:cs="Times New Roman"/>
          <w:sz w:val="24"/>
          <w:szCs w:val="24"/>
        </w:rPr>
        <w:t xml:space="preserve">cted households. Their results unveil the interconnection between health shocks,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reactions, and non-essential consumption that can be applicable in the process of modelling total non-food spending.</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area specific studies, such as </w:t>
      </w:r>
      <w:proofErr w:type="spellStart"/>
      <w:r>
        <w:rPr>
          <w:rFonts w:ascii="Times New Roman" w:eastAsia="Times New Roman" w:hAnsi="Times New Roman" w:cs="Times New Roman"/>
          <w:sz w:val="24"/>
          <w:szCs w:val="24"/>
        </w:rPr>
        <w:t>Jagann</w:t>
      </w:r>
      <w:r>
        <w:rPr>
          <w:rFonts w:ascii="Times New Roman" w:eastAsia="Times New Roman" w:hAnsi="Times New Roman" w:cs="Times New Roman"/>
          <w:sz w:val="24"/>
          <w:szCs w:val="24"/>
        </w:rPr>
        <w:t>arayan</w:t>
      </w:r>
      <w:proofErr w:type="spellEnd"/>
      <w:r>
        <w:rPr>
          <w:rFonts w:ascii="Times New Roman" w:eastAsia="Times New Roman" w:hAnsi="Times New Roman" w:cs="Times New Roman"/>
          <w:sz w:val="24"/>
          <w:szCs w:val="24"/>
        </w:rPr>
        <w:t xml:space="preserve"> (2023), offer findings based on Maharashtra that household size, income and socio-economic factors are important determinants of consumption expenditure. These kinds of analyses at the district level are essential both to </w:t>
      </w:r>
      <w:proofErr w:type="spellStart"/>
      <w:r>
        <w:rPr>
          <w:rFonts w:ascii="Times New Roman" w:eastAsia="Times New Roman" w:hAnsi="Times New Roman" w:cs="Times New Roman"/>
          <w:sz w:val="24"/>
          <w:szCs w:val="24"/>
        </w:rPr>
        <w:t>contextualise</w:t>
      </w:r>
      <w:proofErr w:type="spellEnd"/>
      <w:r>
        <w:rPr>
          <w:rFonts w:ascii="Times New Roman" w:eastAsia="Times New Roman" w:hAnsi="Times New Roman" w:cs="Times New Roman"/>
          <w:sz w:val="24"/>
          <w:szCs w:val="24"/>
        </w:rPr>
        <w:t xml:space="preserve"> trends nation</w:t>
      </w:r>
      <w:r>
        <w:rPr>
          <w:rFonts w:ascii="Times New Roman" w:eastAsia="Times New Roman" w:hAnsi="Times New Roman" w:cs="Times New Roman"/>
          <w:sz w:val="24"/>
          <w:szCs w:val="24"/>
        </w:rPr>
        <w:t>ally, and to appreciate the spatial heterogeneity in recovery leisure spending.</w:t>
      </w:r>
    </w:p>
    <w:p w:rsidR="00946005" w:rsidRDefault="00946005">
      <w:pPr>
        <w:spacing w:line="360" w:lineRule="auto"/>
        <w:jc w:val="both"/>
        <w:rPr>
          <w:rFonts w:ascii="Times New Roman" w:eastAsia="Times New Roman" w:hAnsi="Times New Roman" w:cs="Times New Roman"/>
          <w:sz w:val="24"/>
          <w:szCs w:val="24"/>
        </w:rPr>
      </w:pPr>
    </w:p>
    <w:p w:rsidR="00946005" w:rsidRDefault="006B79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in all, the recent literature is united by the opinion that the post-COVID household consumption in India will be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gradual </w:t>
      </w:r>
      <w:proofErr w:type="spellStart"/>
      <w:r>
        <w:rPr>
          <w:rFonts w:ascii="Times New Roman" w:eastAsia="Times New Roman" w:hAnsi="Times New Roman" w:cs="Times New Roman"/>
          <w:sz w:val="24"/>
          <w:szCs w:val="24"/>
        </w:rPr>
        <w:t>normalisation</w:t>
      </w:r>
      <w:proofErr w:type="spellEnd"/>
      <w:r>
        <w:rPr>
          <w:rFonts w:ascii="Times New Roman" w:eastAsia="Times New Roman" w:hAnsi="Times New Roman" w:cs="Times New Roman"/>
          <w:sz w:val="24"/>
          <w:szCs w:val="24"/>
        </w:rPr>
        <w:t xml:space="preserve"> and the increase o</w:t>
      </w:r>
      <w:r>
        <w:rPr>
          <w:rFonts w:ascii="Times New Roman" w:eastAsia="Times New Roman" w:hAnsi="Times New Roman" w:cs="Times New Roman"/>
          <w:sz w:val="24"/>
          <w:szCs w:val="24"/>
        </w:rPr>
        <w:t xml:space="preserve">f non-food and leisure expenditure, and the existence of socio-economic inequalities. The leisure consumption is introduced as an economic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variable, whose significant implications are on sustainability, urban planning, and inclusive growth.</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enhance the rigor of the literature review, systematic bibliometric analysis was undertaken with the help of </w:t>
      </w:r>
      <w:proofErr w:type="spellStart"/>
      <w:r>
        <w:rPr>
          <w:rFonts w:ascii="Times New Roman" w:eastAsia="Times New Roman" w:hAnsi="Times New Roman" w:cs="Times New Roman"/>
          <w:sz w:val="24"/>
          <w:szCs w:val="24"/>
        </w:rPr>
        <w:t>VOSviewer</w:t>
      </w:r>
      <w:proofErr w:type="spellEnd"/>
      <w:r>
        <w:rPr>
          <w:rFonts w:ascii="Times New Roman" w:eastAsia="Times New Roman" w:hAnsi="Times New Roman" w:cs="Times New Roman"/>
          <w:sz w:val="24"/>
          <w:szCs w:val="24"/>
        </w:rPr>
        <w:t xml:space="preserve"> software and it was accompanied by the narrative review approach. Couple of keywords like leisure expenditure, non-food consumption, </w:t>
      </w:r>
      <w:r>
        <w:rPr>
          <w:rFonts w:ascii="Times New Roman" w:eastAsia="Times New Roman" w:hAnsi="Times New Roman" w:cs="Times New Roman"/>
          <w:sz w:val="24"/>
          <w:szCs w:val="24"/>
        </w:rPr>
        <w:t>urban households, post-COVID consumption and sustainable consumption were used to retrieve peer-reviewed journal articles indexed in Scopus and Web of Science. The ultimate dataset was then exposed to bibliometric mapping after using inclusion criteria (En</w:t>
      </w:r>
      <w:r>
        <w:rPr>
          <w:rFonts w:ascii="Times New Roman" w:eastAsia="Times New Roman" w:hAnsi="Times New Roman" w:cs="Times New Roman"/>
          <w:sz w:val="24"/>
          <w:szCs w:val="24"/>
        </w:rPr>
        <w:t>glish language, economics/urban studies focus, and relevance to household consumption).</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VOSviewer</w:t>
      </w:r>
      <w:proofErr w:type="spellEnd"/>
      <w:r>
        <w:rPr>
          <w:rFonts w:ascii="Times New Roman" w:eastAsia="Times New Roman" w:hAnsi="Times New Roman" w:cs="Times New Roman"/>
          <w:sz w:val="24"/>
          <w:szCs w:val="24"/>
        </w:rPr>
        <w:t xml:space="preserve"> was used to provide co-occurrences of key words, author co-operation networks and thematic clusters. The analysis of keywords showed that there are three prevailing clusters:</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Engel curves, income, and discretionary consumption;</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urban l</w:t>
      </w:r>
      <w:r>
        <w:rPr>
          <w:rFonts w:ascii="Times New Roman" w:eastAsia="Times New Roman" w:hAnsi="Times New Roman" w:cs="Times New Roman"/>
          <w:sz w:val="24"/>
          <w:szCs w:val="24"/>
        </w:rPr>
        <w:t>iving, leisure and post-pandemic recovery; and</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Externalities of sustainability, tourism and the environment.</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clustering also supports the fact that leisure expenditure is progressively being studied on the interface between income dynamics, lif</w:t>
      </w:r>
      <w:r>
        <w:rPr>
          <w:rFonts w:ascii="Times New Roman" w:eastAsia="Times New Roman" w:hAnsi="Times New Roman" w:cs="Times New Roman"/>
          <w:sz w:val="24"/>
          <w:szCs w:val="24"/>
        </w:rPr>
        <w:t xml:space="preserve">estyle change, and sustainability issues thus </w:t>
      </w:r>
      <w:proofErr w:type="spellStart"/>
      <w:r>
        <w:rPr>
          <w:rFonts w:ascii="Times New Roman" w:eastAsia="Times New Roman" w:hAnsi="Times New Roman" w:cs="Times New Roman"/>
          <w:sz w:val="24"/>
          <w:szCs w:val="24"/>
        </w:rPr>
        <w:t>authorising</w:t>
      </w:r>
      <w:proofErr w:type="spellEnd"/>
      <w:r>
        <w:rPr>
          <w:rFonts w:ascii="Times New Roman" w:eastAsia="Times New Roman" w:hAnsi="Times New Roman" w:cs="Times New Roman"/>
          <w:sz w:val="24"/>
          <w:szCs w:val="24"/>
        </w:rPr>
        <w:t xml:space="preserve"> the thematic stance of the current study. The temporal overlay </w:t>
      </w:r>
      <w:proofErr w:type="spellStart"/>
      <w:r>
        <w:rPr>
          <w:rFonts w:ascii="Times New Roman" w:eastAsia="Times New Roman" w:hAnsi="Times New Roman" w:cs="Times New Roman"/>
          <w:sz w:val="24"/>
          <w:szCs w:val="24"/>
        </w:rPr>
        <w:t>visualisation</w:t>
      </w:r>
      <w:proofErr w:type="spellEnd"/>
      <w:r>
        <w:rPr>
          <w:rFonts w:ascii="Times New Roman" w:eastAsia="Times New Roman" w:hAnsi="Times New Roman" w:cs="Times New Roman"/>
          <w:sz w:val="24"/>
          <w:szCs w:val="24"/>
        </w:rPr>
        <w:t xml:space="preserve"> also suggests that the studies involving leisure consumption and recovery dynamics and sustainability increased in 2020, </w:t>
      </w:r>
      <w:r>
        <w:rPr>
          <w:rFonts w:ascii="Times New Roman" w:eastAsia="Times New Roman" w:hAnsi="Times New Roman" w:cs="Times New Roman"/>
          <w:sz w:val="24"/>
          <w:szCs w:val="24"/>
        </w:rPr>
        <w:t>which explains the emphasis on 2022-2025 period.</w:t>
      </w:r>
    </w:p>
    <w:p w:rsidR="00946005" w:rsidRDefault="00946005"/>
    <w:p w:rsidR="00946005" w:rsidRDefault="006B79DD">
      <w:pPr>
        <w:pStyle w:val="Heading2"/>
        <w:spacing w:after="80" w:line="360" w:lineRule="auto"/>
        <w:jc w:val="both"/>
        <w:rPr>
          <w:rFonts w:ascii="Times New Roman" w:eastAsia="Times New Roman" w:hAnsi="Times New Roman" w:cs="Times New Roman"/>
          <w:b/>
          <w:bCs/>
          <w:sz w:val="24"/>
          <w:szCs w:val="24"/>
        </w:rPr>
      </w:pPr>
      <w:bookmarkStart w:id="5" w:name="_heading=h.4n579t731cvw" w:colFirst="0" w:colLast="0"/>
      <w:bookmarkEnd w:id="5"/>
      <w:r>
        <w:rPr>
          <w:rFonts w:ascii="Times New Roman" w:eastAsia="Times New Roman" w:hAnsi="Times New Roman" w:cs="Times New Roman"/>
          <w:b/>
          <w:bCs/>
          <w:sz w:val="24"/>
          <w:szCs w:val="24"/>
        </w:rPr>
        <w:lastRenderedPageBreak/>
        <w:t xml:space="preserve">Research Gaps </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extant literature on household consumption in India has held leisure spending as a residual element of nonfood spending, leaving little understanding of its determining factors on their o</w:t>
      </w:r>
      <w:r>
        <w:rPr>
          <w:rFonts w:ascii="Times New Roman" w:eastAsia="Times New Roman" w:hAnsi="Times New Roman" w:cs="Times New Roman"/>
          <w:sz w:val="24"/>
          <w:szCs w:val="24"/>
        </w:rPr>
        <w:t xml:space="preserve">wn and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interpretation. This generalization obstructs the individual socio-economic and lifestyle influences that determine leisure-related decisions. Furthermore, despite the fact that sustainability has become a central issue in the urban </w:t>
      </w:r>
      <w:r>
        <w:rPr>
          <w:rFonts w:ascii="Times New Roman" w:eastAsia="Times New Roman" w:hAnsi="Times New Roman" w:cs="Times New Roman"/>
          <w:sz w:val="24"/>
          <w:szCs w:val="24"/>
        </w:rPr>
        <w:t xml:space="preserve">development discourse, rarely the leisure expenditure is incorporated in the models of responsible consumption or environmental sustainability. The post-COVID era has been one area that is still uncharted and not many studies have used recent </w:t>
      </w:r>
      <w:proofErr w:type="gramStart"/>
      <w:r>
        <w:rPr>
          <w:rFonts w:ascii="Times New Roman" w:eastAsia="Times New Roman" w:hAnsi="Times New Roman" w:cs="Times New Roman"/>
          <w:sz w:val="24"/>
          <w:szCs w:val="24"/>
        </w:rPr>
        <w:t>household bas</w:t>
      </w:r>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data to understand the changes in urban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Moreover, big metropolitan cities like Mumbai have been given little city specific, micro level analysis though they play a vital role in influencing consumption trends. Lastly, there is a lot o</w:t>
      </w:r>
      <w:r>
        <w:rPr>
          <w:rFonts w:ascii="Times New Roman" w:eastAsia="Times New Roman" w:hAnsi="Times New Roman" w:cs="Times New Roman"/>
          <w:sz w:val="24"/>
          <w:szCs w:val="24"/>
        </w:rPr>
        <w:t>f little translation of empirical evidence into urban planning or sustainability-based policy advice. To fill these gaps, the given research provides a post-pandemic, urban-based, and sustainability-oriented analysis of leisure spending, which empowers the</w:t>
      </w:r>
      <w:r>
        <w:rPr>
          <w:rFonts w:ascii="Times New Roman" w:eastAsia="Times New Roman" w:hAnsi="Times New Roman" w:cs="Times New Roman"/>
          <w:sz w:val="24"/>
          <w:szCs w:val="24"/>
        </w:rPr>
        <w:t xml:space="preserve"> empirical basis of responsible policies in terms of urban consumption.</w:t>
      </w:r>
    </w:p>
    <w:p w:rsidR="00946005" w:rsidRDefault="00946005">
      <w:pPr>
        <w:pStyle w:val="Heading1"/>
        <w:spacing w:before="240" w:after="240" w:line="360" w:lineRule="auto"/>
        <w:jc w:val="both"/>
        <w:rPr>
          <w:rFonts w:ascii="Times New Roman" w:eastAsia="Times New Roman" w:hAnsi="Times New Roman" w:cs="Times New Roman"/>
          <w:sz w:val="24"/>
          <w:szCs w:val="24"/>
        </w:rPr>
      </w:pPr>
      <w:bookmarkStart w:id="6" w:name="_heading=h.3dq3kj2hwnd9" w:colFirst="0" w:colLast="0"/>
      <w:bookmarkEnd w:id="6"/>
    </w:p>
    <w:p w:rsidR="00946005" w:rsidRDefault="006B79DD">
      <w:pPr>
        <w:pStyle w:val="Heading2"/>
        <w:spacing w:after="80" w:line="360" w:lineRule="auto"/>
        <w:jc w:val="both"/>
        <w:rPr>
          <w:rFonts w:ascii="Times New Roman" w:eastAsia="Times New Roman" w:hAnsi="Times New Roman" w:cs="Times New Roman"/>
          <w:b/>
          <w:bCs/>
          <w:sz w:val="24"/>
          <w:szCs w:val="24"/>
        </w:rPr>
      </w:pPr>
      <w:bookmarkStart w:id="7" w:name="_heading=h.xbr6r5dtaill" w:colFirst="0" w:colLast="0"/>
      <w:bookmarkEnd w:id="7"/>
      <w:r>
        <w:rPr>
          <w:rFonts w:ascii="Times New Roman" w:eastAsia="Times New Roman" w:hAnsi="Times New Roman" w:cs="Times New Roman"/>
          <w:b/>
          <w:bCs/>
          <w:sz w:val="24"/>
          <w:szCs w:val="24"/>
        </w:rPr>
        <w:t>Data Source and Methodology</w:t>
      </w:r>
    </w:p>
    <w:p w:rsidR="00946005" w:rsidRDefault="006B79DD">
      <w:pPr>
        <w:pStyle w:val="Heading3"/>
        <w:spacing w:before="280" w:line="360" w:lineRule="auto"/>
        <w:jc w:val="both"/>
        <w:rPr>
          <w:rFonts w:ascii="Times New Roman" w:eastAsia="Times New Roman" w:hAnsi="Times New Roman" w:cs="Times New Roman"/>
          <w:b/>
          <w:bCs/>
          <w:color w:val="000000"/>
          <w:sz w:val="24"/>
          <w:szCs w:val="24"/>
        </w:rPr>
      </w:pPr>
      <w:bookmarkStart w:id="8" w:name="_heading=h.d60dh3odms6" w:colFirst="0" w:colLast="0"/>
      <w:bookmarkEnd w:id="8"/>
      <w:r>
        <w:rPr>
          <w:rFonts w:ascii="Times New Roman" w:eastAsia="Times New Roman" w:hAnsi="Times New Roman" w:cs="Times New Roman"/>
          <w:b/>
          <w:bCs/>
          <w:color w:val="000000"/>
          <w:sz w:val="24"/>
          <w:szCs w:val="24"/>
        </w:rPr>
        <w:t>Data Source</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study uses secondary household-level data for urban Mumbai covering the period 2022–2025. Leisure expenditure is defined as a composite of </w:t>
      </w:r>
      <w:r>
        <w:rPr>
          <w:rFonts w:ascii="Times New Roman" w:eastAsia="Times New Roman" w:hAnsi="Times New Roman" w:cs="Times New Roman"/>
          <w:sz w:val="24"/>
          <w:szCs w:val="24"/>
        </w:rPr>
        <w:t xml:space="preserve">spending on eating out, recreation, and vacations. The demographic and economic characteristics of households are </w:t>
      </w:r>
      <w:proofErr w:type="spellStart"/>
      <w:r>
        <w:rPr>
          <w:rFonts w:ascii="Times New Roman" w:eastAsia="Times New Roman" w:hAnsi="Times New Roman" w:cs="Times New Roman"/>
          <w:sz w:val="24"/>
          <w:szCs w:val="24"/>
        </w:rPr>
        <w:t>summarised</w:t>
      </w:r>
      <w:proofErr w:type="spellEnd"/>
      <w:r>
        <w:rPr>
          <w:rFonts w:ascii="Times New Roman" w:eastAsia="Times New Roman" w:hAnsi="Times New Roman" w:cs="Times New Roman"/>
          <w:sz w:val="24"/>
          <w:szCs w:val="24"/>
        </w:rPr>
        <w:t xml:space="preserve"> annually</w:t>
      </w:r>
    </w:p>
    <w:p w:rsidR="00946005" w:rsidRDefault="006B79DD">
      <w:pPr>
        <w:pStyle w:val="Heading2"/>
        <w:spacing w:after="80" w:line="360" w:lineRule="auto"/>
        <w:jc w:val="both"/>
        <w:rPr>
          <w:rFonts w:ascii="Times New Roman" w:eastAsia="Times New Roman" w:hAnsi="Times New Roman" w:cs="Times New Roman"/>
          <w:b/>
          <w:bCs/>
          <w:sz w:val="24"/>
          <w:szCs w:val="24"/>
        </w:rPr>
      </w:pPr>
      <w:bookmarkStart w:id="9" w:name="_heading=h.g7md5yylku7k" w:colFirst="0" w:colLast="0"/>
      <w:bookmarkEnd w:id="9"/>
      <w:r>
        <w:rPr>
          <w:rFonts w:ascii="Times New Roman" w:eastAsia="Times New Roman" w:hAnsi="Times New Roman" w:cs="Times New Roman"/>
          <w:b/>
          <w:bCs/>
          <w:sz w:val="24"/>
          <w:szCs w:val="24"/>
        </w:rPr>
        <w:t>Variables Used in the Study</w:t>
      </w:r>
    </w:p>
    <w:p w:rsidR="00946005" w:rsidRDefault="006B79DD">
      <w:pPr>
        <w:pStyle w:val="Heading3"/>
        <w:spacing w:before="280" w:line="360" w:lineRule="auto"/>
        <w:ind w:left="360"/>
        <w:jc w:val="both"/>
        <w:rPr>
          <w:rFonts w:ascii="Times New Roman" w:eastAsia="Times New Roman" w:hAnsi="Times New Roman" w:cs="Times New Roman"/>
          <w:b/>
          <w:bCs/>
          <w:color w:val="000000"/>
          <w:sz w:val="24"/>
          <w:szCs w:val="24"/>
        </w:rPr>
      </w:pPr>
      <w:bookmarkStart w:id="10" w:name="_heading=h.9ky3t2wrz2y5" w:colFirst="0" w:colLast="0"/>
      <w:bookmarkEnd w:id="10"/>
      <w:r>
        <w:rPr>
          <w:rFonts w:ascii="Times New Roman" w:eastAsia="Times New Roman" w:hAnsi="Times New Roman" w:cs="Times New Roman"/>
          <w:b/>
          <w:bCs/>
          <w:color w:val="000000"/>
          <w:sz w:val="24"/>
          <w:szCs w:val="24"/>
        </w:rPr>
        <w:t>Dependent Variable</w:t>
      </w:r>
    </w:p>
    <w:p w:rsidR="00946005" w:rsidRDefault="006B79DD">
      <w:pPr>
        <w:pStyle w:val="Heading1"/>
        <w:numPr>
          <w:ilvl w:val="0"/>
          <w:numId w:val="3"/>
        </w:numPr>
        <w:spacing w:before="240" w:after="24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lastRenderedPageBreak/>
        <w:t>Leisure Expenditure (LEISURE):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Monthly household expenditure on leisure activities, defined as a composite measure including spending on eating out, recreation, and vacations. This variable represents discretionary consumption and serves as a proxy for lifestyle-oriented spending in ur</w:t>
      </w:r>
      <w:r>
        <w:rPr>
          <w:rFonts w:ascii="Times New Roman" w:eastAsia="Times New Roman" w:hAnsi="Times New Roman" w:cs="Times New Roman"/>
          <w:sz w:val="24"/>
          <w:szCs w:val="24"/>
        </w:rPr>
        <w:t>ban households.</w:t>
      </w:r>
    </w:p>
    <w:p w:rsidR="00946005" w:rsidRDefault="006B79DD">
      <w:pPr>
        <w:pStyle w:val="Heading3"/>
        <w:spacing w:before="280" w:line="360" w:lineRule="auto"/>
        <w:ind w:left="720" w:hanging="360"/>
        <w:jc w:val="both"/>
        <w:rPr>
          <w:rFonts w:ascii="Times New Roman" w:eastAsia="Times New Roman" w:hAnsi="Times New Roman" w:cs="Times New Roman"/>
          <w:b/>
          <w:bCs/>
          <w:color w:val="000000"/>
          <w:sz w:val="24"/>
          <w:szCs w:val="24"/>
        </w:rPr>
      </w:pPr>
      <w:bookmarkStart w:id="11" w:name="_heading=h.smq8q05gw6jr" w:colFirst="0" w:colLast="0"/>
      <w:bookmarkEnd w:id="11"/>
      <w:r>
        <w:rPr>
          <w:rFonts w:ascii="Times New Roman" w:eastAsia="Times New Roman" w:hAnsi="Times New Roman" w:cs="Times New Roman"/>
          <w:b/>
          <w:bCs/>
          <w:color w:val="000000"/>
          <w:sz w:val="24"/>
          <w:szCs w:val="24"/>
        </w:rPr>
        <w:t>Independent Variables</w:t>
      </w:r>
    </w:p>
    <w:p w:rsidR="00946005" w:rsidRDefault="006B79DD">
      <w:pPr>
        <w:pStyle w:val="Heading1"/>
        <w:numPr>
          <w:ilvl w:val="0"/>
          <w:numId w:val="2"/>
        </w:numPr>
        <w:spacing w:before="24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Total Income (INCOME):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Monthly household income, representing purchasing power and economic capacity.</w:t>
      </w:r>
    </w:p>
    <w:p w:rsidR="00946005" w:rsidRDefault="006B79DD">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Age Group (AGE_GROUP):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age of the household head to capture life-cycle effects on leisure consumption.</w:t>
      </w:r>
    </w:p>
    <w:p w:rsidR="00946005" w:rsidRDefault="006B79DD">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Gender Group (GENDER_GROUP):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Gender of the household head, reflecting differences in decision-making and consumption priorities.</w:t>
      </w:r>
    </w:p>
    <w:p w:rsidR="00946005" w:rsidRDefault="006B79DD">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Occupation Group (OCCUPATION_GROUP):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Employment category of the household head, indicating job stability and socio-economic </w:t>
      </w:r>
      <w:r>
        <w:rPr>
          <w:rFonts w:ascii="Times New Roman" w:eastAsia="Times New Roman" w:hAnsi="Times New Roman" w:cs="Times New Roman"/>
          <w:sz w:val="24"/>
          <w:szCs w:val="24"/>
        </w:rPr>
        <w:t>status.</w:t>
      </w:r>
    </w:p>
    <w:p w:rsidR="00946005" w:rsidRDefault="006B79DD">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Education Group (EDU_GROUP):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Educational attainment of the household head, representing human capital and awareness levels.</w:t>
      </w:r>
    </w:p>
    <w:p w:rsidR="00946005" w:rsidRDefault="006B79DD">
      <w:pPr>
        <w:pStyle w:val="Heading1"/>
        <w:numPr>
          <w:ilvl w:val="0"/>
          <w:numId w:val="2"/>
        </w:numPr>
        <w:spacing w:before="0" w:after="24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Household Size (SIZE_GROUP):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Number of household members, capturing dependency and budget allocation constraints.</w:t>
      </w:r>
    </w:p>
    <w:p w:rsidR="00946005" w:rsidRDefault="006B79DD">
      <w:pPr>
        <w:pStyle w:val="Heading1"/>
        <w:spacing w:before="240" w:after="240" w:line="360" w:lineRule="auto"/>
        <w:jc w:val="both"/>
        <w:rPr>
          <w:rFonts w:ascii="Times New Roman" w:eastAsia="Times New Roman" w:hAnsi="Times New Roman" w:cs="Times New Roman"/>
          <w:sz w:val="24"/>
          <w:szCs w:val="24"/>
        </w:rPr>
      </w:pPr>
      <w:bookmarkStart w:id="12" w:name="_heading=h.3dwmppfbl9vp" w:colFirst="0" w:colLast="0"/>
      <w:bookmarkEnd w:id="12"/>
      <w:r>
        <w:rPr>
          <w:rFonts w:ascii="Times New Roman" w:eastAsia="Times New Roman" w:hAnsi="Times New Roman" w:cs="Times New Roman"/>
          <w:sz w:val="24"/>
          <w:szCs w:val="24"/>
        </w:rPr>
        <w:t>Categorical variables are transformed into dummy variables with appropriate base categories for regression analysis.</w:t>
      </w:r>
    </w:p>
    <w:p w:rsidR="00946005" w:rsidRDefault="006B79DD">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3" w:name="_heading=h.k5lsfvwcpwdj" w:colFirst="0" w:colLast="0"/>
      <w:bookmarkEnd w:id="13"/>
      <w:r>
        <w:rPr>
          <w:rFonts w:ascii="Times New Roman" w:eastAsia="Times New Roman" w:hAnsi="Times New Roman" w:cs="Times New Roman"/>
          <w:b/>
          <w:bCs/>
          <w:color w:val="000000"/>
          <w:sz w:val="24"/>
          <w:szCs w:val="24"/>
        </w:rPr>
        <w:t>Theoretical Basis of the Leisure Expenditure Model</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analytical concept of the study is based on the theory of consumer demand, especiall</w:t>
      </w:r>
      <w:r>
        <w:rPr>
          <w:rFonts w:ascii="Times New Roman" w:eastAsia="Times New Roman" w:hAnsi="Times New Roman" w:cs="Times New Roman"/>
          <w:sz w:val="24"/>
          <w:szCs w:val="24"/>
        </w:rPr>
        <w:t xml:space="preserve">y the theory of Engel curve and life-cycle consumption. The classical consumption theory (Deaton and </w:t>
      </w:r>
      <w:proofErr w:type="spellStart"/>
      <w:r>
        <w:rPr>
          <w:rFonts w:ascii="Times New Roman" w:eastAsia="Times New Roman" w:hAnsi="Times New Roman" w:cs="Times New Roman"/>
          <w:sz w:val="24"/>
          <w:szCs w:val="24"/>
        </w:rPr>
        <w:t>Muellbauer</w:t>
      </w:r>
      <w:proofErr w:type="spellEnd"/>
      <w:r>
        <w:rPr>
          <w:rFonts w:ascii="Times New Roman" w:eastAsia="Times New Roman" w:hAnsi="Times New Roman" w:cs="Times New Roman"/>
          <w:sz w:val="24"/>
          <w:szCs w:val="24"/>
        </w:rPr>
        <w:t>, 1980) is that the amount of money spent on discretionary goods grows relative to income, meaning that income elasticity exceeds one in the case</w:t>
      </w:r>
      <w:r>
        <w:rPr>
          <w:rFonts w:ascii="Times New Roman" w:eastAsia="Times New Roman" w:hAnsi="Times New Roman" w:cs="Times New Roman"/>
          <w:sz w:val="24"/>
          <w:szCs w:val="24"/>
        </w:rPr>
        <w:t xml:space="preserve"> of leisure goods and services. </w:t>
      </w:r>
      <w:r>
        <w:rPr>
          <w:rFonts w:ascii="Times New Roman" w:eastAsia="Times New Roman" w:hAnsi="Times New Roman" w:cs="Times New Roman"/>
          <w:sz w:val="24"/>
          <w:szCs w:val="24"/>
        </w:rPr>
        <w:lastRenderedPageBreak/>
        <w:t>Leisure spending is thus regarded as a luxury or semi-luxury commodity, which is prone to fluctuation of income and economic demands.</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life-cycle theory also contributes to the explanation of changes in spending on leisur</w:t>
      </w:r>
      <w:r>
        <w:rPr>
          <w:rFonts w:ascii="Times New Roman" w:eastAsia="Times New Roman" w:hAnsi="Times New Roman" w:cs="Times New Roman"/>
          <w:sz w:val="24"/>
          <w:szCs w:val="24"/>
        </w:rPr>
        <w:t>e by different age groups, that the working-age families use more resources on leisure and experience consumption, whereas older families have more conservative spending. Proxies of permanent income, lifestyle preferences and stability of earnings are incl</w:t>
      </w:r>
      <w:r>
        <w:rPr>
          <w:rFonts w:ascii="Times New Roman" w:eastAsia="Times New Roman" w:hAnsi="Times New Roman" w:cs="Times New Roman"/>
          <w:sz w:val="24"/>
          <w:szCs w:val="24"/>
        </w:rPr>
        <w:t>uded with the help of socio-economic factors like education and occupation, and household size reflects the impact on the budget and dependency. Gender is added to represent the changing intra-household decision-making processes in urban India.</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i</w:t>
      </w:r>
      <w:r>
        <w:rPr>
          <w:rFonts w:ascii="Times New Roman" w:eastAsia="Times New Roman" w:hAnsi="Times New Roman" w:cs="Times New Roman"/>
          <w:sz w:val="24"/>
          <w:szCs w:val="24"/>
        </w:rPr>
        <w:t>s informed by the sustainable consumption framework in terms of its recognition of the fact that discretionary categories of consumption, especially leisure, travelling and eating out, have a high degree of environmental and social externalities. The theor</w:t>
      </w:r>
      <w:r>
        <w:rPr>
          <w:rFonts w:ascii="Times New Roman" w:eastAsia="Times New Roman" w:hAnsi="Times New Roman" w:cs="Times New Roman"/>
          <w:sz w:val="24"/>
          <w:szCs w:val="24"/>
        </w:rPr>
        <w:t>etical combination enables leisure spending to be viewed not only as a lifestyle choice, but also as an urban sustainability policy-relevant dimension.</w:t>
      </w:r>
    </w:p>
    <w:p w:rsidR="00946005" w:rsidRDefault="006B79DD">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4" w:name="_heading=h.ycshbsmg5ka7" w:colFirst="0" w:colLast="0"/>
      <w:bookmarkEnd w:id="14"/>
      <w:r>
        <w:rPr>
          <w:rFonts w:ascii="Times New Roman" w:eastAsia="Times New Roman" w:hAnsi="Times New Roman" w:cs="Times New Roman"/>
          <w:b/>
          <w:bCs/>
          <w:color w:val="000000"/>
          <w:sz w:val="24"/>
          <w:szCs w:val="24"/>
        </w:rPr>
        <w:t>Econometric Specification and Derivation</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Judging by the foregoing theoretical implications, a reduced-fo</w:t>
      </w:r>
      <w:r>
        <w:rPr>
          <w:rFonts w:ascii="Times New Roman" w:eastAsia="Times New Roman" w:hAnsi="Times New Roman" w:cs="Times New Roman"/>
          <w:sz w:val="24"/>
          <w:szCs w:val="24"/>
        </w:rPr>
        <w:t>rm demand function is the model of leisure expenditure. This empirical specification is based on an ordinary Engel kind of expenditure equation and is estimated where Ordinary Least Squares (OLS) are used:</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LEi</w:t>
      </w:r>
      <w:proofErr w:type="spellEnd"/>
      <w:r>
        <w:rPr>
          <w:rFonts w:ascii="Times New Roman" w:eastAsia="Times New Roman" w:hAnsi="Times New Roman" w:cs="Times New Roman"/>
          <w:sz w:val="24"/>
          <w:szCs w:val="24"/>
        </w:rPr>
        <w:t xml:space="preserve"> = alpha + β1 </w:t>
      </w:r>
      <w:proofErr w:type="spellStart"/>
      <w:r>
        <w:rPr>
          <w:rFonts w:ascii="Times New Roman" w:eastAsia="Times New Roman" w:hAnsi="Times New Roman" w:cs="Times New Roman"/>
          <w:sz w:val="24"/>
          <w:szCs w:val="24"/>
        </w:rPr>
        <w:t>INCi</w:t>
      </w:r>
      <w:proofErr w:type="spellEnd"/>
      <w:r>
        <w:rPr>
          <w:rFonts w:ascii="Times New Roman" w:eastAsia="Times New Roman" w:hAnsi="Times New Roman" w:cs="Times New Roman"/>
          <w:sz w:val="24"/>
          <w:szCs w:val="24"/>
        </w:rPr>
        <w:t xml:space="preserve"> + β2 </w:t>
      </w:r>
      <w:proofErr w:type="spellStart"/>
      <w:r>
        <w:rPr>
          <w:rFonts w:ascii="Times New Roman" w:eastAsia="Times New Roman" w:hAnsi="Times New Roman" w:cs="Times New Roman"/>
          <w:sz w:val="24"/>
          <w:szCs w:val="24"/>
        </w:rPr>
        <w:t>AGEi</w:t>
      </w:r>
      <w:proofErr w:type="spellEnd"/>
      <w:r>
        <w:rPr>
          <w:rFonts w:ascii="Times New Roman" w:eastAsia="Times New Roman" w:hAnsi="Times New Roman" w:cs="Times New Roman"/>
          <w:sz w:val="24"/>
          <w:szCs w:val="24"/>
        </w:rPr>
        <w:t xml:space="preserve"> + β3 </w:t>
      </w:r>
      <w:proofErr w:type="spellStart"/>
      <w:r>
        <w:rPr>
          <w:rFonts w:ascii="Times New Roman" w:eastAsia="Times New Roman" w:hAnsi="Times New Roman" w:cs="Times New Roman"/>
          <w:sz w:val="24"/>
          <w:szCs w:val="24"/>
        </w:rPr>
        <w:t>GENDERi</w:t>
      </w:r>
      <w:proofErr w:type="spellEnd"/>
      <w:r>
        <w:rPr>
          <w:rFonts w:ascii="Times New Roman" w:eastAsia="Times New Roman" w:hAnsi="Times New Roman" w:cs="Times New Roman"/>
          <w:sz w:val="24"/>
          <w:szCs w:val="24"/>
        </w:rPr>
        <w:t xml:space="preserve"> + β4 </w:t>
      </w:r>
      <w:r>
        <w:rPr>
          <w:rFonts w:ascii="Times New Roman" w:eastAsia="Times New Roman" w:hAnsi="Times New Roman" w:cs="Times New Roman"/>
          <w:sz w:val="24"/>
          <w:szCs w:val="24"/>
        </w:rPr>
        <w:t xml:space="preserve">OCC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\β5 </w:t>
      </w:r>
      <w:proofErr w:type="spellStart"/>
      <w:r>
        <w:rPr>
          <w:rFonts w:ascii="Times New Roman" w:eastAsia="Times New Roman" w:hAnsi="Times New Roman" w:cs="Times New Roman"/>
          <w:sz w:val="24"/>
          <w:szCs w:val="24"/>
        </w:rPr>
        <w:t>EDUi</w:t>
      </w:r>
      <w:proofErr w:type="spellEnd"/>
      <w:r>
        <w:rPr>
          <w:rFonts w:ascii="Times New Roman" w:eastAsia="Times New Roman" w:hAnsi="Times New Roman" w:cs="Times New Roman"/>
          <w:sz w:val="24"/>
          <w:szCs w:val="24"/>
        </w:rPr>
        <w:t xml:space="preserve"> + β6 </w:t>
      </w:r>
      <w:proofErr w:type="spellStart"/>
      <w:r>
        <w:rPr>
          <w:rFonts w:ascii="Times New Roman" w:eastAsia="Times New Roman" w:hAnsi="Times New Roman" w:cs="Times New Roman"/>
          <w:sz w:val="24"/>
          <w:szCs w:val="24"/>
        </w:rPr>
        <w:t>SIZE_i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εi</w:t>
      </w:r>
      <w:proofErr w:type="spellEnd"/>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LEi</w:t>
      </w:r>
      <w:proofErr w:type="spellEnd"/>
      <w:r>
        <w:rPr>
          <w:rFonts w:ascii="Times New Roman" w:eastAsia="Times New Roman" w:hAnsi="Times New Roman" w:cs="Times New Roman"/>
          <w:sz w:val="24"/>
          <w:szCs w:val="24"/>
        </w:rPr>
        <w:t xml:space="preserve">​ denotes monthly household leisure expenditure, </w:t>
      </w:r>
      <w:proofErr w:type="spellStart"/>
      <w:r>
        <w:rPr>
          <w:rFonts w:ascii="Times New Roman" w:eastAsia="Times New Roman" w:hAnsi="Times New Roman" w:cs="Times New Roman"/>
          <w:sz w:val="24"/>
          <w:szCs w:val="24"/>
        </w:rPr>
        <w:t>INCi</w:t>
      </w:r>
      <w:proofErr w:type="spellEnd"/>
      <w:r>
        <w:rPr>
          <w:rFonts w:ascii="Times New Roman" w:eastAsia="Times New Roman" w:hAnsi="Times New Roman" w:cs="Times New Roman"/>
          <w:sz w:val="24"/>
          <w:szCs w:val="24"/>
        </w:rPr>
        <w:t xml:space="preserve">​ represents household income, and the remaining variables capture demographic and socio-economic characteristics. The error term </w:t>
      </w:r>
      <w:proofErr w:type="spellStart"/>
      <w:r>
        <w:rPr>
          <w:rFonts w:ascii="Times New Roman" w:eastAsia="Times New Roman" w:hAnsi="Times New Roman" w:cs="Times New Roman"/>
          <w:sz w:val="24"/>
          <w:szCs w:val="24"/>
        </w:rPr>
        <w:t>εi</w:t>
      </w:r>
      <w:proofErr w:type="spellEnd"/>
      <w:r>
        <w:rPr>
          <w:rFonts w:ascii="Times New Roman" w:eastAsia="Times New Roman" w:hAnsi="Times New Roman" w:cs="Times New Roman"/>
          <w:sz w:val="24"/>
          <w:szCs w:val="24"/>
        </w:rPr>
        <w:t xml:space="preserve">\ captures unobserved preferences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heterogeneit</w:t>
      </w:r>
      <w:r>
        <w:rPr>
          <w:rFonts w:ascii="Times New Roman" w:eastAsia="Times New Roman" w:hAnsi="Times New Roman" w:cs="Times New Roman"/>
          <w:sz w:val="24"/>
          <w:szCs w:val="24"/>
        </w:rPr>
        <w:t>y.</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OLS is the correct decision considering that expenditure data are continuous and the aim is to estimate marginal effects of determinants of socio-economic variables. By estimating the independent variables separately as annual regressions (2022-2025</w:t>
      </w:r>
      <w:r>
        <w:rPr>
          <w:rFonts w:ascii="Times New Roman" w:eastAsia="Times New Roman" w:hAnsi="Times New Roman" w:cs="Times New Roman"/>
          <w:sz w:val="24"/>
          <w:szCs w:val="24"/>
        </w:rPr>
        <w:t xml:space="preserve">), the model can be used to include a temporal change in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following the pandemic. The diagnostic </w:t>
      </w:r>
      <w:r>
        <w:rPr>
          <w:rFonts w:ascii="Times New Roman" w:eastAsia="Times New Roman" w:hAnsi="Times New Roman" w:cs="Times New Roman"/>
          <w:sz w:val="24"/>
          <w:szCs w:val="24"/>
        </w:rPr>
        <w:lastRenderedPageBreak/>
        <w:t>statistics (R 2 and adjusted R 2) show that it explains rather moderately, which is expected given the discretionary and heterogeneous</w:t>
      </w:r>
      <w:r>
        <w:rPr>
          <w:rFonts w:ascii="Times New Roman" w:eastAsia="Times New Roman" w:hAnsi="Times New Roman" w:cs="Times New Roman"/>
          <w:sz w:val="24"/>
          <w:szCs w:val="24"/>
        </w:rPr>
        <w:t xml:space="preserve"> nature of leisure consumption.</w:t>
      </w:r>
    </w:p>
    <w:p w:rsidR="00946005" w:rsidRDefault="006B79DD">
      <w:pPr>
        <w:pStyle w:val="Heading2"/>
        <w:keepNext w:val="0"/>
        <w:keepLines w:val="0"/>
        <w:spacing w:after="80" w:line="360" w:lineRule="auto"/>
        <w:jc w:val="both"/>
        <w:rPr>
          <w:rFonts w:ascii="Times New Roman" w:eastAsia="Times New Roman" w:hAnsi="Times New Roman" w:cs="Times New Roman"/>
          <w:b/>
          <w:bCs/>
          <w:sz w:val="24"/>
          <w:szCs w:val="24"/>
        </w:rPr>
      </w:pPr>
      <w:bookmarkStart w:id="15" w:name="_heading=h.3q0xsntfosj4" w:colFirst="0" w:colLast="0"/>
      <w:bookmarkEnd w:id="15"/>
      <w:r>
        <w:rPr>
          <w:rFonts w:ascii="Times New Roman" w:eastAsia="Times New Roman" w:hAnsi="Times New Roman" w:cs="Times New Roman"/>
          <w:b/>
          <w:bCs/>
          <w:sz w:val="24"/>
          <w:szCs w:val="24"/>
        </w:rPr>
        <w:t>Period of the Study</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covers the period </w:t>
      </w:r>
      <w:r>
        <w:rPr>
          <w:rFonts w:ascii="Times New Roman" w:eastAsia="Times New Roman" w:hAnsi="Times New Roman" w:cs="Times New Roman"/>
          <w:b/>
          <w:bCs/>
          <w:sz w:val="24"/>
          <w:szCs w:val="24"/>
        </w:rPr>
        <w:t>2022 to 2025</w:t>
      </w:r>
      <w:r>
        <w:rPr>
          <w:rFonts w:ascii="Times New Roman" w:eastAsia="Times New Roman" w:hAnsi="Times New Roman" w:cs="Times New Roman"/>
          <w:sz w:val="24"/>
          <w:szCs w:val="24"/>
        </w:rPr>
        <w:t xml:space="preserve">, focusing on urban households in Mumbai. This period represents the post-COVID-19 phase,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economic </w:t>
      </w:r>
      <w:proofErr w:type="spellStart"/>
      <w:r>
        <w:rPr>
          <w:rFonts w:ascii="Times New Roman" w:eastAsia="Times New Roman" w:hAnsi="Times New Roman" w:cs="Times New Roman"/>
          <w:sz w:val="24"/>
          <w:szCs w:val="24"/>
        </w:rPr>
        <w:t>normalisation</w:t>
      </w:r>
      <w:proofErr w:type="spellEnd"/>
      <w:r>
        <w:rPr>
          <w:rFonts w:ascii="Times New Roman" w:eastAsia="Times New Roman" w:hAnsi="Times New Roman" w:cs="Times New Roman"/>
          <w:sz w:val="24"/>
          <w:szCs w:val="24"/>
        </w:rPr>
        <w:t>, changes in work patterns, and ren</w:t>
      </w:r>
      <w:r>
        <w:rPr>
          <w:rFonts w:ascii="Times New Roman" w:eastAsia="Times New Roman" w:hAnsi="Times New Roman" w:cs="Times New Roman"/>
          <w:sz w:val="24"/>
          <w:szCs w:val="24"/>
        </w:rPr>
        <w:t xml:space="preserve">ewed participation in leisure activities.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this timeframe allows for an assessment of evolving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under new urban and economic conditions.</w:t>
      </w:r>
    </w:p>
    <w:p w:rsidR="00946005" w:rsidRDefault="006B79DD">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Ordinary Least Squares (OLS) regression is employed separately for each year. Mode</w:t>
      </w:r>
      <w:r>
        <w:rPr>
          <w:rFonts w:ascii="Times New Roman" w:eastAsia="Times New Roman" w:hAnsi="Times New Roman" w:cs="Times New Roman"/>
          <w:sz w:val="24"/>
          <w:szCs w:val="24"/>
        </w:rPr>
        <w:t>l adequacy is assessed using R, R², Adjusted R², and standard error statistics. Statistical significance is evaluated at the 5 per cent level.</w:t>
      </w:r>
    </w:p>
    <w:p w:rsidR="00946005" w:rsidRDefault="006B79DD">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rsidR="00946005" w:rsidRDefault="006B79DD">
      <w:pPr>
        <w:pStyle w:val="Heading2"/>
        <w:spacing w:before="200" w:after="0" w:line="360" w:lineRule="auto"/>
        <w:jc w:val="both"/>
        <w:rPr>
          <w:rFonts w:ascii="Times New Roman" w:eastAsia="Times New Roman" w:hAnsi="Times New Roman" w:cs="Times New Roman"/>
          <w:b/>
          <w:bCs/>
          <w:sz w:val="24"/>
          <w:szCs w:val="24"/>
        </w:rPr>
      </w:pPr>
      <w:bookmarkStart w:id="16" w:name="_heading=h.zba5n95hgf01" w:colFirst="0" w:colLast="0"/>
      <w:bookmarkEnd w:id="16"/>
      <w:r>
        <w:rPr>
          <w:rFonts w:ascii="Times New Roman" w:eastAsia="Times New Roman" w:hAnsi="Times New Roman" w:cs="Times New Roman"/>
          <w:b/>
          <w:bCs/>
          <w:sz w:val="24"/>
          <w:szCs w:val="24"/>
        </w:rPr>
        <w:t>Table 1: Demographic Overview of Mumbai Households (2022–2025)</w:t>
      </w:r>
    </w:p>
    <w:tbl>
      <w:tblPr>
        <w:tblStyle w:val="a3"/>
        <w:tblW w:w="8985" w:type="dxa"/>
        <w:tblInd w:w="-115" w:type="dxa"/>
        <w:tblLayout w:type="fixed"/>
        <w:tblLook w:val="0400" w:firstRow="0" w:lastRow="0" w:firstColumn="0" w:lastColumn="0" w:noHBand="0" w:noVBand="1"/>
      </w:tblPr>
      <w:tblGrid>
        <w:gridCol w:w="1230"/>
        <w:gridCol w:w="1575"/>
        <w:gridCol w:w="1080"/>
        <w:gridCol w:w="1035"/>
        <w:gridCol w:w="1230"/>
        <w:gridCol w:w="1395"/>
        <w:gridCol w:w="1440"/>
      </w:tblGrid>
      <w:tr w:rsidR="00946005">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57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Dominant Age Group (%)</w:t>
            </w:r>
          </w:p>
        </w:tc>
        <w:tc>
          <w:tcPr>
            <w:tcW w:w="108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Male Dominant (%)</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 Dominant (%)</w:t>
            </w:r>
          </w:p>
        </w:tc>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White-collar (%)</w:t>
            </w:r>
          </w:p>
        </w:tc>
        <w:tc>
          <w:tcPr>
            <w:tcW w:w="139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Highly Educated (%)</w:t>
            </w:r>
          </w:p>
        </w:tc>
        <w:tc>
          <w:tcPr>
            <w:tcW w:w="144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Small Households (%)</w:t>
            </w:r>
          </w:p>
        </w:tc>
      </w:tr>
      <w:tr w:rsidR="00946005">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57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63.16</w:t>
            </w:r>
          </w:p>
        </w:tc>
        <w:tc>
          <w:tcPr>
            <w:tcW w:w="108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35.43</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15.38</w:t>
            </w:r>
          </w:p>
        </w:tc>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51.82</w:t>
            </w:r>
          </w:p>
        </w:tc>
        <w:tc>
          <w:tcPr>
            <w:tcW w:w="139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43.52</w:t>
            </w:r>
          </w:p>
        </w:tc>
        <w:tc>
          <w:tcPr>
            <w:tcW w:w="144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63.77</w:t>
            </w:r>
          </w:p>
        </w:tc>
      </w:tr>
      <w:tr w:rsidR="00946005">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57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63.49</w:t>
            </w:r>
          </w:p>
        </w:tc>
        <w:tc>
          <w:tcPr>
            <w:tcW w:w="108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34.33</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18.26</w:t>
            </w:r>
          </w:p>
        </w:tc>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59.95</w:t>
            </w:r>
          </w:p>
        </w:tc>
        <w:tc>
          <w:tcPr>
            <w:tcW w:w="139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36.92</w:t>
            </w:r>
          </w:p>
        </w:tc>
        <w:tc>
          <w:tcPr>
            <w:tcW w:w="144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64.44</w:t>
            </w:r>
          </w:p>
        </w:tc>
      </w:tr>
      <w:tr w:rsidR="00946005">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57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59.22</w:t>
            </w:r>
          </w:p>
        </w:tc>
        <w:tc>
          <w:tcPr>
            <w:tcW w:w="108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36.20</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28.57</w:t>
            </w:r>
          </w:p>
        </w:tc>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58.67</w:t>
            </w:r>
          </w:p>
        </w:tc>
        <w:tc>
          <w:tcPr>
            <w:tcW w:w="139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44.80</w:t>
            </w:r>
          </w:p>
        </w:tc>
        <w:tc>
          <w:tcPr>
            <w:tcW w:w="144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41.05</w:t>
            </w:r>
          </w:p>
        </w:tc>
      </w:tr>
      <w:tr w:rsidR="00946005">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57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61.65</w:t>
            </w:r>
          </w:p>
        </w:tc>
        <w:tc>
          <w:tcPr>
            <w:tcW w:w="108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41.06</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27.03</w:t>
            </w:r>
          </w:p>
        </w:tc>
        <w:tc>
          <w:tcPr>
            <w:tcW w:w="123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56.37</w:t>
            </w:r>
          </w:p>
        </w:tc>
        <w:tc>
          <w:tcPr>
            <w:tcW w:w="1395"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50.06</w:t>
            </w:r>
          </w:p>
        </w:tc>
        <w:tc>
          <w:tcPr>
            <w:tcW w:w="1440" w:type="dxa"/>
            <w:tcBorders>
              <w:top w:val="single" w:sz="6" w:space="0" w:color="000000"/>
              <w:left w:val="single" w:sz="6" w:space="0" w:color="000000"/>
              <w:bottom w:val="single" w:sz="6" w:space="0" w:color="000000"/>
              <w:right w:val="single" w:sz="6" w:space="0" w:color="000000"/>
            </w:tcBorders>
          </w:tcPr>
          <w:p w:rsidR="00946005" w:rsidRDefault="006B79DD">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42.08</w:t>
            </w:r>
          </w:p>
        </w:tc>
      </w:tr>
    </w:tbl>
    <w:p w:rsidR="00946005" w:rsidRDefault="006B79DD">
      <w:pPr>
        <w:spacing w:line="36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Source: </w:t>
      </w:r>
      <w:r>
        <w:rPr>
          <w:rFonts w:ascii="Times New Roman" w:eastAsia="Times New Roman" w:hAnsi="Times New Roman" w:cs="Times New Roman"/>
          <w:i/>
          <w:iCs/>
          <w:sz w:val="20"/>
          <w:szCs w:val="20"/>
        </w:rPr>
        <w:t xml:space="preserve">Data compiled and </w:t>
      </w:r>
      <w:proofErr w:type="spellStart"/>
      <w:r>
        <w:rPr>
          <w:rFonts w:ascii="Times New Roman" w:eastAsia="Times New Roman" w:hAnsi="Times New Roman" w:cs="Times New Roman"/>
          <w:i/>
          <w:iCs/>
          <w:sz w:val="20"/>
          <w:szCs w:val="20"/>
        </w:rPr>
        <w:t>analysed</w:t>
      </w:r>
      <w:proofErr w:type="spellEnd"/>
      <w:r>
        <w:rPr>
          <w:rFonts w:ascii="Times New Roman" w:eastAsia="Times New Roman" w:hAnsi="Times New Roman" w:cs="Times New Roman"/>
          <w:i/>
          <w:iCs/>
          <w:sz w:val="20"/>
          <w:szCs w:val="20"/>
        </w:rPr>
        <w:t xml:space="preserve"> by the authors using CMIE Consumer Pyramid data.</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Demographic Characteristics and Urban Households.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demographic profile in Table 1 points out that urban Mumbai households are also experiencing some structural changes that can be used to provide a valuable background in understanding leisure expenditure patterns. To begin with, the prevalence of worki</w:t>
      </w:r>
      <w:r>
        <w:rPr>
          <w:rFonts w:ascii="Times New Roman" w:eastAsia="Times New Roman" w:hAnsi="Times New Roman" w:cs="Times New Roman"/>
          <w:sz w:val="24"/>
          <w:szCs w:val="24"/>
        </w:rPr>
        <w:t>ng-age families during the study period shows that only the economically active population has a higher influence in leisure consumption. The stable level of the percentage of households in the prime working age group implies the existence of constant inco</w:t>
      </w:r>
      <w:r>
        <w:rPr>
          <w:rFonts w:ascii="Times New Roman" w:eastAsia="Times New Roman" w:hAnsi="Times New Roman" w:cs="Times New Roman"/>
          <w:sz w:val="24"/>
          <w:szCs w:val="24"/>
        </w:rPr>
        <w:t>me streams and the increased participation in the activities based on the market leisure.</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progressive shift in household heads led by women, or dominated by women, which has been on the rise as early as 2022-2024 is an indicator of the shifting</w:t>
      </w:r>
      <w:r>
        <w:rPr>
          <w:rFonts w:ascii="Times New Roman" w:eastAsia="Times New Roman" w:hAnsi="Times New Roman" w:cs="Times New Roman"/>
          <w:sz w:val="24"/>
          <w:szCs w:val="24"/>
        </w:rPr>
        <w:t xml:space="preserve"> gender dynamics in city decision-making. This trend is indicative of greater social changes such as higher participation of women in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force and more women having increased access to higher levels of education and more independence in household f</w:t>
      </w:r>
      <w:r>
        <w:rPr>
          <w:rFonts w:ascii="Times New Roman" w:eastAsia="Times New Roman" w:hAnsi="Times New Roman" w:cs="Times New Roman"/>
          <w:sz w:val="24"/>
          <w:szCs w:val="24"/>
        </w:rPr>
        <w:t>inancial decision making. These developments are especially pertinent to the leisure spending that is usually based on the negotiated household preferences, not necessarily on the requirements to survive.</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the increase in the number of highly educate</w:t>
      </w:r>
      <w:r>
        <w:rPr>
          <w:rFonts w:ascii="Times New Roman" w:eastAsia="Times New Roman" w:hAnsi="Times New Roman" w:cs="Times New Roman"/>
          <w:sz w:val="24"/>
          <w:szCs w:val="24"/>
        </w:rPr>
        <w:t>d households particularly by the year 2025 means that there is a growing middle-class in the cities with increased awareness on lifestyle choices, leisure and quality of consumption. Education does not only affect the income potential but also the tendenci</w:t>
      </w:r>
      <w:r>
        <w:rPr>
          <w:rFonts w:ascii="Times New Roman" w:eastAsia="Times New Roman" w:hAnsi="Times New Roman" w:cs="Times New Roman"/>
          <w:sz w:val="24"/>
          <w:szCs w:val="24"/>
        </w:rPr>
        <w:t xml:space="preserve">es of some forms of leisure, including cultural activities, travelling, and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recreation.</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identified reduction in dominance of small households after 2023 is indicative of diversification of households. Nuclear families are still very c</w:t>
      </w:r>
      <w:r>
        <w:rPr>
          <w:rFonts w:ascii="Times New Roman" w:eastAsia="Times New Roman" w:hAnsi="Times New Roman" w:cs="Times New Roman"/>
          <w:sz w:val="24"/>
          <w:szCs w:val="24"/>
        </w:rPr>
        <w:t>ommon but the reappearances of medium-sized families could be evidence of post-pandemic adjustments such as intergenerational cohabitation or delayed fragmentation of households. These structural forces have a direct impact on the leisure budgets because h</w:t>
      </w:r>
      <w:r>
        <w:rPr>
          <w:rFonts w:ascii="Times New Roman" w:eastAsia="Times New Roman" w:hAnsi="Times New Roman" w:cs="Times New Roman"/>
          <w:sz w:val="24"/>
          <w:szCs w:val="24"/>
        </w:rPr>
        <w:t>ousehold size determines per capita spending, time allocation and consumption priorities.</w:t>
      </w:r>
    </w:p>
    <w:p w:rsidR="00946005" w:rsidRDefault="00946005">
      <w:pPr>
        <w:pStyle w:val="Heading1"/>
        <w:spacing w:before="240" w:after="240" w:line="360" w:lineRule="auto"/>
        <w:jc w:val="both"/>
        <w:rPr>
          <w:rFonts w:ascii="Times New Roman" w:eastAsia="Times New Roman" w:hAnsi="Times New Roman" w:cs="Times New Roman"/>
          <w:b/>
          <w:bCs/>
          <w:sz w:val="24"/>
          <w:szCs w:val="24"/>
        </w:rPr>
      </w:pPr>
    </w:p>
    <w:p w:rsidR="00946005" w:rsidRDefault="006B79DD">
      <w:pPr>
        <w:pStyle w:val="Heading3"/>
        <w:spacing w:before="280" w:line="240" w:lineRule="auto"/>
        <w:jc w:val="both"/>
        <w:rPr>
          <w:rFonts w:ascii="Times New Roman" w:eastAsia="Times New Roman" w:hAnsi="Times New Roman" w:cs="Times New Roman"/>
          <w:b/>
          <w:bCs/>
          <w:color w:val="000000"/>
          <w:sz w:val="24"/>
          <w:szCs w:val="24"/>
        </w:rPr>
      </w:pPr>
      <w:bookmarkStart w:id="17" w:name="_heading=h.uglhgnhabuwo" w:colFirst="0" w:colLast="0"/>
      <w:bookmarkEnd w:id="17"/>
      <w:r>
        <w:rPr>
          <w:rFonts w:ascii="Times New Roman" w:eastAsia="Times New Roman" w:hAnsi="Times New Roman" w:cs="Times New Roman"/>
          <w:b/>
          <w:bCs/>
          <w:color w:val="000000"/>
          <w:sz w:val="24"/>
          <w:szCs w:val="24"/>
        </w:rPr>
        <w:t>Determinants of Leisure Expenditure</w:t>
      </w:r>
    </w:p>
    <w:p w:rsidR="00946005" w:rsidRDefault="006B79DD">
      <w:pPr>
        <w:pStyle w:val="Heading1"/>
        <w:spacing w:before="480" w:after="0" w:line="240" w:lineRule="auto"/>
        <w:jc w:val="both"/>
        <w:rPr>
          <w:rFonts w:ascii="Times New Roman" w:eastAsia="Times New Roman" w:hAnsi="Times New Roman" w:cs="Times New Roman"/>
          <w:b/>
          <w:bCs/>
          <w:sz w:val="24"/>
          <w:szCs w:val="24"/>
        </w:rPr>
      </w:pPr>
      <w:bookmarkStart w:id="18" w:name="_heading=h.kk0qbhh00l0u" w:colFirst="0" w:colLast="0"/>
      <w:bookmarkEnd w:id="18"/>
      <w:r>
        <w:rPr>
          <w:rFonts w:ascii="Times New Roman" w:eastAsia="Times New Roman" w:hAnsi="Times New Roman" w:cs="Times New Roman"/>
          <w:b/>
          <w:bCs/>
          <w:sz w:val="24"/>
          <w:szCs w:val="24"/>
        </w:rPr>
        <w:lastRenderedPageBreak/>
        <w:t>Table -2 Regression Summary – Mumbai (2022–2025)</w:t>
      </w:r>
    </w:p>
    <w:p w:rsidR="00946005" w:rsidRDefault="00946005">
      <w:pPr>
        <w:spacing w:line="240" w:lineRule="auto"/>
        <w:jc w:val="both"/>
        <w:rPr>
          <w:rFonts w:ascii="Times New Roman" w:eastAsia="Times New Roman" w:hAnsi="Times New Roman" w:cs="Times New Roman"/>
          <w:sz w:val="24"/>
          <w:szCs w:val="24"/>
        </w:rPr>
      </w:pPr>
    </w:p>
    <w:tbl>
      <w:tblPr>
        <w:tblStyle w:val="a4"/>
        <w:tblW w:w="11220" w:type="dxa"/>
        <w:tblInd w:w="-885" w:type="dxa"/>
        <w:tblBorders>
          <w:top w:val="nil"/>
          <w:left w:val="nil"/>
          <w:bottom w:val="nil"/>
          <w:right w:val="nil"/>
          <w:insideH w:val="nil"/>
          <w:insideV w:val="nil"/>
        </w:tblBorders>
        <w:tblLayout w:type="fixed"/>
        <w:tblLook w:val="0600" w:firstRow="0" w:lastRow="0" w:firstColumn="0" w:lastColumn="0" w:noHBand="1" w:noVBand="1"/>
      </w:tblPr>
      <w:tblGrid>
        <w:gridCol w:w="960"/>
        <w:gridCol w:w="1365"/>
        <w:gridCol w:w="990"/>
        <w:gridCol w:w="1035"/>
        <w:gridCol w:w="1125"/>
        <w:gridCol w:w="1350"/>
        <w:gridCol w:w="2295"/>
        <w:gridCol w:w="2100"/>
      </w:tblGrid>
      <w:tr w:rsidR="00946005">
        <w:trPr>
          <w:trHeight w:val="1010"/>
        </w:trPr>
        <w:tc>
          <w:tcPr>
            <w:tcW w:w="96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36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Dependent Variable</w:t>
            </w:r>
          </w:p>
        </w:tc>
        <w:tc>
          <w:tcPr>
            <w:tcW w:w="99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R²</w:t>
            </w:r>
          </w:p>
        </w:tc>
        <w:tc>
          <w:tcPr>
            <w:tcW w:w="112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Adj. R²</w:t>
            </w:r>
          </w:p>
        </w:tc>
        <w:tc>
          <w:tcPr>
            <w:tcW w:w="135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Std. Error</w:t>
            </w:r>
          </w:p>
        </w:tc>
        <w:tc>
          <w:tcPr>
            <w:tcW w:w="229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Significant Predictors (p&lt;0.05)</w:t>
            </w:r>
          </w:p>
        </w:tc>
        <w:tc>
          <w:tcPr>
            <w:tcW w:w="210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Interpretation</w:t>
            </w:r>
          </w:p>
        </w:tc>
      </w:tr>
      <w:tr w:rsidR="00946005">
        <w:trPr>
          <w:trHeight w:val="2090"/>
        </w:trPr>
        <w:tc>
          <w:tcPr>
            <w:tcW w:w="96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36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0.538</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12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0.269</w:t>
            </w:r>
          </w:p>
        </w:tc>
        <w:tc>
          <w:tcPr>
            <w:tcW w:w="135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630.12</w:t>
            </w:r>
          </w:p>
        </w:tc>
        <w:tc>
          <w:tcPr>
            <w:tcW w:w="229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AGE2, OCC2–4, GENDER2, SIZE2, EDU2–3</w:t>
            </w:r>
          </w:p>
        </w:tc>
        <w:tc>
          <w:tcPr>
            <w:tcW w:w="210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occupation, and education affected non-food spending.</w:t>
            </w:r>
          </w:p>
        </w:tc>
      </w:tr>
      <w:tr w:rsidR="00946005">
        <w:trPr>
          <w:trHeight w:val="1820"/>
        </w:trPr>
        <w:tc>
          <w:tcPr>
            <w:tcW w:w="96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36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0.494</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0.244</w:t>
            </w:r>
          </w:p>
        </w:tc>
        <w:tc>
          <w:tcPr>
            <w:tcW w:w="112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0.229</w:t>
            </w:r>
          </w:p>
        </w:tc>
        <w:tc>
          <w:tcPr>
            <w:tcW w:w="135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916.2</w:t>
            </w:r>
          </w:p>
        </w:tc>
        <w:tc>
          <w:tcPr>
            <w:tcW w:w="229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OCC2, GENDER3, SIZE3</w:t>
            </w:r>
          </w:p>
        </w:tc>
        <w:tc>
          <w:tcPr>
            <w:tcW w:w="210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and gender had a moderate influence on leisure spending.</w:t>
            </w:r>
          </w:p>
        </w:tc>
      </w:tr>
      <w:tr w:rsidR="00946005">
        <w:trPr>
          <w:trHeight w:val="1820"/>
        </w:trPr>
        <w:tc>
          <w:tcPr>
            <w:tcW w:w="96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36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0.271</w:t>
            </w:r>
          </w:p>
        </w:tc>
        <w:tc>
          <w:tcPr>
            <w:tcW w:w="112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0.256</w:t>
            </w:r>
          </w:p>
        </w:tc>
        <w:tc>
          <w:tcPr>
            <w:tcW w:w="135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4157.32</w:t>
            </w:r>
          </w:p>
        </w:tc>
        <w:tc>
          <w:tcPr>
            <w:tcW w:w="229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AGE2, GENDER2, GENDER4, SIZE3, EDU2–3</w:t>
            </w:r>
          </w:p>
        </w:tc>
        <w:tc>
          <w:tcPr>
            <w:tcW w:w="210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 age, and education influenced non-food expenditure.</w:t>
            </w:r>
          </w:p>
        </w:tc>
      </w:tr>
      <w:tr w:rsidR="00946005">
        <w:trPr>
          <w:trHeight w:val="1550"/>
        </w:trPr>
        <w:tc>
          <w:tcPr>
            <w:tcW w:w="96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36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0.389</w:t>
            </w:r>
          </w:p>
        </w:tc>
        <w:tc>
          <w:tcPr>
            <w:tcW w:w="103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0.151</w:t>
            </w:r>
          </w:p>
        </w:tc>
        <w:tc>
          <w:tcPr>
            <w:tcW w:w="112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0.135</w:t>
            </w:r>
          </w:p>
        </w:tc>
        <w:tc>
          <w:tcPr>
            <w:tcW w:w="135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1487.72</w:t>
            </w:r>
          </w:p>
        </w:tc>
        <w:tc>
          <w:tcPr>
            <w:tcW w:w="2295"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OCC4, SIZE3</w:t>
            </w:r>
          </w:p>
        </w:tc>
        <w:tc>
          <w:tcPr>
            <w:tcW w:w="2100" w:type="dxa"/>
            <w:tcBorders>
              <w:top w:val="single" w:sz="6" w:space="0" w:color="000000"/>
              <w:left w:val="single" w:sz="6" w:space="0" w:color="000000"/>
              <w:bottom w:val="single" w:sz="6" w:space="0" w:color="000000"/>
              <w:right w:val="single" w:sz="6" w:space="0" w:color="000000"/>
            </w:tcBorders>
          </w:tcPr>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 spending was mainly income-driven.</w:t>
            </w:r>
          </w:p>
        </w:tc>
      </w:tr>
    </w:tbl>
    <w:p w:rsidR="00946005" w:rsidRDefault="006B79DD">
      <w:pPr>
        <w:spacing w:line="36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Source: </w:t>
      </w:r>
      <w:r>
        <w:rPr>
          <w:rFonts w:ascii="Times New Roman" w:eastAsia="Times New Roman" w:hAnsi="Times New Roman" w:cs="Times New Roman"/>
          <w:i/>
          <w:iCs/>
          <w:sz w:val="20"/>
          <w:szCs w:val="20"/>
        </w:rPr>
        <w:t xml:space="preserve">Data compiled and </w:t>
      </w:r>
      <w:proofErr w:type="spellStart"/>
      <w:r>
        <w:rPr>
          <w:rFonts w:ascii="Times New Roman" w:eastAsia="Times New Roman" w:hAnsi="Times New Roman" w:cs="Times New Roman"/>
          <w:i/>
          <w:iCs/>
          <w:sz w:val="20"/>
          <w:szCs w:val="20"/>
        </w:rPr>
        <w:t>analysed</w:t>
      </w:r>
      <w:proofErr w:type="spellEnd"/>
      <w:r>
        <w:rPr>
          <w:rFonts w:ascii="Times New Roman" w:eastAsia="Times New Roman" w:hAnsi="Times New Roman" w:cs="Times New Roman"/>
          <w:i/>
          <w:iCs/>
          <w:sz w:val="20"/>
          <w:szCs w:val="20"/>
        </w:rPr>
        <w:t xml:space="preserve"> by the authors using CMIE Consumer Pyramid data.</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The Trends in Leisure Expenditure in Urban Mumbai (2022-2025) Overview.</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case study of leisure spending of urban households in Mumbai between 2022 and 2025 shows that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definitely shifts in the post-pandemic world. Leisure spending which encompasses expenditure on eating out, recreation and vacations</w:t>
      </w:r>
      <w:r>
        <w:rPr>
          <w:rFonts w:ascii="Times New Roman" w:eastAsia="Times New Roman" w:hAnsi="Times New Roman" w:cs="Times New Roman"/>
          <w:sz w:val="24"/>
          <w:szCs w:val="24"/>
        </w:rPr>
        <w:t xml:space="preserve"> comes out as a growing proportion of household budgets, which indicate economic recovery as well as change in the lifestyles of the urban population.</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 diagnostics show a moderate explanatory capacity over the four years, and the values of R 2 va</w:t>
      </w:r>
      <w:r>
        <w:rPr>
          <w:rFonts w:ascii="Times New Roman" w:eastAsia="Times New Roman" w:hAnsi="Times New Roman" w:cs="Times New Roman"/>
          <w:sz w:val="24"/>
          <w:szCs w:val="24"/>
        </w:rPr>
        <w:t xml:space="preserve">ry between 0.151 in 2025 and 0.290 in 2022. Although leisure spending is discretionary in nature, and experiencing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heterogeneity, the values indicate that the socio-economic and demographic factors play a significant role in explaining differen</w:t>
      </w:r>
      <w:r>
        <w:rPr>
          <w:rFonts w:ascii="Times New Roman" w:eastAsia="Times New Roman" w:hAnsi="Times New Roman" w:cs="Times New Roman"/>
          <w:sz w:val="24"/>
          <w:szCs w:val="24"/>
        </w:rPr>
        <w:t>ces in leisure consumption. The fact that income was a statistically significant determinant in all years supports the key point of the economic capacity in the access to recreational activities in metropolitan settings.</w:t>
      </w:r>
    </w:p>
    <w:p w:rsidR="00946005" w:rsidRDefault="006B79DD">
      <w:pPr>
        <w:pStyle w:val="Heading1"/>
        <w:spacing w:before="240" w:after="240" w:line="360" w:lineRule="auto"/>
        <w:jc w:val="both"/>
        <w:rPr>
          <w:rFonts w:ascii="Times New Roman" w:eastAsia="Times New Roman" w:hAnsi="Times New Roman" w:cs="Times New Roman"/>
          <w:sz w:val="24"/>
          <w:szCs w:val="24"/>
        </w:rPr>
      </w:pPr>
      <w:bookmarkStart w:id="19" w:name="_heading=h.rymdimj2spch" w:colFirst="0" w:colLast="0"/>
      <w:bookmarkEnd w:id="19"/>
      <w:r>
        <w:rPr>
          <w:rFonts w:ascii="Times New Roman" w:eastAsia="Times New Roman" w:hAnsi="Times New Roman" w:cs="Times New Roman"/>
          <w:sz w:val="24"/>
          <w:szCs w:val="24"/>
        </w:rPr>
        <w:t>Notably, the recovery stage after t</w:t>
      </w:r>
      <w:r>
        <w:rPr>
          <w:rFonts w:ascii="Times New Roman" w:eastAsia="Times New Roman" w:hAnsi="Times New Roman" w:cs="Times New Roman"/>
          <w:sz w:val="24"/>
          <w:szCs w:val="24"/>
        </w:rPr>
        <w:t>he COVID, which is captured in the given study, does not simply imply the restoration of the pre-pandemic consumption rate, but rather the rearrangement of the priorities. Experiential consumption of the form of eating out, recreation trips, and brief holi</w:t>
      </w:r>
      <w:r>
        <w:rPr>
          <w:rFonts w:ascii="Times New Roman" w:eastAsia="Times New Roman" w:hAnsi="Times New Roman" w:cs="Times New Roman"/>
          <w:sz w:val="24"/>
          <w:szCs w:val="24"/>
        </w:rPr>
        <w:t>days seems to be gaining more importance than material products in households. This change is consistent with the wider trends of urban consumption across the globe, in which experiential well-being and quality of life acquire an important role. Neverthele</w:t>
      </w:r>
      <w:r>
        <w:rPr>
          <w:rFonts w:ascii="Times New Roman" w:eastAsia="Times New Roman" w:hAnsi="Times New Roman" w:cs="Times New Roman"/>
          <w:sz w:val="24"/>
          <w:szCs w:val="24"/>
        </w:rPr>
        <w:t>ss, these changes have sustainability consequences as well, especially in those cities that already experience infrastructural, environmental, and social strains.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Leisure Expenditure Dominant Determinant.</w:t>
      </w:r>
    </w:p>
    <w:p w:rsidR="00946005" w:rsidRDefault="00946005">
      <w:pPr>
        <w:pStyle w:val="Heading1"/>
        <w:spacing w:before="240" w:after="240" w:line="360" w:lineRule="auto"/>
        <w:jc w:val="both"/>
        <w:rPr>
          <w:rFonts w:ascii="Times New Roman" w:eastAsia="Times New Roman" w:hAnsi="Times New Roman" w:cs="Times New Roman"/>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four years of examination, household income is the most predictive as well as statistically significant in leisure expenditure. The observation is in a strong association with classical consumption theory and the production analysis of the Engel c</w:t>
      </w:r>
      <w:r>
        <w:rPr>
          <w:rFonts w:ascii="Times New Roman" w:eastAsia="Times New Roman" w:hAnsi="Times New Roman" w:cs="Times New Roman"/>
          <w:sz w:val="24"/>
          <w:szCs w:val="24"/>
        </w:rPr>
        <w:t>urve, which argues that discretionary spending increases primarily in relation to income. The situation in urban Mumbai is such that income does not only dictate how much people can spend on leisure, but it also defines the leisure and quality of leisure c</w:t>
      </w:r>
      <w:r>
        <w:rPr>
          <w:rFonts w:ascii="Times New Roman" w:eastAsia="Times New Roman" w:hAnsi="Times New Roman" w:cs="Times New Roman"/>
          <w:sz w:val="24"/>
          <w:szCs w:val="24"/>
        </w:rPr>
        <w:t>hoices available to households.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relatively high value of R 2 (0.29) in 2022 is associated with a time of economic recovery when the income fluctuations were the final determinants of which households returned to or increased leisure activities due to t</w:t>
      </w:r>
      <w:r>
        <w:rPr>
          <w:rFonts w:ascii="Times New Roman" w:eastAsia="Times New Roman" w:hAnsi="Times New Roman" w:cs="Times New Roman"/>
          <w:sz w:val="24"/>
          <w:szCs w:val="24"/>
        </w:rPr>
        <w:t>he restrictions of the pandemic. The wealthier families could instantly resume their dining out activities, travel within the country, and paid leisure activities whereas the poorer families were restricted by economic insecurity.</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the income </w:t>
      </w:r>
      <w:r>
        <w:rPr>
          <w:rFonts w:ascii="Times New Roman" w:eastAsia="Times New Roman" w:hAnsi="Times New Roman" w:cs="Times New Roman"/>
          <w:sz w:val="24"/>
          <w:szCs w:val="24"/>
        </w:rPr>
        <w:t xml:space="preserve">factor survives as far as the year 2025 shows that leisure consumption will be income-elastic even during a </w:t>
      </w:r>
      <w:proofErr w:type="spellStart"/>
      <w:r>
        <w:rPr>
          <w:rFonts w:ascii="Times New Roman" w:eastAsia="Times New Roman" w:hAnsi="Times New Roman" w:cs="Times New Roman"/>
          <w:sz w:val="24"/>
          <w:szCs w:val="24"/>
        </w:rPr>
        <w:t>stabilising</w:t>
      </w:r>
      <w:proofErr w:type="spellEnd"/>
      <w:r>
        <w:rPr>
          <w:rFonts w:ascii="Times New Roman" w:eastAsia="Times New Roman" w:hAnsi="Times New Roman" w:cs="Times New Roman"/>
          <w:sz w:val="24"/>
          <w:szCs w:val="24"/>
        </w:rPr>
        <w:t xml:space="preserve"> economy. This implies that leisure spending has not been transformed into a source of quasi-necessity among urban residents yet, and it </w:t>
      </w:r>
      <w:r>
        <w:rPr>
          <w:rFonts w:ascii="Times New Roman" w:eastAsia="Times New Roman" w:hAnsi="Times New Roman" w:cs="Times New Roman"/>
          <w:sz w:val="24"/>
          <w:szCs w:val="24"/>
        </w:rPr>
        <w:t xml:space="preserve">is still an indication of economic privilege and social standing. Sustainability wise, such an income-based trend creates an issue of unequal access to leisure activities and the concentration of activities that consume many resources to the higher-income </w:t>
      </w:r>
      <w:r>
        <w:rPr>
          <w:rFonts w:ascii="Times New Roman" w:eastAsia="Times New Roman" w:hAnsi="Times New Roman" w:cs="Times New Roman"/>
          <w:sz w:val="24"/>
          <w:szCs w:val="24"/>
        </w:rPr>
        <w:t>populations.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income-based growth of leisure suggests that a general rise in leisure consumption can heighten environmental stress unless there is a system of regulations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An increase in disposable incomes usually leads to grea</w:t>
      </w:r>
      <w:r>
        <w:rPr>
          <w:rFonts w:ascii="Times New Roman" w:eastAsia="Times New Roman" w:hAnsi="Times New Roman" w:cs="Times New Roman"/>
          <w:sz w:val="24"/>
          <w:szCs w:val="24"/>
        </w:rPr>
        <w:t>ter mobility, increased energy consumption, and increased production of waste, especially in a city with limited carrying capacity.</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Professional Organization and Recreational Consumption.</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 groups present different degrees of relevance over the pe</w:t>
      </w:r>
      <w:r>
        <w:rPr>
          <w:rFonts w:ascii="Times New Roman" w:eastAsia="Times New Roman" w:hAnsi="Times New Roman" w:cs="Times New Roman"/>
          <w:sz w:val="24"/>
          <w:szCs w:val="24"/>
        </w:rPr>
        <w:t>riod of study, which can be seen as a shift in occupational stability, work culture and income security of the post-pandemic urban economy. Several job types (OCC2-OCC4) had a significant effect on leisure spending in 2022, which showed that the type of em</w:t>
      </w:r>
      <w:r>
        <w:rPr>
          <w:rFonts w:ascii="Times New Roman" w:eastAsia="Times New Roman" w:hAnsi="Times New Roman" w:cs="Times New Roman"/>
          <w:sz w:val="24"/>
          <w:szCs w:val="24"/>
        </w:rPr>
        <w:t>ployment was highly important in the short-term recovery period.</w:t>
      </w:r>
    </w:p>
    <w:p w:rsidR="00946005" w:rsidRDefault="00946005">
      <w:pPr>
        <w:pStyle w:val="Heading1"/>
        <w:spacing w:before="240" w:after="240" w:line="360" w:lineRule="auto"/>
        <w:jc w:val="both"/>
        <w:rPr>
          <w:rFonts w:ascii="Times New Roman" w:eastAsia="Times New Roman" w:hAnsi="Times New Roman" w:cs="Times New Roman"/>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 in the white-collar and formal sector (with steady incomes and work schedules) seems to enable more leisure spending. The families with people having professional or salaried jobs were more inclined to spend the money on dining out and leisure-r</w:t>
      </w:r>
      <w:r>
        <w:rPr>
          <w:rFonts w:ascii="Times New Roman" w:eastAsia="Times New Roman" w:hAnsi="Times New Roman" w:cs="Times New Roman"/>
          <w:sz w:val="24"/>
          <w:szCs w:val="24"/>
        </w:rPr>
        <w:t>ecreational activities which can be explained by financial ability and lifestyle orientation.</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Significance of occupation reduces by 2025 and only higher occupational categories become statistically significant. Such a trend implies that leisure consumption</w:t>
      </w:r>
      <w:r>
        <w:rPr>
          <w:rFonts w:ascii="Times New Roman" w:eastAsia="Times New Roman" w:hAnsi="Times New Roman" w:cs="Times New Roman"/>
          <w:sz w:val="24"/>
          <w:szCs w:val="24"/>
        </w:rPr>
        <w:t xml:space="preserve"> is being normalized by categories of the securely employed workforce, and that the households of the informally or precariously employed are still constrained. The loss of explanatory power of occupation with time could also be due to the income absorbing</w:t>
      </w:r>
      <w:r>
        <w:rPr>
          <w:rFonts w:ascii="Times New Roman" w:eastAsia="Times New Roman" w:hAnsi="Times New Roman" w:cs="Times New Roman"/>
          <w:sz w:val="24"/>
          <w:szCs w:val="24"/>
        </w:rPr>
        <w:t xml:space="preserve"> the effects of occupation with earnings becoming more and more the measure of the effects of a job.</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Occupational segmentation in leisure consumption from sustainability perspective identifies possible areas of focused interventions.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can </w:t>
      </w:r>
      <w:r>
        <w:rPr>
          <w:rFonts w:ascii="Times New Roman" w:eastAsia="Times New Roman" w:hAnsi="Times New Roman" w:cs="Times New Roman"/>
          <w:sz w:val="24"/>
          <w:szCs w:val="24"/>
        </w:rPr>
        <w:t xml:space="preserve">be affected by workplaces in terms of flexible working schedules, health and wellness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rewards to maintain sustainability of recreational decisions. There is a possibility that incorporating sustainability into the corporate culture thus infl</w:t>
      </w:r>
      <w:r>
        <w:rPr>
          <w:rFonts w:ascii="Times New Roman" w:eastAsia="Times New Roman" w:hAnsi="Times New Roman" w:cs="Times New Roman"/>
          <w:sz w:val="24"/>
          <w:szCs w:val="24"/>
        </w:rPr>
        <w:t>uences leisure patterns in the households indirectly.</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Leisure Choices Education and Lifestyle-Oriented.</w:t>
      </w:r>
    </w:p>
    <w:p w:rsidR="00946005" w:rsidRDefault="006B79DD">
      <w:pPr>
        <w:pStyle w:val="Heading1"/>
        <w:spacing w:before="240" w:after="240" w:line="360" w:lineRule="auto"/>
        <w:jc w:val="both"/>
        <w:rPr>
          <w:rFonts w:ascii="Times New Roman" w:eastAsia="Times New Roman" w:hAnsi="Times New Roman" w:cs="Times New Roman"/>
          <w:sz w:val="24"/>
          <w:szCs w:val="24"/>
        </w:rPr>
      </w:pPr>
      <w:bookmarkStart w:id="20" w:name="_heading=h.wl8z77nrr11w" w:colFirst="0" w:colLast="0"/>
      <w:bookmarkEnd w:id="20"/>
      <w:r>
        <w:rPr>
          <w:rFonts w:ascii="Times New Roman" w:eastAsia="Times New Roman" w:hAnsi="Times New Roman" w:cs="Times New Roman"/>
          <w:sz w:val="24"/>
          <w:szCs w:val="24"/>
        </w:rPr>
        <w:t>Education is a factor that can become significant, intermittently, as a determinant of leisure spending, especially in 2022 and 2024. The trend indicate</w:t>
      </w:r>
      <w:r>
        <w:rPr>
          <w:rFonts w:ascii="Times New Roman" w:eastAsia="Times New Roman" w:hAnsi="Times New Roman" w:cs="Times New Roman"/>
          <w:sz w:val="24"/>
          <w:szCs w:val="24"/>
        </w:rPr>
        <w:t>s that education level is a determinant of leisure consumption by means other than income. Cultured families might also have preferences on some forms of recreational activities which are focused on quality, experience and cultural worthiness.</w:t>
      </w:r>
    </w:p>
    <w:p w:rsidR="00946005" w:rsidRDefault="006B79DD">
      <w:pPr>
        <w:pStyle w:val="Heading1"/>
        <w:spacing w:before="240" w:after="240" w:line="360" w:lineRule="auto"/>
        <w:jc w:val="both"/>
        <w:rPr>
          <w:rFonts w:ascii="Times New Roman" w:eastAsia="Times New Roman" w:hAnsi="Times New Roman" w:cs="Times New Roman"/>
          <w:sz w:val="24"/>
          <w:szCs w:val="24"/>
        </w:rPr>
      </w:pPr>
      <w:bookmarkStart w:id="21" w:name="_heading=h.jnu68meqinlo" w:colFirst="0" w:colLast="0"/>
      <w:bookmarkEnd w:id="21"/>
      <w:r>
        <w:rPr>
          <w:rFonts w:ascii="Times New Roman" w:eastAsia="Times New Roman" w:hAnsi="Times New Roman" w:cs="Times New Roman"/>
          <w:sz w:val="24"/>
          <w:szCs w:val="24"/>
        </w:rPr>
        <w:t>It is common</w:t>
      </w:r>
      <w:r>
        <w:rPr>
          <w:rFonts w:ascii="Times New Roman" w:eastAsia="Times New Roman" w:hAnsi="Times New Roman" w:cs="Times New Roman"/>
          <w:sz w:val="24"/>
          <w:szCs w:val="24"/>
        </w:rPr>
        <w:t>ly believed that higher education levels are accompanied by increased exposure to various forms of leisure such as travelling, physical exercises, cultural experiences and experience dinners. This can also be the case in such households, as these household</w:t>
      </w:r>
      <w:r>
        <w:rPr>
          <w:rFonts w:ascii="Times New Roman" w:eastAsia="Times New Roman" w:hAnsi="Times New Roman" w:cs="Times New Roman"/>
          <w:sz w:val="24"/>
          <w:szCs w:val="24"/>
        </w:rPr>
        <w:t xml:space="preserve">s might emphasize more upon work-life balance and individual well-being which is the motivation. </w:t>
      </w:r>
    </w:p>
    <w:p w:rsidR="00946005" w:rsidRDefault="00946005"/>
    <w:p w:rsidR="00946005" w:rsidRDefault="00946005">
      <w:pPr>
        <w:pStyle w:val="Heading1"/>
        <w:spacing w:before="240" w:after="240" w:line="360" w:lineRule="auto"/>
        <w:jc w:val="both"/>
        <w:rPr>
          <w:rFonts w:ascii="Times New Roman" w:eastAsia="Times New Roman" w:hAnsi="Times New Roman" w:cs="Times New Roman"/>
          <w:b/>
          <w:bCs/>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the lack of consistency of the importance of education over the years suggests that its effect is conditional on the general economic and soci</w:t>
      </w:r>
      <w:r>
        <w:rPr>
          <w:rFonts w:ascii="Times New Roman" w:eastAsia="Times New Roman" w:hAnsi="Times New Roman" w:cs="Times New Roman"/>
          <w:sz w:val="24"/>
          <w:szCs w:val="24"/>
        </w:rPr>
        <w:t xml:space="preserve">al environment. Even most educated households can be persuaded of the need to put money into a safe deposit box rather than spending it in luxury in times of economic uncertainty or inflationary pressure. On the other hand, the education related lifestyle </w:t>
      </w:r>
      <w:r>
        <w:rPr>
          <w:rFonts w:ascii="Times New Roman" w:eastAsia="Times New Roman" w:hAnsi="Times New Roman" w:cs="Times New Roman"/>
          <w:sz w:val="24"/>
          <w:szCs w:val="24"/>
        </w:rPr>
        <w:t>aspirations in the expenditure patterns are more noticeable in the periods of relative stability.</w:t>
      </w:r>
    </w:p>
    <w:p w:rsidR="00946005" w:rsidRDefault="00946005">
      <w:pPr>
        <w:pStyle w:val="Heading1"/>
        <w:spacing w:before="240" w:after="240" w:line="360" w:lineRule="auto"/>
        <w:jc w:val="both"/>
        <w:rPr>
          <w:rFonts w:ascii="Times New Roman" w:eastAsia="Times New Roman" w:hAnsi="Times New Roman" w:cs="Times New Roman"/>
          <w:b/>
          <w:bCs/>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has the potential of being a moderating force in terms of sustainability. Sustainable leisure practices and products such as choosing local travel </w:t>
      </w:r>
      <w:r>
        <w:rPr>
          <w:rFonts w:ascii="Times New Roman" w:eastAsia="Times New Roman" w:hAnsi="Times New Roman" w:cs="Times New Roman"/>
          <w:sz w:val="24"/>
          <w:szCs w:val="24"/>
        </w:rPr>
        <w:t>destinations, patronizing eco-friendly business or decreasing waste can be more welcoming to educated consumers. The results indicate that education can be used as a policy lever to encourage responsible leisure consumption, in the case that sustainable al</w:t>
      </w:r>
      <w:r>
        <w:rPr>
          <w:rFonts w:ascii="Times New Roman" w:eastAsia="Times New Roman" w:hAnsi="Times New Roman" w:cs="Times New Roman"/>
          <w:sz w:val="24"/>
          <w:szCs w:val="24"/>
        </w:rPr>
        <w:t>ternatives are available and affordable.</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 Process and Leisure Spending.</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Effects in the area of leisure expenditure based on gender exhibit a significant change over time of the study period bearing the character of the development of social norms and</w:t>
      </w:r>
      <w:r>
        <w:rPr>
          <w:rFonts w:ascii="Times New Roman" w:eastAsia="Times New Roman" w:hAnsi="Times New Roman" w:cs="Times New Roman"/>
          <w:sz w:val="24"/>
          <w:szCs w:val="24"/>
        </w:rPr>
        <w:t xml:space="preserve"> household decision-making frameworks. Some gender categories were statistically significant in 2022 and 2024, which means that the gender of the household head will affect the choices made during leisure spending.</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rising importance of female headed ho</w:t>
      </w:r>
      <w:r>
        <w:rPr>
          <w:rFonts w:ascii="Times New Roman" w:eastAsia="Times New Roman" w:hAnsi="Times New Roman" w:cs="Times New Roman"/>
          <w:sz w:val="24"/>
          <w:szCs w:val="24"/>
        </w:rPr>
        <w:t>useholds in certain years is an indication that economic involvement and freedom of making decisions is influencing consumption priorities in women. Female headed households can spend their leisure budgets in different ways and perhaps spend it on family r</w:t>
      </w:r>
      <w:r>
        <w:rPr>
          <w:rFonts w:ascii="Times New Roman" w:eastAsia="Times New Roman" w:hAnsi="Times New Roman" w:cs="Times New Roman"/>
          <w:sz w:val="24"/>
          <w:szCs w:val="24"/>
        </w:rPr>
        <w:t>elated activities, travelling to safe places, or recreation involving health.</w:t>
      </w:r>
    </w:p>
    <w:p w:rsidR="00946005" w:rsidRDefault="00946005">
      <w:pPr>
        <w:pStyle w:val="Heading1"/>
        <w:spacing w:before="240" w:after="240" w:line="360" w:lineRule="auto"/>
        <w:jc w:val="both"/>
        <w:rPr>
          <w:rFonts w:ascii="Times New Roman" w:eastAsia="Times New Roman" w:hAnsi="Times New Roman" w:cs="Times New Roman"/>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fact that the effects of gender are not constant across the years does not mean that gender does not interact with other socio-economic variables like income, education, and</w:t>
      </w:r>
      <w:r>
        <w:rPr>
          <w:rFonts w:ascii="Times New Roman" w:eastAsia="Times New Roman" w:hAnsi="Times New Roman" w:cs="Times New Roman"/>
          <w:sz w:val="24"/>
          <w:szCs w:val="24"/>
        </w:rPr>
        <w:t xml:space="preserve"> household size. Gender is not a determining factor of leisure consumption, but it exists in the framework of a more complex structure.</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Gender sensitive leisure policies are necessary as far as sustainability is concerned. The tastes and limitations of wom</w:t>
      </w:r>
      <w:r>
        <w:rPr>
          <w:rFonts w:ascii="Times New Roman" w:eastAsia="Times New Roman" w:hAnsi="Times New Roman" w:cs="Times New Roman"/>
          <w:sz w:val="24"/>
          <w:szCs w:val="24"/>
        </w:rPr>
        <w:t xml:space="preserve">en are to be </w:t>
      </w:r>
      <w:proofErr w:type="gramStart"/>
      <w:r>
        <w:rPr>
          <w:rFonts w:ascii="Times New Roman" w:eastAsia="Times New Roman" w:hAnsi="Times New Roman" w:cs="Times New Roman"/>
          <w:sz w:val="24"/>
          <w:szCs w:val="24"/>
        </w:rPr>
        <w:t>taken into account</w:t>
      </w:r>
      <w:proofErr w:type="gramEnd"/>
      <w:r>
        <w:rPr>
          <w:rFonts w:ascii="Times New Roman" w:eastAsia="Times New Roman" w:hAnsi="Times New Roman" w:cs="Times New Roman"/>
          <w:sz w:val="24"/>
          <w:szCs w:val="24"/>
        </w:rPr>
        <w:t xml:space="preserve"> in urban planning (safety, accessibility, availability of time, etc.). Recreational facilities, good transport, and affordable recreational facilities can increase equal access opportunities and facilitate sustainable urban </w:t>
      </w:r>
      <w:r>
        <w:rPr>
          <w:rFonts w:ascii="Times New Roman" w:eastAsia="Times New Roman" w:hAnsi="Times New Roman" w:cs="Times New Roman"/>
          <w:sz w:val="24"/>
          <w:szCs w:val="24"/>
        </w:rPr>
        <w:t>living.</w:t>
      </w:r>
    </w:p>
    <w:p w:rsidR="00946005" w:rsidRDefault="00946005">
      <w:pPr>
        <w:pStyle w:val="Heading1"/>
        <w:spacing w:before="240" w:after="240" w:line="360" w:lineRule="auto"/>
        <w:jc w:val="both"/>
        <w:rPr>
          <w:rFonts w:ascii="Times New Roman" w:eastAsia="Times New Roman" w:hAnsi="Times New Roman" w:cs="Times New Roman"/>
          <w:sz w:val="24"/>
          <w:szCs w:val="24"/>
        </w:rPr>
      </w:pP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Effects of Age and Life-Cycle on Leisure Consumption.</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importance of age group in 2022 and 2024 demonstrates applicability of life cycle theory in the explanation of leisure expenditure. Leisure time as a form of stress relief and </w:t>
      </w:r>
      <w:proofErr w:type="spellStart"/>
      <w:r>
        <w:rPr>
          <w:rFonts w:ascii="Times New Roman" w:eastAsia="Times New Roman" w:hAnsi="Times New Roman" w:cs="Times New Roman"/>
          <w:sz w:val="24"/>
          <w:szCs w:val="24"/>
        </w:rPr>
        <w:t>socialisation</w:t>
      </w:r>
      <w:proofErr w:type="spellEnd"/>
      <w:r>
        <w:rPr>
          <w:rFonts w:ascii="Times New Roman" w:eastAsia="Times New Roman" w:hAnsi="Times New Roman" w:cs="Times New Roman"/>
          <w:sz w:val="24"/>
          <w:szCs w:val="24"/>
        </w:rPr>
        <w:t xml:space="preserve"> may be a priority in the lives of younger and middle-aged households who are usually at work and families. On the contrary, older households can be more restrained in their leisure expenditures because of their fixed incomes or shifting preferences.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w:t>
      </w:r>
      <w:r>
        <w:rPr>
          <w:rFonts w:ascii="Times New Roman" w:eastAsia="Times New Roman" w:hAnsi="Times New Roman" w:cs="Times New Roman"/>
          <w:sz w:val="24"/>
          <w:szCs w:val="24"/>
        </w:rPr>
        <w:t>on-persistent pattern of age effects implies that the effects of the life-cycle are mediated by economic conditions and household composition. As an example, younger households can become more aggressive in leisure spending when there is optimism in the ec</w:t>
      </w:r>
      <w:r>
        <w:rPr>
          <w:rFonts w:ascii="Times New Roman" w:eastAsia="Times New Roman" w:hAnsi="Times New Roman" w:cs="Times New Roman"/>
          <w:sz w:val="24"/>
          <w:szCs w:val="24"/>
        </w:rPr>
        <w:t>onomy, but older households will be cautious.</w:t>
      </w:r>
    </w:p>
    <w:p w:rsidR="00946005" w:rsidRDefault="00946005">
      <w:pPr>
        <w:pStyle w:val="Heading1"/>
        <w:spacing w:before="240" w:after="240" w:line="360" w:lineRule="auto"/>
        <w:jc w:val="both"/>
        <w:rPr>
          <w:rFonts w:ascii="Times New Roman" w:eastAsia="Times New Roman" w:hAnsi="Times New Roman" w:cs="Times New Roman"/>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comprehend the leisure patterns of people at older age in order to plan a sustainable city. Recreational facilities should support the needs of various age groups, which encourages minimal i</w:t>
      </w:r>
      <w:r>
        <w:rPr>
          <w:rFonts w:ascii="Times New Roman" w:eastAsia="Times New Roman" w:hAnsi="Times New Roman" w:cs="Times New Roman"/>
          <w:sz w:val="24"/>
          <w:szCs w:val="24"/>
        </w:rPr>
        <w:t xml:space="preserve">mpact on the environment like walking areas, community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and cultural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that help increase social well-being with minimum impact on the environment.</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Family Size and Financial resources.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dependent factor of dependency and constraints in b</w:t>
      </w:r>
      <w:r>
        <w:rPr>
          <w:rFonts w:ascii="Times New Roman" w:eastAsia="Times New Roman" w:hAnsi="Times New Roman" w:cs="Times New Roman"/>
          <w:sz w:val="24"/>
          <w:szCs w:val="24"/>
        </w:rPr>
        <w:t>udget allocation becomes important as the number of people in the household also becomes a major contributor to the leisure consumption in several years. Increased household sizes have competing expenditure pressures such as education, healthcare and shelt</w:t>
      </w:r>
      <w:r>
        <w:rPr>
          <w:rFonts w:ascii="Times New Roman" w:eastAsia="Times New Roman" w:hAnsi="Times New Roman" w:cs="Times New Roman"/>
          <w:sz w:val="24"/>
          <w:szCs w:val="24"/>
        </w:rPr>
        <w:t>er that may constrain leisure spending in the individual.</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Nevertheless, the number of households could also lead to upward aggregate leisure spending especially when activities that can be classified as family oriented like going out to eat or local recrea</w:t>
      </w:r>
      <w:r>
        <w:rPr>
          <w:rFonts w:ascii="Times New Roman" w:eastAsia="Times New Roman" w:hAnsi="Times New Roman" w:cs="Times New Roman"/>
          <w:sz w:val="24"/>
          <w:szCs w:val="24"/>
        </w:rPr>
        <w:t>tional activities are considered. The overall impact is based on levels of income and the size of the household. Big households with low income in the urban set up of Mumbai are more likely to curtail discretionary expenditure due to the urban high cost en</w:t>
      </w:r>
      <w:r>
        <w:rPr>
          <w:rFonts w:ascii="Times New Roman" w:eastAsia="Times New Roman" w:hAnsi="Times New Roman" w:cs="Times New Roman"/>
          <w:sz w:val="24"/>
          <w:szCs w:val="24"/>
        </w:rPr>
        <w:t>vironment.</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sustainability perspective, the dynamics of household size address the need for affordable, shared leisure spaces. Recreational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that are </w:t>
      </w:r>
      <w:proofErr w:type="spellStart"/>
      <w:r>
        <w:rPr>
          <w:rFonts w:ascii="Times New Roman" w:eastAsia="Times New Roman" w:hAnsi="Times New Roman" w:cs="Times New Roman"/>
          <w:sz w:val="24"/>
          <w:szCs w:val="24"/>
        </w:rPr>
        <w:t>subsidised</w:t>
      </w:r>
      <w:proofErr w:type="spellEnd"/>
      <w:r>
        <w:rPr>
          <w:rFonts w:ascii="Times New Roman" w:eastAsia="Times New Roman" w:hAnsi="Times New Roman" w:cs="Times New Roman"/>
          <w:sz w:val="24"/>
          <w:szCs w:val="24"/>
        </w:rPr>
        <w:t xml:space="preserve"> by the government and found within the local community and even the assets of the</w:t>
      </w:r>
      <w:r>
        <w:rPr>
          <w:rFonts w:ascii="Times New Roman" w:eastAsia="Times New Roman" w:hAnsi="Times New Roman" w:cs="Times New Roman"/>
          <w:sz w:val="24"/>
          <w:szCs w:val="24"/>
        </w:rPr>
        <w:t xml:space="preserve"> state, such as public parks, can allow larger households to leisure without unduly spending money or other resources.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Changes across time and future adjustment after pandemic.</w:t>
      </w:r>
    </w:p>
    <w:p w:rsidR="00946005" w:rsidRDefault="00946005">
      <w:pPr>
        <w:pStyle w:val="Heading1"/>
        <w:spacing w:before="240" w:after="240" w:line="360" w:lineRule="auto"/>
        <w:jc w:val="both"/>
        <w:rPr>
          <w:rFonts w:ascii="Times New Roman" w:eastAsia="Times New Roman" w:hAnsi="Times New Roman" w:cs="Times New Roman"/>
          <w:b/>
          <w:bCs/>
          <w:sz w:val="24"/>
          <w:szCs w:val="24"/>
        </w:rPr>
      </w:pP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Comparison of the regression outcomes over the period 2022-2025 indicates that there is a slow decrease in the explanatory power especially in 2025. This implies that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becoming more heterogeneous as households seek to reflect on new eco</w:t>
      </w:r>
      <w:r>
        <w:rPr>
          <w:rFonts w:ascii="Times New Roman" w:eastAsia="Times New Roman" w:hAnsi="Times New Roman" w:cs="Times New Roman"/>
          <w:sz w:val="24"/>
          <w:szCs w:val="24"/>
        </w:rPr>
        <w:t>nomic realities. The aspects of inflation, a hybrid work environment, and evolving ambitions have the potential to bring a level of variability that cannot be completely explained by more traditional socio-economic variables.</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falling R2 in 2025 also sh</w:t>
      </w:r>
      <w:r>
        <w:rPr>
          <w:rFonts w:ascii="Times New Roman" w:eastAsia="Times New Roman" w:hAnsi="Times New Roman" w:cs="Times New Roman"/>
          <w:sz w:val="24"/>
          <w:szCs w:val="24"/>
        </w:rPr>
        <w:t xml:space="preserve">ows that there are chances of leisure consumption to be affected due to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psychological impacts, including risk perception, digital activities, and lifestyle inclinations. This highlights why future studies require both qualitative and </w:t>
      </w:r>
      <w:proofErr w:type="spellStart"/>
      <w:r>
        <w:rPr>
          <w:rFonts w:ascii="Times New Roman" w:eastAsia="Times New Roman" w:hAnsi="Times New Roman" w:cs="Times New Roman"/>
          <w:sz w:val="24"/>
          <w:szCs w:val="24"/>
        </w:rPr>
        <w:t>behavi</w:t>
      </w:r>
      <w:r>
        <w:rPr>
          <w:rFonts w:ascii="Times New Roman" w:eastAsia="Times New Roman" w:hAnsi="Times New Roman" w:cs="Times New Roman"/>
          <w:sz w:val="24"/>
          <w:szCs w:val="24"/>
        </w:rPr>
        <w:t>oural</w:t>
      </w:r>
      <w:proofErr w:type="spellEnd"/>
      <w:r>
        <w:rPr>
          <w:rFonts w:ascii="Times New Roman" w:eastAsia="Times New Roman" w:hAnsi="Times New Roman" w:cs="Times New Roman"/>
          <w:sz w:val="24"/>
          <w:szCs w:val="24"/>
        </w:rPr>
        <w:t xml:space="preserve"> levels of analysis.</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Rise of Leisure Consumption Implications of Sustainability.</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findings are that leisure spending in urban Mumbai is mainly instigated by income and lifestyle change as opposed to the compulsory need of the demographi</w:t>
      </w:r>
      <w:r>
        <w:rPr>
          <w:rFonts w:ascii="Times New Roman" w:eastAsia="Times New Roman" w:hAnsi="Times New Roman" w:cs="Times New Roman"/>
          <w:sz w:val="24"/>
          <w:szCs w:val="24"/>
        </w:rPr>
        <w:t>c. Although this helps the economic recovery and growth of the service sector, it increases the sustainability issues pertaining to energy consumption, wastes, and congestion of cities.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increasing leisure development based on income threatens to the ex</w:t>
      </w:r>
      <w:r>
        <w:rPr>
          <w:rFonts w:ascii="Times New Roman" w:eastAsia="Times New Roman" w:hAnsi="Times New Roman" w:cs="Times New Roman"/>
          <w:sz w:val="24"/>
          <w:szCs w:val="24"/>
        </w:rPr>
        <w:t xml:space="preserve">tent of intensifying social disparities, since the poor-income households cannot be included in having good leisure facilities. Additionally, as the leisure consumption grows, policy intervention is necessary to decimate the pressure on the environment in </w:t>
      </w:r>
      <w:r>
        <w:rPr>
          <w:rFonts w:ascii="Times New Roman" w:eastAsia="Times New Roman" w:hAnsi="Times New Roman" w:cs="Times New Roman"/>
          <w:sz w:val="24"/>
          <w:szCs w:val="24"/>
        </w:rPr>
        <w:t>an already resource-starved city.</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align leisure consumption with Sustainable Development Goal 12, both access and impact will have to be considered. Promoting low-carbon leisure activities, controlling activities that are car-related and intensive to the environment and development of m</w:t>
      </w:r>
      <w:r>
        <w:rPr>
          <w:rFonts w:ascii="Times New Roman" w:eastAsia="Times New Roman" w:hAnsi="Times New Roman" w:cs="Times New Roman"/>
          <w:sz w:val="24"/>
          <w:szCs w:val="24"/>
        </w:rPr>
        <w:t>ore recreational facilities that belong to the public is a vital move towards sustainable urban consumption.</w:t>
      </w:r>
    </w:p>
    <w:p w:rsidR="00946005" w:rsidRDefault="006B79DD">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Implications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there are various policy directions:</w:t>
      </w:r>
    </w:p>
    <w:p w:rsidR="00946005" w:rsidRDefault="006B79DD">
      <w:pPr>
        <w:pStyle w:val="Heading1"/>
        <w:numPr>
          <w:ilvl w:val="0"/>
          <w:numId w:val="4"/>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Leisure Infrastructure Promotion: Leisure can be promoted</w:t>
      </w:r>
      <w:r>
        <w:rPr>
          <w:rFonts w:ascii="Times New Roman" w:eastAsia="Times New Roman" w:hAnsi="Times New Roman" w:cs="Times New Roman"/>
          <w:sz w:val="24"/>
          <w:szCs w:val="24"/>
        </w:rPr>
        <w:t xml:space="preserve"> by expansion of parks, waterfronts, and cultural spaces which are cheap and do not impact the environment.</w:t>
      </w:r>
    </w:p>
    <w:p w:rsidR="00946005" w:rsidRDefault="006B79DD">
      <w:pPr>
        <w:pStyle w:val="Heading1"/>
        <w:numPr>
          <w:ilvl w:val="0"/>
          <w:numId w:val="4"/>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Mobility Integration: Leisure travel can be discouraged by walking, cycling, and using public transport to cut down on the emissions.</w:t>
      </w:r>
    </w:p>
    <w:p w:rsidR="00946005" w:rsidRDefault="006B79DD">
      <w:pPr>
        <w:pStyle w:val="Heading1"/>
        <w:numPr>
          <w:ilvl w:val="0"/>
          <w:numId w:val="4"/>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w:t>
      </w:r>
      <w:r>
        <w:rPr>
          <w:rFonts w:ascii="Times New Roman" w:eastAsia="Times New Roman" w:hAnsi="Times New Roman" w:cs="Times New Roman"/>
          <w:sz w:val="24"/>
          <w:szCs w:val="24"/>
        </w:rPr>
        <w:t xml:space="preserve">nding Local Services: There can be the </w:t>
      </w:r>
      <w:proofErr w:type="spellStart"/>
      <w:r>
        <w:rPr>
          <w:rFonts w:ascii="Times New Roman" w:eastAsia="Times New Roman" w:hAnsi="Times New Roman" w:cs="Times New Roman"/>
          <w:sz w:val="24"/>
          <w:szCs w:val="24"/>
        </w:rPr>
        <w:t>incentivisation</w:t>
      </w:r>
      <w:proofErr w:type="spellEnd"/>
      <w:r>
        <w:rPr>
          <w:rFonts w:ascii="Times New Roman" w:eastAsia="Times New Roman" w:hAnsi="Times New Roman" w:cs="Times New Roman"/>
          <w:sz w:val="24"/>
          <w:szCs w:val="24"/>
        </w:rPr>
        <w:t xml:space="preserve"> of local, low waste food and recreation providers to bring leisure expenditure in line with sustainability aims.</w:t>
      </w:r>
    </w:p>
    <w:p w:rsidR="00946005" w:rsidRDefault="006B79DD">
      <w:pPr>
        <w:pStyle w:val="Heading1"/>
        <w:numPr>
          <w:ilvl w:val="0"/>
          <w:numId w:val="4"/>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Pricing Strategies: Income-sensitive pricing has the capacity to bring fair us</w:t>
      </w:r>
      <w:r>
        <w:rPr>
          <w:rFonts w:ascii="Times New Roman" w:eastAsia="Times New Roman" w:hAnsi="Times New Roman" w:cs="Times New Roman"/>
          <w:sz w:val="24"/>
          <w:szCs w:val="24"/>
        </w:rPr>
        <w:t>e of leisure facilities.</w:t>
      </w:r>
    </w:p>
    <w:p w:rsidR="00946005" w:rsidRDefault="006B79DD">
      <w:pPr>
        <w:pStyle w:val="Heading1"/>
        <w:numPr>
          <w:ilvl w:val="0"/>
          <w:numId w:val="4"/>
        </w:numPr>
        <w:spacing w:before="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Raising Awareness and Education Campaigns: Educated families can become some of the early adopters of sustainable leisure practices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whole, the discussion shows that the leisure spending in urban Mumbai in 20222025 is mainly </w:t>
      </w:r>
      <w:r>
        <w:rPr>
          <w:rFonts w:ascii="Times New Roman" w:eastAsia="Times New Roman" w:hAnsi="Times New Roman" w:cs="Times New Roman"/>
          <w:sz w:val="24"/>
          <w:szCs w:val="24"/>
        </w:rPr>
        <w:t>income-related, with occupation, education, gender, age, and household size having some contextual impacts. The pandemic period is a shift to experiential consumption with regard to shifting urban dreams.</w:t>
      </w:r>
    </w:p>
    <w:p w:rsidR="00946005" w:rsidRDefault="006B79DD">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Placing leisure spending in a sustainability contex</w:t>
      </w:r>
      <w:r>
        <w:rPr>
          <w:rFonts w:ascii="Times New Roman" w:eastAsia="Times New Roman" w:hAnsi="Times New Roman" w:cs="Times New Roman"/>
          <w:sz w:val="24"/>
          <w:szCs w:val="24"/>
        </w:rPr>
        <w:t>t, the paper has indicated that discretionary consumption is an area that should be re-conceived as a policy-relevant area. Sustainable leisure does not mean limitations to pleasure but is the repositioning of city consumption that would ensure that econom</w:t>
      </w:r>
      <w:r>
        <w:rPr>
          <w:rFonts w:ascii="Times New Roman" w:eastAsia="Times New Roman" w:hAnsi="Times New Roman" w:cs="Times New Roman"/>
          <w:sz w:val="24"/>
          <w:szCs w:val="24"/>
        </w:rPr>
        <w:t>ic activity, social inclusion and environmental stewardship are balanced.</w:t>
      </w:r>
    </w:p>
    <w:p w:rsidR="00946005" w:rsidRDefault="006B79DD">
      <w:pPr>
        <w:pStyle w:val="Heading2"/>
        <w:spacing w:after="80" w:line="360" w:lineRule="auto"/>
        <w:jc w:val="both"/>
        <w:rPr>
          <w:rFonts w:ascii="Times New Roman" w:eastAsia="Times New Roman" w:hAnsi="Times New Roman" w:cs="Times New Roman"/>
          <w:b/>
          <w:bCs/>
          <w:sz w:val="24"/>
          <w:szCs w:val="24"/>
        </w:rPr>
      </w:pPr>
      <w:bookmarkStart w:id="22" w:name="_heading=h.ssr831bkrba0" w:colFirst="0" w:colLast="0"/>
      <w:bookmarkEnd w:id="22"/>
      <w:r>
        <w:rPr>
          <w:rFonts w:ascii="Times New Roman" w:eastAsia="Times New Roman" w:hAnsi="Times New Roman" w:cs="Times New Roman"/>
          <w:b/>
          <w:bCs/>
          <w:sz w:val="24"/>
          <w:szCs w:val="24"/>
        </w:rPr>
        <w:lastRenderedPageBreak/>
        <w:t>Conclusion</w:t>
      </w:r>
    </w:p>
    <w:p w:rsidR="00946005" w:rsidRDefault="006B79DD">
      <w:pPr>
        <w:pStyle w:val="Heading2"/>
        <w:spacing w:after="80" w:line="360" w:lineRule="auto"/>
        <w:jc w:val="both"/>
        <w:rPr>
          <w:rFonts w:ascii="Times New Roman" w:eastAsia="Times New Roman" w:hAnsi="Times New Roman" w:cs="Times New Roman"/>
          <w:sz w:val="24"/>
          <w:szCs w:val="24"/>
        </w:rPr>
      </w:pPr>
      <w:bookmarkStart w:id="23" w:name="_heading=h.h8c69duv9ug2" w:colFirst="0" w:colLast="0"/>
      <w:bookmarkEnd w:id="23"/>
      <w:r>
        <w:rPr>
          <w:rFonts w:ascii="Times New Roman" w:eastAsia="Times New Roman" w:hAnsi="Times New Roman" w:cs="Times New Roman"/>
          <w:sz w:val="24"/>
          <w:szCs w:val="24"/>
        </w:rPr>
        <w:t>The study shows that leisure spending in urban Mumbai is mainly influenced by income, while other socio-economic factors affect consumption choices to different extents ov</w:t>
      </w:r>
      <w:r>
        <w:rPr>
          <w:rFonts w:ascii="Times New Roman" w:eastAsia="Times New Roman" w:hAnsi="Times New Roman" w:cs="Times New Roman"/>
          <w:sz w:val="24"/>
          <w:szCs w:val="24"/>
        </w:rPr>
        <w:t>er time. The paper shows that responsible consumption is important in cities that are growing quickly by putting leisure spending in the context of sustainability. Sustainable leisure doesn't mean lowering the quality of life; it means making city living m</w:t>
      </w:r>
      <w:r>
        <w:rPr>
          <w:rFonts w:ascii="Times New Roman" w:eastAsia="Times New Roman" w:hAnsi="Times New Roman" w:cs="Times New Roman"/>
          <w:sz w:val="24"/>
          <w:szCs w:val="24"/>
        </w:rPr>
        <w:t>ore balanced in terms of economic growth, social inclusion, and environmental responsibility.</w:t>
      </w:r>
    </w:p>
    <w:p w:rsidR="00946005" w:rsidRDefault="006B79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work in terms of its contribution to the policy is framed in a sustainable consumption outlook. Through the evaluation of leisure spending as an inde</w:t>
      </w:r>
      <w:r>
        <w:rPr>
          <w:rFonts w:ascii="Times New Roman" w:eastAsia="Times New Roman" w:hAnsi="Times New Roman" w:cs="Times New Roman"/>
          <w:sz w:val="24"/>
          <w:szCs w:val="24"/>
        </w:rPr>
        <w:t>pendent and income-sensitive item of household spending, the results bring about the necessity of urban policies that stimulate a low-carbon and inclusive leisure infrastructure, combine sustainable mobility with recreational planning, and foster responsib</w:t>
      </w:r>
      <w:r>
        <w:rPr>
          <w:rFonts w:ascii="Times New Roman" w:eastAsia="Times New Roman" w:hAnsi="Times New Roman" w:cs="Times New Roman"/>
          <w:sz w:val="24"/>
          <w:szCs w:val="24"/>
        </w:rPr>
        <w:t>le leisure decisions with the help of awareness and pricing systems. The research therefore makes leisure consumption a leverage policy-wise to reduce imbalance between economic recovery, social inclusion and environmental sustainability in line with SDG 1</w:t>
      </w:r>
      <w:r>
        <w:rPr>
          <w:rFonts w:ascii="Times New Roman" w:eastAsia="Times New Roman" w:hAnsi="Times New Roman" w:cs="Times New Roman"/>
          <w:sz w:val="24"/>
          <w:szCs w:val="24"/>
        </w:rPr>
        <w:t>2 on Responsible Consumption and Production.</w:t>
      </w:r>
    </w:p>
    <w:p w:rsidR="00946005" w:rsidRDefault="00946005"/>
    <w:p w:rsidR="00946005" w:rsidRDefault="006B79DD">
      <w:pPr>
        <w:pStyle w:val="Heading2"/>
        <w:spacing w:after="80" w:line="360" w:lineRule="auto"/>
        <w:jc w:val="both"/>
        <w:rPr>
          <w:rFonts w:ascii="Times New Roman" w:eastAsia="Times New Roman" w:hAnsi="Times New Roman" w:cs="Times New Roman"/>
          <w:b/>
          <w:bCs/>
          <w:sz w:val="24"/>
          <w:szCs w:val="24"/>
        </w:rPr>
      </w:pPr>
      <w:bookmarkStart w:id="24" w:name="_heading=h.3dxjuzk9ro2j" w:colFirst="0" w:colLast="0"/>
      <w:bookmarkEnd w:id="24"/>
      <w:r>
        <w:rPr>
          <w:rFonts w:ascii="Times New Roman" w:eastAsia="Times New Roman" w:hAnsi="Times New Roman" w:cs="Times New Roman"/>
          <w:b/>
          <w:bCs/>
          <w:sz w:val="24"/>
          <w:szCs w:val="24"/>
        </w:rPr>
        <w:t>Scope for Future Research</w:t>
      </w:r>
    </w:p>
    <w:p w:rsidR="00946005" w:rsidRDefault="006B79DD">
      <w:pPr>
        <w:pStyle w:val="Heading1"/>
        <w:spacing w:before="240" w:after="240" w:line="360" w:lineRule="auto"/>
        <w:jc w:val="both"/>
        <w:rPr>
          <w:rFonts w:ascii="Times New Roman" w:eastAsia="Times New Roman" w:hAnsi="Times New Roman" w:cs="Times New Roman"/>
          <w:sz w:val="24"/>
          <w:szCs w:val="24"/>
        </w:rPr>
      </w:pPr>
      <w:bookmarkStart w:id="25" w:name="_heading=h.wynicb8du79" w:colFirst="0" w:colLast="0"/>
      <w:bookmarkEnd w:id="25"/>
      <w:r>
        <w:rPr>
          <w:rFonts w:ascii="Times New Roman" w:eastAsia="Times New Roman" w:hAnsi="Times New Roman" w:cs="Times New Roman"/>
          <w:sz w:val="24"/>
          <w:szCs w:val="24"/>
        </w:rPr>
        <w:t>Future studies can improve understanding of leisure spending by including environmental factors such as carbon emissions, energy use, and waste linked to leisure activities. This would help show how leisure choices affect the environment. Researchers can a</w:t>
      </w:r>
      <w:r>
        <w:rPr>
          <w:rFonts w:ascii="Times New Roman" w:eastAsia="Times New Roman" w:hAnsi="Times New Roman" w:cs="Times New Roman"/>
          <w:sz w:val="24"/>
          <w:szCs w:val="24"/>
        </w:rPr>
        <w:t xml:space="preserve">lso compare spending patterns across different cities or between urban and rural areas to see how access and income shape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In addition, interviews or surveys can be used to understand how people think about environmentally friendly leisur</w:t>
      </w:r>
      <w:r>
        <w:rPr>
          <w:rFonts w:ascii="Times New Roman" w:eastAsia="Times New Roman" w:hAnsi="Times New Roman" w:cs="Times New Roman"/>
          <w:sz w:val="24"/>
          <w:szCs w:val="24"/>
        </w:rPr>
        <w:t>e options. These methods can support numerical analysis and help design policies that encourage more sustainable leisure consumption.</w:t>
      </w:r>
    </w:p>
    <w:p w:rsidR="00946005" w:rsidRDefault="006B79DD">
      <w:pPr>
        <w:rPr>
          <w:b/>
          <w:bCs/>
          <w:highlight w:val="yellow"/>
        </w:rPr>
      </w:pPr>
      <w:r>
        <w:rPr>
          <w:b/>
          <w:bCs/>
          <w:highlight w:val="yellow"/>
        </w:rPr>
        <w:t>Disclaimer (Artificial intelligence)</w:t>
      </w:r>
    </w:p>
    <w:p w:rsidR="00946005" w:rsidRDefault="006B79DD">
      <w:pPr>
        <w:rPr>
          <w:highlight w:val="yellow"/>
        </w:rPr>
      </w:pPr>
      <w:r>
        <w:rPr>
          <w:highlight w:val="yellow"/>
        </w:rPr>
        <w:t>Author(s) hereby declare that NO generative AI technologies such as Large Language Mo</w:t>
      </w:r>
      <w:r>
        <w:rPr>
          <w:highlight w:val="yellow"/>
        </w:rPr>
        <w:t>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946005" w:rsidRDefault="00946005">
      <w:bookmarkStart w:id="26" w:name="_heading=h.syj93t79pdo0" w:colFirst="0" w:colLast="0"/>
      <w:bookmarkEnd w:id="26"/>
    </w:p>
    <w:p w:rsidR="00946005" w:rsidRDefault="006B79DD">
      <w:pPr>
        <w:pStyle w:val="Heading1"/>
        <w:spacing w:before="48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Agarwal, S., Ghosh, P., &amp; Sen, R. (2022). Post-pandemic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urban India: Evidence from discretiona</w:t>
      </w:r>
      <w:r>
        <w:rPr>
          <w:rFonts w:ascii="Times New Roman" w:eastAsia="Times New Roman" w:hAnsi="Times New Roman" w:cs="Times New Roman"/>
          <w:sz w:val="24"/>
          <w:szCs w:val="24"/>
        </w:rPr>
        <w:t xml:space="preserve">ry spending. </w:t>
      </w:r>
      <w:r>
        <w:rPr>
          <w:rFonts w:ascii="Times New Roman" w:eastAsia="Times New Roman" w:hAnsi="Times New Roman" w:cs="Times New Roman"/>
          <w:i/>
          <w:iCs/>
          <w:sz w:val="24"/>
          <w:szCs w:val="24"/>
        </w:rPr>
        <w:t>Economic and Political Weekly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57</w:t>
      </w:r>
      <w:r>
        <w:rPr>
          <w:rFonts w:ascii="Times New Roman" w:eastAsia="Times New Roman" w:hAnsi="Times New Roman" w:cs="Times New Roman"/>
          <w:sz w:val="24"/>
          <w:szCs w:val="24"/>
        </w:rPr>
        <w:t>(18), 45–53.</w:t>
      </w:r>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Ahmed, M. R. (2023). Household consumption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towards outside ready-made food: Evidence from Bangladesh. </w:t>
      </w:r>
      <w:proofErr w:type="spellStart"/>
      <w:r>
        <w:rPr>
          <w:rFonts w:ascii="Times New Roman" w:eastAsia="Times New Roman" w:hAnsi="Times New Roman" w:cs="Times New Roman"/>
          <w:i/>
          <w:iCs/>
          <w:sz w:val="24"/>
          <w:szCs w:val="24"/>
        </w:rPr>
        <w:t>Heliyon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(9), e19793.</w:t>
      </w:r>
      <w:r>
        <w:rPr>
          <w:rFonts w:ascii="Times New Roman" w:eastAsia="Times New Roman" w:hAnsi="Times New Roman" w:cs="Times New Roman"/>
          <w:sz w:val="24"/>
          <w:szCs w:val="24"/>
        </w:rPr>
        <w:br/>
      </w:r>
      <w:hyperlink r:id="rId8">
        <w:r>
          <w:rPr>
            <w:rFonts w:ascii="Times New Roman" w:eastAsia="Times New Roman" w:hAnsi="Times New Roman" w:cs="Times New Roman"/>
            <w:color w:val="1155CC"/>
            <w:sz w:val="24"/>
            <w:szCs w:val="24"/>
            <w:u w:val="single"/>
          </w:rPr>
          <w:t>https://www.ncbi.nlm.nih.gov/pmc/articles/PMC10559104/</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Banks, J., Blundell, R., &amp; </w:t>
      </w:r>
      <w:proofErr w:type="spellStart"/>
      <w:r>
        <w:rPr>
          <w:rFonts w:ascii="Times New Roman" w:eastAsia="Times New Roman" w:hAnsi="Times New Roman" w:cs="Times New Roman"/>
          <w:sz w:val="24"/>
          <w:szCs w:val="24"/>
        </w:rPr>
        <w:t>Lewbel</w:t>
      </w:r>
      <w:proofErr w:type="spellEnd"/>
      <w:r>
        <w:rPr>
          <w:rFonts w:ascii="Times New Roman" w:eastAsia="Times New Roman" w:hAnsi="Times New Roman" w:cs="Times New Roman"/>
          <w:sz w:val="24"/>
          <w:szCs w:val="24"/>
        </w:rPr>
        <w:t xml:space="preserve">, A. (1997). Quadratic Engel curves and consumer demand. </w:t>
      </w:r>
      <w:r>
        <w:rPr>
          <w:rFonts w:ascii="Times New Roman" w:eastAsia="Times New Roman" w:hAnsi="Times New Roman" w:cs="Times New Roman"/>
          <w:i/>
          <w:iCs/>
          <w:sz w:val="24"/>
          <w:szCs w:val="24"/>
        </w:rPr>
        <w:t>Review of Economics and Statistics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4), 527–539.</w:t>
      </w:r>
      <w:r>
        <w:rPr>
          <w:rFonts w:ascii="Times New Roman" w:eastAsia="Times New Roman" w:hAnsi="Times New Roman" w:cs="Times New Roman"/>
          <w:sz w:val="24"/>
          <w:szCs w:val="24"/>
        </w:rPr>
        <w:br/>
      </w:r>
      <w:hyperlink r:id="rId9">
        <w:r>
          <w:rPr>
            <w:rFonts w:ascii="Times New Roman" w:eastAsia="Times New Roman" w:hAnsi="Times New Roman" w:cs="Times New Roman"/>
            <w:color w:val="1155CC"/>
            <w:sz w:val="24"/>
            <w:szCs w:val="24"/>
            <w:u w:val="single"/>
          </w:rPr>
          <w:t>https://doi.org/10.1162/003465397557015</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Bhattacharya, S., &amp; Roy, S. (2023). Income inequality and recovery of urban consumption in post-COVID India. </w:t>
      </w:r>
      <w:r>
        <w:rPr>
          <w:rFonts w:ascii="Times New Roman" w:eastAsia="Times New Roman" w:hAnsi="Times New Roman" w:cs="Times New Roman"/>
          <w:i/>
          <w:iCs/>
          <w:sz w:val="24"/>
          <w:szCs w:val="24"/>
        </w:rPr>
        <w:t>Journal of Asian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86</w:t>
      </w:r>
      <w:r>
        <w:rPr>
          <w:rFonts w:ascii="Times New Roman" w:eastAsia="Times New Roman" w:hAnsi="Times New Roman" w:cs="Times New Roman"/>
          <w:sz w:val="24"/>
          <w:szCs w:val="24"/>
        </w:rPr>
        <w:t>, 101</w:t>
      </w:r>
      <w:r>
        <w:rPr>
          <w:rFonts w:ascii="Times New Roman" w:eastAsia="Times New Roman" w:hAnsi="Times New Roman" w:cs="Times New Roman"/>
          <w:sz w:val="24"/>
          <w:szCs w:val="24"/>
        </w:rPr>
        <w:t>607.</w:t>
      </w:r>
      <w:r>
        <w:rPr>
          <w:rFonts w:ascii="Times New Roman" w:eastAsia="Times New Roman" w:hAnsi="Times New Roman" w:cs="Times New Roman"/>
          <w:sz w:val="24"/>
          <w:szCs w:val="24"/>
        </w:rPr>
        <w:br/>
      </w:r>
      <w:hyperlink r:id="rId10">
        <w:r>
          <w:rPr>
            <w:rFonts w:ascii="Times New Roman" w:eastAsia="Times New Roman" w:hAnsi="Times New Roman" w:cs="Times New Roman"/>
            <w:color w:val="1155CC"/>
            <w:sz w:val="24"/>
            <w:szCs w:val="24"/>
            <w:u w:val="single"/>
          </w:rPr>
          <w:t>https://doi.org/10.1016/j.asieco.2023.101607</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Chakraborty, S., &amp; Singh, R. (2018). Changing household structures and consumption patterns in urban India. </w:t>
      </w:r>
      <w:r>
        <w:rPr>
          <w:rFonts w:ascii="Times New Roman" w:eastAsia="Times New Roman" w:hAnsi="Times New Roman" w:cs="Times New Roman"/>
          <w:i/>
          <w:iCs/>
          <w:sz w:val="24"/>
          <w:szCs w:val="24"/>
        </w:rPr>
        <w:t>Indian Journal of Human Developmen</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214–230.</w:t>
      </w:r>
      <w:r>
        <w:rPr>
          <w:rFonts w:ascii="Times New Roman" w:eastAsia="Times New Roman" w:hAnsi="Times New Roman" w:cs="Times New Roman"/>
          <w:sz w:val="24"/>
          <w:szCs w:val="24"/>
        </w:rPr>
        <w:br/>
      </w:r>
      <w:hyperlink r:id="rId11">
        <w:r>
          <w:rPr>
            <w:rFonts w:ascii="Times New Roman" w:eastAsia="Times New Roman" w:hAnsi="Times New Roman" w:cs="Times New Roman"/>
            <w:color w:val="1155CC"/>
            <w:sz w:val="24"/>
            <w:szCs w:val="24"/>
            <w:u w:val="single"/>
          </w:rPr>
          <w:t>https://doi.org/10.1177/0973703018793826</w:t>
        </w:r>
      </w:hyperlink>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Deaton, A., &amp; </w:t>
      </w:r>
      <w:proofErr w:type="spellStart"/>
      <w:r>
        <w:rPr>
          <w:rFonts w:ascii="Times New Roman" w:eastAsia="Times New Roman" w:hAnsi="Times New Roman" w:cs="Times New Roman"/>
          <w:sz w:val="24"/>
          <w:szCs w:val="24"/>
        </w:rPr>
        <w:t>Muellbauer</w:t>
      </w:r>
      <w:proofErr w:type="spellEnd"/>
      <w:r>
        <w:rPr>
          <w:rFonts w:ascii="Times New Roman" w:eastAsia="Times New Roman" w:hAnsi="Times New Roman" w:cs="Times New Roman"/>
          <w:sz w:val="24"/>
          <w:szCs w:val="24"/>
        </w:rPr>
        <w:t xml:space="preserve">, J. (1980). </w:t>
      </w:r>
      <w:r>
        <w:rPr>
          <w:rFonts w:ascii="Times New Roman" w:eastAsia="Times New Roman" w:hAnsi="Times New Roman" w:cs="Times New Roman"/>
          <w:i/>
          <w:iCs/>
          <w:sz w:val="24"/>
          <w:szCs w:val="24"/>
        </w:rPr>
        <w:t>Economics and consumer behavior</w:t>
      </w:r>
      <w:r>
        <w:rPr>
          <w:rFonts w:ascii="Times New Roman" w:eastAsia="Times New Roman" w:hAnsi="Times New Roman" w:cs="Times New Roman"/>
          <w:sz w:val="24"/>
          <w:szCs w:val="24"/>
        </w:rPr>
        <w:t>. Cambridge University Press.</w:t>
      </w:r>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S., Garrod, B., </w:t>
      </w:r>
      <w:proofErr w:type="spellStart"/>
      <w:r>
        <w:rPr>
          <w:rFonts w:ascii="Times New Roman" w:eastAsia="Times New Roman" w:hAnsi="Times New Roman" w:cs="Times New Roman"/>
          <w:sz w:val="24"/>
          <w:szCs w:val="24"/>
        </w:rPr>
        <w:t>Aall</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Hi</w:t>
      </w:r>
      <w:r>
        <w:rPr>
          <w:rFonts w:ascii="Times New Roman" w:eastAsia="Times New Roman" w:hAnsi="Times New Roman" w:cs="Times New Roman"/>
          <w:sz w:val="24"/>
          <w:szCs w:val="24"/>
        </w:rPr>
        <w:t>lle</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Peeters</w:t>
      </w:r>
      <w:proofErr w:type="spellEnd"/>
      <w:r>
        <w:rPr>
          <w:rFonts w:ascii="Times New Roman" w:eastAsia="Times New Roman" w:hAnsi="Times New Roman" w:cs="Times New Roman"/>
          <w:sz w:val="24"/>
          <w:szCs w:val="24"/>
        </w:rPr>
        <w:t>, P. M. (2011). Food management in tourism: Reducing tourism’s carbon ‘</w:t>
      </w:r>
      <w:proofErr w:type="spellStart"/>
      <w:r>
        <w:rPr>
          <w:rFonts w:ascii="Times New Roman" w:eastAsia="Times New Roman" w:hAnsi="Times New Roman" w:cs="Times New Roman"/>
          <w:sz w:val="24"/>
          <w:szCs w:val="24"/>
        </w:rPr>
        <w:t>foodprint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Tourism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32</w:t>
      </w:r>
      <w:r>
        <w:rPr>
          <w:rFonts w:ascii="Times New Roman" w:eastAsia="Times New Roman" w:hAnsi="Times New Roman" w:cs="Times New Roman"/>
          <w:sz w:val="24"/>
          <w:szCs w:val="24"/>
        </w:rPr>
        <w:t>(3), 534–543.</w:t>
      </w:r>
      <w:r>
        <w:rPr>
          <w:rFonts w:ascii="Times New Roman" w:eastAsia="Times New Roman" w:hAnsi="Times New Roman" w:cs="Times New Roman"/>
          <w:sz w:val="24"/>
          <w:szCs w:val="24"/>
        </w:rPr>
        <w:br/>
      </w:r>
      <w:hyperlink r:id="rId12">
        <w:r>
          <w:rPr>
            <w:rFonts w:ascii="Times New Roman" w:eastAsia="Times New Roman" w:hAnsi="Times New Roman" w:cs="Times New Roman"/>
            <w:color w:val="1155CC"/>
            <w:sz w:val="24"/>
            <w:szCs w:val="24"/>
            <w:u w:val="single"/>
          </w:rPr>
          <w:t>https://doi.org/10.1016/j.tourman.2010.04.006</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S., Hall, C. M., </w:t>
      </w:r>
      <w:proofErr w:type="spellStart"/>
      <w:r>
        <w:rPr>
          <w:rFonts w:ascii="Times New Roman" w:eastAsia="Times New Roman" w:hAnsi="Times New Roman" w:cs="Times New Roman"/>
          <w:sz w:val="24"/>
          <w:szCs w:val="24"/>
        </w:rPr>
        <w:t>Peeters</w:t>
      </w:r>
      <w:proofErr w:type="spellEnd"/>
      <w:r>
        <w:rPr>
          <w:rFonts w:ascii="Times New Roman" w:eastAsia="Times New Roman" w:hAnsi="Times New Roman" w:cs="Times New Roman"/>
          <w:sz w:val="24"/>
          <w:szCs w:val="24"/>
        </w:rPr>
        <w:t xml:space="preserve">, P., &amp; Scott, D. (2015). Tourism and carbon emissions: A global perspective. </w:t>
      </w:r>
      <w:r>
        <w:rPr>
          <w:rFonts w:ascii="Times New Roman" w:eastAsia="Times New Roman" w:hAnsi="Times New Roman" w:cs="Times New Roman"/>
          <w:i/>
          <w:iCs/>
          <w:sz w:val="24"/>
          <w:szCs w:val="24"/>
        </w:rPr>
        <w:t>Journal of Sustainable Tourism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23</w:t>
      </w:r>
      <w:r>
        <w:rPr>
          <w:rFonts w:ascii="Times New Roman" w:eastAsia="Times New Roman" w:hAnsi="Times New Roman" w:cs="Times New Roman"/>
          <w:sz w:val="24"/>
          <w:szCs w:val="24"/>
        </w:rPr>
        <w:t>(5), 639–659.</w:t>
      </w:r>
      <w:r>
        <w:rPr>
          <w:rFonts w:ascii="Times New Roman" w:eastAsia="Times New Roman" w:hAnsi="Times New Roman" w:cs="Times New Roman"/>
          <w:sz w:val="24"/>
          <w:szCs w:val="24"/>
        </w:rPr>
        <w:br/>
      </w:r>
      <w:hyperlink r:id="rId13">
        <w:r>
          <w:rPr>
            <w:rFonts w:ascii="Times New Roman" w:eastAsia="Times New Roman" w:hAnsi="Times New Roman" w:cs="Times New Roman"/>
            <w:color w:val="1155CC"/>
            <w:sz w:val="24"/>
            <w:szCs w:val="24"/>
            <w:u w:val="single"/>
          </w:rPr>
          <w:t>https://doi.org/10.1080/09669582.2014.1</w:t>
        </w:r>
        <w:r>
          <w:rPr>
            <w:rFonts w:ascii="Times New Roman" w:eastAsia="Times New Roman" w:hAnsi="Times New Roman" w:cs="Times New Roman"/>
            <w:color w:val="1155CC"/>
            <w:sz w:val="24"/>
            <w:szCs w:val="24"/>
            <w:u w:val="single"/>
          </w:rPr>
          <w:t>001860</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S., Scott, D., &amp; Hall, C. M. (2015). Inter-market variability in CO₂ emission-intensities in tourism: Implications for destination marketing and carbon management. </w:t>
      </w:r>
      <w:r>
        <w:rPr>
          <w:rFonts w:ascii="Times New Roman" w:eastAsia="Times New Roman" w:hAnsi="Times New Roman" w:cs="Times New Roman"/>
          <w:i/>
          <w:iCs/>
          <w:sz w:val="24"/>
          <w:szCs w:val="24"/>
        </w:rPr>
        <w:t>Tourism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lastRenderedPageBreak/>
        <w:t>46</w:t>
      </w:r>
      <w:r>
        <w:rPr>
          <w:rFonts w:ascii="Times New Roman" w:eastAsia="Times New Roman" w:hAnsi="Times New Roman" w:cs="Times New Roman"/>
          <w:sz w:val="24"/>
          <w:szCs w:val="24"/>
        </w:rPr>
        <w:t>, 203–212.</w:t>
      </w:r>
      <w:r>
        <w:rPr>
          <w:rFonts w:ascii="Times New Roman" w:eastAsia="Times New Roman" w:hAnsi="Times New Roman" w:cs="Times New Roman"/>
          <w:sz w:val="24"/>
          <w:szCs w:val="24"/>
        </w:rPr>
        <w:br/>
      </w:r>
      <w:hyperlink r:id="rId14">
        <w:r>
          <w:rPr>
            <w:rFonts w:ascii="Times New Roman" w:eastAsia="Times New Roman" w:hAnsi="Times New Roman" w:cs="Times New Roman"/>
            <w:color w:val="1155CC"/>
            <w:sz w:val="24"/>
            <w:szCs w:val="24"/>
            <w:u w:val="single"/>
          </w:rPr>
          <w:t>https://doi.org/10.1016/j.tourman.2014.06.021</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Haddad, A. J., Mondal, A., &amp; Bhat, C. R. (2023). Eat-in or eat-out? A joint model to analyze the new landscape of dinner meal preferences. </w:t>
      </w:r>
      <w:r>
        <w:rPr>
          <w:rFonts w:ascii="Times New Roman" w:eastAsia="Times New Roman" w:hAnsi="Times New Roman" w:cs="Times New Roman"/>
          <w:i/>
          <w:iCs/>
          <w:sz w:val="24"/>
          <w:szCs w:val="24"/>
        </w:rPr>
        <w:t>Transpor</w:t>
      </w:r>
      <w:r>
        <w:rPr>
          <w:rFonts w:ascii="Times New Roman" w:eastAsia="Times New Roman" w:hAnsi="Times New Roman" w:cs="Times New Roman"/>
          <w:i/>
          <w:iCs/>
          <w:sz w:val="24"/>
          <w:szCs w:val="24"/>
        </w:rPr>
        <w:t>tation Research Part C: Emerging Technologies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147</w:t>
      </w:r>
      <w:r>
        <w:rPr>
          <w:rFonts w:ascii="Times New Roman" w:eastAsia="Times New Roman" w:hAnsi="Times New Roman" w:cs="Times New Roman"/>
          <w:sz w:val="24"/>
          <w:szCs w:val="24"/>
        </w:rPr>
        <w:t>, 104016.</w:t>
      </w:r>
      <w:r>
        <w:rPr>
          <w:rFonts w:ascii="Times New Roman" w:eastAsia="Times New Roman" w:hAnsi="Times New Roman" w:cs="Times New Roman"/>
          <w:sz w:val="24"/>
          <w:szCs w:val="24"/>
        </w:rPr>
        <w:br/>
      </w:r>
      <w:hyperlink r:id="rId15">
        <w:r>
          <w:rPr>
            <w:rFonts w:ascii="Times New Roman" w:eastAsia="Times New Roman" w:hAnsi="Times New Roman" w:cs="Times New Roman"/>
            <w:color w:val="1155CC"/>
            <w:sz w:val="24"/>
            <w:szCs w:val="24"/>
            <w:u w:val="single"/>
          </w:rPr>
          <w:t>https://doi.org/10.1016/j.trc.2023.104016</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International Monetary Fund. (2023). </w:t>
      </w:r>
      <w:r>
        <w:rPr>
          <w:rFonts w:ascii="Times New Roman" w:eastAsia="Times New Roman" w:hAnsi="Times New Roman" w:cs="Times New Roman"/>
          <w:i/>
          <w:iCs/>
          <w:sz w:val="24"/>
          <w:szCs w:val="24"/>
        </w:rPr>
        <w:t>Inequality and poverty in India: Impact of COVID-19 pand</w:t>
      </w:r>
      <w:r>
        <w:rPr>
          <w:rFonts w:ascii="Times New Roman" w:eastAsia="Times New Roman" w:hAnsi="Times New Roman" w:cs="Times New Roman"/>
          <w:i/>
          <w:iCs/>
          <w:sz w:val="24"/>
          <w:szCs w:val="24"/>
        </w:rPr>
        <w:t>emic and policy response</w:t>
      </w:r>
      <w:r>
        <w:rPr>
          <w:rFonts w:ascii="Times New Roman" w:eastAsia="Times New Roman" w:hAnsi="Times New Roman" w:cs="Times New Roman"/>
          <w:sz w:val="24"/>
          <w:szCs w:val="24"/>
        </w:rPr>
        <w:t xml:space="preserve"> (IMF Working Paper No. 2023/147).</w:t>
      </w:r>
      <w:r>
        <w:rPr>
          <w:rFonts w:ascii="Times New Roman" w:eastAsia="Times New Roman" w:hAnsi="Times New Roman" w:cs="Times New Roman"/>
          <w:sz w:val="24"/>
          <w:szCs w:val="24"/>
        </w:rPr>
        <w:br/>
      </w:r>
      <w:hyperlink r:id="rId16">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.imf.org/en/Publications/WP/Issues/2023/07/20/Inequality-and-Poverty-in-India-Impact-of-COVID-19-Pandemic-and-Policy-Response-535908</w:t>
        </w:r>
      </w:hyperlink>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Jackson, T. (2009). </w:t>
      </w:r>
      <w:r>
        <w:rPr>
          <w:rFonts w:ascii="Times New Roman" w:eastAsia="Times New Roman" w:hAnsi="Times New Roman" w:cs="Times New Roman"/>
          <w:i/>
          <w:iCs/>
          <w:sz w:val="24"/>
          <w:szCs w:val="24"/>
        </w:rPr>
        <w:t>Prosperity without growth: Economics for a finite planet</w:t>
      </w:r>
      <w:r>
        <w:rPr>
          <w:rFonts w:ascii="Times New Roman" w:eastAsia="Times New Roman" w:hAnsi="Times New Roman" w:cs="Times New Roman"/>
          <w:sz w:val="24"/>
          <w:szCs w:val="24"/>
        </w:rPr>
        <w:t>. Earthscan.</w:t>
      </w:r>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N. (2025). Sustainab</w:t>
      </w:r>
      <w:r>
        <w:rPr>
          <w:rFonts w:ascii="Times New Roman" w:eastAsia="Times New Roman" w:hAnsi="Times New Roman" w:cs="Times New Roman"/>
          <w:sz w:val="24"/>
          <w:szCs w:val="24"/>
        </w:rPr>
        <w:t xml:space="preserve">le health financing and resource allocation: An empirical analysis of urban households in Mumbai (2022–2025). </w:t>
      </w:r>
      <w:proofErr w:type="spellStart"/>
      <w:r>
        <w:rPr>
          <w:rFonts w:ascii="Times New Roman" w:eastAsia="Times New Roman" w:hAnsi="Times New Roman" w:cs="Times New Roman"/>
          <w:i/>
          <w:iCs/>
          <w:sz w:val="24"/>
          <w:szCs w:val="24"/>
        </w:rPr>
        <w:t>Shanlax</w:t>
      </w:r>
      <w:proofErr w:type="spellEnd"/>
      <w:r>
        <w:rPr>
          <w:rFonts w:ascii="Times New Roman" w:eastAsia="Times New Roman" w:hAnsi="Times New Roman" w:cs="Times New Roman"/>
          <w:i/>
          <w:iCs/>
          <w:sz w:val="24"/>
          <w:szCs w:val="24"/>
        </w:rPr>
        <w:t xml:space="preserve"> International Journal of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(1), 1–15.</w:t>
      </w:r>
      <w:r>
        <w:rPr>
          <w:rFonts w:ascii="Times New Roman" w:eastAsia="Times New Roman" w:hAnsi="Times New Roman" w:cs="Times New Roman"/>
          <w:sz w:val="24"/>
          <w:szCs w:val="24"/>
        </w:rPr>
        <w:br/>
      </w:r>
      <w:hyperlink r:id="rId17">
        <w:r>
          <w:rPr>
            <w:rFonts w:ascii="Times New Roman" w:eastAsia="Times New Roman" w:hAnsi="Times New Roman" w:cs="Times New Roman"/>
            <w:color w:val="1155CC"/>
            <w:sz w:val="24"/>
            <w:szCs w:val="24"/>
            <w:u w:val="single"/>
          </w:rPr>
          <w:t>https://doi.org/10.34293/eco.v</w:t>
        </w:r>
        <w:r>
          <w:rPr>
            <w:rFonts w:ascii="Times New Roman" w:eastAsia="Times New Roman" w:hAnsi="Times New Roman" w:cs="Times New Roman"/>
            <w:color w:val="1155CC"/>
            <w:sz w:val="24"/>
            <w:szCs w:val="24"/>
            <w:u w:val="single"/>
          </w:rPr>
          <w:t>14i1.9720</w:t>
        </w:r>
      </w:hyperlink>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Lorek</w:t>
      </w:r>
      <w:proofErr w:type="spellEnd"/>
      <w:r>
        <w:rPr>
          <w:rFonts w:ascii="Times New Roman" w:eastAsia="Times New Roman" w:hAnsi="Times New Roman" w:cs="Times New Roman"/>
          <w:sz w:val="24"/>
          <w:szCs w:val="24"/>
        </w:rPr>
        <w:t xml:space="preserve">, S., &amp; Fuchs, D. (2013). Strong sustainable consumption governance: Precondition for a degrowth path? </w:t>
      </w:r>
      <w:r>
        <w:rPr>
          <w:rFonts w:ascii="Times New Roman" w:eastAsia="Times New Roman" w:hAnsi="Times New Roman" w:cs="Times New Roman"/>
          <w:i/>
          <w:iCs/>
          <w:sz w:val="24"/>
          <w:szCs w:val="24"/>
        </w:rPr>
        <w:t>Journal of Cleaner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38</w:t>
      </w:r>
      <w:r>
        <w:rPr>
          <w:rFonts w:ascii="Times New Roman" w:eastAsia="Times New Roman" w:hAnsi="Times New Roman" w:cs="Times New Roman"/>
          <w:sz w:val="24"/>
          <w:szCs w:val="24"/>
        </w:rPr>
        <w:t>, 36–43.</w:t>
      </w:r>
      <w:r>
        <w:rPr>
          <w:rFonts w:ascii="Times New Roman" w:eastAsia="Times New Roman" w:hAnsi="Times New Roman" w:cs="Times New Roman"/>
          <w:sz w:val="24"/>
          <w:szCs w:val="24"/>
        </w:rPr>
        <w:br/>
      </w:r>
      <w:hyperlink r:id="rId18">
        <w:r>
          <w:rPr>
            <w:rFonts w:ascii="Times New Roman" w:eastAsia="Times New Roman" w:hAnsi="Times New Roman" w:cs="Times New Roman"/>
            <w:color w:val="1155CC"/>
            <w:sz w:val="24"/>
            <w:szCs w:val="24"/>
            <w:u w:val="single"/>
          </w:rPr>
          <w:t>https://doi.org/10.1016/j.jclep</w:t>
        </w:r>
        <w:r>
          <w:rPr>
            <w:rFonts w:ascii="Times New Roman" w:eastAsia="Times New Roman" w:hAnsi="Times New Roman" w:cs="Times New Roman"/>
            <w:color w:val="1155CC"/>
            <w:sz w:val="24"/>
            <w:szCs w:val="24"/>
            <w:u w:val="single"/>
          </w:rPr>
          <w:t>ro.2011.08.008</w:t>
        </w:r>
      </w:hyperlink>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NITI Aayog. (2022). </w:t>
      </w:r>
      <w:r>
        <w:rPr>
          <w:rFonts w:ascii="Times New Roman" w:eastAsia="Times New Roman" w:hAnsi="Times New Roman" w:cs="Times New Roman"/>
          <w:i/>
          <w:iCs/>
          <w:sz w:val="24"/>
          <w:szCs w:val="24"/>
        </w:rPr>
        <w:t>India’s long-term low emissions development strategy</w:t>
      </w:r>
      <w:r>
        <w:rPr>
          <w:rFonts w:ascii="Times New Roman" w:eastAsia="Times New Roman" w:hAnsi="Times New Roman" w:cs="Times New Roman"/>
          <w:sz w:val="24"/>
          <w:szCs w:val="24"/>
        </w:rPr>
        <w:t>. Government of India.</w:t>
      </w:r>
    </w:p>
    <w:p w:rsidR="00946005" w:rsidRDefault="006B79D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Varma, S., &amp; </w:t>
      </w:r>
      <w:proofErr w:type="spellStart"/>
      <w:r>
        <w:rPr>
          <w:rFonts w:ascii="Times New Roman" w:eastAsia="Times New Roman" w:hAnsi="Times New Roman" w:cs="Times New Roman"/>
          <w:sz w:val="24"/>
          <w:szCs w:val="24"/>
        </w:rPr>
        <w:t>Sutradhar</w:t>
      </w:r>
      <w:proofErr w:type="spellEnd"/>
      <w:r>
        <w:rPr>
          <w:rFonts w:ascii="Times New Roman" w:eastAsia="Times New Roman" w:hAnsi="Times New Roman" w:cs="Times New Roman"/>
          <w:sz w:val="24"/>
          <w:szCs w:val="24"/>
        </w:rPr>
        <w:t xml:space="preserve">, R. (2023). Food and communities in post-COVID-19 cities: Case of India. </w:t>
      </w:r>
      <w:r>
        <w:rPr>
          <w:rFonts w:ascii="Times New Roman" w:eastAsia="Times New Roman" w:hAnsi="Times New Roman" w:cs="Times New Roman"/>
          <w:i/>
          <w:iCs/>
          <w:sz w:val="24"/>
          <w:szCs w:val="24"/>
        </w:rPr>
        <w:t>Urban Governance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(2), 97–105.</w:t>
      </w:r>
      <w:r>
        <w:rPr>
          <w:rFonts w:ascii="Times New Roman" w:eastAsia="Times New Roman" w:hAnsi="Times New Roman" w:cs="Times New Roman"/>
          <w:sz w:val="24"/>
          <w:szCs w:val="24"/>
        </w:rPr>
        <w:br/>
      </w:r>
      <w:hyperlink r:id="rId19">
        <w:r>
          <w:rPr>
            <w:rFonts w:ascii="Times New Roman" w:eastAsia="Times New Roman" w:hAnsi="Times New Roman" w:cs="Times New Roman"/>
            <w:color w:val="1155CC"/>
            <w:sz w:val="24"/>
            <w:szCs w:val="24"/>
            <w:u w:val="single"/>
          </w:rPr>
          <w:t>https://www.ncbi.nlm.nih.gov/pmc/articles/PMC10030441/</w:t>
        </w:r>
      </w:hyperlink>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R., et al. (2024). Analyzing the impact of COVID-19 on consumption: Sectoral recession and recovery patterns. </w:t>
      </w:r>
      <w:r>
        <w:rPr>
          <w:rFonts w:ascii="Times New Roman" w:eastAsia="Times New Roman" w:hAnsi="Times New Roman" w:cs="Times New Roman"/>
          <w:i/>
          <w:iCs/>
          <w:sz w:val="24"/>
          <w:szCs w:val="24"/>
        </w:rPr>
        <w:t>Scientific Reports</w:t>
      </w:r>
      <w:r>
        <w:rPr>
          <w:rFonts w:ascii="Times New Roman" w:eastAsia="Times New Roman" w:hAnsi="Times New Roman" w:cs="Times New Roman"/>
          <w:sz w:val="24"/>
          <w:szCs w:val="24"/>
        </w:rPr>
        <w:t>.</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Dvara</w:t>
      </w:r>
      <w:proofErr w:type="spellEnd"/>
      <w:r>
        <w:rPr>
          <w:rFonts w:ascii="Times New Roman" w:eastAsia="Times New Roman" w:hAnsi="Times New Roman" w:cs="Times New Roman"/>
          <w:sz w:val="24"/>
          <w:szCs w:val="24"/>
        </w:rPr>
        <w:t xml:space="preserve"> Research. (2024). </w:t>
      </w:r>
      <w:r>
        <w:rPr>
          <w:rFonts w:ascii="Times New Roman" w:eastAsia="Times New Roman" w:hAnsi="Times New Roman" w:cs="Times New Roman"/>
          <w:i/>
          <w:iCs/>
          <w:sz w:val="24"/>
          <w:szCs w:val="24"/>
        </w:rPr>
        <w:t>How have household balance sheets changed post the pandemic? A descriptive analysis using CMIE-CPHS (2021–2023)</w:t>
      </w:r>
      <w:r>
        <w:rPr>
          <w:rFonts w:ascii="Times New Roman" w:eastAsia="Times New Roman" w:hAnsi="Times New Roman" w:cs="Times New Roman"/>
          <w:sz w:val="24"/>
          <w:szCs w:val="24"/>
        </w:rPr>
        <w:t>.</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Jagannarayan</w:t>
      </w:r>
      <w:proofErr w:type="spellEnd"/>
      <w:r>
        <w:rPr>
          <w:rFonts w:ascii="Times New Roman" w:eastAsia="Times New Roman" w:hAnsi="Times New Roman" w:cs="Times New Roman"/>
          <w:sz w:val="24"/>
          <w:szCs w:val="24"/>
        </w:rPr>
        <w:t xml:space="preserve">, N. (2023). </w:t>
      </w:r>
      <w:r>
        <w:rPr>
          <w:rFonts w:ascii="Times New Roman" w:eastAsia="Times New Roman" w:hAnsi="Times New Roman" w:cs="Times New Roman"/>
          <w:i/>
          <w:iCs/>
          <w:sz w:val="24"/>
          <w:szCs w:val="24"/>
        </w:rPr>
        <w:t>Household size and consumption expenditure in Maharashtra</w:t>
      </w:r>
      <w:r>
        <w:rPr>
          <w:rFonts w:ascii="Times New Roman" w:eastAsia="Times New Roman" w:hAnsi="Times New Roman" w:cs="Times New Roman"/>
          <w:sz w:val="24"/>
          <w:szCs w:val="24"/>
        </w:rPr>
        <w:t>. SSRN Working Paper.</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Kaicker</w:t>
      </w:r>
      <w:proofErr w:type="spellEnd"/>
      <w:r>
        <w:rPr>
          <w:rFonts w:ascii="Times New Roman" w:eastAsia="Times New Roman" w:hAnsi="Times New Roman" w:cs="Times New Roman"/>
          <w:sz w:val="24"/>
          <w:szCs w:val="24"/>
        </w:rPr>
        <w:t xml:space="preserve">, N. (2024). Recreation and social obligations during COVID in India. </w:t>
      </w:r>
      <w:r>
        <w:rPr>
          <w:rFonts w:ascii="Times New Roman" w:eastAsia="Times New Roman" w:hAnsi="Times New Roman" w:cs="Times New Roman"/>
          <w:i/>
          <w:iCs/>
          <w:sz w:val="24"/>
          <w:szCs w:val="24"/>
        </w:rPr>
        <w:t>Review of Development Economics, 28</w:t>
      </w:r>
      <w:r>
        <w:rPr>
          <w:rFonts w:ascii="Times New Roman" w:eastAsia="Times New Roman" w:hAnsi="Times New Roman" w:cs="Times New Roman"/>
          <w:sz w:val="24"/>
          <w:szCs w:val="24"/>
        </w:rPr>
        <w:t>(2), 527–543.</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KPMG International. (2024). </w:t>
      </w:r>
      <w:r>
        <w:rPr>
          <w:rFonts w:ascii="Times New Roman" w:eastAsia="Times New Roman" w:hAnsi="Times New Roman" w:cs="Times New Roman"/>
          <w:i/>
          <w:iCs/>
          <w:sz w:val="24"/>
          <w:szCs w:val="24"/>
        </w:rPr>
        <w:t>Global Leisure Perspectives 2024</w:t>
      </w:r>
      <w:r>
        <w:rPr>
          <w:rFonts w:ascii="Times New Roman" w:eastAsia="Times New Roman" w:hAnsi="Times New Roman" w:cs="Times New Roman"/>
          <w:sz w:val="24"/>
          <w:szCs w:val="24"/>
        </w:rPr>
        <w:t>.</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Ministry of Statistics and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Implementation (</w:t>
      </w:r>
      <w:proofErr w:type="spellStart"/>
      <w:r>
        <w:rPr>
          <w:rFonts w:ascii="Times New Roman" w:eastAsia="Times New Roman" w:hAnsi="Times New Roman" w:cs="Times New Roman"/>
          <w:sz w:val="24"/>
          <w:szCs w:val="24"/>
        </w:rPr>
        <w:t>MoSPI</w:t>
      </w:r>
      <w:proofErr w:type="spellEnd"/>
      <w:r>
        <w:rPr>
          <w:rFonts w:ascii="Times New Roman" w:eastAsia="Times New Roman" w:hAnsi="Times New Roman" w:cs="Times New Roman"/>
          <w:sz w:val="24"/>
          <w:szCs w:val="24"/>
        </w:rPr>
        <w:t>). (2024).</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Household Consumption Expenditure Survey: Fact Sheet 2023–24</w:t>
      </w:r>
      <w:r>
        <w:rPr>
          <w:rFonts w:ascii="Times New Roman" w:eastAsia="Times New Roman" w:hAnsi="Times New Roman" w:cs="Times New Roman"/>
          <w:sz w:val="24"/>
          <w:szCs w:val="24"/>
        </w:rPr>
        <w:t>.</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Information Bureau. (2024). </w:t>
      </w:r>
      <w:r>
        <w:rPr>
          <w:rFonts w:ascii="Times New Roman" w:eastAsia="Times New Roman" w:hAnsi="Times New Roman" w:cs="Times New Roman"/>
          <w:i/>
          <w:iCs/>
          <w:sz w:val="24"/>
          <w:szCs w:val="24"/>
        </w:rPr>
        <w:t>Household Consumption Expenditure Survey 2023–24: Key findings</w:t>
      </w:r>
      <w:r>
        <w:rPr>
          <w:rFonts w:ascii="Times New Roman" w:eastAsia="Times New Roman" w:hAnsi="Times New Roman" w:cs="Times New Roman"/>
          <w:sz w:val="24"/>
          <w:szCs w:val="24"/>
        </w:rPr>
        <w:t>.</w:t>
      </w:r>
    </w:p>
    <w:p w:rsidR="00946005" w:rsidRDefault="006B79D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Reuters. (2024). India household spending on non-food items rises as urban–rural gap narrows.</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umman</w:t>
      </w:r>
      <w:proofErr w:type="spellEnd"/>
      <w:r>
        <w:rPr>
          <w:rFonts w:ascii="Times New Roman" w:eastAsia="Times New Roman" w:hAnsi="Times New Roman" w:cs="Times New Roman"/>
          <w:sz w:val="24"/>
          <w:szCs w:val="24"/>
        </w:rPr>
        <w:t xml:space="preserve">, A., et al. (2024). Changes in tobacco and alcohol consumption during the COVID-19 pandemic in India. </w:t>
      </w:r>
      <w:r>
        <w:rPr>
          <w:rFonts w:ascii="Times New Roman" w:eastAsia="Times New Roman" w:hAnsi="Times New Roman" w:cs="Times New Roman"/>
          <w:i/>
          <w:iCs/>
          <w:sz w:val="24"/>
          <w:szCs w:val="24"/>
        </w:rPr>
        <w:t>BMJ Global Health, 9</w:t>
      </w:r>
      <w:r>
        <w:rPr>
          <w:rFonts w:ascii="Times New Roman" w:eastAsia="Times New Roman" w:hAnsi="Times New Roman" w:cs="Times New Roman"/>
          <w:sz w:val="24"/>
          <w:szCs w:val="24"/>
        </w:rPr>
        <w:t>(11).</w:t>
      </w:r>
    </w:p>
    <w:p w:rsidR="00946005" w:rsidRDefault="006B79DD">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Wanjari</w:t>
      </w:r>
      <w:proofErr w:type="spellEnd"/>
      <w:r>
        <w:rPr>
          <w:rFonts w:ascii="Times New Roman" w:eastAsia="Times New Roman" w:hAnsi="Times New Roman" w:cs="Times New Roman"/>
          <w:sz w:val="24"/>
          <w:szCs w:val="24"/>
        </w:rPr>
        <w:t xml:space="preserve">, D., et al. (2024). How are young people spending their leisure time? </w:t>
      </w:r>
      <w:r>
        <w:rPr>
          <w:rFonts w:ascii="Times New Roman" w:eastAsia="Times New Roman" w:hAnsi="Times New Roman" w:cs="Times New Roman"/>
          <w:i/>
          <w:iCs/>
          <w:sz w:val="24"/>
          <w:szCs w:val="24"/>
        </w:rPr>
        <w:t>Social Medicine, 17</w:t>
      </w:r>
      <w:r>
        <w:rPr>
          <w:rFonts w:ascii="Times New Roman" w:eastAsia="Times New Roman" w:hAnsi="Times New Roman" w:cs="Times New Roman"/>
          <w:sz w:val="24"/>
          <w:szCs w:val="24"/>
        </w:rPr>
        <w:t>(3), 159–165.</w:t>
      </w:r>
    </w:p>
    <w:p w:rsidR="00946005" w:rsidRDefault="00946005">
      <w:pPr>
        <w:spacing w:before="240" w:after="240" w:line="360" w:lineRule="auto"/>
        <w:jc w:val="both"/>
        <w:rPr>
          <w:rFonts w:ascii="Times New Roman" w:eastAsia="Times New Roman" w:hAnsi="Times New Roman" w:cs="Times New Roman"/>
          <w:color w:val="1155CC"/>
          <w:sz w:val="24"/>
          <w:szCs w:val="24"/>
          <w:u w:val="single"/>
        </w:rPr>
      </w:pPr>
    </w:p>
    <w:p w:rsidR="00946005" w:rsidRDefault="00946005">
      <w:pPr>
        <w:spacing w:before="240" w:after="240"/>
        <w:rPr>
          <w:b/>
          <w:bCs/>
        </w:rPr>
      </w:pPr>
    </w:p>
    <w:p w:rsidR="00946005" w:rsidRDefault="00946005"/>
    <w:sectPr w:rsidR="0094600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9DD" w:rsidRDefault="006B79DD">
      <w:pPr>
        <w:spacing w:line="240" w:lineRule="auto"/>
      </w:pPr>
      <w:r>
        <w:separator/>
      </w:r>
    </w:p>
  </w:endnote>
  <w:endnote w:type="continuationSeparator" w:id="0">
    <w:p w:rsidR="006B79DD" w:rsidRDefault="006B7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F8C08B-D6DE-4360-9945-27C59522DF52}"/>
  </w:font>
  <w:font w:name="Cambria">
    <w:panose1 w:val="02040503050406030204"/>
    <w:charset w:val="00"/>
    <w:family w:val="roman"/>
    <w:pitch w:val="variable"/>
    <w:sig w:usb0="E00006FF" w:usb1="420024FF" w:usb2="02000000" w:usb3="00000000" w:csb0="0000019F" w:csb1="00000000"/>
    <w:embedRegular r:id="rId2" w:fontKey="{FA83A4AF-F9E2-42C6-971B-0D49170A3E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005" w:rsidRDefault="0094600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005" w:rsidRDefault="006B79DD">
    <w:pPr>
      <w:jc w:val="center"/>
    </w:pPr>
    <w:r>
      <w:fldChar w:fldCharType="begin"/>
    </w:r>
    <w:r>
      <w:instrText>PAGE</w:instrText>
    </w:r>
    <w:r w:rsidR="00BB20E8">
      <w:fldChar w:fldCharType="separate"/>
    </w:r>
    <w:r w:rsidR="00BB20E8">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005" w:rsidRDefault="0094600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9DD" w:rsidRDefault="006B79DD">
      <w:pPr>
        <w:spacing w:line="240" w:lineRule="auto"/>
      </w:pPr>
      <w:r>
        <w:separator/>
      </w:r>
    </w:p>
  </w:footnote>
  <w:footnote w:type="continuationSeparator" w:id="0">
    <w:p w:rsidR="006B79DD" w:rsidRDefault="006B79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005" w:rsidRDefault="006B79DD">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005" w:rsidRDefault="006B79D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005" w:rsidRDefault="006B79DD">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84969"/>
    <w:multiLevelType w:val="multilevel"/>
    <w:tmpl w:val="E8E07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DC7B58"/>
    <w:multiLevelType w:val="multilevel"/>
    <w:tmpl w:val="64C2F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D862BD"/>
    <w:multiLevelType w:val="multilevel"/>
    <w:tmpl w:val="8D346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C34524F"/>
    <w:multiLevelType w:val="multilevel"/>
    <w:tmpl w:val="ECFC4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05"/>
    <w:rsid w:val="006B79DD"/>
    <w:rsid w:val="00946005"/>
    <w:rsid w:val="00BB2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41D1040-0DDD-4D15-B79A-B7B91AF0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D61D3"/>
    <w:rPr>
      <w:color w:val="0000FF" w:themeColor="hyperlink"/>
      <w:u w:val="single"/>
    </w:rPr>
  </w:style>
  <w:style w:type="character" w:styleId="UnresolvedMention">
    <w:name w:val="Unresolved Mention"/>
    <w:basedOn w:val="DefaultParagraphFont"/>
    <w:uiPriority w:val="99"/>
    <w:semiHidden/>
    <w:unhideWhenUsed/>
    <w:rsid w:val="00FD61D3"/>
    <w:rPr>
      <w:color w:val="605E5C"/>
      <w:shd w:val="clear" w:color="auto" w:fill="E1DFDD"/>
    </w:rPr>
  </w:style>
  <w:style w:type="paragraph" w:styleId="ListParagraph">
    <w:name w:val="List Paragraph"/>
    <w:basedOn w:val="Normal"/>
    <w:uiPriority w:val="34"/>
    <w:qFormat/>
    <w:rsid w:val="00204742"/>
    <w:pPr>
      <w:ind w:left="720"/>
      <w:contextualSpacing/>
    </w:pPr>
  </w:style>
  <w:style w:type="paragraph" w:styleId="Header">
    <w:name w:val="header"/>
    <w:basedOn w:val="Normal"/>
    <w:link w:val="HeaderChar"/>
    <w:uiPriority w:val="99"/>
    <w:unhideWhenUsed/>
    <w:rsid w:val="006A6C50"/>
    <w:pPr>
      <w:tabs>
        <w:tab w:val="center" w:pos="4680"/>
        <w:tab w:val="right" w:pos="9360"/>
      </w:tabs>
      <w:spacing w:line="240" w:lineRule="auto"/>
    </w:pPr>
  </w:style>
  <w:style w:type="character" w:customStyle="1" w:styleId="HeaderChar">
    <w:name w:val="Header Char"/>
    <w:basedOn w:val="DefaultParagraphFont"/>
    <w:link w:val="Header"/>
    <w:uiPriority w:val="99"/>
    <w:rsid w:val="006A6C50"/>
  </w:style>
  <w:style w:type="paragraph" w:styleId="Footer">
    <w:name w:val="footer"/>
    <w:basedOn w:val="Normal"/>
    <w:link w:val="FooterChar"/>
    <w:uiPriority w:val="99"/>
    <w:unhideWhenUsed/>
    <w:rsid w:val="006A6C50"/>
    <w:pPr>
      <w:tabs>
        <w:tab w:val="center" w:pos="4680"/>
        <w:tab w:val="right" w:pos="9360"/>
      </w:tabs>
      <w:spacing w:line="240" w:lineRule="auto"/>
    </w:pPr>
  </w:style>
  <w:style w:type="character" w:customStyle="1" w:styleId="FooterChar">
    <w:name w:val="Footer Char"/>
    <w:basedOn w:val="DefaultParagraphFont"/>
    <w:link w:val="Footer"/>
    <w:uiPriority w:val="99"/>
    <w:rsid w:val="006A6C50"/>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10559104/" TargetMode="External"/><Relationship Id="rId13" Type="http://schemas.openxmlformats.org/officeDocument/2006/relationships/hyperlink" Target="https://doi.org/10.1080/09669582.2014.1001860" TargetMode="External"/><Relationship Id="rId18" Type="http://schemas.openxmlformats.org/officeDocument/2006/relationships/hyperlink" Target="https://doi.org/10.1016/j.jclepro.2011.08.0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16/j.tourman.2010.04.006" TargetMode="External"/><Relationship Id="rId17" Type="http://schemas.openxmlformats.org/officeDocument/2006/relationships/hyperlink" Target="https://doi.org/10.34293/eco.v14i1.972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mf.org/en/Publications/WP/Issues/2023/07/20/Inequality-and-Poverty-in-India-Impact-of-COVID-19-Pandemic-and-Policy-Response-535908?utm_source=chatgp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973703018793826"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trc.2023.104016" TargetMode="External"/><Relationship Id="rId23" Type="http://schemas.openxmlformats.org/officeDocument/2006/relationships/footer" Target="footer2.xml"/><Relationship Id="rId10" Type="http://schemas.openxmlformats.org/officeDocument/2006/relationships/hyperlink" Target="https://doi.org/10.1016/j.asieco.2023.101607" TargetMode="External"/><Relationship Id="rId19" Type="http://schemas.openxmlformats.org/officeDocument/2006/relationships/hyperlink" Target="https://www.ncbi.nlm.nih.gov/pmc/articles/PMC10030441/" TargetMode="External"/><Relationship Id="rId4" Type="http://schemas.openxmlformats.org/officeDocument/2006/relationships/settings" Target="settings.xml"/><Relationship Id="rId9" Type="http://schemas.openxmlformats.org/officeDocument/2006/relationships/hyperlink" Target="https://doi.org/10.1162/003465397557015" TargetMode="External"/><Relationship Id="rId14" Type="http://schemas.openxmlformats.org/officeDocument/2006/relationships/hyperlink" Target="https://doi.org/10.1016/j.tourman.2014.06.021"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XW5gbNkteW58bEjMxHQN5baKA==">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7129</Words>
  <Characters>40640</Characters>
  <Application>Microsoft Office Word</Application>
  <DocSecurity>0</DocSecurity>
  <Lines>338</Lines>
  <Paragraphs>95</Paragraphs>
  <ScaleCrop>false</ScaleCrop>
  <Company/>
  <LinksUpToDate>false</LinksUpToDate>
  <CharactersWithSpaces>47674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2</cp:revision>
  <dcterms:created xsi:type="dcterms:W3CDTF">2026-01-13T14:21:00Z</dcterms:created>
  <dcterms:modified xsi:type="dcterms:W3CDTF">2026-01-22T09:54:00Z</dcterms:modified>
</cp:coreProperties>
</file>