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CE1CE" w14:textId="77777777" w:rsidR="00E46DF5" w:rsidRDefault="00633046">
      <w:pPr>
        <w:jc w:val="center"/>
        <w:rPr>
          <w:rFonts w:ascii="Times New Roman" w:hAnsi="Times New Roman" w:cs="Times New Roman"/>
          <w:b/>
          <w:sz w:val="24"/>
        </w:rPr>
      </w:pPr>
      <w:r>
        <w:rPr>
          <w:rFonts w:ascii="Times New Roman" w:hAnsi="Times New Roman" w:cs="Times New Roman"/>
          <w:b/>
          <w:sz w:val="24"/>
        </w:rPr>
        <w:t>AN APPRAISAL OF REMEDIATION PRACTICE ON AGRICULTURAL SOILS AND CROP CULTIVATION IN KDERE, OGONILAND</w:t>
      </w:r>
    </w:p>
    <w:p w14:paraId="48CD287C" w14:textId="77777777" w:rsidR="00E46DF5" w:rsidRDefault="00E46DF5">
      <w:pPr>
        <w:jc w:val="center"/>
        <w:rPr>
          <w:rFonts w:ascii="Times New Roman" w:hAnsi="Times New Roman" w:cs="Times New Roman"/>
          <w:b/>
          <w:sz w:val="24"/>
        </w:rPr>
      </w:pPr>
    </w:p>
    <w:p w14:paraId="0196F1A5" w14:textId="77777777" w:rsidR="00E46DF5" w:rsidRDefault="00633046">
      <w:pPr>
        <w:jc w:val="center"/>
        <w:rPr>
          <w:rFonts w:ascii="Times New Roman" w:hAnsi="Times New Roman" w:cs="Times New Roman"/>
          <w:b/>
          <w:sz w:val="24"/>
        </w:rPr>
      </w:pPr>
      <w:r>
        <w:rPr>
          <w:rFonts w:ascii="Times New Roman" w:hAnsi="Times New Roman" w:cs="Times New Roman"/>
          <w:b/>
          <w:sz w:val="24"/>
        </w:rPr>
        <w:t xml:space="preserve">Abstract </w:t>
      </w:r>
    </w:p>
    <w:p w14:paraId="16C0FD31" w14:textId="77777777" w:rsidR="00E46DF5" w:rsidRDefault="0063304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rFonts w:ascii="Times New Roman" w:hAnsi="Times New Roman" w:cs="Times New Roman"/>
          <w:i/>
          <w:sz w:val="24"/>
        </w:rPr>
      </w:pPr>
      <w:r>
        <w:rPr>
          <w:rFonts w:ascii="Segoe UI"/>
          <w:b/>
          <w:color w:val="212529"/>
          <w:sz w:val="20"/>
          <w:highlight w:val="white"/>
        </w:rPr>
        <w:t>BACKGROUND AND OBJECTIVES</w:t>
      </w:r>
      <w:r>
        <w:rPr>
          <w:rFonts w:ascii="Segoe UI"/>
          <w:b/>
          <w:color w:val="212529"/>
          <w:sz w:val="20"/>
        </w:rPr>
        <w:t xml:space="preserve">: </w:t>
      </w:r>
      <w:r>
        <w:rPr>
          <w:rFonts w:ascii="Times New Roman" w:hAnsi="Times New Roman" w:cs="Times New Roman"/>
          <w:i/>
          <w:sz w:val="24"/>
        </w:rPr>
        <w:t>This study investigated the effectiveness of remediation practices on agricultural soils and crop cultivation in Ogoni, Rivers State, Nigeria, with emphasis on soil fertility and physicochem</w:t>
      </w:r>
      <w:r>
        <w:rPr>
          <w:rFonts w:ascii="Times New Roman" w:hAnsi="Times New Roman" w:cs="Times New Roman"/>
          <w:i/>
          <w:sz w:val="24"/>
        </w:rPr>
        <w:t>ical suitability for agriculture. The aim was to comparatively evaluate essential mineral elements and key soil properties in remediated and non-remediated farmlands to determine whether remediation restored agronomic functionality beyond contaminant reduc</w:t>
      </w:r>
      <w:r>
        <w:rPr>
          <w:rFonts w:ascii="Times New Roman" w:hAnsi="Times New Roman" w:cs="Times New Roman"/>
          <w:i/>
          <w:sz w:val="24"/>
        </w:rPr>
        <w:t xml:space="preserve">tion. </w:t>
      </w:r>
    </w:p>
    <w:p w14:paraId="04BE07C3" w14:textId="77777777" w:rsidR="00E46DF5" w:rsidRDefault="0063304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rFonts w:ascii="Times New Roman" w:hAnsi="Times New Roman" w:cs="Times New Roman"/>
          <w:i/>
          <w:sz w:val="24"/>
        </w:rPr>
      </w:pPr>
      <w:r>
        <w:rPr>
          <w:rFonts w:ascii="Segoe UI"/>
          <w:b/>
          <w:color w:val="212529"/>
          <w:sz w:val="20"/>
          <w:highlight w:val="white"/>
        </w:rPr>
        <w:t>METHODS</w:t>
      </w:r>
      <w:r>
        <w:rPr>
          <w:rFonts w:ascii="Segoe UI"/>
          <w:color w:val="000000"/>
          <w:sz w:val="18"/>
        </w:rPr>
        <w:t xml:space="preserve"> : </w:t>
      </w:r>
      <w:r>
        <w:rPr>
          <w:rFonts w:ascii="Times New Roman" w:hAnsi="Times New Roman" w:cs="Times New Roman"/>
          <w:i/>
          <w:sz w:val="24"/>
        </w:rPr>
        <w:t>Topsoil samples (0–15 cm) were collected from remediated and non-remediated sites in K-Dere community and analysed using standard laboratory procedures. Soil pH and electrical conductivity were measured using calibrated digital pH and cond</w:t>
      </w:r>
      <w:r>
        <w:rPr>
          <w:rFonts w:ascii="Times New Roman" w:hAnsi="Times New Roman" w:cs="Times New Roman"/>
          <w:i/>
          <w:sz w:val="24"/>
        </w:rPr>
        <w:t>uctivity meters, while moisture content was determined by oven drying at 105 °C. Particle size distribution was assessed using the hydrometer method, and porosity was derived from bulk density relationships. Total organic matter was analysed by the Walkley</w:t>
      </w:r>
      <w:r>
        <w:rPr>
          <w:rFonts w:ascii="Times New Roman" w:hAnsi="Times New Roman" w:cs="Times New Roman"/>
          <w:i/>
          <w:sz w:val="24"/>
        </w:rPr>
        <w:t>–Black wet oxidation method, and cation exchange capacity was determined through ammonium acetate extraction followed by titration. For mineral analysis, nitrogen was measured using the Kjeldahl digestion apparatus, available phosphorus was determined calo</w:t>
      </w:r>
      <w:r>
        <w:rPr>
          <w:rFonts w:ascii="Times New Roman" w:hAnsi="Times New Roman" w:cs="Times New Roman"/>
          <w:i/>
          <w:sz w:val="24"/>
        </w:rPr>
        <w:t xml:space="preserve">rimetrically with a UV–visible spectrophotometer, potassium and calcium were analysed using a flame photometer, and magnesium, zinc, copper, and iron were quantified using atomic absorption spectrophotometry. Sulphate was measured turbidimetrically. </w:t>
      </w:r>
    </w:p>
    <w:p w14:paraId="093C8358" w14:textId="77777777" w:rsidR="00E46DF5" w:rsidRDefault="0063304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rFonts w:ascii="Times New Roman" w:hAnsi="Times New Roman" w:cs="Times New Roman"/>
          <w:i/>
          <w:sz w:val="24"/>
        </w:rPr>
      </w:pPr>
      <w:r>
        <w:rPr>
          <w:rFonts w:ascii="Segoe UI"/>
          <w:b/>
          <w:color w:val="212529"/>
          <w:sz w:val="20"/>
          <w:highlight w:val="white"/>
        </w:rPr>
        <w:t>FINDI</w:t>
      </w:r>
      <w:r>
        <w:rPr>
          <w:rFonts w:ascii="Segoe UI"/>
          <w:b/>
          <w:color w:val="212529"/>
          <w:sz w:val="20"/>
          <w:highlight w:val="white"/>
        </w:rPr>
        <w:t>NGS:</w:t>
      </w:r>
      <w:r>
        <w:rPr>
          <w:rFonts w:ascii="Segoe UI"/>
          <w:color w:val="000000"/>
          <w:sz w:val="18"/>
        </w:rPr>
        <w:t xml:space="preserve"> </w:t>
      </w:r>
      <w:r>
        <w:rPr>
          <w:rFonts w:ascii="Times New Roman" w:hAnsi="Times New Roman" w:cs="Times New Roman"/>
          <w:i/>
          <w:sz w:val="24"/>
        </w:rPr>
        <w:t xml:space="preserve"> Stable soil pH (6.23–6.21), declined electrical conductivity (98 - 60 µS/cm), and increased porosity (45 % - 49 %) within recommended limits were recorded. Increase in soil nitrogen (0.029 mg/kg &lt;0.053 mg/kg), phosphorus (0.15 mg/kg - 0.90 mg/kg) and</w:t>
      </w:r>
      <w:r>
        <w:rPr>
          <w:rFonts w:ascii="Times New Roman" w:hAnsi="Times New Roman" w:cs="Times New Roman"/>
          <w:i/>
          <w:sz w:val="24"/>
        </w:rPr>
        <w:t xml:space="preserve"> total organic matter (TOM:  0.579 % -1.064 %,) were observed between non-remediated and  remediated soils. Remediation practice declined  potassium levels (42.93 mg/kg - 9.74 mg/kg), magnesium (27.28 mg/kg - 16.03 mg/kg, and cation exchange capacity from </w:t>
      </w:r>
      <w:r>
        <w:rPr>
          <w:rFonts w:ascii="Times New Roman" w:hAnsi="Times New Roman" w:cs="Times New Roman"/>
          <w:i/>
          <w:sz w:val="24"/>
        </w:rPr>
        <w:t xml:space="preserve">0.569 - 0.369 meq/100 g),  Zinc and copper also decreased but remained within acceptable ranges. </w:t>
      </w:r>
    </w:p>
    <w:p w14:paraId="71878B57" w14:textId="77777777" w:rsidR="00E46DF5" w:rsidRDefault="0063304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rFonts w:ascii="Times New Roman" w:hAnsi="Times New Roman" w:cs="Times New Roman"/>
          <w:i/>
          <w:sz w:val="24"/>
        </w:rPr>
      </w:pPr>
      <w:r>
        <w:rPr>
          <w:rFonts w:ascii="Segoe UI"/>
          <w:b/>
          <w:color w:val="212529"/>
          <w:sz w:val="20"/>
          <w:highlight w:val="white"/>
        </w:rPr>
        <w:t>CONCLUSION</w:t>
      </w:r>
      <w:r>
        <w:rPr>
          <w:rFonts w:ascii="Segoe UI"/>
          <w:color w:val="000000"/>
          <w:sz w:val="18"/>
        </w:rPr>
        <w:t xml:space="preserve"> : </w:t>
      </w:r>
      <w:r>
        <w:rPr>
          <w:rFonts w:ascii="Times New Roman" w:hAnsi="Times New Roman" w:cs="Times New Roman"/>
          <w:i/>
          <w:sz w:val="24"/>
        </w:rPr>
        <w:t xml:space="preserve"> Remediation improved soil condition and restored several parameters to acceptable agronomic levels, but reductions in potassium, magnesium, and </w:t>
      </w:r>
      <w:r>
        <w:rPr>
          <w:rFonts w:ascii="Times New Roman" w:hAnsi="Times New Roman" w:cs="Times New Roman"/>
          <w:i/>
          <w:sz w:val="24"/>
        </w:rPr>
        <w:t>cation exchange capacity indicate potential nutrient limitations. Targeted nutrient supplementation, continued organic amendment, and regular soil monitoring are therefore recommended to sustain crop productivity on remediated Ogoni farmlands.</w:t>
      </w:r>
    </w:p>
    <w:p w14:paraId="77F96BEB" w14:textId="77777777" w:rsidR="00E46DF5" w:rsidRDefault="00633046">
      <w:pPr>
        <w:jc w:val="left"/>
        <w:rPr>
          <w:rFonts w:ascii="Times New Roman" w:hAnsi="Times New Roman" w:cs="Times New Roman"/>
          <w:b/>
          <w:sz w:val="24"/>
        </w:rPr>
      </w:pPr>
      <w:r>
        <w:rPr>
          <w:rFonts w:ascii="Times New Roman" w:hAnsi="Times New Roman" w:cs="Times New Roman"/>
          <w:b/>
          <w:sz w:val="24"/>
        </w:rPr>
        <w:t>Keywords: So</w:t>
      </w:r>
      <w:r>
        <w:rPr>
          <w:rFonts w:ascii="Times New Roman" w:hAnsi="Times New Roman" w:cs="Times New Roman"/>
          <w:b/>
          <w:sz w:val="24"/>
        </w:rPr>
        <w:t>il, Remediation, Agriculture, Mineral elements, Soil fertility, Physicochemical properties</w:t>
      </w:r>
    </w:p>
    <w:p w14:paraId="36AE20C4" w14:textId="77777777" w:rsidR="00E46DF5" w:rsidRDefault="00E46DF5">
      <w:pPr>
        <w:jc w:val="center"/>
        <w:rPr>
          <w:rFonts w:ascii="Times New Roman" w:hAnsi="Times New Roman" w:cs="Times New Roman"/>
          <w:b/>
          <w:sz w:val="24"/>
        </w:rPr>
      </w:pPr>
    </w:p>
    <w:p w14:paraId="512BC58F" w14:textId="77777777" w:rsidR="00E46DF5" w:rsidRDefault="00E46DF5">
      <w:pPr>
        <w:jc w:val="center"/>
        <w:rPr>
          <w:rFonts w:ascii="Times New Roman" w:hAnsi="Times New Roman" w:cs="Times New Roman"/>
          <w:b/>
          <w:sz w:val="24"/>
        </w:rPr>
      </w:pPr>
    </w:p>
    <w:p w14:paraId="1746EE4C" w14:textId="77777777" w:rsidR="00E46DF5" w:rsidRDefault="00E46DF5">
      <w:pPr>
        <w:jc w:val="center"/>
        <w:rPr>
          <w:rFonts w:ascii="Times New Roman" w:hAnsi="Times New Roman" w:cs="Times New Roman"/>
          <w:b/>
          <w:sz w:val="24"/>
        </w:rPr>
      </w:pPr>
    </w:p>
    <w:p w14:paraId="173089F1" w14:textId="77777777" w:rsidR="00E46DF5" w:rsidRDefault="00E46DF5">
      <w:pPr>
        <w:jc w:val="center"/>
        <w:rPr>
          <w:rFonts w:ascii="Times New Roman" w:hAnsi="Times New Roman" w:cs="Times New Roman"/>
          <w:b/>
          <w:sz w:val="24"/>
        </w:rPr>
      </w:pPr>
    </w:p>
    <w:p w14:paraId="3C289C19" w14:textId="77777777" w:rsidR="00E46DF5" w:rsidRDefault="00E46DF5">
      <w:pPr>
        <w:jc w:val="center"/>
        <w:rPr>
          <w:rFonts w:ascii="Times New Roman" w:hAnsi="Times New Roman" w:cs="Times New Roman"/>
          <w:b/>
          <w:sz w:val="24"/>
        </w:rPr>
      </w:pPr>
    </w:p>
    <w:p w14:paraId="7CF931BC" w14:textId="77777777" w:rsidR="00E46DF5" w:rsidRDefault="00E46DF5">
      <w:pPr>
        <w:rPr>
          <w:rFonts w:ascii="Times New Roman" w:hAnsi="Times New Roman" w:cs="Times New Roman"/>
          <w:b/>
          <w:sz w:val="24"/>
        </w:rPr>
      </w:pPr>
    </w:p>
    <w:p w14:paraId="7EF60483" w14:textId="77777777" w:rsidR="00E46DF5" w:rsidRDefault="00633046">
      <w:pPr>
        <w:pStyle w:val="ListParagraph"/>
        <w:numPr>
          <w:ilvl w:val="0"/>
          <w:numId w:val="1"/>
        </w:numPr>
        <w:spacing w:line="480" w:lineRule="auto"/>
        <w:rPr>
          <w:rFonts w:ascii="Times New Roman" w:hAnsi="Times New Roman" w:cs="Times New Roman"/>
          <w:b/>
          <w:sz w:val="24"/>
        </w:rPr>
      </w:pPr>
      <w:r>
        <w:rPr>
          <w:rFonts w:ascii="Times New Roman" w:hAnsi="Times New Roman" w:cs="Times New Roman"/>
          <w:b/>
          <w:sz w:val="24"/>
        </w:rPr>
        <w:t>Introduction</w:t>
      </w:r>
    </w:p>
    <w:p w14:paraId="3F180250" w14:textId="77777777" w:rsidR="00E46DF5" w:rsidRDefault="00633046">
      <w:pPr>
        <w:spacing w:line="480" w:lineRule="auto"/>
        <w:rPr>
          <w:rFonts w:ascii="Times New Roman" w:hAnsi="Times New Roman" w:cs="Times New Roman"/>
          <w:b/>
          <w:sz w:val="24"/>
        </w:rPr>
      </w:pPr>
      <w:r>
        <w:rPr>
          <w:rFonts w:ascii="Times New Roman" w:hAnsi="Times New Roman" w:cs="Times New Roman"/>
          <w:sz w:val="24"/>
        </w:rPr>
        <w:t xml:space="preserve">Agriculture remains central to livelihoods, food security, and economic stability across Africa, employing over 60% of the continent’s labour </w:t>
      </w:r>
      <w:r>
        <w:rPr>
          <w:rFonts w:ascii="Times New Roman" w:hAnsi="Times New Roman" w:cs="Times New Roman"/>
          <w:sz w:val="24"/>
        </w:rPr>
        <w:t>force and contributing significantly to rural income generation (FAO, 2023). However, agricultural productivity has increasingly been threatened by land degradation driven by industrialization, extractive activities, and environmental mismanagement. Recent</w:t>
      </w:r>
      <w:r>
        <w:rPr>
          <w:rFonts w:ascii="Times New Roman" w:hAnsi="Times New Roman" w:cs="Times New Roman"/>
          <w:sz w:val="24"/>
        </w:rPr>
        <w:t xml:space="preserve"> assessments indicate that more than 45% of Africa’s arable land is affected by soil degradation, with hydrocarbon contamination and heavy metal accumulation emerging as major constraints in oil-producing regions (D’Odorico et al., 2017). Such degradation </w:t>
      </w:r>
      <w:r>
        <w:rPr>
          <w:rFonts w:ascii="Times New Roman" w:hAnsi="Times New Roman" w:cs="Times New Roman"/>
          <w:sz w:val="24"/>
        </w:rPr>
        <w:t>directly alters soil physicochemical properties, disrupts nutrient cycling, and reduces the capacity of soils to support sustainable crop cultivation.</w:t>
      </w:r>
    </w:p>
    <w:p w14:paraId="171D801F" w14:textId="77777777" w:rsidR="00E46DF5" w:rsidRDefault="00633046">
      <w:pPr>
        <w:spacing w:line="480" w:lineRule="auto"/>
        <w:rPr>
          <w:rFonts w:ascii="Times New Roman" w:hAnsi="Times New Roman" w:cs="Times New Roman"/>
          <w:sz w:val="24"/>
        </w:rPr>
      </w:pPr>
      <w:r>
        <w:rPr>
          <w:rFonts w:ascii="Times New Roman" w:hAnsi="Times New Roman" w:cs="Times New Roman"/>
          <w:sz w:val="24"/>
        </w:rPr>
        <w:t>In sub-Saharan Africa, Nigeria presents a particularly critical case. Although agriculture contributes ap</w:t>
      </w:r>
      <w:r>
        <w:rPr>
          <w:rFonts w:ascii="Times New Roman" w:hAnsi="Times New Roman" w:cs="Times New Roman"/>
          <w:sz w:val="24"/>
        </w:rPr>
        <w:t>proximately 24% to Nigeria’s Gross Domestic Product and supports over 70% of the rural population, its productivity has been uneven and regionally constrained (National Bureau of Statistics, 2023). In the Niger Delta, intensive petroleum exploration has re</w:t>
      </w:r>
      <w:r>
        <w:rPr>
          <w:rFonts w:ascii="Times New Roman" w:hAnsi="Times New Roman" w:cs="Times New Roman"/>
          <w:sz w:val="24"/>
        </w:rPr>
        <w:t xml:space="preserve">sulted in widespread environmental degradation, primarily through crude oil spills, gas flaring, and improper disposal of petroleum wastes. These activities have significantly altered soil pH, reduced cation exchange capacity, impaired microbial activity, </w:t>
      </w:r>
      <w:r>
        <w:rPr>
          <w:rFonts w:ascii="Times New Roman" w:hAnsi="Times New Roman" w:cs="Times New Roman"/>
          <w:sz w:val="24"/>
        </w:rPr>
        <w:t>and introduced toxic substances into agricultural soils (Li et al., 2020; Wonodi &amp; Ekpete 2021). The cumulative effect has been declining soil fertility and reduced crop yields, particularly for staple crops such as cassava, maize, and vegetables.</w:t>
      </w:r>
    </w:p>
    <w:p w14:paraId="61C8DC8F" w14:textId="77777777" w:rsidR="00E46DF5" w:rsidRDefault="00633046">
      <w:pPr>
        <w:spacing w:line="480" w:lineRule="auto"/>
        <w:rPr>
          <w:rFonts w:ascii="Times New Roman" w:hAnsi="Times New Roman" w:cs="Times New Roman"/>
          <w:sz w:val="24"/>
        </w:rPr>
      </w:pPr>
      <w:r>
        <w:rPr>
          <w:rFonts w:ascii="Times New Roman" w:hAnsi="Times New Roman" w:cs="Times New Roman"/>
          <w:sz w:val="24"/>
        </w:rPr>
        <w:t>Ogonilan</w:t>
      </w:r>
      <w:r>
        <w:rPr>
          <w:rFonts w:ascii="Times New Roman" w:hAnsi="Times New Roman" w:cs="Times New Roman"/>
          <w:sz w:val="24"/>
        </w:rPr>
        <w:t>d in Rivers State represents one of the most severely impacted agricultural environments in the Niger Delta. Decades of oil-related pollution have rendered extensive farmlands marginal or unsuitable for cultivation. Empirical studies conducted in Ogoni and</w:t>
      </w:r>
      <w:r>
        <w:rPr>
          <w:rFonts w:ascii="Times New Roman" w:hAnsi="Times New Roman" w:cs="Times New Roman"/>
          <w:sz w:val="24"/>
        </w:rPr>
        <w:t xml:space="preserve"> surrounding communities </w:t>
      </w:r>
      <w:r>
        <w:rPr>
          <w:rFonts w:ascii="Times New Roman" w:hAnsi="Times New Roman" w:cs="Times New Roman"/>
          <w:sz w:val="24"/>
        </w:rPr>
        <w:lastRenderedPageBreak/>
        <w:t>report marked depletion of essential soil nutrients such as potassium, magnesium, zinc, and copper, alongside structural degradation characterised by reduced porosity and water-holding capacity (Amaechi et al., 2022). These changes</w:t>
      </w:r>
      <w:r>
        <w:rPr>
          <w:rFonts w:ascii="Times New Roman" w:hAnsi="Times New Roman" w:cs="Times New Roman"/>
          <w:sz w:val="24"/>
        </w:rPr>
        <w:t xml:space="preserve"> compromise root development, nutrient uptake, and overall crop performance, thereby intensifying food insecurity and livelihood vulnerability among smallholder farmers.</w:t>
      </w:r>
    </w:p>
    <w:p w14:paraId="71C235BC" w14:textId="77777777" w:rsidR="00E46DF5" w:rsidRDefault="00633046">
      <w:pPr>
        <w:spacing w:line="480" w:lineRule="auto"/>
        <w:rPr>
          <w:rFonts w:ascii="Times New Roman" w:hAnsi="Times New Roman" w:cs="Times New Roman"/>
          <w:sz w:val="24"/>
        </w:rPr>
      </w:pPr>
      <w:r>
        <w:rPr>
          <w:rFonts w:ascii="Times New Roman" w:hAnsi="Times New Roman" w:cs="Times New Roman"/>
          <w:sz w:val="24"/>
        </w:rPr>
        <w:t>In response to these challenges, soil remediation has become a central strategy for re</w:t>
      </w:r>
      <w:r>
        <w:rPr>
          <w:rFonts w:ascii="Times New Roman" w:hAnsi="Times New Roman" w:cs="Times New Roman"/>
          <w:sz w:val="24"/>
        </w:rPr>
        <w:t>storing oil-contaminated agricultural lands. Remediation practices, including bioremediation, chemical treatment, and organic amendment, are designed to reduce hydrocarbon concentrations while improving soil structure and nutrient dynamics. Several studies</w:t>
      </w:r>
      <w:r>
        <w:rPr>
          <w:rFonts w:ascii="Times New Roman" w:hAnsi="Times New Roman" w:cs="Times New Roman"/>
          <w:sz w:val="24"/>
        </w:rPr>
        <w:t xml:space="preserve"> have reported improvements in soil organic matter, nitrogen availability, and microbial activity following remediation of oil-polluted soils in the Niger Delta (Brown et al., 2017). However, evidence remains inconsistent regarding the recovery of key phys</w:t>
      </w:r>
      <w:r>
        <w:rPr>
          <w:rFonts w:ascii="Times New Roman" w:hAnsi="Times New Roman" w:cs="Times New Roman"/>
          <w:sz w:val="24"/>
        </w:rPr>
        <w:t>icochemical properties critical for agriculture, particularly cation exchange capacity and essential mineral balance. Post-remediation declines in potassium, magnesium, and micronutrients have been documented, raising concerns about the long-term agricultu</w:t>
      </w:r>
      <w:r>
        <w:rPr>
          <w:rFonts w:ascii="Times New Roman" w:hAnsi="Times New Roman" w:cs="Times New Roman"/>
          <w:sz w:val="24"/>
        </w:rPr>
        <w:t>ral suitability of remediated soils (Ejechi and Ozochi 2015).</w:t>
      </w:r>
    </w:p>
    <w:p w14:paraId="42945AB1" w14:textId="77777777" w:rsidR="00E46DF5" w:rsidRDefault="00633046">
      <w:pPr>
        <w:spacing w:line="480" w:lineRule="auto"/>
        <w:rPr>
          <w:rFonts w:ascii="Times New Roman" w:hAnsi="Times New Roman" w:cs="Times New Roman"/>
          <w:sz w:val="24"/>
        </w:rPr>
      </w:pPr>
      <w:r>
        <w:rPr>
          <w:rFonts w:ascii="Times New Roman" w:hAnsi="Times New Roman" w:cs="Times New Roman"/>
          <w:sz w:val="24"/>
        </w:rPr>
        <w:t>Despite the implementation of large-scale restoration initiatives such as the Hydrocarbon Pollution Remediation Project (HYPREP), there remains a limited number of site-specific, empirical studi</w:t>
      </w:r>
      <w:r>
        <w:rPr>
          <w:rFonts w:ascii="Times New Roman" w:hAnsi="Times New Roman" w:cs="Times New Roman"/>
          <w:sz w:val="24"/>
        </w:rPr>
        <w:t xml:space="preserve">es that evaluate remediation success from an agronomic perspective. Most assessments prioritize contaminant reduction without adequately examining essential soil minerals and physicochemical properties that directly influence crop cultivation. </w:t>
      </w:r>
    </w:p>
    <w:p w14:paraId="506819A2" w14:textId="77777777" w:rsidR="00E46DF5" w:rsidRDefault="00633046">
      <w:pPr>
        <w:spacing w:line="480" w:lineRule="auto"/>
        <w:rPr>
          <w:rFonts w:ascii="Times New Roman" w:hAnsi="Times New Roman" w:cs="Times New Roman"/>
          <w:sz w:val="24"/>
        </w:rPr>
      </w:pPr>
      <w:r>
        <w:rPr>
          <w:rFonts w:ascii="Times New Roman" w:hAnsi="Times New Roman" w:cs="Times New Roman"/>
          <w:sz w:val="24"/>
        </w:rPr>
        <w:t xml:space="preserve">In view of </w:t>
      </w:r>
      <w:r>
        <w:rPr>
          <w:rFonts w:ascii="Times New Roman" w:hAnsi="Times New Roman" w:cs="Times New Roman"/>
          <w:sz w:val="24"/>
        </w:rPr>
        <w:t>the foregoing, the present study appraises remediation practices on agricultural soils in K-Dere community, Ogoni, Rivers State. By comparatively analysing essential minerals (N, P, K, Ca, Mg, Zn, Cu, Fe, and S) and physicochemical properties (soil texture</w:t>
      </w:r>
      <w:r>
        <w:rPr>
          <w:rFonts w:ascii="Times New Roman" w:hAnsi="Times New Roman" w:cs="Times New Roman"/>
          <w:sz w:val="24"/>
        </w:rPr>
        <w:t xml:space="preserve">, structure, porosity, </w:t>
      </w:r>
      <w:r>
        <w:rPr>
          <w:rFonts w:ascii="Times New Roman" w:hAnsi="Times New Roman" w:cs="Times New Roman"/>
          <w:sz w:val="24"/>
        </w:rPr>
        <w:lastRenderedPageBreak/>
        <w:t xml:space="preserve">moisture content, pH, organic matter content, and cation exchange capacity) in remediated and non-remediated soils. By focusing on variables central to soil health and crop cultivation, the study provides evidence-based insight into </w:t>
      </w:r>
      <w:r>
        <w:rPr>
          <w:rFonts w:ascii="Times New Roman" w:hAnsi="Times New Roman" w:cs="Times New Roman"/>
          <w:sz w:val="24"/>
        </w:rPr>
        <w:t>the effectiveness of remediation as a pathway for restoring agricultural productivity in oil-impacted regions of Nigeria particularly Ogoni land.</w:t>
      </w:r>
    </w:p>
    <w:p w14:paraId="44AC33D1" w14:textId="77777777" w:rsidR="00E46DF5" w:rsidRDefault="00633046">
      <w:pPr>
        <w:spacing w:line="480" w:lineRule="auto"/>
        <w:rPr>
          <w:rFonts w:ascii="Times New Roman" w:hAnsi="Times New Roman" w:cs="Times New Roman"/>
          <w:b/>
          <w:sz w:val="24"/>
        </w:rPr>
      </w:pPr>
      <w:r>
        <w:rPr>
          <w:rFonts w:ascii="Times New Roman" w:hAnsi="Times New Roman" w:cs="Times New Roman"/>
          <w:b/>
          <w:sz w:val="24"/>
        </w:rPr>
        <w:t>2.0      Materials and Methods</w:t>
      </w:r>
    </w:p>
    <w:p w14:paraId="1D4CBC35" w14:textId="77777777" w:rsidR="00E46DF5" w:rsidRDefault="00633046">
      <w:pPr>
        <w:spacing w:line="480" w:lineRule="auto"/>
        <w:rPr>
          <w:rFonts w:ascii="Times New Roman" w:hAnsi="Times New Roman" w:cs="Times New Roman"/>
          <w:b/>
          <w:sz w:val="24"/>
        </w:rPr>
      </w:pPr>
      <w:r>
        <w:rPr>
          <w:rFonts w:ascii="Times New Roman" w:hAnsi="Times New Roman" w:cs="Times New Roman"/>
          <w:b/>
          <w:sz w:val="24"/>
        </w:rPr>
        <w:t>2.1</w:t>
      </w:r>
      <w:r>
        <w:rPr>
          <w:rFonts w:ascii="Times New Roman" w:hAnsi="Times New Roman" w:cs="Times New Roman"/>
          <w:b/>
          <w:sz w:val="24"/>
        </w:rPr>
        <w:tab/>
        <w:t>Study Area</w:t>
      </w:r>
    </w:p>
    <w:p w14:paraId="23DD0A95" w14:textId="77777777" w:rsidR="00E46DF5" w:rsidRDefault="00633046">
      <w:pPr>
        <w:spacing w:line="480" w:lineRule="auto"/>
        <w:rPr>
          <w:rFonts w:ascii="Times New Roman" w:hAnsi="Times New Roman" w:cs="Times New Roman"/>
          <w:sz w:val="24"/>
        </w:rPr>
      </w:pPr>
      <w:r>
        <w:rPr>
          <w:rFonts w:ascii="Times New Roman" w:hAnsi="Times New Roman" w:cs="Times New Roman"/>
          <w:sz w:val="24"/>
        </w:rPr>
        <w:t>The research was conducted in K</w:t>
      </w:r>
      <w:r>
        <w:rPr>
          <w:rFonts w:ascii="Times New Roman" w:hAnsi="Times New Roman" w:cs="Times New Roman"/>
          <w:sz w:val="24"/>
        </w:rPr>
        <w:noBreakHyphen/>
        <w:t>Dere and Kpor communities in Gok</w:t>
      </w:r>
      <w:r>
        <w:rPr>
          <w:rFonts w:ascii="Times New Roman" w:hAnsi="Times New Roman" w:cs="Times New Roman"/>
          <w:sz w:val="24"/>
        </w:rPr>
        <w:t>ana Local Government Area of the Ogoni region. Two sampling locations were selected: the remediated site at Latitude 4.663436°N, Longitude 7.283530°E, and the non-remediated control site at Latitude 4.659969°N, Longitude 7.270142°E. This region, situated a</w:t>
      </w:r>
      <w:r>
        <w:rPr>
          <w:rFonts w:ascii="Times New Roman" w:hAnsi="Times New Roman" w:cs="Times New Roman"/>
          <w:sz w:val="24"/>
        </w:rPr>
        <w:t>pproximately 20–25 km southeast of Port Harcourt, experiences a humid tropical climate with high annual rainfall and consistently high relative humidity, typical of southern Niger Delta agroecosystems (Tajudeen and Nyiayaana, 2024). These climatic conditio</w:t>
      </w:r>
      <w:r>
        <w:rPr>
          <w:rFonts w:ascii="Times New Roman" w:hAnsi="Times New Roman" w:cs="Times New Roman"/>
          <w:sz w:val="24"/>
        </w:rPr>
        <w:t>ns, together with the predominantly alluvial loamy soils, support diverse crop cultivation; however, prolonged petroleum pollution has degraded soil quality, affecting fertility and productivity.</w:t>
      </w:r>
    </w:p>
    <w:p w14:paraId="71EBBAFC" w14:textId="77777777" w:rsidR="00E46DF5" w:rsidRDefault="00633046">
      <w:pPr>
        <w:spacing w:line="480" w:lineRule="auto"/>
        <w:rPr>
          <w:rFonts w:ascii="Times New Roman" w:hAnsi="Times New Roman" w:cs="Times New Roman"/>
          <w:sz w:val="24"/>
        </w:rPr>
      </w:pPr>
      <w:r>
        <w:rPr>
          <w:rFonts w:ascii="Times New Roman" w:hAnsi="Times New Roman" w:cs="Times New Roman"/>
          <w:noProof/>
          <w:sz w:val="24"/>
          <w:lang w:eastAsia="en-US"/>
        </w:rPr>
        <w:lastRenderedPageBreak/>
        <w:drawing>
          <wp:inline distT="0" distB="0" distL="0" distR="0" wp14:anchorId="4BB46B70" wp14:editId="638A72B0">
            <wp:extent cx="5943600" cy="3568927"/>
            <wp:effectExtent l="0" t="0" r="0" b="0"/>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7"/>
                    <a:srcRect/>
                    <a:stretch>
                      <a:fillRect/>
                    </a:stretch>
                  </pic:blipFill>
                  <pic:spPr>
                    <a:xfrm>
                      <a:off x="0" y="0"/>
                      <a:ext cx="5943600" cy="3568927"/>
                    </a:xfrm>
                    <a:prstGeom prst="rect">
                      <a:avLst/>
                    </a:prstGeom>
                    <a:noFill/>
                    <a:ln>
                      <a:noFill/>
                    </a:ln>
                  </pic:spPr>
                </pic:pic>
              </a:graphicData>
            </a:graphic>
          </wp:inline>
        </w:drawing>
      </w:r>
    </w:p>
    <w:p w14:paraId="7B7152F9" w14:textId="08A14036" w:rsidR="00E46DF5" w:rsidRDefault="00633046">
      <w:pPr>
        <w:spacing w:line="240" w:lineRule="auto"/>
        <w:rPr>
          <w:rFonts w:ascii="Times New Roman" w:hAnsi="Times New Roman" w:cs="Times New Roman"/>
          <w:sz w:val="24"/>
        </w:rPr>
      </w:pPr>
      <w:r>
        <w:rPr>
          <w:rFonts w:ascii="Times New Roman" w:hAnsi="Times New Roman" w:cs="Times New Roman"/>
          <w:b/>
        </w:rPr>
        <w:t>Figure 1:</w:t>
      </w:r>
      <w:r>
        <w:rPr>
          <w:rFonts w:ascii="Times New Roman" w:hAnsi="Times New Roman" w:cs="Times New Roman"/>
        </w:rPr>
        <w:t xml:space="preserve"> Map showing the sampling points from a remediated and non-remediated soils in K-Dere, Ogoniland.</w:t>
      </w:r>
    </w:p>
    <w:p w14:paraId="45891D5B" w14:textId="77777777" w:rsidR="00E46DF5" w:rsidRDefault="00633046">
      <w:pPr>
        <w:spacing w:line="480" w:lineRule="auto"/>
        <w:rPr>
          <w:rFonts w:ascii="Times New Roman" w:hAnsi="Times New Roman" w:cs="Times New Roman"/>
          <w:b/>
          <w:sz w:val="24"/>
        </w:rPr>
      </w:pPr>
      <w:r>
        <w:rPr>
          <w:rFonts w:ascii="Times New Roman" w:hAnsi="Times New Roman" w:cs="Times New Roman"/>
          <w:b/>
          <w:sz w:val="24"/>
        </w:rPr>
        <w:t>2.2</w:t>
      </w:r>
      <w:r>
        <w:rPr>
          <w:rFonts w:ascii="Times New Roman" w:hAnsi="Times New Roman" w:cs="Times New Roman"/>
          <w:b/>
          <w:sz w:val="24"/>
        </w:rPr>
        <w:tab/>
        <w:t>Soil Sampling, Preservation, and Preparation</w:t>
      </w:r>
    </w:p>
    <w:p w14:paraId="3838127D" w14:textId="77777777" w:rsidR="00E46DF5" w:rsidRDefault="00633046">
      <w:pPr>
        <w:spacing w:line="480" w:lineRule="auto"/>
        <w:rPr>
          <w:rFonts w:ascii="Times New Roman" w:hAnsi="Times New Roman" w:cs="Times New Roman"/>
          <w:sz w:val="24"/>
        </w:rPr>
      </w:pPr>
      <w:r>
        <w:rPr>
          <w:rFonts w:ascii="Times New Roman" w:hAnsi="Times New Roman" w:cs="Times New Roman"/>
          <w:sz w:val="24"/>
        </w:rPr>
        <w:t>Topsoil (0–15 cm depth) was collected during the early hours of the day randomly about 50m apart to ensure sa</w:t>
      </w:r>
      <w:r>
        <w:rPr>
          <w:rFonts w:ascii="Times New Roman" w:hAnsi="Times New Roman" w:cs="Times New Roman"/>
          <w:sz w:val="24"/>
        </w:rPr>
        <w:t>mpling spread and representative composite of the studied farmland using a clean hand trowel to capture surface soil conditions relevant to crop growth and remediation effects. Samples were individually placed in clean, labeled nylon bags to prevent cross</w:t>
      </w:r>
      <w:r>
        <w:rPr>
          <w:rFonts w:ascii="Times New Roman" w:hAnsi="Times New Roman" w:cs="Times New Roman"/>
          <w:sz w:val="24"/>
        </w:rPr>
        <w:noBreakHyphen/>
      </w:r>
      <w:r>
        <w:rPr>
          <w:rFonts w:ascii="Times New Roman" w:hAnsi="Times New Roman" w:cs="Times New Roman"/>
          <w:sz w:val="24"/>
        </w:rPr>
        <w:t>contamination during handling. Immediately after field collection, samples were refrigerated for 24 hours to preserve their physicochemical integrity prior to laboratory analysis, following established sample conservation protocols that minimize alteration</w:t>
      </w:r>
      <w:r>
        <w:rPr>
          <w:rFonts w:ascii="Times New Roman" w:hAnsi="Times New Roman" w:cs="Times New Roman"/>
          <w:sz w:val="24"/>
        </w:rPr>
        <w:t xml:space="preserve"> of nutrient content and moisture retention as described by the United States Department of Agriculture Natural Resources Conservation Service (USDA NRCS, 2024).</w:t>
      </w:r>
    </w:p>
    <w:p w14:paraId="5A2A0480" w14:textId="77777777" w:rsidR="00E46DF5" w:rsidRDefault="00633046">
      <w:pPr>
        <w:spacing w:line="480" w:lineRule="auto"/>
        <w:rPr>
          <w:rFonts w:ascii="Times New Roman" w:hAnsi="Times New Roman" w:cs="Times New Roman"/>
          <w:sz w:val="24"/>
        </w:rPr>
      </w:pPr>
      <w:r>
        <w:rPr>
          <w:rFonts w:ascii="Times New Roman" w:hAnsi="Times New Roman" w:cs="Times New Roman"/>
          <w:sz w:val="24"/>
        </w:rPr>
        <w:t>In the laboratory, soil samples were air</w:t>
      </w:r>
      <w:r>
        <w:rPr>
          <w:rFonts w:ascii="Times New Roman" w:hAnsi="Times New Roman" w:cs="Times New Roman"/>
          <w:sz w:val="24"/>
        </w:rPr>
        <w:noBreakHyphen/>
        <w:t>dried at ambient temperature to remove excess moistur</w:t>
      </w:r>
      <w:r>
        <w:rPr>
          <w:rFonts w:ascii="Times New Roman" w:hAnsi="Times New Roman" w:cs="Times New Roman"/>
          <w:sz w:val="24"/>
        </w:rPr>
        <w:t xml:space="preserve">e, </w:t>
      </w:r>
      <w:r>
        <w:rPr>
          <w:rFonts w:ascii="Times New Roman" w:hAnsi="Times New Roman" w:cs="Times New Roman"/>
          <w:sz w:val="24"/>
        </w:rPr>
        <w:lastRenderedPageBreak/>
        <w:t>gently crushed, and sieved through a 2 mm mesh to ensure a uniform particle size distribution for subsequent analyses, consistent with standard soil analytical method in accordance with AOAC procedures (AOAC, 2019). Prepared soils were stored in airtigh</w:t>
      </w:r>
      <w:r>
        <w:rPr>
          <w:rFonts w:ascii="Times New Roman" w:hAnsi="Times New Roman" w:cs="Times New Roman"/>
          <w:sz w:val="24"/>
        </w:rPr>
        <w:t>t containers to prevent moisture absorption and contamination prior to analysis.</w:t>
      </w:r>
    </w:p>
    <w:p w14:paraId="18FB7A18" w14:textId="77777777" w:rsidR="00E46DF5" w:rsidRDefault="00633046">
      <w:pPr>
        <w:spacing w:line="480" w:lineRule="auto"/>
        <w:rPr>
          <w:rFonts w:ascii="Times New Roman" w:hAnsi="Times New Roman" w:cs="Times New Roman"/>
          <w:b/>
          <w:sz w:val="24"/>
        </w:rPr>
      </w:pPr>
      <w:r>
        <w:rPr>
          <w:rFonts w:ascii="Times New Roman" w:hAnsi="Times New Roman" w:cs="Times New Roman"/>
          <w:b/>
          <w:sz w:val="24"/>
        </w:rPr>
        <w:t>2.3</w:t>
      </w:r>
      <w:r>
        <w:rPr>
          <w:rFonts w:ascii="Times New Roman" w:hAnsi="Times New Roman" w:cs="Times New Roman"/>
          <w:b/>
          <w:sz w:val="24"/>
        </w:rPr>
        <w:tab/>
        <w:t>Physicochemical Analysis</w:t>
      </w:r>
    </w:p>
    <w:p w14:paraId="0287AB29" w14:textId="77777777" w:rsidR="00E46DF5" w:rsidRDefault="00633046">
      <w:pPr>
        <w:spacing w:line="480" w:lineRule="auto"/>
        <w:rPr>
          <w:rFonts w:ascii="Times New Roman" w:hAnsi="Times New Roman" w:cs="Times New Roman"/>
          <w:sz w:val="24"/>
        </w:rPr>
      </w:pPr>
      <w:r>
        <w:rPr>
          <w:rFonts w:ascii="Times New Roman" w:hAnsi="Times New Roman" w:cs="Times New Roman"/>
          <w:sz w:val="24"/>
        </w:rPr>
        <w:t>Physicochemical properties evaluated in this study included soil pH, organic matter content, cation exchange capacity (CEC), moisture content, soi</w:t>
      </w:r>
      <w:r>
        <w:rPr>
          <w:rFonts w:ascii="Times New Roman" w:hAnsi="Times New Roman" w:cs="Times New Roman"/>
          <w:sz w:val="24"/>
        </w:rPr>
        <w:t>l texture, soil structure, and porosity. Soil pH was measured using a calibrated glass</w:t>
      </w:r>
      <w:r>
        <w:rPr>
          <w:rFonts w:ascii="Times New Roman" w:hAnsi="Times New Roman" w:cs="Times New Roman"/>
          <w:sz w:val="24"/>
        </w:rPr>
        <w:noBreakHyphen/>
        <w:t xml:space="preserve">electrode pH meter in three separate suspensions: distilled water, 0.01 M calcium chloride (CaCl₂), and 1 N potassium chloride (KCl). These methods provide insight into </w:t>
      </w:r>
      <w:r>
        <w:rPr>
          <w:rFonts w:ascii="Times New Roman" w:hAnsi="Times New Roman" w:cs="Times New Roman"/>
          <w:sz w:val="24"/>
        </w:rPr>
        <w:t xml:space="preserve">both active and exchangeable acidity in soil, which influence nutrient availability and soil chemical behaviour. Organic matter content was quantified using the Walkley–Black wet oxidation method, with soil organic carbon converted to organic matter using </w:t>
      </w:r>
      <w:r>
        <w:rPr>
          <w:rFonts w:ascii="Times New Roman" w:hAnsi="Times New Roman" w:cs="Times New Roman"/>
          <w:sz w:val="24"/>
        </w:rPr>
        <w:t>established conversion factors. CEC was determined via potassium chloride extraction followed by titration to quantify exchangeable hydrogen and aluminium ions, providing an estimate of the soil’s capacity to retain essential nutrient cations. Soil moistur</w:t>
      </w:r>
      <w:r>
        <w:rPr>
          <w:rFonts w:ascii="Times New Roman" w:hAnsi="Times New Roman" w:cs="Times New Roman"/>
          <w:sz w:val="24"/>
        </w:rPr>
        <w:t>e content was determined by oven</w:t>
      </w:r>
      <w:r>
        <w:rPr>
          <w:rFonts w:ascii="Times New Roman" w:hAnsi="Times New Roman" w:cs="Times New Roman"/>
          <w:sz w:val="24"/>
        </w:rPr>
        <w:noBreakHyphen/>
        <w:t>drying samples at 105°C until constant weight, and soil texture was assessed by the hydrometer method, yielding percentages of sand, silt, and clay for textural class determination in accordance with the standard procedures</w:t>
      </w:r>
      <w:r>
        <w:rPr>
          <w:rFonts w:ascii="Times New Roman" w:hAnsi="Times New Roman" w:cs="Times New Roman"/>
          <w:sz w:val="24"/>
        </w:rPr>
        <w:t xml:space="preserve"> described by the Association of Official Analytical Chemists (AOAC 2019). </w:t>
      </w:r>
    </w:p>
    <w:p w14:paraId="29BDFF77" w14:textId="77777777" w:rsidR="00E46DF5" w:rsidRDefault="00633046">
      <w:pPr>
        <w:spacing w:line="480" w:lineRule="auto"/>
        <w:rPr>
          <w:rFonts w:ascii="Times New Roman" w:hAnsi="Times New Roman" w:cs="Times New Roman"/>
          <w:b/>
          <w:sz w:val="24"/>
        </w:rPr>
      </w:pPr>
      <w:r>
        <w:rPr>
          <w:rFonts w:ascii="Times New Roman" w:hAnsi="Times New Roman" w:cs="Times New Roman"/>
          <w:b/>
          <w:sz w:val="24"/>
        </w:rPr>
        <w:t>2.4</w:t>
      </w:r>
      <w:r>
        <w:rPr>
          <w:rFonts w:ascii="Times New Roman" w:hAnsi="Times New Roman" w:cs="Times New Roman"/>
          <w:b/>
          <w:sz w:val="24"/>
        </w:rPr>
        <w:tab/>
        <w:t>Essential Mineral Analysis</w:t>
      </w:r>
    </w:p>
    <w:p w14:paraId="78FE3B37" w14:textId="77777777" w:rsidR="00E46DF5" w:rsidRDefault="00633046">
      <w:pPr>
        <w:spacing w:line="480" w:lineRule="auto"/>
        <w:rPr>
          <w:rFonts w:ascii="Times New Roman" w:hAnsi="Times New Roman" w:cs="Times New Roman"/>
          <w:sz w:val="24"/>
        </w:rPr>
      </w:pPr>
      <w:r>
        <w:rPr>
          <w:rFonts w:ascii="Times New Roman" w:hAnsi="Times New Roman" w:cs="Times New Roman"/>
          <w:sz w:val="24"/>
        </w:rPr>
        <w:t>Essential nutrient levels, including nitrogen (N), phosphorus (P), potassium (K), calcium (Ca), magnesium (Mg), zinc (Zn), copper (Cu), iron (Fe), an</w:t>
      </w:r>
      <w:r>
        <w:rPr>
          <w:rFonts w:ascii="Times New Roman" w:hAnsi="Times New Roman" w:cs="Times New Roman"/>
          <w:sz w:val="24"/>
        </w:rPr>
        <w:t xml:space="preserve">d sulfur (S), were measured to evaluate soil fertility status. Exchangeable bases were extracted with ammonium acetate; potassium and </w:t>
      </w:r>
      <w:r>
        <w:rPr>
          <w:rFonts w:ascii="Times New Roman" w:hAnsi="Times New Roman" w:cs="Times New Roman"/>
          <w:sz w:val="24"/>
        </w:rPr>
        <w:lastRenderedPageBreak/>
        <w:t xml:space="preserve">calcium were quantified using flame photometry, while magnesium and micronutrients (Zn, Cu, Fe) were determined by atomic </w:t>
      </w:r>
      <w:r>
        <w:rPr>
          <w:rFonts w:ascii="Times New Roman" w:hAnsi="Times New Roman" w:cs="Times New Roman"/>
          <w:sz w:val="24"/>
        </w:rPr>
        <w:t>absorption spectrophotometry. Available phosphorus was measured calorimetrically after reaction with molybdenum blue reagent and spectrophotometric analysis. Effective cation exchange capacity was calculated as the sum of exchangeable bases plus exchangeab</w:t>
      </w:r>
      <w:r>
        <w:rPr>
          <w:rFonts w:ascii="Times New Roman" w:hAnsi="Times New Roman" w:cs="Times New Roman"/>
          <w:sz w:val="24"/>
        </w:rPr>
        <w:t>le acidity, reflecting the soil’s nutrient retention potential.</w:t>
      </w:r>
    </w:p>
    <w:p w14:paraId="4C32ACA8" w14:textId="77777777" w:rsidR="00E46DF5" w:rsidRDefault="00633046">
      <w:pPr>
        <w:spacing w:line="480" w:lineRule="auto"/>
        <w:rPr>
          <w:rFonts w:ascii="Times New Roman" w:hAnsi="Times New Roman" w:cs="Times New Roman"/>
          <w:b/>
          <w:sz w:val="24"/>
        </w:rPr>
      </w:pPr>
      <w:r>
        <w:rPr>
          <w:rFonts w:ascii="Times New Roman" w:hAnsi="Times New Roman" w:cs="Times New Roman"/>
          <w:b/>
          <w:sz w:val="24"/>
        </w:rPr>
        <w:t>2.5</w:t>
      </w:r>
      <w:r>
        <w:rPr>
          <w:rFonts w:ascii="Times New Roman" w:hAnsi="Times New Roman" w:cs="Times New Roman"/>
          <w:b/>
          <w:sz w:val="24"/>
        </w:rPr>
        <w:tab/>
        <w:t>Quality Control and Assurance</w:t>
      </w:r>
    </w:p>
    <w:p w14:paraId="4F1696A7" w14:textId="77777777" w:rsidR="00E46DF5" w:rsidRDefault="00633046">
      <w:pPr>
        <w:spacing w:line="480" w:lineRule="auto"/>
        <w:rPr>
          <w:rFonts w:ascii="Times New Roman" w:hAnsi="Times New Roman" w:cs="Times New Roman"/>
          <w:sz w:val="24"/>
        </w:rPr>
      </w:pPr>
      <w:r>
        <w:rPr>
          <w:rFonts w:ascii="Times New Roman" w:hAnsi="Times New Roman" w:cs="Times New Roman"/>
          <w:sz w:val="24"/>
        </w:rPr>
        <w:t>To ensure analytical accuracy and reliability, all instruments were calibrated regularly with certified standards, and analytical</w:t>
      </w:r>
      <w:r>
        <w:rPr>
          <w:rFonts w:ascii="Times New Roman" w:hAnsi="Times New Roman" w:cs="Times New Roman"/>
          <w:sz w:val="24"/>
        </w:rPr>
        <w:noBreakHyphen/>
        <w:t>grade reagents were used thr</w:t>
      </w:r>
      <w:r>
        <w:rPr>
          <w:rFonts w:ascii="Times New Roman" w:hAnsi="Times New Roman" w:cs="Times New Roman"/>
          <w:sz w:val="24"/>
        </w:rPr>
        <w:t>oughout. Soil analyses were conducted in replicates with appropriate blanks included, and certified reference materials were analysed alongside field samples. Standardized laboratory procedures were followed to ensure consistent data quality across all mea</w:t>
      </w:r>
      <w:r>
        <w:rPr>
          <w:rFonts w:ascii="Times New Roman" w:hAnsi="Times New Roman" w:cs="Times New Roman"/>
          <w:sz w:val="24"/>
        </w:rPr>
        <w:t>sured parameters, including soil physicochemical properties and nutrient concentrations.</w:t>
      </w:r>
    </w:p>
    <w:p w14:paraId="309E548B" w14:textId="77777777" w:rsidR="00E46DF5" w:rsidRDefault="00E46DF5">
      <w:pPr>
        <w:rPr>
          <w:rFonts w:ascii="Times New Roman" w:hAnsi="Times New Roman" w:cs="Times New Roman"/>
          <w:b/>
          <w:sz w:val="24"/>
        </w:rPr>
      </w:pPr>
    </w:p>
    <w:p w14:paraId="451E2419" w14:textId="77777777" w:rsidR="00E46DF5" w:rsidRDefault="00E46DF5">
      <w:pPr>
        <w:rPr>
          <w:rFonts w:ascii="Times New Roman" w:hAnsi="Times New Roman" w:cs="Times New Roman"/>
          <w:b/>
          <w:sz w:val="24"/>
        </w:rPr>
      </w:pPr>
    </w:p>
    <w:p w14:paraId="305BB77D" w14:textId="77777777" w:rsidR="00E46DF5" w:rsidRDefault="00E46DF5">
      <w:pPr>
        <w:rPr>
          <w:rFonts w:ascii="Times New Roman" w:hAnsi="Times New Roman" w:cs="Times New Roman"/>
          <w:b/>
          <w:sz w:val="24"/>
        </w:rPr>
      </w:pPr>
    </w:p>
    <w:p w14:paraId="499AF92C" w14:textId="77777777" w:rsidR="00E46DF5" w:rsidRDefault="00E46DF5">
      <w:pPr>
        <w:rPr>
          <w:rFonts w:ascii="Times New Roman" w:hAnsi="Times New Roman" w:cs="Times New Roman"/>
          <w:b/>
          <w:sz w:val="24"/>
        </w:rPr>
      </w:pPr>
    </w:p>
    <w:p w14:paraId="5955E0C1" w14:textId="77777777" w:rsidR="00E46DF5" w:rsidRDefault="00E46DF5">
      <w:pPr>
        <w:rPr>
          <w:rFonts w:ascii="Times New Roman" w:hAnsi="Times New Roman" w:cs="Times New Roman"/>
          <w:b/>
          <w:sz w:val="24"/>
        </w:rPr>
      </w:pPr>
    </w:p>
    <w:p w14:paraId="4E9C28CD" w14:textId="77777777" w:rsidR="00E46DF5" w:rsidRDefault="00E46DF5">
      <w:pPr>
        <w:rPr>
          <w:rFonts w:ascii="Times New Roman" w:hAnsi="Times New Roman" w:cs="Times New Roman"/>
          <w:b/>
          <w:sz w:val="24"/>
        </w:rPr>
      </w:pPr>
    </w:p>
    <w:p w14:paraId="57D60E66" w14:textId="77777777" w:rsidR="00E46DF5" w:rsidRDefault="00E46DF5">
      <w:pPr>
        <w:rPr>
          <w:rFonts w:ascii="Times New Roman" w:hAnsi="Times New Roman" w:cs="Times New Roman"/>
          <w:b/>
          <w:sz w:val="24"/>
        </w:rPr>
      </w:pPr>
    </w:p>
    <w:p w14:paraId="49F3354C" w14:textId="77777777" w:rsidR="00E46DF5" w:rsidRDefault="00E46DF5">
      <w:pPr>
        <w:rPr>
          <w:rFonts w:ascii="Times New Roman" w:hAnsi="Times New Roman" w:cs="Times New Roman"/>
          <w:b/>
          <w:sz w:val="24"/>
        </w:rPr>
      </w:pPr>
    </w:p>
    <w:p w14:paraId="12508113" w14:textId="77777777" w:rsidR="00E46DF5" w:rsidRDefault="00E46DF5">
      <w:pPr>
        <w:rPr>
          <w:rFonts w:ascii="Times New Roman" w:hAnsi="Times New Roman" w:cs="Times New Roman"/>
          <w:b/>
          <w:sz w:val="24"/>
        </w:rPr>
      </w:pPr>
    </w:p>
    <w:p w14:paraId="35746EEC" w14:textId="77777777" w:rsidR="00E46DF5" w:rsidRDefault="00E46DF5">
      <w:pPr>
        <w:rPr>
          <w:rFonts w:ascii="Times New Roman" w:hAnsi="Times New Roman" w:cs="Times New Roman"/>
          <w:b/>
          <w:sz w:val="24"/>
        </w:rPr>
      </w:pPr>
    </w:p>
    <w:p w14:paraId="4ED03657" w14:textId="77777777" w:rsidR="00E46DF5" w:rsidRDefault="00E46DF5">
      <w:pPr>
        <w:rPr>
          <w:rFonts w:ascii="Times New Roman" w:hAnsi="Times New Roman" w:cs="Times New Roman"/>
          <w:b/>
          <w:sz w:val="24"/>
        </w:rPr>
      </w:pPr>
    </w:p>
    <w:p w14:paraId="24C182F2" w14:textId="77777777" w:rsidR="00E46DF5" w:rsidRDefault="00E46DF5">
      <w:pPr>
        <w:rPr>
          <w:rFonts w:ascii="Times New Roman" w:hAnsi="Times New Roman" w:cs="Times New Roman"/>
          <w:b/>
          <w:sz w:val="24"/>
        </w:rPr>
      </w:pPr>
    </w:p>
    <w:p w14:paraId="2EC94180" w14:textId="77777777" w:rsidR="00E46DF5" w:rsidRDefault="00E46DF5">
      <w:pPr>
        <w:rPr>
          <w:rFonts w:ascii="Times New Roman" w:hAnsi="Times New Roman" w:cs="Times New Roman"/>
          <w:b/>
          <w:sz w:val="24"/>
        </w:rPr>
      </w:pPr>
    </w:p>
    <w:p w14:paraId="79E29F31" w14:textId="77777777" w:rsidR="00E46DF5" w:rsidRDefault="00E46DF5">
      <w:pPr>
        <w:rPr>
          <w:rFonts w:ascii="Times New Roman" w:hAnsi="Times New Roman" w:cs="Times New Roman"/>
          <w:b/>
          <w:sz w:val="24"/>
        </w:rPr>
      </w:pPr>
    </w:p>
    <w:p w14:paraId="060216E3" w14:textId="77777777" w:rsidR="00E46DF5" w:rsidRDefault="00633046">
      <w:pPr>
        <w:rPr>
          <w:rFonts w:ascii="Times New Roman" w:hAnsi="Times New Roman" w:cs="Times New Roman"/>
          <w:b/>
          <w:sz w:val="24"/>
        </w:rPr>
      </w:pPr>
      <w:r>
        <w:rPr>
          <w:rFonts w:ascii="Times New Roman" w:hAnsi="Times New Roman" w:cs="Times New Roman"/>
          <w:b/>
          <w:sz w:val="24"/>
        </w:rPr>
        <w:t>3.0    Results and Discussion</w:t>
      </w:r>
    </w:p>
    <w:p w14:paraId="1934AE27" w14:textId="77777777" w:rsidR="00E46DF5" w:rsidRDefault="00633046">
      <w:pPr>
        <w:rPr>
          <w:rFonts w:ascii="Times New Roman" w:hAnsi="Times New Roman" w:cs="Times New Roman"/>
          <w:b/>
          <w:sz w:val="24"/>
        </w:rPr>
      </w:pPr>
      <w:r>
        <w:rPr>
          <w:rFonts w:ascii="Times New Roman" w:hAnsi="Times New Roman" w:cs="Times New Roman"/>
          <w:b/>
          <w:sz w:val="24"/>
        </w:rPr>
        <w:t>3.1    Results</w:t>
      </w:r>
    </w:p>
    <w:p w14:paraId="1509BDAD" w14:textId="77777777" w:rsidR="00E46DF5" w:rsidRDefault="00E46DF5">
      <w:pPr>
        <w:rPr>
          <w:rFonts w:ascii="Times New Roman" w:hAnsi="Times New Roman" w:cs="Times New Roman"/>
          <w:b/>
          <w:sz w:val="24"/>
        </w:rPr>
      </w:pPr>
    </w:p>
    <w:p w14:paraId="31BE4F78" w14:textId="77777777" w:rsidR="00E46DF5" w:rsidRDefault="00E46DF5">
      <w:pPr>
        <w:rPr>
          <w:rFonts w:ascii="Times New Roman" w:hAnsi="Times New Roman" w:cs="Times New Roman"/>
          <w:b/>
          <w:sz w:val="24"/>
        </w:rPr>
      </w:pPr>
    </w:p>
    <w:p w14:paraId="6CFB7C38" w14:textId="77777777" w:rsidR="00E46DF5" w:rsidRDefault="00E46DF5">
      <w:pPr>
        <w:rPr>
          <w:rFonts w:ascii="Times New Roman" w:hAnsi="Times New Roman" w:cs="Times New Roman"/>
          <w:b/>
          <w:sz w:val="24"/>
        </w:rPr>
      </w:pPr>
    </w:p>
    <w:p w14:paraId="06D95114" w14:textId="77777777" w:rsidR="00E46DF5" w:rsidRDefault="00E46DF5">
      <w:pPr>
        <w:rPr>
          <w:rFonts w:ascii="Times New Roman" w:hAnsi="Times New Roman" w:cs="Times New Roman"/>
          <w:b/>
          <w:sz w:val="24"/>
        </w:rPr>
      </w:pPr>
    </w:p>
    <w:tbl>
      <w:tblPr>
        <w:tblStyle w:val="TableGridLight1"/>
        <w:tblpPr w:leftFromText="187" w:rightFromText="187" w:vertAnchor="page" w:horzAnchor="page" w:tblpX="1470" w:tblpY="3446"/>
        <w:tblOverlap w:val="never"/>
        <w:tblW w:w="864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2880"/>
        <w:gridCol w:w="2880"/>
        <w:gridCol w:w="2880"/>
      </w:tblGrid>
      <w:tr w:rsidR="00E46DF5" w14:paraId="07966C97" w14:textId="77777777">
        <w:tc>
          <w:tcPr>
            <w:tcW w:w="8640" w:type="dxa"/>
            <w:gridSpan w:val="3"/>
            <w:tcBorders>
              <w:top w:val="single" w:sz="4" w:space="0" w:color="auto"/>
              <w:bottom w:val="single" w:sz="4" w:space="0" w:color="auto"/>
            </w:tcBorders>
          </w:tcPr>
          <w:p w14:paraId="5A0832EC" w14:textId="77777777" w:rsidR="00E46DF5" w:rsidRDefault="00633046">
            <w:pPr>
              <w:spacing w:line="480" w:lineRule="auto"/>
              <w:rPr>
                <w:b/>
                <w:sz w:val="24"/>
              </w:rPr>
            </w:pPr>
            <w:r>
              <w:rPr>
                <w:rFonts w:ascii="Times New Roman" w:hAnsi="Times New Roman" w:cs="Times New Roman"/>
                <w:b/>
                <w:sz w:val="24"/>
              </w:rPr>
              <w:t xml:space="preserve">Table 1: </w:t>
            </w:r>
            <w:r>
              <w:rPr>
                <w:rFonts w:ascii="Times New Roman" w:hAnsi="Times New Roman" w:cs="Times New Roman"/>
                <w:b/>
                <w:bCs/>
                <w:sz w:val="24"/>
              </w:rPr>
              <w:t xml:space="preserve">Levels  of Essential Mineral Elements in Soils from K-Dere </w:t>
            </w:r>
          </w:p>
        </w:tc>
      </w:tr>
      <w:tr w:rsidR="00E46DF5" w14:paraId="6597C7F3" w14:textId="77777777">
        <w:tc>
          <w:tcPr>
            <w:tcW w:w="2880" w:type="dxa"/>
            <w:tcBorders>
              <w:top w:val="single" w:sz="4" w:space="0" w:color="auto"/>
              <w:bottom w:val="single" w:sz="4" w:space="0" w:color="auto"/>
            </w:tcBorders>
          </w:tcPr>
          <w:p w14:paraId="30D0A311" w14:textId="77777777" w:rsidR="00E46DF5" w:rsidRDefault="00633046">
            <w:pPr>
              <w:pStyle w:val="NormalWeb"/>
              <w:widowControl/>
              <w:spacing w:after="150"/>
              <w:rPr>
                <w:b/>
                <w:sz w:val="24"/>
              </w:rPr>
            </w:pPr>
            <w:r>
              <w:rPr>
                <w:rFonts w:eastAsia="-webkit-standard"/>
                <w:b/>
                <w:sz w:val="24"/>
              </w:rPr>
              <w:t>Element</w:t>
            </w:r>
          </w:p>
        </w:tc>
        <w:tc>
          <w:tcPr>
            <w:tcW w:w="2880" w:type="dxa"/>
            <w:tcBorders>
              <w:top w:val="single" w:sz="4" w:space="0" w:color="auto"/>
              <w:bottom w:val="single" w:sz="4" w:space="0" w:color="auto"/>
            </w:tcBorders>
          </w:tcPr>
          <w:p w14:paraId="4F0C7E38" w14:textId="77777777" w:rsidR="00E46DF5" w:rsidRDefault="00633046">
            <w:pPr>
              <w:pStyle w:val="NormalWeb"/>
              <w:widowControl/>
              <w:spacing w:after="150"/>
              <w:rPr>
                <w:b/>
                <w:sz w:val="24"/>
              </w:rPr>
            </w:pPr>
            <w:r>
              <w:rPr>
                <w:b/>
                <w:sz w:val="24"/>
              </w:rPr>
              <w:t>Non-remediated</w:t>
            </w:r>
            <w:r>
              <w:rPr>
                <w:rFonts w:eastAsia="-webkit-standard"/>
                <w:b/>
                <w:sz w:val="24"/>
              </w:rPr>
              <w:t xml:space="preserve"> (mg/kg)</w:t>
            </w:r>
          </w:p>
        </w:tc>
        <w:tc>
          <w:tcPr>
            <w:tcW w:w="2880" w:type="dxa"/>
            <w:tcBorders>
              <w:top w:val="single" w:sz="4" w:space="0" w:color="auto"/>
              <w:bottom w:val="single" w:sz="4" w:space="0" w:color="auto"/>
            </w:tcBorders>
          </w:tcPr>
          <w:p w14:paraId="2D530948" w14:textId="77777777" w:rsidR="00E46DF5" w:rsidRDefault="00633046">
            <w:pPr>
              <w:pStyle w:val="NormalWeb"/>
              <w:widowControl/>
              <w:spacing w:after="150"/>
              <w:rPr>
                <w:b/>
                <w:sz w:val="24"/>
              </w:rPr>
            </w:pPr>
            <w:r>
              <w:rPr>
                <w:rFonts w:eastAsia="-webkit-standard"/>
                <w:b/>
                <w:sz w:val="24"/>
              </w:rPr>
              <w:t>Remediated (mg/kg)</w:t>
            </w:r>
          </w:p>
        </w:tc>
      </w:tr>
      <w:tr w:rsidR="00E46DF5" w14:paraId="4C651E27" w14:textId="77777777">
        <w:tc>
          <w:tcPr>
            <w:tcW w:w="2880" w:type="dxa"/>
            <w:tcBorders>
              <w:top w:val="single" w:sz="4" w:space="0" w:color="auto"/>
            </w:tcBorders>
          </w:tcPr>
          <w:p w14:paraId="0ADEA958" w14:textId="77777777" w:rsidR="00E46DF5" w:rsidRDefault="00633046">
            <w:pPr>
              <w:pStyle w:val="NormalWeb"/>
              <w:widowControl/>
              <w:spacing w:after="150"/>
              <w:rPr>
                <w:sz w:val="24"/>
              </w:rPr>
            </w:pPr>
            <w:r>
              <w:rPr>
                <w:rFonts w:eastAsia="-webkit-standard"/>
                <w:sz w:val="24"/>
              </w:rPr>
              <w:t>Nitrogen (N)</w:t>
            </w:r>
          </w:p>
        </w:tc>
        <w:tc>
          <w:tcPr>
            <w:tcW w:w="2880" w:type="dxa"/>
            <w:tcBorders>
              <w:top w:val="single" w:sz="4" w:space="0" w:color="auto"/>
            </w:tcBorders>
          </w:tcPr>
          <w:p w14:paraId="1B13564F" w14:textId="77777777" w:rsidR="00E46DF5" w:rsidRDefault="00633046">
            <w:pPr>
              <w:pStyle w:val="NormalWeb"/>
              <w:widowControl/>
              <w:spacing w:after="150"/>
              <w:rPr>
                <w:sz w:val="24"/>
              </w:rPr>
            </w:pPr>
            <w:r>
              <w:rPr>
                <w:rFonts w:eastAsia="-webkit-standard"/>
                <w:sz w:val="24"/>
              </w:rPr>
              <w:t>0.029</w:t>
            </w:r>
          </w:p>
        </w:tc>
        <w:tc>
          <w:tcPr>
            <w:tcW w:w="2880" w:type="dxa"/>
            <w:tcBorders>
              <w:top w:val="single" w:sz="4" w:space="0" w:color="auto"/>
            </w:tcBorders>
          </w:tcPr>
          <w:p w14:paraId="4FE2D729" w14:textId="77777777" w:rsidR="00E46DF5" w:rsidRDefault="00633046">
            <w:pPr>
              <w:pStyle w:val="NormalWeb"/>
              <w:widowControl/>
              <w:spacing w:after="150"/>
              <w:rPr>
                <w:sz w:val="24"/>
              </w:rPr>
            </w:pPr>
            <w:r>
              <w:rPr>
                <w:rFonts w:eastAsia="-webkit-standard"/>
                <w:sz w:val="24"/>
              </w:rPr>
              <w:t>0.053</w:t>
            </w:r>
          </w:p>
        </w:tc>
      </w:tr>
      <w:tr w:rsidR="00E46DF5" w14:paraId="68CA97F3" w14:textId="77777777">
        <w:tc>
          <w:tcPr>
            <w:tcW w:w="2880" w:type="dxa"/>
          </w:tcPr>
          <w:p w14:paraId="5E42AB56" w14:textId="77777777" w:rsidR="00E46DF5" w:rsidRDefault="00633046">
            <w:pPr>
              <w:pStyle w:val="NormalWeb"/>
              <w:widowControl/>
              <w:spacing w:after="150"/>
              <w:rPr>
                <w:sz w:val="24"/>
              </w:rPr>
            </w:pPr>
            <w:r>
              <w:rPr>
                <w:rFonts w:eastAsia="-webkit-standard"/>
                <w:sz w:val="24"/>
              </w:rPr>
              <w:t>Phosphorus (P)</w:t>
            </w:r>
          </w:p>
        </w:tc>
        <w:tc>
          <w:tcPr>
            <w:tcW w:w="2880" w:type="dxa"/>
          </w:tcPr>
          <w:p w14:paraId="3EB3F508" w14:textId="77777777" w:rsidR="00E46DF5" w:rsidRDefault="00633046">
            <w:pPr>
              <w:pStyle w:val="NormalWeb"/>
              <w:widowControl/>
              <w:spacing w:after="150"/>
              <w:rPr>
                <w:sz w:val="24"/>
              </w:rPr>
            </w:pPr>
            <w:r>
              <w:rPr>
                <w:rFonts w:eastAsia="-webkit-standard"/>
                <w:sz w:val="24"/>
              </w:rPr>
              <w:t>0.15</w:t>
            </w:r>
          </w:p>
        </w:tc>
        <w:tc>
          <w:tcPr>
            <w:tcW w:w="2880" w:type="dxa"/>
          </w:tcPr>
          <w:p w14:paraId="18CC183D" w14:textId="77777777" w:rsidR="00E46DF5" w:rsidRDefault="00633046">
            <w:pPr>
              <w:pStyle w:val="NormalWeb"/>
              <w:widowControl/>
              <w:spacing w:after="150"/>
              <w:rPr>
                <w:sz w:val="24"/>
              </w:rPr>
            </w:pPr>
            <w:r>
              <w:rPr>
                <w:rFonts w:eastAsia="-webkit-standard"/>
                <w:sz w:val="24"/>
              </w:rPr>
              <w:t>0.90</w:t>
            </w:r>
          </w:p>
        </w:tc>
      </w:tr>
      <w:tr w:rsidR="00E46DF5" w14:paraId="1B1B89BC" w14:textId="77777777">
        <w:tc>
          <w:tcPr>
            <w:tcW w:w="2880" w:type="dxa"/>
          </w:tcPr>
          <w:p w14:paraId="3F344388" w14:textId="77777777" w:rsidR="00E46DF5" w:rsidRDefault="00633046">
            <w:pPr>
              <w:pStyle w:val="NormalWeb"/>
              <w:widowControl/>
              <w:spacing w:after="150"/>
              <w:rPr>
                <w:sz w:val="24"/>
              </w:rPr>
            </w:pPr>
            <w:r>
              <w:rPr>
                <w:rFonts w:eastAsia="-webkit-standard"/>
                <w:sz w:val="24"/>
              </w:rPr>
              <w:t>Potassium (K)</w:t>
            </w:r>
          </w:p>
        </w:tc>
        <w:tc>
          <w:tcPr>
            <w:tcW w:w="2880" w:type="dxa"/>
          </w:tcPr>
          <w:p w14:paraId="530F94B8" w14:textId="77777777" w:rsidR="00E46DF5" w:rsidRDefault="00633046">
            <w:pPr>
              <w:pStyle w:val="NormalWeb"/>
              <w:widowControl/>
              <w:spacing w:after="150"/>
              <w:rPr>
                <w:sz w:val="24"/>
              </w:rPr>
            </w:pPr>
            <w:r>
              <w:rPr>
                <w:rFonts w:eastAsia="-webkit-standard"/>
                <w:sz w:val="24"/>
              </w:rPr>
              <w:t>42.93</w:t>
            </w:r>
          </w:p>
        </w:tc>
        <w:tc>
          <w:tcPr>
            <w:tcW w:w="2880" w:type="dxa"/>
          </w:tcPr>
          <w:p w14:paraId="17C9284B" w14:textId="77777777" w:rsidR="00E46DF5" w:rsidRDefault="00633046">
            <w:pPr>
              <w:pStyle w:val="NormalWeb"/>
              <w:widowControl/>
              <w:spacing w:after="150"/>
              <w:rPr>
                <w:sz w:val="24"/>
              </w:rPr>
            </w:pPr>
            <w:r>
              <w:rPr>
                <w:rFonts w:eastAsia="-webkit-standard"/>
                <w:sz w:val="24"/>
              </w:rPr>
              <w:t>9.74</w:t>
            </w:r>
          </w:p>
        </w:tc>
      </w:tr>
      <w:tr w:rsidR="00E46DF5" w14:paraId="7B93457E" w14:textId="77777777">
        <w:tc>
          <w:tcPr>
            <w:tcW w:w="2880" w:type="dxa"/>
          </w:tcPr>
          <w:p w14:paraId="0A7FA587" w14:textId="77777777" w:rsidR="00E46DF5" w:rsidRDefault="00633046">
            <w:pPr>
              <w:pStyle w:val="NormalWeb"/>
              <w:widowControl/>
              <w:spacing w:after="150"/>
              <w:rPr>
                <w:sz w:val="24"/>
              </w:rPr>
            </w:pPr>
            <w:r>
              <w:rPr>
                <w:rFonts w:eastAsia="-webkit-standard"/>
                <w:sz w:val="24"/>
              </w:rPr>
              <w:t>Calcium (Ca)</w:t>
            </w:r>
          </w:p>
        </w:tc>
        <w:tc>
          <w:tcPr>
            <w:tcW w:w="2880" w:type="dxa"/>
          </w:tcPr>
          <w:p w14:paraId="5DFDD04F" w14:textId="77777777" w:rsidR="00E46DF5" w:rsidRDefault="00633046">
            <w:pPr>
              <w:pStyle w:val="NormalWeb"/>
              <w:widowControl/>
              <w:spacing w:after="150"/>
              <w:rPr>
                <w:sz w:val="24"/>
              </w:rPr>
            </w:pPr>
            <w:r>
              <w:rPr>
                <w:rFonts w:eastAsia="-webkit-standard"/>
                <w:sz w:val="24"/>
              </w:rPr>
              <w:t>13.38</w:t>
            </w:r>
          </w:p>
        </w:tc>
        <w:tc>
          <w:tcPr>
            <w:tcW w:w="2880" w:type="dxa"/>
          </w:tcPr>
          <w:p w14:paraId="6D2D3D3D" w14:textId="77777777" w:rsidR="00E46DF5" w:rsidRDefault="00633046">
            <w:pPr>
              <w:pStyle w:val="NormalWeb"/>
              <w:widowControl/>
              <w:spacing w:after="150"/>
              <w:rPr>
                <w:sz w:val="24"/>
              </w:rPr>
            </w:pPr>
            <w:r>
              <w:rPr>
                <w:rFonts w:eastAsia="-webkit-standard"/>
                <w:sz w:val="24"/>
              </w:rPr>
              <w:t>12.40</w:t>
            </w:r>
          </w:p>
        </w:tc>
      </w:tr>
      <w:tr w:rsidR="00E46DF5" w14:paraId="16BD9754" w14:textId="77777777">
        <w:tc>
          <w:tcPr>
            <w:tcW w:w="2880" w:type="dxa"/>
          </w:tcPr>
          <w:p w14:paraId="5BDDE82F" w14:textId="77777777" w:rsidR="00E46DF5" w:rsidRDefault="00633046">
            <w:pPr>
              <w:pStyle w:val="NormalWeb"/>
              <w:widowControl/>
              <w:spacing w:after="150"/>
              <w:rPr>
                <w:sz w:val="24"/>
              </w:rPr>
            </w:pPr>
            <w:r>
              <w:rPr>
                <w:rFonts w:eastAsia="-webkit-standard"/>
                <w:sz w:val="24"/>
              </w:rPr>
              <w:t>Magnesium (Mg)</w:t>
            </w:r>
          </w:p>
        </w:tc>
        <w:tc>
          <w:tcPr>
            <w:tcW w:w="2880" w:type="dxa"/>
          </w:tcPr>
          <w:p w14:paraId="6B214530" w14:textId="77777777" w:rsidR="00E46DF5" w:rsidRDefault="00633046">
            <w:pPr>
              <w:pStyle w:val="NormalWeb"/>
              <w:widowControl/>
              <w:spacing w:after="150"/>
              <w:rPr>
                <w:sz w:val="24"/>
              </w:rPr>
            </w:pPr>
            <w:r>
              <w:rPr>
                <w:rFonts w:eastAsia="-webkit-standard"/>
                <w:sz w:val="24"/>
              </w:rPr>
              <w:t>27.28</w:t>
            </w:r>
          </w:p>
        </w:tc>
        <w:tc>
          <w:tcPr>
            <w:tcW w:w="2880" w:type="dxa"/>
          </w:tcPr>
          <w:p w14:paraId="766834C6" w14:textId="77777777" w:rsidR="00E46DF5" w:rsidRDefault="00633046">
            <w:pPr>
              <w:pStyle w:val="NormalWeb"/>
              <w:widowControl/>
              <w:spacing w:after="150"/>
              <w:rPr>
                <w:sz w:val="24"/>
              </w:rPr>
            </w:pPr>
            <w:r>
              <w:rPr>
                <w:rFonts w:eastAsia="-webkit-standard"/>
                <w:sz w:val="24"/>
              </w:rPr>
              <w:t>16.03</w:t>
            </w:r>
          </w:p>
        </w:tc>
      </w:tr>
      <w:tr w:rsidR="00E46DF5" w14:paraId="3AF1D316" w14:textId="77777777">
        <w:tc>
          <w:tcPr>
            <w:tcW w:w="2880" w:type="dxa"/>
          </w:tcPr>
          <w:p w14:paraId="02632DB0" w14:textId="77777777" w:rsidR="00E46DF5" w:rsidRDefault="00633046">
            <w:pPr>
              <w:pStyle w:val="NormalWeb"/>
              <w:widowControl/>
              <w:spacing w:after="150"/>
              <w:rPr>
                <w:sz w:val="24"/>
              </w:rPr>
            </w:pPr>
            <w:r>
              <w:rPr>
                <w:rFonts w:eastAsia="-webkit-standard"/>
                <w:sz w:val="24"/>
              </w:rPr>
              <w:t>Zinc (Zn)</w:t>
            </w:r>
          </w:p>
        </w:tc>
        <w:tc>
          <w:tcPr>
            <w:tcW w:w="2880" w:type="dxa"/>
          </w:tcPr>
          <w:p w14:paraId="31DC66F2" w14:textId="77777777" w:rsidR="00E46DF5" w:rsidRDefault="00633046">
            <w:pPr>
              <w:pStyle w:val="NormalWeb"/>
              <w:widowControl/>
              <w:spacing w:after="150"/>
              <w:rPr>
                <w:sz w:val="24"/>
              </w:rPr>
            </w:pPr>
            <w:r>
              <w:rPr>
                <w:rFonts w:eastAsia="-webkit-standard"/>
                <w:sz w:val="24"/>
              </w:rPr>
              <w:t>11.87</w:t>
            </w:r>
          </w:p>
        </w:tc>
        <w:tc>
          <w:tcPr>
            <w:tcW w:w="2880" w:type="dxa"/>
          </w:tcPr>
          <w:p w14:paraId="6F66199F" w14:textId="77777777" w:rsidR="00E46DF5" w:rsidRDefault="00633046">
            <w:pPr>
              <w:pStyle w:val="NormalWeb"/>
              <w:widowControl/>
              <w:spacing w:after="150"/>
              <w:rPr>
                <w:sz w:val="24"/>
              </w:rPr>
            </w:pPr>
            <w:r>
              <w:rPr>
                <w:rFonts w:eastAsia="-webkit-standard"/>
                <w:sz w:val="24"/>
              </w:rPr>
              <w:t>5.25</w:t>
            </w:r>
          </w:p>
        </w:tc>
      </w:tr>
      <w:tr w:rsidR="00E46DF5" w14:paraId="4AC589CE" w14:textId="77777777">
        <w:tc>
          <w:tcPr>
            <w:tcW w:w="2880" w:type="dxa"/>
          </w:tcPr>
          <w:p w14:paraId="6A3BC33D" w14:textId="77777777" w:rsidR="00E46DF5" w:rsidRDefault="00633046">
            <w:pPr>
              <w:pStyle w:val="NormalWeb"/>
              <w:widowControl/>
              <w:spacing w:after="150"/>
              <w:rPr>
                <w:sz w:val="24"/>
              </w:rPr>
            </w:pPr>
            <w:r>
              <w:rPr>
                <w:rFonts w:eastAsia="-webkit-standard"/>
                <w:sz w:val="24"/>
              </w:rPr>
              <w:t>Copper (Cu)</w:t>
            </w:r>
          </w:p>
        </w:tc>
        <w:tc>
          <w:tcPr>
            <w:tcW w:w="2880" w:type="dxa"/>
          </w:tcPr>
          <w:p w14:paraId="11BDE99C" w14:textId="77777777" w:rsidR="00E46DF5" w:rsidRDefault="00633046">
            <w:pPr>
              <w:pStyle w:val="NormalWeb"/>
              <w:widowControl/>
              <w:spacing w:after="150"/>
              <w:rPr>
                <w:sz w:val="24"/>
              </w:rPr>
            </w:pPr>
            <w:r>
              <w:rPr>
                <w:rFonts w:eastAsia="-webkit-standard"/>
                <w:sz w:val="24"/>
              </w:rPr>
              <w:t>4.53</w:t>
            </w:r>
          </w:p>
        </w:tc>
        <w:tc>
          <w:tcPr>
            <w:tcW w:w="2880" w:type="dxa"/>
          </w:tcPr>
          <w:p w14:paraId="3DB7AF1C" w14:textId="77777777" w:rsidR="00E46DF5" w:rsidRDefault="00633046">
            <w:pPr>
              <w:pStyle w:val="NormalWeb"/>
              <w:widowControl/>
              <w:spacing w:after="150"/>
              <w:rPr>
                <w:sz w:val="24"/>
              </w:rPr>
            </w:pPr>
            <w:r>
              <w:rPr>
                <w:rFonts w:eastAsia="-webkit-standard"/>
                <w:sz w:val="24"/>
              </w:rPr>
              <w:t>2.51</w:t>
            </w:r>
          </w:p>
        </w:tc>
      </w:tr>
      <w:tr w:rsidR="00E46DF5" w14:paraId="04B73FBA" w14:textId="77777777">
        <w:tc>
          <w:tcPr>
            <w:tcW w:w="2880" w:type="dxa"/>
          </w:tcPr>
          <w:p w14:paraId="17448C5D" w14:textId="77777777" w:rsidR="00E46DF5" w:rsidRDefault="00633046">
            <w:pPr>
              <w:pStyle w:val="NormalWeb"/>
              <w:widowControl/>
              <w:spacing w:after="150"/>
              <w:rPr>
                <w:sz w:val="24"/>
              </w:rPr>
            </w:pPr>
            <w:r>
              <w:rPr>
                <w:rFonts w:eastAsia="-webkit-standard"/>
                <w:sz w:val="24"/>
              </w:rPr>
              <w:t>Iron (Fe)</w:t>
            </w:r>
          </w:p>
        </w:tc>
        <w:tc>
          <w:tcPr>
            <w:tcW w:w="2880" w:type="dxa"/>
          </w:tcPr>
          <w:p w14:paraId="3BC98E2C" w14:textId="77777777" w:rsidR="00E46DF5" w:rsidRDefault="00633046">
            <w:pPr>
              <w:pStyle w:val="NormalWeb"/>
              <w:widowControl/>
              <w:spacing w:after="150"/>
              <w:rPr>
                <w:sz w:val="24"/>
              </w:rPr>
            </w:pPr>
            <w:r>
              <w:rPr>
                <w:rFonts w:eastAsia="-webkit-standard"/>
                <w:sz w:val="24"/>
              </w:rPr>
              <w:t>2654.21</w:t>
            </w:r>
          </w:p>
        </w:tc>
        <w:tc>
          <w:tcPr>
            <w:tcW w:w="2880" w:type="dxa"/>
          </w:tcPr>
          <w:p w14:paraId="3E600547" w14:textId="77777777" w:rsidR="00E46DF5" w:rsidRDefault="00633046">
            <w:pPr>
              <w:pStyle w:val="NormalWeb"/>
              <w:widowControl/>
              <w:spacing w:after="150"/>
              <w:rPr>
                <w:sz w:val="24"/>
              </w:rPr>
            </w:pPr>
            <w:r>
              <w:rPr>
                <w:rFonts w:eastAsia="-webkit-standard"/>
                <w:sz w:val="24"/>
              </w:rPr>
              <w:t>2628.85</w:t>
            </w:r>
          </w:p>
        </w:tc>
      </w:tr>
      <w:tr w:rsidR="00E46DF5" w14:paraId="68D74499" w14:textId="77777777">
        <w:tc>
          <w:tcPr>
            <w:tcW w:w="2880" w:type="dxa"/>
            <w:tcBorders>
              <w:bottom w:val="single" w:sz="4" w:space="0" w:color="auto"/>
            </w:tcBorders>
          </w:tcPr>
          <w:p w14:paraId="05146843" w14:textId="77777777" w:rsidR="00E46DF5" w:rsidRDefault="00633046">
            <w:pPr>
              <w:pStyle w:val="NormalWeb"/>
              <w:widowControl/>
              <w:spacing w:after="150"/>
              <w:rPr>
                <w:sz w:val="24"/>
              </w:rPr>
            </w:pPr>
            <w:r>
              <w:rPr>
                <w:rFonts w:eastAsia="-webkit-standard"/>
                <w:sz w:val="24"/>
              </w:rPr>
              <w:t>Sulphate (SO₄²⁻)</w:t>
            </w:r>
          </w:p>
        </w:tc>
        <w:tc>
          <w:tcPr>
            <w:tcW w:w="2880" w:type="dxa"/>
            <w:tcBorders>
              <w:bottom w:val="single" w:sz="4" w:space="0" w:color="auto"/>
            </w:tcBorders>
          </w:tcPr>
          <w:p w14:paraId="7AF093D3" w14:textId="77777777" w:rsidR="00E46DF5" w:rsidRDefault="00633046">
            <w:pPr>
              <w:pStyle w:val="NormalWeb"/>
              <w:widowControl/>
              <w:spacing w:after="150"/>
              <w:rPr>
                <w:sz w:val="24"/>
              </w:rPr>
            </w:pPr>
            <w:r>
              <w:rPr>
                <w:rFonts w:eastAsia="-webkit-standard"/>
                <w:sz w:val="24"/>
              </w:rPr>
              <w:t>5</w:t>
            </w:r>
          </w:p>
        </w:tc>
        <w:tc>
          <w:tcPr>
            <w:tcW w:w="2880" w:type="dxa"/>
            <w:tcBorders>
              <w:bottom w:val="single" w:sz="4" w:space="0" w:color="auto"/>
            </w:tcBorders>
          </w:tcPr>
          <w:p w14:paraId="7A63FC69" w14:textId="77777777" w:rsidR="00E46DF5" w:rsidRDefault="00633046">
            <w:pPr>
              <w:pStyle w:val="NormalWeb"/>
              <w:widowControl/>
              <w:spacing w:after="150"/>
              <w:rPr>
                <w:sz w:val="24"/>
              </w:rPr>
            </w:pPr>
            <w:r>
              <w:rPr>
                <w:rFonts w:eastAsia="-webkit-standard"/>
                <w:sz w:val="24"/>
              </w:rPr>
              <w:t>3</w:t>
            </w:r>
          </w:p>
        </w:tc>
      </w:tr>
    </w:tbl>
    <w:p w14:paraId="256F968C" w14:textId="77777777" w:rsidR="00E46DF5" w:rsidRDefault="00E46DF5">
      <w:pPr>
        <w:spacing w:line="480" w:lineRule="auto"/>
        <w:rPr>
          <w:rFonts w:ascii="Times New Roman" w:hAnsi="Times New Roman" w:cs="Times New Roman"/>
          <w:sz w:val="24"/>
        </w:rPr>
      </w:pPr>
    </w:p>
    <w:p w14:paraId="44EF4117" w14:textId="77777777" w:rsidR="00E46DF5" w:rsidRDefault="00E46DF5">
      <w:pPr>
        <w:spacing w:line="480" w:lineRule="auto"/>
        <w:rPr>
          <w:rFonts w:ascii="Times New Roman" w:hAnsi="Times New Roman" w:cs="Times New Roman"/>
          <w:sz w:val="24"/>
        </w:rPr>
      </w:pPr>
    </w:p>
    <w:p w14:paraId="29A0ED18" w14:textId="77777777" w:rsidR="00E46DF5" w:rsidRDefault="00E46DF5">
      <w:pPr>
        <w:rPr>
          <w:rFonts w:ascii="Times New Roman" w:hAnsi="Times New Roman" w:cs="Times New Roman"/>
          <w:sz w:val="24"/>
        </w:rPr>
      </w:pPr>
    </w:p>
    <w:p w14:paraId="1DB46E1D" w14:textId="77777777" w:rsidR="00E46DF5" w:rsidRDefault="00E46DF5">
      <w:pPr>
        <w:rPr>
          <w:rFonts w:ascii="Times New Roman" w:hAnsi="Times New Roman" w:cs="Times New Roman"/>
          <w:sz w:val="24"/>
        </w:rPr>
      </w:pPr>
    </w:p>
    <w:p w14:paraId="2DF11173" w14:textId="77777777" w:rsidR="00E46DF5" w:rsidRDefault="00E46DF5">
      <w:pPr>
        <w:rPr>
          <w:rFonts w:ascii="Times New Roman" w:hAnsi="Times New Roman" w:cs="Times New Roman"/>
          <w:sz w:val="24"/>
        </w:rPr>
      </w:pPr>
    </w:p>
    <w:p w14:paraId="14372420" w14:textId="77777777" w:rsidR="00E46DF5" w:rsidRDefault="00E46DF5">
      <w:pPr>
        <w:rPr>
          <w:rFonts w:ascii="Times New Roman" w:hAnsi="Times New Roman" w:cs="Times New Roman"/>
          <w:sz w:val="24"/>
        </w:rPr>
      </w:pPr>
    </w:p>
    <w:p w14:paraId="22718DB5" w14:textId="77777777" w:rsidR="00E46DF5" w:rsidRDefault="00E46DF5">
      <w:pPr>
        <w:rPr>
          <w:rFonts w:ascii="Times New Roman" w:hAnsi="Times New Roman" w:cs="Times New Roman"/>
          <w:sz w:val="24"/>
        </w:rPr>
      </w:pPr>
    </w:p>
    <w:p w14:paraId="7956276D" w14:textId="77777777" w:rsidR="00E46DF5" w:rsidRDefault="00E46DF5">
      <w:pPr>
        <w:rPr>
          <w:rFonts w:ascii="Times New Roman" w:hAnsi="Times New Roman" w:cs="Times New Roman"/>
          <w:sz w:val="24"/>
        </w:rPr>
      </w:pPr>
    </w:p>
    <w:p w14:paraId="79337628" w14:textId="77777777" w:rsidR="00E46DF5" w:rsidRDefault="00633046">
      <w:pPr>
        <w:rPr>
          <w:rFonts w:ascii="Times New Roman" w:hAnsi="Times New Roman" w:cs="Times New Roman"/>
          <w:sz w:val="24"/>
        </w:rPr>
      </w:pPr>
      <w:r>
        <w:rPr>
          <w:noProof/>
        </w:rPr>
        <w:drawing>
          <wp:inline distT="0" distB="0" distL="0" distR="0" wp14:anchorId="515EC352" wp14:editId="3B780485">
            <wp:extent cx="4572000" cy="2743200"/>
            <wp:effectExtent l="0" t="0" r="0" b="0"/>
            <wp:docPr id="47" name="image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6.png"/>
                    <pic:cNvPicPr preferRelativeResize="0"/>
                  </pic:nvPicPr>
                  <pic:blipFill>
                    <a:blip r:embed="rId8"/>
                    <a:srcRect/>
                    <a:stretch>
                      <a:fillRect/>
                    </a:stretch>
                  </pic:blipFill>
                  <pic:spPr>
                    <a:xfrm>
                      <a:off x="0" y="0"/>
                      <a:ext cx="4572000" cy="2743200"/>
                    </a:xfrm>
                    <a:prstGeom prst="rect">
                      <a:avLst/>
                    </a:prstGeom>
                  </pic:spPr>
                </pic:pic>
              </a:graphicData>
            </a:graphic>
          </wp:inline>
        </w:drawing>
      </w:r>
    </w:p>
    <w:p w14:paraId="4648DC95" w14:textId="52152584" w:rsidR="00E46DF5" w:rsidRDefault="00BD2210" w:rsidP="006C6E22">
      <w:pPr>
        <w:pStyle w:val="NormalWeb"/>
        <w:widowControl/>
        <w:spacing w:after="150"/>
        <w:rPr>
          <w:sz w:val="24"/>
        </w:rPr>
      </w:pPr>
      <w:r>
        <w:rPr>
          <w:sz w:val="24"/>
        </w:rPr>
        <w:t>Fig 2-</w:t>
      </w:r>
      <w:r w:rsidR="006C6E22">
        <w:rPr>
          <w:sz w:val="24"/>
        </w:rPr>
        <w:t xml:space="preserve"> </w:t>
      </w:r>
      <w:r w:rsidR="006C6E22">
        <w:rPr>
          <w:rFonts w:eastAsia="-webkit-standard"/>
          <w:b/>
          <w:sz w:val="24"/>
        </w:rPr>
        <w:t xml:space="preserve">Level of </w:t>
      </w:r>
      <w:r w:rsidR="006C6E22" w:rsidRPr="000826D4">
        <w:rPr>
          <w:rFonts w:eastAsia="-webkit-standard"/>
          <w:b/>
          <w:sz w:val="24"/>
        </w:rPr>
        <w:t>Iron (Fe)</w:t>
      </w:r>
      <w:r w:rsidR="006C6E22">
        <w:rPr>
          <w:rFonts w:eastAsia="-webkit-standard"/>
          <w:b/>
          <w:sz w:val="24"/>
        </w:rPr>
        <w:t xml:space="preserve"> in</w:t>
      </w:r>
      <w:r w:rsidR="000826D4">
        <w:rPr>
          <w:sz w:val="24"/>
        </w:rPr>
        <w:t xml:space="preserve"> </w:t>
      </w:r>
      <w:r w:rsidR="000826D4">
        <w:rPr>
          <w:b/>
          <w:sz w:val="24"/>
        </w:rPr>
        <w:t>Non-remediated</w:t>
      </w:r>
      <w:r w:rsidR="000826D4">
        <w:rPr>
          <w:rFonts w:eastAsia="-webkit-standard"/>
          <w:b/>
          <w:sz w:val="24"/>
        </w:rPr>
        <w:t xml:space="preserve"> (mg/kg)</w:t>
      </w:r>
      <w:r w:rsidR="000826D4">
        <w:rPr>
          <w:b/>
          <w:sz w:val="24"/>
        </w:rPr>
        <w:t xml:space="preserve"> and </w:t>
      </w:r>
      <w:r w:rsidR="000826D4">
        <w:rPr>
          <w:rFonts w:eastAsia="-webkit-standard"/>
          <w:b/>
          <w:sz w:val="24"/>
        </w:rPr>
        <w:t>Remediated (mg/kg</w:t>
      </w:r>
      <w:r w:rsidR="006C6E22">
        <w:rPr>
          <w:rFonts w:eastAsia="-webkit-standard"/>
          <w:b/>
          <w:sz w:val="24"/>
        </w:rPr>
        <w:t>) soil</w:t>
      </w:r>
    </w:p>
    <w:p w14:paraId="74432A4D" w14:textId="77777777" w:rsidR="00E46DF5" w:rsidRDefault="00633046">
      <w:pPr>
        <w:rPr>
          <w:rFonts w:ascii="Times New Roman" w:hAnsi="Times New Roman" w:cs="Times New Roman"/>
          <w:sz w:val="24"/>
        </w:rPr>
      </w:pPr>
      <w:r>
        <w:rPr>
          <w:noProof/>
        </w:rPr>
        <w:lastRenderedPageBreak/>
        <w:drawing>
          <wp:inline distT="0" distB="0" distL="0" distR="0" wp14:anchorId="06523318" wp14:editId="1A7ECBDB">
            <wp:extent cx="4895850" cy="3162300"/>
            <wp:effectExtent l="0" t="0" r="0" b="0"/>
            <wp:docPr id="48"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3.png"/>
                    <pic:cNvPicPr preferRelativeResize="0"/>
                  </pic:nvPicPr>
                  <pic:blipFill>
                    <a:blip r:embed="rId9"/>
                    <a:srcRect/>
                    <a:stretch>
                      <a:fillRect/>
                    </a:stretch>
                  </pic:blipFill>
                  <pic:spPr>
                    <a:xfrm>
                      <a:off x="0" y="0"/>
                      <a:ext cx="4895850" cy="3162300"/>
                    </a:xfrm>
                    <a:prstGeom prst="rect">
                      <a:avLst/>
                    </a:prstGeom>
                  </pic:spPr>
                </pic:pic>
              </a:graphicData>
            </a:graphic>
          </wp:inline>
        </w:drawing>
      </w:r>
    </w:p>
    <w:p w14:paraId="4FBAB492" w14:textId="77777777" w:rsidR="00E46DF5" w:rsidRDefault="00E46DF5">
      <w:pPr>
        <w:rPr>
          <w:rFonts w:ascii="Times New Roman" w:hAnsi="Times New Roman" w:cs="Times New Roman"/>
          <w:sz w:val="24"/>
        </w:rPr>
      </w:pPr>
    </w:p>
    <w:p w14:paraId="48AE34C2" w14:textId="2480405C" w:rsidR="00E46DF5" w:rsidRDefault="00BD2210">
      <w:pPr>
        <w:jc w:val="center"/>
        <w:rPr>
          <w:rFonts w:ascii="Times New Roman" w:hAnsi="Times New Roman" w:cs="Times New Roman"/>
          <w:sz w:val="24"/>
        </w:rPr>
      </w:pPr>
      <w:r w:rsidRPr="00BD2210">
        <w:rPr>
          <w:rFonts w:ascii="Times New Roman" w:hAnsi="Times New Roman" w:cs="Times New Roman"/>
          <w:sz w:val="24"/>
        </w:rPr>
        <w:t>Fig</w:t>
      </w:r>
      <w:r>
        <w:rPr>
          <w:rFonts w:ascii="Times New Roman" w:hAnsi="Times New Roman" w:cs="Times New Roman"/>
          <w:sz w:val="24"/>
        </w:rPr>
        <w:t xml:space="preserve"> 3-</w:t>
      </w:r>
      <w:r w:rsidR="00680296">
        <w:rPr>
          <w:rFonts w:ascii="Times New Roman" w:hAnsi="Times New Roman" w:cs="Times New Roman"/>
          <w:sz w:val="24"/>
        </w:rPr>
        <w:t xml:space="preserve"> </w:t>
      </w:r>
      <w:r w:rsidR="006C6E22">
        <w:rPr>
          <w:rFonts w:ascii="Times New Roman" w:hAnsi="Times New Roman" w:cs="Times New Roman"/>
          <w:b/>
          <w:bCs/>
          <w:sz w:val="24"/>
        </w:rPr>
        <w:t>Levels</w:t>
      </w:r>
      <w:r w:rsidR="00680296" w:rsidRPr="00680296">
        <w:rPr>
          <w:rFonts w:ascii="Times New Roman" w:hAnsi="Times New Roman" w:cs="Times New Roman"/>
          <w:b/>
          <w:bCs/>
          <w:sz w:val="24"/>
        </w:rPr>
        <w:t xml:space="preserve"> of</w:t>
      </w:r>
      <w:r w:rsidR="00680296" w:rsidRPr="00680296">
        <w:rPr>
          <w:rFonts w:ascii="Times New Roman" w:hAnsi="Times New Roman" w:cs="Times New Roman"/>
          <w:sz w:val="24"/>
        </w:rPr>
        <w:t xml:space="preserve"> </w:t>
      </w:r>
      <w:r w:rsidR="00680296">
        <w:rPr>
          <w:rFonts w:ascii="Times New Roman" w:hAnsi="Times New Roman" w:cs="Times New Roman"/>
          <w:b/>
          <w:bCs/>
          <w:sz w:val="24"/>
        </w:rPr>
        <w:t xml:space="preserve">Essential Mineral Elements </w:t>
      </w:r>
      <w:r w:rsidR="006C6E22">
        <w:rPr>
          <w:rFonts w:ascii="Times New Roman" w:hAnsi="Times New Roman" w:cs="Times New Roman"/>
          <w:b/>
          <w:bCs/>
          <w:sz w:val="24"/>
        </w:rPr>
        <w:t xml:space="preserve">in </w:t>
      </w:r>
      <w:r w:rsidR="006C6E22" w:rsidRPr="00680296">
        <w:rPr>
          <w:rFonts w:ascii="Times New Roman" w:hAnsi="Times New Roman" w:cs="Times New Roman"/>
          <w:b/>
          <w:bCs/>
          <w:sz w:val="24"/>
        </w:rPr>
        <w:t xml:space="preserve">Non-remediated (mg/kg) and Remediated (mg/kg) </w:t>
      </w:r>
      <w:r w:rsidR="006C6E22">
        <w:rPr>
          <w:rFonts w:ascii="Times New Roman" w:hAnsi="Times New Roman" w:cs="Times New Roman"/>
          <w:b/>
          <w:bCs/>
          <w:sz w:val="24"/>
        </w:rPr>
        <w:t>soil</w:t>
      </w:r>
    </w:p>
    <w:p w14:paraId="5E2AC9A5" w14:textId="77777777" w:rsidR="00E46DF5" w:rsidRDefault="00E46DF5">
      <w:pPr>
        <w:jc w:val="center"/>
        <w:rPr>
          <w:rFonts w:ascii="Times New Roman" w:hAnsi="Times New Roman" w:cs="Times New Roman"/>
          <w:sz w:val="24"/>
        </w:rPr>
      </w:pPr>
    </w:p>
    <w:p w14:paraId="2A86B09C" w14:textId="77777777" w:rsidR="00E46DF5" w:rsidRDefault="00633046">
      <w:pPr>
        <w:spacing w:line="480" w:lineRule="auto"/>
        <w:rPr>
          <w:rFonts w:ascii="Times New Roman" w:hAnsi="Times New Roman" w:cs="Times New Roman"/>
          <w:b/>
          <w:bCs/>
          <w:sz w:val="24"/>
        </w:rPr>
      </w:pPr>
      <w:r>
        <w:rPr>
          <w:rFonts w:ascii="Times New Roman" w:hAnsi="Times New Roman" w:cs="Times New Roman"/>
          <w:b/>
          <w:bCs/>
          <w:sz w:val="24"/>
        </w:rPr>
        <w:t xml:space="preserve">Table 2: Physicochemical Properties of Remediated and Non-Remediated Soil </w:t>
      </w:r>
    </w:p>
    <w:tbl>
      <w:tblPr>
        <w:tblW w:w="9645" w:type="dxa"/>
        <w:tblBorders>
          <w:top w:val="none" w:sz="4" w:space="0" w:color="auto"/>
          <w:left w:val="none" w:sz="4" w:space="0" w:color="auto"/>
          <w:bottom w:val="none" w:sz="4" w:space="0" w:color="auto"/>
          <w:right w:val="non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28"/>
        <w:gridCol w:w="1728"/>
        <w:gridCol w:w="1728"/>
        <w:gridCol w:w="1728"/>
        <w:gridCol w:w="2733"/>
      </w:tblGrid>
      <w:tr w:rsidR="00E46DF5" w14:paraId="2F55F8D4" w14:textId="77777777">
        <w:tc>
          <w:tcPr>
            <w:tcW w:w="1728" w:type="dxa"/>
          </w:tcPr>
          <w:p w14:paraId="0C321935" w14:textId="77777777" w:rsidR="00E46DF5" w:rsidRDefault="00633046">
            <w:pPr>
              <w:pStyle w:val="NormalWeb"/>
              <w:widowControl/>
              <w:spacing w:after="0" w:line="240" w:lineRule="auto"/>
              <w:jc w:val="left"/>
              <w:rPr>
                <w:b/>
                <w:sz w:val="24"/>
              </w:rPr>
            </w:pPr>
            <w:r>
              <w:rPr>
                <w:rFonts w:eastAsia="-webkit-standard"/>
                <w:b/>
                <w:sz w:val="24"/>
              </w:rPr>
              <w:t>Parameter</w:t>
            </w:r>
          </w:p>
        </w:tc>
        <w:tc>
          <w:tcPr>
            <w:tcW w:w="1728" w:type="dxa"/>
          </w:tcPr>
          <w:p w14:paraId="78FDB322" w14:textId="77777777" w:rsidR="00E46DF5" w:rsidRDefault="00633046">
            <w:pPr>
              <w:pStyle w:val="NormalWeb"/>
              <w:widowControl/>
              <w:spacing w:after="0" w:line="240" w:lineRule="auto"/>
              <w:jc w:val="left"/>
              <w:rPr>
                <w:b/>
                <w:sz w:val="24"/>
              </w:rPr>
            </w:pPr>
            <w:r>
              <w:rPr>
                <w:b/>
                <w:sz w:val="24"/>
              </w:rPr>
              <w:t>Non-remediated</w:t>
            </w:r>
          </w:p>
        </w:tc>
        <w:tc>
          <w:tcPr>
            <w:tcW w:w="1728" w:type="dxa"/>
          </w:tcPr>
          <w:p w14:paraId="37CE17FD" w14:textId="77777777" w:rsidR="00E46DF5" w:rsidRDefault="00633046">
            <w:pPr>
              <w:pStyle w:val="NormalWeb"/>
              <w:widowControl/>
              <w:spacing w:after="0" w:line="240" w:lineRule="auto"/>
              <w:jc w:val="left"/>
              <w:rPr>
                <w:b/>
                <w:sz w:val="24"/>
              </w:rPr>
            </w:pPr>
            <w:r>
              <w:rPr>
                <w:rFonts w:eastAsia="-webkit-standard"/>
                <w:b/>
                <w:sz w:val="24"/>
              </w:rPr>
              <w:t>Remediated</w:t>
            </w:r>
          </w:p>
        </w:tc>
        <w:tc>
          <w:tcPr>
            <w:tcW w:w="1728" w:type="dxa"/>
          </w:tcPr>
          <w:p w14:paraId="787B0977" w14:textId="77777777" w:rsidR="00E46DF5" w:rsidRDefault="00633046">
            <w:pPr>
              <w:pStyle w:val="NormalWeb"/>
              <w:widowControl/>
              <w:spacing w:after="0" w:line="240" w:lineRule="auto"/>
              <w:jc w:val="left"/>
              <w:rPr>
                <w:b/>
                <w:sz w:val="24"/>
              </w:rPr>
            </w:pPr>
            <w:r>
              <w:rPr>
                <w:rFonts w:eastAsia="-webkit-standard"/>
                <w:b/>
                <w:sz w:val="24"/>
              </w:rPr>
              <w:t>USEPA Standard Range</w:t>
            </w:r>
          </w:p>
        </w:tc>
        <w:tc>
          <w:tcPr>
            <w:tcW w:w="2733" w:type="dxa"/>
          </w:tcPr>
          <w:p w14:paraId="23272227" w14:textId="77777777" w:rsidR="00E46DF5" w:rsidRDefault="00633046">
            <w:pPr>
              <w:pStyle w:val="NormalWeb"/>
              <w:widowControl/>
              <w:spacing w:after="0" w:line="240" w:lineRule="auto"/>
              <w:jc w:val="left"/>
              <w:rPr>
                <w:b/>
                <w:sz w:val="24"/>
              </w:rPr>
            </w:pPr>
            <w:r>
              <w:rPr>
                <w:rFonts w:eastAsia="-webkit-standard"/>
                <w:b/>
                <w:sz w:val="24"/>
              </w:rPr>
              <w:t xml:space="preserve">     Remark</w:t>
            </w:r>
          </w:p>
        </w:tc>
      </w:tr>
      <w:tr w:rsidR="00E46DF5" w14:paraId="7545AD0C" w14:textId="77777777">
        <w:tc>
          <w:tcPr>
            <w:tcW w:w="1728" w:type="dxa"/>
          </w:tcPr>
          <w:p w14:paraId="10379B82" w14:textId="77777777" w:rsidR="00E46DF5" w:rsidRDefault="00633046">
            <w:pPr>
              <w:pStyle w:val="NormalWeb"/>
              <w:widowControl/>
              <w:spacing w:after="0" w:line="240" w:lineRule="auto"/>
              <w:jc w:val="left"/>
              <w:rPr>
                <w:sz w:val="24"/>
              </w:rPr>
            </w:pPr>
            <w:r>
              <w:rPr>
                <w:rFonts w:eastAsia="-webkit-standard"/>
                <w:sz w:val="24"/>
              </w:rPr>
              <w:t>pH</w:t>
            </w:r>
          </w:p>
        </w:tc>
        <w:tc>
          <w:tcPr>
            <w:tcW w:w="1728" w:type="dxa"/>
          </w:tcPr>
          <w:p w14:paraId="4055906F" w14:textId="77777777" w:rsidR="00E46DF5" w:rsidRDefault="00633046">
            <w:pPr>
              <w:pStyle w:val="NormalWeb"/>
              <w:widowControl/>
              <w:spacing w:after="0" w:line="240" w:lineRule="auto"/>
              <w:jc w:val="left"/>
              <w:rPr>
                <w:sz w:val="24"/>
              </w:rPr>
            </w:pPr>
            <w:r>
              <w:rPr>
                <w:rFonts w:eastAsia="-webkit-standard"/>
                <w:sz w:val="24"/>
              </w:rPr>
              <w:t xml:space="preserve">    6.23</w:t>
            </w:r>
          </w:p>
        </w:tc>
        <w:tc>
          <w:tcPr>
            <w:tcW w:w="1728" w:type="dxa"/>
          </w:tcPr>
          <w:p w14:paraId="2D92D3BC" w14:textId="77777777" w:rsidR="00E46DF5" w:rsidRDefault="00633046">
            <w:pPr>
              <w:pStyle w:val="NormalWeb"/>
              <w:widowControl/>
              <w:spacing w:after="0" w:line="240" w:lineRule="auto"/>
              <w:jc w:val="left"/>
              <w:rPr>
                <w:sz w:val="24"/>
              </w:rPr>
            </w:pPr>
            <w:r>
              <w:rPr>
                <w:rFonts w:eastAsia="-webkit-standard"/>
                <w:sz w:val="24"/>
              </w:rPr>
              <w:t>6.21</w:t>
            </w:r>
          </w:p>
        </w:tc>
        <w:tc>
          <w:tcPr>
            <w:tcW w:w="1728" w:type="dxa"/>
          </w:tcPr>
          <w:p w14:paraId="74D18BDD" w14:textId="77777777" w:rsidR="00E46DF5" w:rsidRDefault="00633046">
            <w:pPr>
              <w:pStyle w:val="NormalWeb"/>
              <w:widowControl/>
              <w:spacing w:after="0" w:line="240" w:lineRule="auto"/>
              <w:jc w:val="left"/>
              <w:rPr>
                <w:sz w:val="24"/>
              </w:rPr>
            </w:pPr>
            <w:r>
              <w:rPr>
                <w:rFonts w:eastAsia="-webkit-standard"/>
                <w:sz w:val="24"/>
              </w:rPr>
              <w:t>6.0 – 8.5</w:t>
            </w:r>
          </w:p>
        </w:tc>
        <w:tc>
          <w:tcPr>
            <w:tcW w:w="2733" w:type="dxa"/>
          </w:tcPr>
          <w:p w14:paraId="25EFA2CF" w14:textId="77777777" w:rsidR="00E46DF5" w:rsidRDefault="00633046">
            <w:pPr>
              <w:pStyle w:val="NormalWeb"/>
              <w:widowControl/>
              <w:spacing w:after="0" w:line="240" w:lineRule="auto"/>
              <w:jc w:val="left"/>
              <w:rPr>
                <w:sz w:val="24"/>
              </w:rPr>
            </w:pPr>
            <w:r>
              <w:rPr>
                <w:rFonts w:eastAsia="-webkit-standard"/>
                <w:sz w:val="24"/>
              </w:rPr>
              <w:t>Within acceptable limit</w:t>
            </w:r>
          </w:p>
        </w:tc>
      </w:tr>
      <w:tr w:rsidR="00E46DF5" w14:paraId="0075D040" w14:textId="77777777">
        <w:tc>
          <w:tcPr>
            <w:tcW w:w="1728" w:type="dxa"/>
          </w:tcPr>
          <w:p w14:paraId="0D0C9B00" w14:textId="77777777" w:rsidR="00E46DF5" w:rsidRDefault="00633046">
            <w:pPr>
              <w:pStyle w:val="NormalWeb"/>
              <w:widowControl/>
              <w:spacing w:after="0" w:line="240" w:lineRule="auto"/>
              <w:jc w:val="left"/>
              <w:rPr>
                <w:sz w:val="24"/>
              </w:rPr>
            </w:pPr>
            <w:r>
              <w:rPr>
                <w:rFonts w:eastAsia="-webkit-standard"/>
                <w:sz w:val="24"/>
              </w:rPr>
              <w:t>Conductivity (µS/cm)</w:t>
            </w:r>
          </w:p>
        </w:tc>
        <w:tc>
          <w:tcPr>
            <w:tcW w:w="1728" w:type="dxa"/>
          </w:tcPr>
          <w:p w14:paraId="37A3095F" w14:textId="77777777" w:rsidR="00E46DF5" w:rsidRDefault="00633046">
            <w:pPr>
              <w:pStyle w:val="NormalWeb"/>
              <w:widowControl/>
              <w:spacing w:after="0" w:line="240" w:lineRule="auto"/>
              <w:jc w:val="left"/>
              <w:rPr>
                <w:sz w:val="24"/>
              </w:rPr>
            </w:pPr>
            <w:r>
              <w:rPr>
                <w:rFonts w:eastAsia="-webkit-standard"/>
                <w:sz w:val="24"/>
              </w:rPr>
              <w:t xml:space="preserve">    98</w:t>
            </w:r>
          </w:p>
        </w:tc>
        <w:tc>
          <w:tcPr>
            <w:tcW w:w="1728" w:type="dxa"/>
          </w:tcPr>
          <w:p w14:paraId="04AB4819" w14:textId="77777777" w:rsidR="00E46DF5" w:rsidRDefault="00633046">
            <w:pPr>
              <w:pStyle w:val="NormalWeb"/>
              <w:widowControl/>
              <w:spacing w:after="0" w:line="240" w:lineRule="auto"/>
              <w:jc w:val="left"/>
              <w:rPr>
                <w:sz w:val="24"/>
              </w:rPr>
            </w:pPr>
            <w:r>
              <w:rPr>
                <w:rFonts w:eastAsia="-webkit-standard"/>
                <w:sz w:val="24"/>
              </w:rPr>
              <w:t>60</w:t>
            </w:r>
          </w:p>
        </w:tc>
        <w:tc>
          <w:tcPr>
            <w:tcW w:w="1728" w:type="dxa"/>
          </w:tcPr>
          <w:p w14:paraId="39F99E9B" w14:textId="77777777" w:rsidR="00E46DF5" w:rsidRDefault="00633046">
            <w:pPr>
              <w:pStyle w:val="NormalWeb"/>
              <w:widowControl/>
              <w:spacing w:after="0" w:line="240" w:lineRule="auto"/>
              <w:jc w:val="left"/>
              <w:rPr>
                <w:sz w:val="24"/>
              </w:rPr>
            </w:pPr>
            <w:r>
              <w:rPr>
                <w:rFonts w:eastAsia="-webkit-standard"/>
                <w:sz w:val="24"/>
              </w:rPr>
              <w:t>≤ 400</w:t>
            </w:r>
          </w:p>
        </w:tc>
        <w:tc>
          <w:tcPr>
            <w:tcW w:w="2733" w:type="dxa"/>
          </w:tcPr>
          <w:p w14:paraId="38466AA3" w14:textId="77777777" w:rsidR="00E46DF5" w:rsidRDefault="00633046">
            <w:pPr>
              <w:pStyle w:val="NormalWeb"/>
              <w:widowControl/>
              <w:spacing w:after="0" w:line="240" w:lineRule="auto"/>
              <w:jc w:val="left"/>
              <w:rPr>
                <w:sz w:val="24"/>
              </w:rPr>
            </w:pPr>
            <w:r>
              <w:rPr>
                <w:rFonts w:eastAsia="-webkit-standard"/>
                <w:sz w:val="24"/>
              </w:rPr>
              <w:t>Within acceptable limit</w:t>
            </w:r>
          </w:p>
        </w:tc>
      </w:tr>
      <w:tr w:rsidR="00E46DF5" w14:paraId="27590877" w14:textId="77777777">
        <w:tc>
          <w:tcPr>
            <w:tcW w:w="1728" w:type="dxa"/>
          </w:tcPr>
          <w:p w14:paraId="42C2E358" w14:textId="77777777" w:rsidR="00E46DF5" w:rsidRDefault="00633046">
            <w:pPr>
              <w:pStyle w:val="NormalWeb"/>
              <w:widowControl/>
              <w:spacing w:after="0" w:line="240" w:lineRule="auto"/>
              <w:jc w:val="left"/>
              <w:rPr>
                <w:sz w:val="24"/>
              </w:rPr>
            </w:pPr>
            <w:r>
              <w:rPr>
                <w:rFonts w:eastAsia="-webkit-standard"/>
                <w:sz w:val="24"/>
              </w:rPr>
              <w:t>Acidity (mg/kg)</w:t>
            </w:r>
          </w:p>
        </w:tc>
        <w:tc>
          <w:tcPr>
            <w:tcW w:w="1728" w:type="dxa"/>
          </w:tcPr>
          <w:p w14:paraId="4998745F" w14:textId="77777777" w:rsidR="00E46DF5" w:rsidRDefault="00633046">
            <w:pPr>
              <w:pStyle w:val="NormalWeb"/>
              <w:widowControl/>
              <w:spacing w:after="0" w:line="240" w:lineRule="auto"/>
              <w:jc w:val="left"/>
              <w:rPr>
                <w:sz w:val="24"/>
              </w:rPr>
            </w:pPr>
            <w:r>
              <w:rPr>
                <w:rFonts w:eastAsia="-webkit-standard"/>
                <w:sz w:val="24"/>
              </w:rPr>
              <w:t xml:space="preserve">    0</w:t>
            </w:r>
          </w:p>
        </w:tc>
        <w:tc>
          <w:tcPr>
            <w:tcW w:w="1728" w:type="dxa"/>
          </w:tcPr>
          <w:p w14:paraId="78B537CD" w14:textId="77777777" w:rsidR="00E46DF5" w:rsidRDefault="00633046">
            <w:pPr>
              <w:pStyle w:val="NormalWeb"/>
              <w:widowControl/>
              <w:spacing w:after="0" w:line="240" w:lineRule="auto"/>
              <w:jc w:val="left"/>
              <w:rPr>
                <w:sz w:val="24"/>
              </w:rPr>
            </w:pPr>
            <w:r>
              <w:rPr>
                <w:rFonts w:eastAsia="-webkit-standard"/>
                <w:sz w:val="24"/>
              </w:rPr>
              <w:t>0</w:t>
            </w:r>
          </w:p>
        </w:tc>
        <w:tc>
          <w:tcPr>
            <w:tcW w:w="1728" w:type="dxa"/>
          </w:tcPr>
          <w:p w14:paraId="5B2AA4C3" w14:textId="77777777" w:rsidR="00E46DF5" w:rsidRDefault="00633046">
            <w:pPr>
              <w:pStyle w:val="NormalWeb"/>
              <w:widowControl/>
              <w:spacing w:after="0" w:line="240" w:lineRule="auto"/>
              <w:jc w:val="left"/>
              <w:rPr>
                <w:sz w:val="24"/>
              </w:rPr>
            </w:pPr>
            <w:r>
              <w:rPr>
                <w:rFonts w:eastAsia="-webkit-standard"/>
                <w:sz w:val="24"/>
              </w:rPr>
              <w:t>≤ 50</w:t>
            </w:r>
          </w:p>
        </w:tc>
        <w:tc>
          <w:tcPr>
            <w:tcW w:w="2733" w:type="dxa"/>
          </w:tcPr>
          <w:p w14:paraId="0DFFBF42" w14:textId="77777777" w:rsidR="00E46DF5" w:rsidRDefault="00633046">
            <w:pPr>
              <w:pStyle w:val="NormalWeb"/>
              <w:widowControl/>
              <w:spacing w:after="0" w:line="240" w:lineRule="auto"/>
              <w:jc w:val="left"/>
              <w:rPr>
                <w:sz w:val="24"/>
              </w:rPr>
            </w:pPr>
            <w:r>
              <w:rPr>
                <w:rFonts w:eastAsia="-webkit-standard"/>
                <w:sz w:val="24"/>
              </w:rPr>
              <w:t>Within acceptable limit</w:t>
            </w:r>
          </w:p>
        </w:tc>
      </w:tr>
      <w:tr w:rsidR="00E46DF5" w14:paraId="456E1A75" w14:textId="77777777">
        <w:tc>
          <w:tcPr>
            <w:tcW w:w="1728" w:type="dxa"/>
          </w:tcPr>
          <w:p w14:paraId="1DA68DA2" w14:textId="77777777" w:rsidR="00E46DF5" w:rsidRDefault="00633046">
            <w:pPr>
              <w:pStyle w:val="NormalWeb"/>
              <w:widowControl/>
              <w:spacing w:after="0" w:line="240" w:lineRule="auto"/>
              <w:jc w:val="left"/>
              <w:rPr>
                <w:sz w:val="24"/>
              </w:rPr>
            </w:pPr>
            <w:r>
              <w:rPr>
                <w:rFonts w:eastAsia="-webkit-standard"/>
                <w:sz w:val="24"/>
              </w:rPr>
              <w:t>Temperature (°C)</w:t>
            </w:r>
          </w:p>
        </w:tc>
        <w:tc>
          <w:tcPr>
            <w:tcW w:w="1728" w:type="dxa"/>
          </w:tcPr>
          <w:p w14:paraId="19942F82" w14:textId="77777777" w:rsidR="00E46DF5" w:rsidRDefault="00633046">
            <w:pPr>
              <w:pStyle w:val="NormalWeb"/>
              <w:widowControl/>
              <w:spacing w:after="0" w:line="240" w:lineRule="auto"/>
              <w:jc w:val="left"/>
              <w:rPr>
                <w:sz w:val="24"/>
              </w:rPr>
            </w:pPr>
            <w:r>
              <w:rPr>
                <w:rFonts w:eastAsia="-webkit-standard"/>
                <w:sz w:val="24"/>
              </w:rPr>
              <w:t xml:space="preserve">    27.1</w:t>
            </w:r>
          </w:p>
        </w:tc>
        <w:tc>
          <w:tcPr>
            <w:tcW w:w="1728" w:type="dxa"/>
          </w:tcPr>
          <w:p w14:paraId="64EF55C8" w14:textId="77777777" w:rsidR="00E46DF5" w:rsidRDefault="00633046">
            <w:pPr>
              <w:pStyle w:val="NormalWeb"/>
              <w:widowControl/>
              <w:spacing w:after="0" w:line="240" w:lineRule="auto"/>
              <w:jc w:val="left"/>
              <w:rPr>
                <w:sz w:val="24"/>
              </w:rPr>
            </w:pPr>
            <w:r>
              <w:rPr>
                <w:rFonts w:eastAsia="-webkit-standard"/>
                <w:sz w:val="24"/>
              </w:rPr>
              <w:t>27.9</w:t>
            </w:r>
          </w:p>
        </w:tc>
        <w:tc>
          <w:tcPr>
            <w:tcW w:w="1728" w:type="dxa"/>
          </w:tcPr>
          <w:p w14:paraId="4CBAC567" w14:textId="77777777" w:rsidR="00E46DF5" w:rsidRDefault="00633046">
            <w:pPr>
              <w:pStyle w:val="NormalWeb"/>
              <w:widowControl/>
              <w:spacing w:after="0" w:line="240" w:lineRule="auto"/>
              <w:jc w:val="left"/>
              <w:rPr>
                <w:sz w:val="24"/>
              </w:rPr>
            </w:pPr>
            <w:r>
              <w:rPr>
                <w:rFonts w:eastAsia="-webkit-standard"/>
                <w:sz w:val="24"/>
              </w:rPr>
              <w:t>25 – 35</w:t>
            </w:r>
          </w:p>
        </w:tc>
        <w:tc>
          <w:tcPr>
            <w:tcW w:w="2733" w:type="dxa"/>
          </w:tcPr>
          <w:p w14:paraId="3433E1E7" w14:textId="77777777" w:rsidR="00E46DF5" w:rsidRDefault="00633046">
            <w:pPr>
              <w:pStyle w:val="NormalWeb"/>
              <w:widowControl/>
              <w:spacing w:after="0" w:line="240" w:lineRule="auto"/>
              <w:jc w:val="left"/>
              <w:rPr>
                <w:sz w:val="24"/>
              </w:rPr>
            </w:pPr>
            <w:r>
              <w:rPr>
                <w:rFonts w:eastAsia="-webkit-standard"/>
                <w:sz w:val="24"/>
              </w:rPr>
              <w:t>Within acceptable limit</w:t>
            </w:r>
          </w:p>
        </w:tc>
      </w:tr>
      <w:tr w:rsidR="00E46DF5" w14:paraId="3DCA58FA" w14:textId="77777777">
        <w:tc>
          <w:tcPr>
            <w:tcW w:w="1728" w:type="dxa"/>
          </w:tcPr>
          <w:p w14:paraId="2BF9D58B" w14:textId="77777777" w:rsidR="00E46DF5" w:rsidRDefault="00633046">
            <w:pPr>
              <w:pStyle w:val="NormalWeb"/>
              <w:widowControl/>
              <w:spacing w:after="0" w:line="240" w:lineRule="auto"/>
              <w:jc w:val="left"/>
              <w:rPr>
                <w:sz w:val="24"/>
              </w:rPr>
            </w:pPr>
            <w:r>
              <w:rPr>
                <w:rFonts w:eastAsia="-webkit-standard"/>
                <w:sz w:val="24"/>
              </w:rPr>
              <w:t>Moisture Content (%)</w:t>
            </w:r>
          </w:p>
        </w:tc>
        <w:tc>
          <w:tcPr>
            <w:tcW w:w="1728" w:type="dxa"/>
          </w:tcPr>
          <w:p w14:paraId="2A820393" w14:textId="77777777" w:rsidR="00E46DF5" w:rsidRDefault="00633046">
            <w:pPr>
              <w:pStyle w:val="NormalWeb"/>
              <w:widowControl/>
              <w:spacing w:after="0" w:line="240" w:lineRule="auto"/>
              <w:jc w:val="left"/>
              <w:rPr>
                <w:sz w:val="24"/>
              </w:rPr>
            </w:pPr>
            <w:r>
              <w:rPr>
                <w:rFonts w:eastAsia="-webkit-standard"/>
                <w:sz w:val="24"/>
              </w:rPr>
              <w:t xml:space="preserve">   12.334</w:t>
            </w:r>
          </w:p>
        </w:tc>
        <w:tc>
          <w:tcPr>
            <w:tcW w:w="1728" w:type="dxa"/>
          </w:tcPr>
          <w:p w14:paraId="58CFDC38" w14:textId="77777777" w:rsidR="00E46DF5" w:rsidRDefault="00633046">
            <w:pPr>
              <w:pStyle w:val="NormalWeb"/>
              <w:widowControl/>
              <w:spacing w:after="0" w:line="240" w:lineRule="auto"/>
              <w:jc w:val="left"/>
              <w:rPr>
                <w:sz w:val="24"/>
              </w:rPr>
            </w:pPr>
            <w:r>
              <w:rPr>
                <w:rFonts w:eastAsia="-webkit-standard"/>
                <w:sz w:val="24"/>
              </w:rPr>
              <w:t>11.052</w:t>
            </w:r>
          </w:p>
        </w:tc>
        <w:tc>
          <w:tcPr>
            <w:tcW w:w="1728" w:type="dxa"/>
          </w:tcPr>
          <w:p w14:paraId="39402490" w14:textId="77777777" w:rsidR="00E46DF5" w:rsidRDefault="00633046">
            <w:pPr>
              <w:pStyle w:val="NormalWeb"/>
              <w:widowControl/>
              <w:spacing w:after="0" w:line="240" w:lineRule="auto"/>
              <w:jc w:val="left"/>
              <w:rPr>
                <w:sz w:val="24"/>
              </w:rPr>
            </w:pPr>
            <w:r>
              <w:rPr>
                <w:rFonts w:eastAsia="-webkit-standard"/>
                <w:sz w:val="24"/>
              </w:rPr>
              <w:t>10 – 30</w:t>
            </w:r>
          </w:p>
        </w:tc>
        <w:tc>
          <w:tcPr>
            <w:tcW w:w="2733" w:type="dxa"/>
          </w:tcPr>
          <w:p w14:paraId="6CC78871" w14:textId="77777777" w:rsidR="00E46DF5" w:rsidRDefault="00633046">
            <w:pPr>
              <w:pStyle w:val="NormalWeb"/>
              <w:widowControl/>
              <w:spacing w:after="0" w:line="240" w:lineRule="auto"/>
              <w:jc w:val="left"/>
              <w:rPr>
                <w:sz w:val="24"/>
              </w:rPr>
            </w:pPr>
            <w:r>
              <w:rPr>
                <w:rFonts w:eastAsia="-webkit-standard"/>
                <w:sz w:val="24"/>
              </w:rPr>
              <w:t>Within acceptable limit</w:t>
            </w:r>
          </w:p>
        </w:tc>
      </w:tr>
      <w:tr w:rsidR="00E46DF5" w14:paraId="5F5B9F41" w14:textId="77777777">
        <w:tc>
          <w:tcPr>
            <w:tcW w:w="1728" w:type="dxa"/>
          </w:tcPr>
          <w:p w14:paraId="16C44777" w14:textId="77777777" w:rsidR="00E46DF5" w:rsidRDefault="00633046">
            <w:pPr>
              <w:pStyle w:val="NormalWeb"/>
              <w:widowControl/>
              <w:spacing w:after="0" w:line="240" w:lineRule="auto"/>
              <w:jc w:val="left"/>
              <w:rPr>
                <w:sz w:val="24"/>
              </w:rPr>
            </w:pPr>
            <w:r>
              <w:rPr>
                <w:rFonts w:eastAsia="-webkit-standard"/>
                <w:sz w:val="24"/>
              </w:rPr>
              <w:t>Porosity (%)</w:t>
            </w:r>
          </w:p>
        </w:tc>
        <w:tc>
          <w:tcPr>
            <w:tcW w:w="1728" w:type="dxa"/>
          </w:tcPr>
          <w:p w14:paraId="02F64F24" w14:textId="77777777" w:rsidR="00E46DF5" w:rsidRDefault="00633046">
            <w:pPr>
              <w:pStyle w:val="NormalWeb"/>
              <w:widowControl/>
              <w:spacing w:after="0" w:line="240" w:lineRule="auto"/>
              <w:jc w:val="left"/>
              <w:rPr>
                <w:sz w:val="24"/>
              </w:rPr>
            </w:pPr>
            <w:r>
              <w:rPr>
                <w:rFonts w:eastAsia="-webkit-standard"/>
                <w:sz w:val="24"/>
              </w:rPr>
              <w:t xml:space="preserve">    45</w:t>
            </w:r>
          </w:p>
        </w:tc>
        <w:tc>
          <w:tcPr>
            <w:tcW w:w="1728" w:type="dxa"/>
          </w:tcPr>
          <w:p w14:paraId="3E46C051" w14:textId="77777777" w:rsidR="00E46DF5" w:rsidRDefault="00633046">
            <w:pPr>
              <w:pStyle w:val="NormalWeb"/>
              <w:widowControl/>
              <w:spacing w:after="0" w:line="240" w:lineRule="auto"/>
              <w:jc w:val="left"/>
              <w:rPr>
                <w:sz w:val="24"/>
              </w:rPr>
            </w:pPr>
            <w:r>
              <w:rPr>
                <w:rFonts w:eastAsia="-webkit-standard"/>
                <w:sz w:val="24"/>
              </w:rPr>
              <w:t>49</w:t>
            </w:r>
          </w:p>
        </w:tc>
        <w:tc>
          <w:tcPr>
            <w:tcW w:w="1728" w:type="dxa"/>
          </w:tcPr>
          <w:p w14:paraId="3B4CABA9" w14:textId="77777777" w:rsidR="00E46DF5" w:rsidRDefault="00633046">
            <w:pPr>
              <w:pStyle w:val="NormalWeb"/>
              <w:widowControl/>
              <w:spacing w:after="0" w:line="240" w:lineRule="auto"/>
              <w:jc w:val="left"/>
              <w:rPr>
                <w:sz w:val="24"/>
              </w:rPr>
            </w:pPr>
            <w:r>
              <w:rPr>
                <w:rFonts w:eastAsia="-webkit-standard"/>
                <w:sz w:val="24"/>
              </w:rPr>
              <w:t>40 – 60</w:t>
            </w:r>
          </w:p>
        </w:tc>
        <w:tc>
          <w:tcPr>
            <w:tcW w:w="2733" w:type="dxa"/>
          </w:tcPr>
          <w:p w14:paraId="076240C6" w14:textId="77777777" w:rsidR="00E46DF5" w:rsidRDefault="00633046">
            <w:pPr>
              <w:pStyle w:val="NormalWeb"/>
              <w:widowControl/>
              <w:spacing w:after="0" w:line="240" w:lineRule="auto"/>
              <w:jc w:val="left"/>
              <w:rPr>
                <w:sz w:val="24"/>
              </w:rPr>
            </w:pPr>
            <w:r>
              <w:rPr>
                <w:rFonts w:eastAsia="-webkit-standard"/>
                <w:sz w:val="24"/>
              </w:rPr>
              <w:t>Within acceptable limit</w:t>
            </w:r>
          </w:p>
        </w:tc>
      </w:tr>
      <w:tr w:rsidR="00E46DF5" w14:paraId="04B56CE1" w14:textId="77777777">
        <w:tc>
          <w:tcPr>
            <w:tcW w:w="1728" w:type="dxa"/>
          </w:tcPr>
          <w:p w14:paraId="58F96AB6" w14:textId="77777777" w:rsidR="00E46DF5" w:rsidRDefault="00633046">
            <w:pPr>
              <w:pStyle w:val="NormalWeb"/>
              <w:widowControl/>
              <w:spacing w:after="0" w:line="240" w:lineRule="auto"/>
              <w:jc w:val="left"/>
              <w:rPr>
                <w:sz w:val="24"/>
              </w:rPr>
            </w:pPr>
            <w:r>
              <w:rPr>
                <w:rFonts w:eastAsia="-webkit-standard"/>
                <w:sz w:val="24"/>
              </w:rPr>
              <w:t>Sand (%)</w:t>
            </w:r>
          </w:p>
        </w:tc>
        <w:tc>
          <w:tcPr>
            <w:tcW w:w="1728" w:type="dxa"/>
          </w:tcPr>
          <w:p w14:paraId="737FA9BF" w14:textId="77777777" w:rsidR="00E46DF5" w:rsidRDefault="00633046">
            <w:pPr>
              <w:pStyle w:val="NormalWeb"/>
              <w:widowControl/>
              <w:spacing w:after="0" w:line="240" w:lineRule="auto"/>
              <w:jc w:val="left"/>
              <w:rPr>
                <w:sz w:val="24"/>
              </w:rPr>
            </w:pPr>
            <w:r>
              <w:rPr>
                <w:rFonts w:eastAsia="-webkit-standard"/>
                <w:sz w:val="24"/>
              </w:rPr>
              <w:t xml:space="preserve">   74.40</w:t>
            </w:r>
          </w:p>
        </w:tc>
        <w:tc>
          <w:tcPr>
            <w:tcW w:w="1728" w:type="dxa"/>
          </w:tcPr>
          <w:p w14:paraId="039FF83B" w14:textId="77777777" w:rsidR="00E46DF5" w:rsidRDefault="00633046">
            <w:pPr>
              <w:pStyle w:val="NormalWeb"/>
              <w:widowControl/>
              <w:spacing w:after="0" w:line="240" w:lineRule="auto"/>
              <w:jc w:val="left"/>
              <w:rPr>
                <w:sz w:val="24"/>
              </w:rPr>
            </w:pPr>
            <w:r>
              <w:rPr>
                <w:rFonts w:eastAsia="-webkit-standard"/>
                <w:sz w:val="24"/>
              </w:rPr>
              <w:t>80.36</w:t>
            </w:r>
          </w:p>
        </w:tc>
        <w:tc>
          <w:tcPr>
            <w:tcW w:w="1728" w:type="dxa"/>
          </w:tcPr>
          <w:p w14:paraId="2B029C04" w14:textId="77777777" w:rsidR="00E46DF5" w:rsidRDefault="00633046">
            <w:pPr>
              <w:pStyle w:val="NormalWeb"/>
              <w:widowControl/>
              <w:spacing w:after="0" w:line="240" w:lineRule="auto"/>
              <w:jc w:val="left"/>
              <w:rPr>
                <w:sz w:val="24"/>
              </w:rPr>
            </w:pPr>
            <w:r>
              <w:rPr>
                <w:rFonts w:eastAsia="-webkit-standard"/>
                <w:sz w:val="24"/>
              </w:rPr>
              <w:t xml:space="preserve"> </w:t>
            </w:r>
          </w:p>
        </w:tc>
        <w:tc>
          <w:tcPr>
            <w:tcW w:w="2733" w:type="dxa"/>
          </w:tcPr>
          <w:p w14:paraId="1E282237" w14:textId="77777777" w:rsidR="00E46DF5" w:rsidRDefault="00633046">
            <w:pPr>
              <w:pStyle w:val="NormalWeb"/>
              <w:widowControl/>
              <w:spacing w:after="0" w:line="240" w:lineRule="auto"/>
              <w:jc w:val="left"/>
              <w:rPr>
                <w:sz w:val="24"/>
              </w:rPr>
            </w:pPr>
            <w:r>
              <w:rPr>
                <w:rFonts w:eastAsia="-webkit-standard"/>
                <w:sz w:val="24"/>
              </w:rPr>
              <w:t>Textural classification parameter</w:t>
            </w:r>
          </w:p>
        </w:tc>
      </w:tr>
      <w:tr w:rsidR="00E46DF5" w14:paraId="4CC91B6E" w14:textId="77777777">
        <w:tc>
          <w:tcPr>
            <w:tcW w:w="1728" w:type="dxa"/>
          </w:tcPr>
          <w:p w14:paraId="3F1E9F7F" w14:textId="77777777" w:rsidR="00E46DF5" w:rsidRDefault="00633046">
            <w:pPr>
              <w:pStyle w:val="NormalWeb"/>
              <w:widowControl/>
              <w:spacing w:after="0" w:line="240" w:lineRule="auto"/>
              <w:jc w:val="left"/>
              <w:rPr>
                <w:sz w:val="24"/>
              </w:rPr>
            </w:pPr>
            <w:r>
              <w:rPr>
                <w:rFonts w:eastAsia="-webkit-standard"/>
                <w:sz w:val="24"/>
              </w:rPr>
              <w:t>Clay (%)</w:t>
            </w:r>
          </w:p>
        </w:tc>
        <w:tc>
          <w:tcPr>
            <w:tcW w:w="1728" w:type="dxa"/>
          </w:tcPr>
          <w:p w14:paraId="14D9A7FA" w14:textId="77777777" w:rsidR="00E46DF5" w:rsidRDefault="00633046">
            <w:pPr>
              <w:pStyle w:val="NormalWeb"/>
              <w:widowControl/>
              <w:spacing w:after="0" w:line="240" w:lineRule="auto"/>
              <w:jc w:val="left"/>
              <w:rPr>
                <w:sz w:val="24"/>
              </w:rPr>
            </w:pPr>
            <w:r>
              <w:rPr>
                <w:rFonts w:eastAsia="-webkit-standard"/>
                <w:sz w:val="24"/>
              </w:rPr>
              <w:t xml:space="preserve">   17.32</w:t>
            </w:r>
          </w:p>
        </w:tc>
        <w:tc>
          <w:tcPr>
            <w:tcW w:w="1728" w:type="dxa"/>
          </w:tcPr>
          <w:p w14:paraId="7D0DD751" w14:textId="77777777" w:rsidR="00E46DF5" w:rsidRDefault="00633046">
            <w:pPr>
              <w:pStyle w:val="NormalWeb"/>
              <w:widowControl/>
              <w:spacing w:after="0" w:line="240" w:lineRule="auto"/>
              <w:jc w:val="left"/>
              <w:rPr>
                <w:sz w:val="24"/>
              </w:rPr>
            </w:pPr>
            <w:r>
              <w:rPr>
                <w:rFonts w:eastAsia="-webkit-standard"/>
                <w:sz w:val="24"/>
              </w:rPr>
              <w:t>16.32</w:t>
            </w:r>
          </w:p>
        </w:tc>
        <w:tc>
          <w:tcPr>
            <w:tcW w:w="1728" w:type="dxa"/>
          </w:tcPr>
          <w:p w14:paraId="170A32CB" w14:textId="77777777" w:rsidR="00E46DF5" w:rsidRDefault="00633046">
            <w:pPr>
              <w:pStyle w:val="NormalWeb"/>
              <w:widowControl/>
              <w:spacing w:after="0" w:line="240" w:lineRule="auto"/>
              <w:jc w:val="left"/>
              <w:rPr>
                <w:sz w:val="24"/>
              </w:rPr>
            </w:pPr>
            <w:r>
              <w:rPr>
                <w:rFonts w:eastAsia="-webkit-standard"/>
                <w:sz w:val="24"/>
              </w:rPr>
              <w:t xml:space="preserve"> </w:t>
            </w:r>
          </w:p>
        </w:tc>
        <w:tc>
          <w:tcPr>
            <w:tcW w:w="2733" w:type="dxa"/>
          </w:tcPr>
          <w:p w14:paraId="7D4B4CAA" w14:textId="77777777" w:rsidR="00E46DF5" w:rsidRDefault="00633046">
            <w:pPr>
              <w:pStyle w:val="NormalWeb"/>
              <w:widowControl/>
              <w:spacing w:after="0" w:line="240" w:lineRule="auto"/>
              <w:jc w:val="left"/>
              <w:rPr>
                <w:sz w:val="24"/>
              </w:rPr>
            </w:pPr>
            <w:r>
              <w:rPr>
                <w:rFonts w:eastAsia="-webkit-standard"/>
                <w:sz w:val="24"/>
              </w:rPr>
              <w:t xml:space="preserve"> </w:t>
            </w:r>
          </w:p>
        </w:tc>
      </w:tr>
      <w:tr w:rsidR="00E46DF5" w14:paraId="1706EF8D" w14:textId="77777777">
        <w:tc>
          <w:tcPr>
            <w:tcW w:w="1728" w:type="dxa"/>
          </w:tcPr>
          <w:p w14:paraId="5A2E2699" w14:textId="77777777" w:rsidR="00E46DF5" w:rsidRDefault="00633046">
            <w:pPr>
              <w:pStyle w:val="NormalWeb"/>
              <w:widowControl/>
              <w:spacing w:after="0" w:line="240" w:lineRule="auto"/>
              <w:jc w:val="left"/>
              <w:rPr>
                <w:sz w:val="24"/>
              </w:rPr>
            </w:pPr>
            <w:r>
              <w:rPr>
                <w:rFonts w:eastAsia="-webkit-standard"/>
                <w:sz w:val="24"/>
              </w:rPr>
              <w:t>Silt (%)</w:t>
            </w:r>
          </w:p>
        </w:tc>
        <w:tc>
          <w:tcPr>
            <w:tcW w:w="1728" w:type="dxa"/>
          </w:tcPr>
          <w:p w14:paraId="378B9B0B" w14:textId="77777777" w:rsidR="00E46DF5" w:rsidRDefault="00633046">
            <w:pPr>
              <w:pStyle w:val="NormalWeb"/>
              <w:widowControl/>
              <w:spacing w:after="0" w:line="240" w:lineRule="auto"/>
              <w:jc w:val="left"/>
              <w:rPr>
                <w:sz w:val="24"/>
              </w:rPr>
            </w:pPr>
            <w:r>
              <w:rPr>
                <w:rFonts w:eastAsia="-webkit-standard"/>
                <w:sz w:val="24"/>
              </w:rPr>
              <w:t xml:space="preserve">   8.28</w:t>
            </w:r>
          </w:p>
        </w:tc>
        <w:tc>
          <w:tcPr>
            <w:tcW w:w="1728" w:type="dxa"/>
          </w:tcPr>
          <w:p w14:paraId="01C7B836" w14:textId="77777777" w:rsidR="00E46DF5" w:rsidRDefault="00633046">
            <w:pPr>
              <w:pStyle w:val="NormalWeb"/>
              <w:widowControl/>
              <w:spacing w:after="0" w:line="240" w:lineRule="auto"/>
              <w:jc w:val="left"/>
              <w:rPr>
                <w:sz w:val="24"/>
              </w:rPr>
            </w:pPr>
            <w:r>
              <w:rPr>
                <w:rFonts w:eastAsia="-webkit-standard"/>
                <w:sz w:val="24"/>
              </w:rPr>
              <w:t>3.32</w:t>
            </w:r>
          </w:p>
        </w:tc>
        <w:tc>
          <w:tcPr>
            <w:tcW w:w="1728" w:type="dxa"/>
          </w:tcPr>
          <w:p w14:paraId="65F2A078" w14:textId="77777777" w:rsidR="00E46DF5" w:rsidRDefault="00633046">
            <w:pPr>
              <w:pStyle w:val="NormalWeb"/>
              <w:widowControl/>
              <w:spacing w:after="0" w:line="240" w:lineRule="auto"/>
              <w:jc w:val="left"/>
              <w:rPr>
                <w:sz w:val="24"/>
              </w:rPr>
            </w:pPr>
            <w:r>
              <w:rPr>
                <w:rFonts w:eastAsia="-webkit-standard"/>
                <w:sz w:val="24"/>
              </w:rPr>
              <w:t xml:space="preserve"> </w:t>
            </w:r>
          </w:p>
        </w:tc>
        <w:tc>
          <w:tcPr>
            <w:tcW w:w="2733" w:type="dxa"/>
          </w:tcPr>
          <w:p w14:paraId="280305EC" w14:textId="77777777" w:rsidR="00E46DF5" w:rsidRDefault="00633046">
            <w:pPr>
              <w:pStyle w:val="NormalWeb"/>
              <w:widowControl/>
              <w:spacing w:after="0" w:line="240" w:lineRule="auto"/>
              <w:jc w:val="left"/>
              <w:rPr>
                <w:sz w:val="24"/>
              </w:rPr>
            </w:pPr>
            <w:r>
              <w:rPr>
                <w:rFonts w:eastAsia="-webkit-standard"/>
                <w:sz w:val="24"/>
              </w:rPr>
              <w:t xml:space="preserve"> </w:t>
            </w:r>
          </w:p>
        </w:tc>
      </w:tr>
      <w:tr w:rsidR="00E46DF5" w14:paraId="47A4C031" w14:textId="77777777">
        <w:tc>
          <w:tcPr>
            <w:tcW w:w="1728" w:type="dxa"/>
          </w:tcPr>
          <w:p w14:paraId="0020AC46" w14:textId="77777777" w:rsidR="00E46DF5" w:rsidRDefault="00633046">
            <w:pPr>
              <w:pStyle w:val="NormalWeb"/>
              <w:widowControl/>
              <w:spacing w:after="0" w:line="240" w:lineRule="auto"/>
              <w:jc w:val="left"/>
              <w:rPr>
                <w:sz w:val="24"/>
              </w:rPr>
            </w:pPr>
            <w:r>
              <w:rPr>
                <w:rFonts w:eastAsia="-webkit-standard"/>
                <w:sz w:val="24"/>
              </w:rPr>
              <w:t>Total Organic Matter (%)</w:t>
            </w:r>
          </w:p>
        </w:tc>
        <w:tc>
          <w:tcPr>
            <w:tcW w:w="1728" w:type="dxa"/>
          </w:tcPr>
          <w:p w14:paraId="007DA7D1" w14:textId="77777777" w:rsidR="00E46DF5" w:rsidRDefault="00633046">
            <w:pPr>
              <w:pStyle w:val="NormalWeb"/>
              <w:widowControl/>
              <w:spacing w:after="0" w:line="240" w:lineRule="auto"/>
              <w:jc w:val="left"/>
              <w:rPr>
                <w:sz w:val="24"/>
              </w:rPr>
            </w:pPr>
            <w:r>
              <w:rPr>
                <w:rFonts w:eastAsia="-webkit-standard"/>
                <w:sz w:val="24"/>
              </w:rPr>
              <w:t xml:space="preserve">  0.579</w:t>
            </w:r>
          </w:p>
        </w:tc>
        <w:tc>
          <w:tcPr>
            <w:tcW w:w="1728" w:type="dxa"/>
          </w:tcPr>
          <w:p w14:paraId="6F9B9ABF" w14:textId="77777777" w:rsidR="00E46DF5" w:rsidRDefault="00633046">
            <w:pPr>
              <w:pStyle w:val="NormalWeb"/>
              <w:widowControl/>
              <w:spacing w:after="0" w:line="240" w:lineRule="auto"/>
              <w:jc w:val="left"/>
              <w:rPr>
                <w:sz w:val="24"/>
              </w:rPr>
            </w:pPr>
            <w:r>
              <w:rPr>
                <w:rFonts w:eastAsia="-webkit-standard"/>
                <w:sz w:val="24"/>
              </w:rPr>
              <w:t>1.064</w:t>
            </w:r>
          </w:p>
        </w:tc>
        <w:tc>
          <w:tcPr>
            <w:tcW w:w="1728" w:type="dxa"/>
          </w:tcPr>
          <w:p w14:paraId="3F8C84D7" w14:textId="77777777" w:rsidR="00E46DF5" w:rsidRDefault="00633046">
            <w:pPr>
              <w:pStyle w:val="NormalWeb"/>
              <w:widowControl/>
              <w:spacing w:after="0" w:line="240" w:lineRule="auto"/>
              <w:jc w:val="left"/>
              <w:rPr>
                <w:sz w:val="24"/>
              </w:rPr>
            </w:pPr>
            <w:r>
              <w:rPr>
                <w:rFonts w:eastAsia="-webkit-standard"/>
                <w:sz w:val="24"/>
              </w:rPr>
              <w:t>0.5 – 6.0</w:t>
            </w:r>
          </w:p>
        </w:tc>
        <w:tc>
          <w:tcPr>
            <w:tcW w:w="2733" w:type="dxa"/>
          </w:tcPr>
          <w:p w14:paraId="0CD0F71D" w14:textId="77777777" w:rsidR="00E46DF5" w:rsidRDefault="00633046">
            <w:pPr>
              <w:pStyle w:val="NormalWeb"/>
              <w:widowControl/>
              <w:spacing w:after="0" w:line="240" w:lineRule="auto"/>
              <w:jc w:val="left"/>
              <w:rPr>
                <w:sz w:val="24"/>
              </w:rPr>
            </w:pPr>
            <w:r>
              <w:rPr>
                <w:rFonts w:eastAsia="-webkit-standard"/>
                <w:sz w:val="24"/>
              </w:rPr>
              <w:t>Within acceptable limit</w:t>
            </w:r>
          </w:p>
        </w:tc>
      </w:tr>
      <w:tr w:rsidR="00E46DF5" w14:paraId="14CB997C" w14:textId="77777777">
        <w:tc>
          <w:tcPr>
            <w:tcW w:w="1728" w:type="dxa"/>
          </w:tcPr>
          <w:p w14:paraId="166DFB88" w14:textId="77777777" w:rsidR="00E46DF5" w:rsidRDefault="00633046">
            <w:pPr>
              <w:pStyle w:val="NormalWeb"/>
              <w:widowControl/>
              <w:spacing w:after="0" w:line="240" w:lineRule="auto"/>
              <w:jc w:val="left"/>
              <w:rPr>
                <w:sz w:val="24"/>
              </w:rPr>
            </w:pPr>
            <w:r>
              <w:rPr>
                <w:rFonts w:eastAsia="-webkit-standard"/>
                <w:sz w:val="24"/>
              </w:rPr>
              <w:lastRenderedPageBreak/>
              <w:t>Cation Exchange Capacity (meq/100g)</w:t>
            </w:r>
          </w:p>
        </w:tc>
        <w:tc>
          <w:tcPr>
            <w:tcW w:w="1728" w:type="dxa"/>
          </w:tcPr>
          <w:p w14:paraId="1457612F" w14:textId="77777777" w:rsidR="00E46DF5" w:rsidRDefault="00633046">
            <w:pPr>
              <w:pStyle w:val="NormalWeb"/>
              <w:widowControl/>
              <w:spacing w:after="0" w:line="240" w:lineRule="auto"/>
              <w:jc w:val="left"/>
              <w:rPr>
                <w:sz w:val="24"/>
              </w:rPr>
            </w:pPr>
            <w:r>
              <w:rPr>
                <w:rFonts w:eastAsia="-webkit-standard"/>
                <w:sz w:val="24"/>
              </w:rPr>
              <w:t xml:space="preserve">   0.569</w:t>
            </w:r>
          </w:p>
        </w:tc>
        <w:tc>
          <w:tcPr>
            <w:tcW w:w="1728" w:type="dxa"/>
          </w:tcPr>
          <w:p w14:paraId="7737F434" w14:textId="77777777" w:rsidR="00E46DF5" w:rsidRDefault="00633046">
            <w:pPr>
              <w:pStyle w:val="NormalWeb"/>
              <w:widowControl/>
              <w:spacing w:after="0" w:line="240" w:lineRule="auto"/>
              <w:jc w:val="left"/>
              <w:rPr>
                <w:sz w:val="24"/>
              </w:rPr>
            </w:pPr>
            <w:r>
              <w:rPr>
                <w:rFonts w:eastAsia="-webkit-standard"/>
                <w:sz w:val="24"/>
              </w:rPr>
              <w:t>0.369</w:t>
            </w:r>
          </w:p>
        </w:tc>
        <w:tc>
          <w:tcPr>
            <w:tcW w:w="1728" w:type="dxa"/>
          </w:tcPr>
          <w:p w14:paraId="38A06E92" w14:textId="77777777" w:rsidR="00E46DF5" w:rsidRDefault="00633046">
            <w:pPr>
              <w:pStyle w:val="NormalWeb"/>
              <w:widowControl/>
              <w:spacing w:after="0" w:line="240" w:lineRule="auto"/>
              <w:jc w:val="left"/>
              <w:rPr>
                <w:sz w:val="24"/>
              </w:rPr>
            </w:pPr>
            <w:r>
              <w:rPr>
                <w:rFonts w:eastAsia="-webkit-standard"/>
                <w:sz w:val="24"/>
              </w:rPr>
              <w:t>≥ 0.2 (minimum acceptable)</w:t>
            </w:r>
          </w:p>
        </w:tc>
        <w:tc>
          <w:tcPr>
            <w:tcW w:w="2733" w:type="dxa"/>
          </w:tcPr>
          <w:p w14:paraId="7DBE9E4B" w14:textId="77777777" w:rsidR="00E46DF5" w:rsidRDefault="00633046">
            <w:pPr>
              <w:pStyle w:val="NormalWeb"/>
              <w:widowControl/>
              <w:spacing w:after="0" w:line="240" w:lineRule="auto"/>
              <w:jc w:val="left"/>
              <w:rPr>
                <w:sz w:val="24"/>
              </w:rPr>
            </w:pPr>
            <w:r>
              <w:rPr>
                <w:rFonts w:eastAsia="-webkit-standard"/>
                <w:sz w:val="24"/>
              </w:rPr>
              <w:t>Within acceptable limit</w:t>
            </w:r>
          </w:p>
        </w:tc>
      </w:tr>
    </w:tbl>
    <w:p w14:paraId="61CBF5CC" w14:textId="77777777" w:rsidR="00E46DF5" w:rsidRDefault="00E46DF5">
      <w:pPr>
        <w:tabs>
          <w:tab w:val="left" w:pos="601"/>
        </w:tabs>
        <w:spacing w:line="480" w:lineRule="auto"/>
        <w:rPr>
          <w:rFonts w:ascii="Times New Roman" w:hAnsi="Times New Roman" w:cs="Times New Roman"/>
          <w:b/>
          <w:bCs/>
          <w:sz w:val="24"/>
        </w:rPr>
      </w:pPr>
    </w:p>
    <w:p w14:paraId="68A18573" w14:textId="77777777" w:rsidR="00E46DF5" w:rsidRDefault="00E46DF5">
      <w:pPr>
        <w:jc w:val="center"/>
        <w:rPr>
          <w:rFonts w:ascii="Times New Roman" w:hAnsi="Times New Roman" w:cs="Times New Roman"/>
          <w:sz w:val="24"/>
        </w:rPr>
      </w:pPr>
    </w:p>
    <w:p w14:paraId="17896DAA" w14:textId="77777777" w:rsidR="00E46DF5" w:rsidRDefault="00633046">
      <w:pPr>
        <w:jc w:val="center"/>
        <w:rPr>
          <w:rFonts w:ascii="Times New Roman" w:hAnsi="Times New Roman" w:cs="Times New Roman"/>
          <w:sz w:val="24"/>
        </w:rPr>
      </w:pPr>
      <w:r>
        <w:rPr>
          <w:noProof/>
        </w:rPr>
        <w:drawing>
          <wp:inline distT="0" distB="0" distL="0" distR="0" wp14:anchorId="0D5F4383" wp14:editId="1AADBFD9">
            <wp:extent cx="5943600" cy="3048000"/>
            <wp:effectExtent l="0" t="0" r="0" b="0"/>
            <wp:docPr id="49"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10"/>
                    <a:srcRect/>
                    <a:stretch>
                      <a:fillRect/>
                    </a:stretch>
                  </pic:blipFill>
                  <pic:spPr>
                    <a:xfrm>
                      <a:off x="0" y="0"/>
                      <a:ext cx="5943600" cy="3048000"/>
                    </a:xfrm>
                    <a:prstGeom prst="rect">
                      <a:avLst/>
                    </a:prstGeom>
                  </pic:spPr>
                </pic:pic>
              </a:graphicData>
            </a:graphic>
          </wp:inline>
        </w:drawing>
      </w:r>
    </w:p>
    <w:p w14:paraId="0DFF6C2B" w14:textId="6F146E46" w:rsidR="001F414C" w:rsidRDefault="00FC1241" w:rsidP="001F414C">
      <w:pPr>
        <w:spacing w:line="480" w:lineRule="auto"/>
        <w:rPr>
          <w:rFonts w:ascii="Times New Roman" w:hAnsi="Times New Roman" w:cs="Times New Roman"/>
          <w:b/>
          <w:bCs/>
          <w:sz w:val="24"/>
        </w:rPr>
      </w:pPr>
      <w:r w:rsidRPr="00FC1241">
        <w:rPr>
          <w:rFonts w:ascii="Times New Roman" w:hAnsi="Times New Roman" w:cs="Times New Roman"/>
          <w:sz w:val="24"/>
        </w:rPr>
        <w:t>Fig</w:t>
      </w:r>
      <w:r>
        <w:rPr>
          <w:rFonts w:ascii="Times New Roman" w:hAnsi="Times New Roman" w:cs="Times New Roman"/>
          <w:sz w:val="24"/>
        </w:rPr>
        <w:t xml:space="preserve"> 4-</w:t>
      </w:r>
      <w:r w:rsidR="001F414C">
        <w:rPr>
          <w:rFonts w:ascii="Times New Roman" w:hAnsi="Times New Roman" w:cs="Times New Roman"/>
          <w:sz w:val="24"/>
        </w:rPr>
        <w:t xml:space="preserve"> </w:t>
      </w:r>
      <w:r w:rsidR="001F414C">
        <w:rPr>
          <w:rFonts w:ascii="Times New Roman" w:hAnsi="Times New Roman" w:cs="Times New Roman"/>
          <w:b/>
          <w:bCs/>
          <w:sz w:val="24"/>
        </w:rPr>
        <w:t xml:space="preserve">Physicochemical Parameters of Remediated and Non-Remediated Soil </w:t>
      </w:r>
    </w:p>
    <w:p w14:paraId="0E40C0EB" w14:textId="1AE5575C" w:rsidR="00E46DF5" w:rsidRDefault="00E46DF5">
      <w:pPr>
        <w:jc w:val="center"/>
        <w:rPr>
          <w:rFonts w:ascii="Times New Roman" w:hAnsi="Times New Roman" w:cs="Times New Roman"/>
          <w:sz w:val="24"/>
        </w:rPr>
      </w:pPr>
    </w:p>
    <w:p w14:paraId="6535A6A6" w14:textId="77777777" w:rsidR="00E46DF5" w:rsidRDefault="00633046">
      <w:pPr>
        <w:jc w:val="center"/>
        <w:rPr>
          <w:rFonts w:ascii="Times New Roman" w:hAnsi="Times New Roman" w:cs="Times New Roman"/>
          <w:sz w:val="24"/>
        </w:rPr>
      </w:pPr>
      <w:r>
        <w:rPr>
          <w:noProof/>
        </w:rPr>
        <w:drawing>
          <wp:inline distT="0" distB="0" distL="0" distR="0" wp14:anchorId="16A5B7B5" wp14:editId="6E85665B">
            <wp:extent cx="4572000" cy="2743200"/>
            <wp:effectExtent l="0" t="0" r="0" b="0"/>
            <wp:docPr id="50" name="image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5.png"/>
                    <pic:cNvPicPr preferRelativeResize="0"/>
                  </pic:nvPicPr>
                  <pic:blipFill>
                    <a:blip r:embed="rId11"/>
                    <a:srcRect/>
                    <a:stretch>
                      <a:fillRect/>
                    </a:stretch>
                  </pic:blipFill>
                  <pic:spPr>
                    <a:xfrm>
                      <a:off x="0" y="0"/>
                      <a:ext cx="4572000" cy="2743200"/>
                    </a:xfrm>
                    <a:prstGeom prst="rect">
                      <a:avLst/>
                    </a:prstGeom>
                  </pic:spPr>
                </pic:pic>
              </a:graphicData>
            </a:graphic>
          </wp:inline>
        </w:drawing>
      </w:r>
    </w:p>
    <w:p w14:paraId="56471FBF" w14:textId="77777777" w:rsidR="00E46DF5" w:rsidRDefault="00E46DF5">
      <w:pPr>
        <w:jc w:val="center"/>
        <w:rPr>
          <w:rFonts w:ascii="Times New Roman" w:hAnsi="Times New Roman" w:cs="Times New Roman"/>
          <w:sz w:val="24"/>
        </w:rPr>
      </w:pPr>
    </w:p>
    <w:p w14:paraId="44475F0B" w14:textId="77777777" w:rsidR="001F414C" w:rsidRDefault="00FC1241" w:rsidP="001F414C">
      <w:pPr>
        <w:spacing w:line="480" w:lineRule="auto"/>
        <w:rPr>
          <w:rFonts w:ascii="Times New Roman" w:hAnsi="Times New Roman" w:cs="Times New Roman"/>
          <w:b/>
          <w:bCs/>
          <w:sz w:val="24"/>
        </w:rPr>
      </w:pPr>
      <w:r w:rsidRPr="00FC1241">
        <w:rPr>
          <w:rFonts w:ascii="Times New Roman" w:hAnsi="Times New Roman" w:cs="Times New Roman"/>
          <w:sz w:val="24"/>
        </w:rPr>
        <w:lastRenderedPageBreak/>
        <w:t>Fig</w:t>
      </w:r>
      <w:r>
        <w:rPr>
          <w:rFonts w:ascii="Times New Roman" w:hAnsi="Times New Roman" w:cs="Times New Roman"/>
          <w:sz w:val="24"/>
        </w:rPr>
        <w:t xml:space="preserve"> 5-</w:t>
      </w:r>
      <w:r w:rsidR="001F414C">
        <w:rPr>
          <w:rFonts w:ascii="Times New Roman" w:hAnsi="Times New Roman" w:cs="Times New Roman"/>
          <w:sz w:val="24"/>
        </w:rPr>
        <w:t xml:space="preserve"> </w:t>
      </w:r>
      <w:r w:rsidR="001F414C" w:rsidRPr="001F414C">
        <w:rPr>
          <w:rFonts w:ascii="Times New Roman" w:hAnsi="Times New Roman" w:cs="Times New Roman"/>
          <w:b/>
          <w:bCs/>
          <w:sz w:val="24"/>
        </w:rPr>
        <w:t>Total Organic Matter (%) and Cation Exchange Capacity (</w:t>
      </w:r>
      <w:proofErr w:type="spellStart"/>
      <w:r w:rsidR="001F414C" w:rsidRPr="001F414C">
        <w:rPr>
          <w:rFonts w:ascii="Times New Roman" w:hAnsi="Times New Roman" w:cs="Times New Roman"/>
          <w:b/>
          <w:bCs/>
          <w:sz w:val="24"/>
        </w:rPr>
        <w:t>meq</w:t>
      </w:r>
      <w:proofErr w:type="spellEnd"/>
      <w:r w:rsidR="001F414C" w:rsidRPr="001F414C">
        <w:rPr>
          <w:rFonts w:ascii="Times New Roman" w:hAnsi="Times New Roman" w:cs="Times New Roman"/>
          <w:b/>
          <w:bCs/>
          <w:sz w:val="24"/>
        </w:rPr>
        <w:t>/100g) of Remediated</w:t>
      </w:r>
      <w:r w:rsidR="001F414C">
        <w:rPr>
          <w:rFonts w:ascii="Times New Roman" w:hAnsi="Times New Roman" w:cs="Times New Roman"/>
          <w:b/>
          <w:bCs/>
          <w:sz w:val="24"/>
        </w:rPr>
        <w:t xml:space="preserve"> and Non-Remediated Soil </w:t>
      </w:r>
    </w:p>
    <w:p w14:paraId="0199BC61" w14:textId="0115FE92" w:rsidR="00E46DF5" w:rsidRDefault="00E46DF5" w:rsidP="001F414C">
      <w:pPr>
        <w:rPr>
          <w:rFonts w:ascii="Times New Roman" w:hAnsi="Times New Roman" w:cs="Times New Roman"/>
          <w:sz w:val="24"/>
        </w:rPr>
      </w:pPr>
    </w:p>
    <w:p w14:paraId="01DC8E7D" w14:textId="77777777" w:rsidR="00E46DF5" w:rsidRDefault="00E46DF5">
      <w:pPr>
        <w:jc w:val="center"/>
        <w:rPr>
          <w:rFonts w:ascii="Times New Roman" w:hAnsi="Times New Roman" w:cs="Times New Roman"/>
          <w:sz w:val="24"/>
        </w:rPr>
      </w:pPr>
    </w:p>
    <w:p w14:paraId="0552FC33" w14:textId="77777777" w:rsidR="00E46DF5" w:rsidRDefault="00633046">
      <w:pPr>
        <w:rPr>
          <w:rFonts w:ascii="Times New Roman" w:hAnsi="Times New Roman" w:cs="Times New Roman"/>
          <w:b/>
          <w:sz w:val="24"/>
        </w:rPr>
      </w:pPr>
      <w:r>
        <w:rPr>
          <w:rFonts w:ascii="Times New Roman" w:hAnsi="Times New Roman" w:cs="Times New Roman"/>
          <w:b/>
          <w:sz w:val="24"/>
        </w:rPr>
        <w:t>4.0</w:t>
      </w:r>
      <w:r>
        <w:rPr>
          <w:rFonts w:ascii="Times New Roman" w:hAnsi="Times New Roman" w:cs="Times New Roman"/>
          <w:b/>
          <w:sz w:val="24"/>
        </w:rPr>
        <w:tab/>
        <w:t xml:space="preserve">Discussion </w:t>
      </w:r>
    </w:p>
    <w:p w14:paraId="5BA1E4A3" w14:textId="297DC0BD" w:rsidR="00E46DF5" w:rsidRDefault="00633046">
      <w:pPr>
        <w:spacing w:line="480" w:lineRule="auto"/>
        <w:rPr>
          <w:rFonts w:ascii="Times New Roman" w:hAnsi="Times New Roman" w:cs="Times New Roman"/>
          <w:sz w:val="24"/>
        </w:rPr>
      </w:pPr>
      <w:r>
        <w:rPr>
          <w:rFonts w:ascii="Times New Roman" w:hAnsi="Times New Roman" w:cs="Times New Roman"/>
          <w:sz w:val="24"/>
        </w:rPr>
        <w:t xml:space="preserve">The results presented in Tables 1 and 2 provide a clear numerical basis for </w:t>
      </w:r>
      <w:r>
        <w:rPr>
          <w:rFonts w:ascii="Times New Roman" w:hAnsi="Times New Roman" w:cs="Times New Roman"/>
          <w:sz w:val="24"/>
        </w:rPr>
        <w:t>assessing the effects of remediation on soil nutrient status and physicochemical properties by comparing the non-remediated and remediated soils. Generally, remediation altered both the availability of essential mineral elements and key soil quality indica</w:t>
      </w:r>
      <w:r>
        <w:rPr>
          <w:rFonts w:ascii="Times New Roman" w:hAnsi="Times New Roman" w:cs="Times New Roman"/>
          <w:sz w:val="24"/>
        </w:rPr>
        <w:t>tors, with most parameters remaining within internationally acceptable limits.</w:t>
      </w:r>
    </w:p>
    <w:p w14:paraId="6CCD23F1" w14:textId="3E2D3249" w:rsidR="00E46DF5" w:rsidRDefault="00633046">
      <w:pPr>
        <w:spacing w:line="480" w:lineRule="auto"/>
        <w:rPr>
          <w:rFonts w:ascii="Times New Roman" w:hAnsi="Times New Roman" w:cs="Times New Roman"/>
          <w:sz w:val="24"/>
        </w:rPr>
      </w:pPr>
      <w:r>
        <w:rPr>
          <w:rFonts w:ascii="Times New Roman" w:hAnsi="Times New Roman" w:cs="Times New Roman"/>
          <w:sz w:val="24"/>
        </w:rPr>
        <w:t xml:space="preserve">In Table 1, nitrogen concentration increased from 0.029 mg/kg in the non-remediated soil to 0.053 mg/kg in the remediated soil. According to FAO (2023) soil fertility technical </w:t>
      </w:r>
      <w:r>
        <w:rPr>
          <w:rFonts w:ascii="Times New Roman" w:hAnsi="Times New Roman" w:cs="Times New Roman"/>
          <w:sz w:val="24"/>
        </w:rPr>
        <w:t>guidelines, nitrogen values below 0.05 mg/kg are generally associated with low fertility in tropical soils, while values above this level indicate improving nutrient status. The remediated soil therefore reflects a transition from nitrogen-deficient to mod</w:t>
      </w:r>
      <w:r>
        <w:rPr>
          <w:rFonts w:ascii="Times New Roman" w:hAnsi="Times New Roman" w:cs="Times New Roman"/>
          <w:sz w:val="24"/>
        </w:rPr>
        <w:t>erately adequate conditions. Similar numerical improvements have been reported by Abbasi and Khaliq (2016), where nitrogen varied between 0.57 and 0.71 mg/kg in remediated soils compared to 0.51 mg/kg before remediation using agro-wastes. Sahoo et al. (202</w:t>
      </w:r>
      <w:r>
        <w:rPr>
          <w:rFonts w:ascii="Times New Roman" w:hAnsi="Times New Roman" w:cs="Times New Roman"/>
          <w:sz w:val="24"/>
        </w:rPr>
        <w:t>1) also observed post-remediation nitrogen values ranging between 0.048 and 0.058 mg/kg, closely aligning with the 0.053 mg/kg recorded in this study.</w:t>
      </w:r>
    </w:p>
    <w:p w14:paraId="14E8B669" w14:textId="77777777" w:rsidR="00E46DF5" w:rsidRDefault="00633046">
      <w:pPr>
        <w:spacing w:line="480" w:lineRule="auto"/>
        <w:rPr>
          <w:rFonts w:ascii="Times New Roman" w:hAnsi="Times New Roman" w:cs="Times New Roman"/>
          <w:sz w:val="24"/>
        </w:rPr>
      </w:pPr>
      <w:r>
        <w:rPr>
          <w:rFonts w:ascii="Times New Roman" w:hAnsi="Times New Roman" w:cs="Times New Roman"/>
          <w:sz w:val="24"/>
        </w:rPr>
        <w:t>Phosphorus showed a pronounced increase from 0.15 mg/kg in the non-remediated soil to 0.90 mg/kg in the r</w:t>
      </w:r>
      <w:r>
        <w:rPr>
          <w:rFonts w:ascii="Times New Roman" w:hAnsi="Times New Roman" w:cs="Times New Roman"/>
          <w:sz w:val="24"/>
        </w:rPr>
        <w:t>emediated soil. FAO (2023) guidelines indicate that available phosphorus below 0.2 mg/kg is typically limiting for crop production, while values between 0.5 and 1.5 mg/kg are considered adequate for most agricultural soils. The observed remediated soil val</w:t>
      </w:r>
      <w:r>
        <w:rPr>
          <w:rFonts w:ascii="Times New Roman" w:hAnsi="Times New Roman" w:cs="Times New Roman"/>
          <w:sz w:val="24"/>
        </w:rPr>
        <w:t xml:space="preserve">ue of 0.90 mg/kg </w:t>
      </w:r>
      <w:r>
        <w:rPr>
          <w:rFonts w:ascii="Times New Roman" w:hAnsi="Times New Roman" w:cs="Times New Roman"/>
          <w:sz w:val="24"/>
        </w:rPr>
        <w:lastRenderedPageBreak/>
        <w:t>in this present study therefore falls squarely within the recommended range. Comparable studies by Wu et al. (2019) reported phosphorus concentrations increasing from 0.10–0.18 mg/kg in polluted soils to 0.75–1.10 mg/kg following remediati</w:t>
      </w:r>
      <w:r>
        <w:rPr>
          <w:rFonts w:ascii="Times New Roman" w:hAnsi="Times New Roman" w:cs="Times New Roman"/>
          <w:sz w:val="24"/>
        </w:rPr>
        <w:t>on, supporting the observed trend.</w:t>
      </w:r>
    </w:p>
    <w:p w14:paraId="3EAA9650" w14:textId="77777777" w:rsidR="00E46DF5" w:rsidRDefault="00633046">
      <w:pPr>
        <w:spacing w:line="480" w:lineRule="auto"/>
        <w:rPr>
          <w:rFonts w:ascii="Times New Roman" w:hAnsi="Times New Roman" w:cs="Times New Roman"/>
          <w:sz w:val="24"/>
        </w:rPr>
      </w:pPr>
      <w:r>
        <w:rPr>
          <w:rFonts w:ascii="Times New Roman" w:hAnsi="Times New Roman" w:cs="Times New Roman"/>
          <w:sz w:val="24"/>
        </w:rPr>
        <w:t>In contrast, potassium declined from 42.93 mg/kg in the non-remediated soil to 9.74 mg/kg in the remediated soil. FAO (2023) agronomic references suggest that exchangeable potassium values between 10 and 50 mg/kg are gene</w:t>
      </w:r>
      <w:r>
        <w:rPr>
          <w:rFonts w:ascii="Times New Roman" w:hAnsi="Times New Roman" w:cs="Times New Roman"/>
          <w:sz w:val="24"/>
        </w:rPr>
        <w:t xml:space="preserve">rally suitable for crop growth, with values below 10 mg/kg considered low. The remediated soil potassium level is therefore slightly below the lower recommended threshold, indicating potential potassium limitation. Similar reductions have been reported in </w:t>
      </w:r>
      <w:r>
        <w:rPr>
          <w:rFonts w:ascii="Times New Roman" w:hAnsi="Times New Roman" w:cs="Times New Roman"/>
          <w:sz w:val="24"/>
        </w:rPr>
        <w:t>sandy or remediated soils by Volf, et al. (2021), where potassium decreased from about 72 mg/kg to 21 mg/kg due to reduced cation retention.</w:t>
      </w:r>
    </w:p>
    <w:p w14:paraId="31554F6F" w14:textId="77777777" w:rsidR="00E46DF5" w:rsidRDefault="00633046">
      <w:pPr>
        <w:spacing w:line="480" w:lineRule="auto"/>
        <w:rPr>
          <w:rFonts w:ascii="Times New Roman" w:hAnsi="Times New Roman" w:cs="Times New Roman"/>
          <w:sz w:val="24"/>
        </w:rPr>
      </w:pPr>
      <w:r>
        <w:rPr>
          <w:rFonts w:ascii="Times New Roman" w:hAnsi="Times New Roman" w:cs="Times New Roman"/>
          <w:sz w:val="24"/>
        </w:rPr>
        <w:t>Calcium levels showed minimal variation, decreasing slightly from 13.38 mg/kg in the non-remediated soil to 12.40 m</w:t>
      </w:r>
      <w:r>
        <w:rPr>
          <w:rFonts w:ascii="Times New Roman" w:hAnsi="Times New Roman" w:cs="Times New Roman"/>
          <w:sz w:val="24"/>
        </w:rPr>
        <w:t>g/kg in the remediated soil. FAO (2023) guidelines indicate that calcium concentrations above 5 mg/kg are generally sufficient for structural stability and plant nutrition, suggesting that both soils remain adequate in calcium. Magnesium, however, decrease</w:t>
      </w:r>
      <w:r>
        <w:rPr>
          <w:rFonts w:ascii="Times New Roman" w:hAnsi="Times New Roman" w:cs="Times New Roman"/>
          <w:sz w:val="24"/>
        </w:rPr>
        <w:t xml:space="preserve">d from 27.28 mg/kg to 16.03 mg/kg. International references place optimal magnesium concentrations between 10 and 30 mg/kg, meaning that despite the reduction, the remediated soil still falls within acceptable limits. Similar magnesium values ranging from </w:t>
      </w:r>
      <w:r>
        <w:rPr>
          <w:rFonts w:ascii="Times New Roman" w:hAnsi="Times New Roman" w:cs="Times New Roman"/>
          <w:sz w:val="24"/>
        </w:rPr>
        <w:t>1.3 cmol/kg non remediated soil to 179 cmol/kg have been reported in remediated soils by Saha et al. (2023).</w:t>
      </w:r>
    </w:p>
    <w:p w14:paraId="30D51D08" w14:textId="77777777" w:rsidR="00E46DF5" w:rsidRDefault="00633046">
      <w:pPr>
        <w:spacing w:line="480" w:lineRule="auto"/>
        <w:rPr>
          <w:rFonts w:ascii="Times New Roman" w:hAnsi="Times New Roman" w:cs="Times New Roman"/>
          <w:sz w:val="24"/>
        </w:rPr>
      </w:pPr>
      <w:r>
        <w:rPr>
          <w:rFonts w:ascii="Times New Roman" w:hAnsi="Times New Roman" w:cs="Times New Roman"/>
          <w:sz w:val="24"/>
        </w:rPr>
        <w:t>Micronutrients followed a declining trend after remediation. Zinc decreased from 11.87 mg/kg in the non-remediated soil to 5.25 mg/kg in the remedi</w:t>
      </w:r>
      <w:r>
        <w:rPr>
          <w:rFonts w:ascii="Times New Roman" w:hAnsi="Times New Roman" w:cs="Times New Roman"/>
          <w:sz w:val="24"/>
        </w:rPr>
        <w:t>ated soil, while copper declined from 4.53 mg/kg to 2.51 mg/kg. FAO (2023) guidelines indicate that typical agricultural soils contain zinc in the range of 1–10 mg/kg and copper between 1 and 5 mg/kg. The remediated soil values therefore remain within acce</w:t>
      </w:r>
      <w:r>
        <w:rPr>
          <w:rFonts w:ascii="Times New Roman" w:hAnsi="Times New Roman" w:cs="Times New Roman"/>
          <w:sz w:val="24"/>
        </w:rPr>
        <w:t xml:space="preserve">ptable international limits, though they are lower than those in the </w:t>
      </w:r>
      <w:r>
        <w:rPr>
          <w:rFonts w:ascii="Times New Roman" w:hAnsi="Times New Roman" w:cs="Times New Roman"/>
          <w:sz w:val="24"/>
        </w:rPr>
        <w:lastRenderedPageBreak/>
        <w:t>non-remediated soil. Comparable studies by Mbasabire et al. (2023) reported zinc values between 4.0 and 6.5 mg/kg and copper values between 2.0 and 3.0 mg/kg after remediation, closely ma</w:t>
      </w:r>
      <w:r>
        <w:rPr>
          <w:rFonts w:ascii="Times New Roman" w:hAnsi="Times New Roman" w:cs="Times New Roman"/>
          <w:sz w:val="24"/>
        </w:rPr>
        <w:t>tching the present findings.</w:t>
      </w:r>
    </w:p>
    <w:p w14:paraId="7AC78F39" w14:textId="77777777" w:rsidR="00E46DF5" w:rsidRDefault="00633046">
      <w:pPr>
        <w:spacing w:line="480" w:lineRule="auto"/>
        <w:rPr>
          <w:rFonts w:ascii="Times New Roman" w:hAnsi="Times New Roman" w:cs="Times New Roman"/>
          <w:sz w:val="24"/>
        </w:rPr>
      </w:pPr>
      <w:r>
        <w:rPr>
          <w:rFonts w:ascii="Times New Roman" w:hAnsi="Times New Roman" w:cs="Times New Roman"/>
          <w:sz w:val="24"/>
        </w:rPr>
        <w:t>Iron concentrations were consistently high in both soils, with 2654.21 mg/kg in the non-remediated soil and 2628.85 mg/kg in the remediated soil. FAO (2023) reports indicate that total iron in tropical soils commonly exceeds 10</w:t>
      </w:r>
      <w:r>
        <w:rPr>
          <w:rFonts w:ascii="Times New Roman" w:hAnsi="Times New Roman" w:cs="Times New Roman"/>
          <w:sz w:val="24"/>
        </w:rPr>
        <w:t>00 mg/kg, largely reflecting parent material rather than management practices. The minor numerical difference observed here suggests that remediation had negligible influence on total iron content. Sulphate decreased from 5 mg/kg to 3 mg/kg; both values ar</w:t>
      </w:r>
      <w:r>
        <w:rPr>
          <w:rFonts w:ascii="Times New Roman" w:hAnsi="Times New Roman" w:cs="Times New Roman"/>
          <w:sz w:val="24"/>
        </w:rPr>
        <w:t>e well below the FAO (2023) upper guideline of 20 mg/kg for sulphate in agricultural soils, indicating no present risk of sulphate accumulation.</w:t>
      </w:r>
    </w:p>
    <w:p w14:paraId="54CE7D4F" w14:textId="7A2F476D" w:rsidR="00E46DF5" w:rsidRDefault="00633046">
      <w:pPr>
        <w:spacing w:line="480" w:lineRule="auto"/>
        <w:rPr>
          <w:rFonts w:ascii="Times New Roman" w:hAnsi="Times New Roman" w:cs="Times New Roman"/>
          <w:sz w:val="24"/>
        </w:rPr>
      </w:pPr>
      <w:r>
        <w:rPr>
          <w:rFonts w:ascii="Times New Roman" w:hAnsi="Times New Roman" w:cs="Times New Roman"/>
          <w:sz w:val="24"/>
        </w:rPr>
        <w:t>The physicochemical properties in Table 2 further contextualize these nutrient patterns. Soil pH was 6.23 in th</w:t>
      </w:r>
      <w:r>
        <w:rPr>
          <w:rFonts w:ascii="Times New Roman" w:hAnsi="Times New Roman" w:cs="Times New Roman"/>
          <w:sz w:val="24"/>
        </w:rPr>
        <w:t>e non-remediated soil and 6.21 in the remediated soil. These values fall comfortably within the USEPA and FAO recommended range of 6.0–8.5 for productive agricultural soils, indicating that both soils maintained conditions favorable for nutrient availabili</w:t>
      </w:r>
      <w:r>
        <w:rPr>
          <w:rFonts w:ascii="Times New Roman" w:hAnsi="Times New Roman" w:cs="Times New Roman"/>
          <w:sz w:val="24"/>
        </w:rPr>
        <w:t>ty and microbial activity (USEPA, 2017; FAO, 2023). A similar near</w:t>
      </w:r>
      <w:r>
        <w:rPr>
          <w:rFonts w:ascii="Times New Roman" w:hAnsi="Times New Roman" w:cs="Times New Roman"/>
          <w:sz w:val="24"/>
        </w:rPr>
        <w:noBreakHyphen/>
        <w:t>neutral pH of 6.9 was reported by Itam et al., (2023) in remediated crude</w:t>
      </w:r>
      <w:r>
        <w:rPr>
          <w:rFonts w:ascii="Times New Roman" w:hAnsi="Times New Roman" w:cs="Times New Roman"/>
          <w:sz w:val="24"/>
        </w:rPr>
        <w:noBreakHyphen/>
        <w:t>oil</w:t>
      </w:r>
      <w:r>
        <w:rPr>
          <w:rFonts w:ascii="Times New Roman" w:hAnsi="Times New Roman" w:cs="Times New Roman"/>
          <w:sz w:val="24"/>
        </w:rPr>
        <w:noBreakHyphen/>
        <w:t>impacted soils in Niger Delta Nigeria, where pH neutrality was associated with improved nutrient dynamics.</w:t>
      </w:r>
    </w:p>
    <w:p w14:paraId="10AA266E" w14:textId="77777777" w:rsidR="00E46DF5" w:rsidRDefault="00633046">
      <w:pPr>
        <w:spacing w:line="480" w:lineRule="auto"/>
        <w:rPr>
          <w:rFonts w:ascii="Times New Roman" w:hAnsi="Times New Roman" w:cs="Times New Roman"/>
          <w:sz w:val="24"/>
        </w:rPr>
      </w:pPr>
      <w:r>
        <w:rPr>
          <w:rFonts w:ascii="Times New Roman" w:hAnsi="Times New Roman" w:cs="Times New Roman"/>
          <w:sz w:val="24"/>
        </w:rPr>
        <w:t>Elec</w:t>
      </w:r>
      <w:r>
        <w:rPr>
          <w:rFonts w:ascii="Times New Roman" w:hAnsi="Times New Roman" w:cs="Times New Roman"/>
          <w:sz w:val="24"/>
        </w:rPr>
        <w:t>trical conductivity (EC) decreased from 98 µS/cm in the non</w:t>
      </w:r>
      <w:r>
        <w:rPr>
          <w:rFonts w:ascii="Times New Roman" w:hAnsi="Times New Roman" w:cs="Times New Roman"/>
          <w:sz w:val="24"/>
        </w:rPr>
        <w:noBreakHyphen/>
        <w:t>remediated soil to 60 µS/cm in the remediated soil. Both values are well below the USEPA (2017) recommended upper limit of 400 µS/cm for agricultural soil salinity, suggesting salinity is not a co</w:t>
      </w:r>
      <w:r>
        <w:rPr>
          <w:rFonts w:ascii="Times New Roman" w:hAnsi="Times New Roman" w:cs="Times New Roman"/>
          <w:sz w:val="24"/>
        </w:rPr>
        <w:t>nstraint in these soils currently been investigated. Li, et al., (2016) reported EC values that varied from about 0.29 µS/cm in the rinsed salt soil to 1.51 µS/cm depending on treatment conditions, demonstrating how remediation and amendment affect EC vari</w:t>
      </w:r>
      <w:r>
        <w:rPr>
          <w:rFonts w:ascii="Times New Roman" w:hAnsi="Times New Roman" w:cs="Times New Roman"/>
          <w:sz w:val="24"/>
        </w:rPr>
        <w:t>ability in hydrocarbon impacted soil.</w:t>
      </w:r>
    </w:p>
    <w:p w14:paraId="6A90FE8F" w14:textId="77777777" w:rsidR="00E46DF5" w:rsidRDefault="00633046">
      <w:pPr>
        <w:spacing w:line="480" w:lineRule="auto"/>
        <w:rPr>
          <w:rFonts w:ascii="Times New Roman" w:hAnsi="Times New Roman" w:cs="Times New Roman"/>
          <w:sz w:val="24"/>
        </w:rPr>
      </w:pPr>
      <w:r>
        <w:rPr>
          <w:rFonts w:ascii="Times New Roman" w:hAnsi="Times New Roman" w:cs="Times New Roman"/>
          <w:sz w:val="24"/>
        </w:rPr>
        <w:lastRenderedPageBreak/>
        <w:t>Soil acidity was below detectable limit in both soils. This below detectable limit of acidity aligns with observations by Onwuka et al. (2016), who found acidity levels &lt;10 mg/kg in remediated soils, suggesting that re</w:t>
      </w:r>
      <w:r>
        <w:rPr>
          <w:rFonts w:ascii="Times New Roman" w:hAnsi="Times New Roman" w:cs="Times New Roman"/>
          <w:sz w:val="24"/>
        </w:rPr>
        <w:t>mediation did not induce acidification and that soils remain within the safe range for most crops.</w:t>
      </w:r>
    </w:p>
    <w:p w14:paraId="5782A16B" w14:textId="77777777" w:rsidR="00E46DF5" w:rsidRDefault="00633046">
      <w:pPr>
        <w:spacing w:line="480" w:lineRule="auto"/>
        <w:rPr>
          <w:rFonts w:ascii="Times New Roman" w:hAnsi="Times New Roman" w:cs="Times New Roman"/>
          <w:sz w:val="24"/>
        </w:rPr>
      </w:pPr>
      <w:r>
        <w:rPr>
          <w:rFonts w:ascii="Times New Roman" w:hAnsi="Times New Roman" w:cs="Times New Roman"/>
          <w:sz w:val="24"/>
        </w:rPr>
        <w:t>Soil temperature increased marginally from 27.1 °C in the non</w:t>
      </w:r>
      <w:r>
        <w:rPr>
          <w:rFonts w:ascii="Times New Roman" w:hAnsi="Times New Roman" w:cs="Times New Roman"/>
          <w:sz w:val="24"/>
        </w:rPr>
        <w:noBreakHyphen/>
        <w:t xml:space="preserve">remediated soil to 27.9 °C in the remediated soil, both within the typical biological activity </w:t>
      </w:r>
      <w:r>
        <w:rPr>
          <w:rFonts w:ascii="Times New Roman" w:hAnsi="Times New Roman" w:cs="Times New Roman"/>
          <w:sz w:val="24"/>
        </w:rPr>
        <w:t>range (25–35 °C). These values are consistent with similar field studies in contaminated soil environments, where temperature shifts of less than 1 °C following remediation did not affect microbial processes (Wang et al., 2022).</w:t>
      </w:r>
    </w:p>
    <w:p w14:paraId="49776E2C" w14:textId="77777777" w:rsidR="00E46DF5" w:rsidRDefault="00633046">
      <w:pPr>
        <w:spacing w:line="480" w:lineRule="auto"/>
        <w:rPr>
          <w:rFonts w:ascii="Times New Roman" w:hAnsi="Times New Roman" w:cs="Times New Roman"/>
          <w:sz w:val="24"/>
        </w:rPr>
      </w:pPr>
      <w:r>
        <w:rPr>
          <w:rFonts w:ascii="Times New Roman" w:hAnsi="Times New Roman" w:cs="Times New Roman"/>
          <w:sz w:val="24"/>
        </w:rPr>
        <w:t>Moisture content showed a d</w:t>
      </w:r>
      <w:r>
        <w:rPr>
          <w:rFonts w:ascii="Times New Roman" w:hAnsi="Times New Roman" w:cs="Times New Roman"/>
          <w:sz w:val="24"/>
        </w:rPr>
        <w:t>ecline from 12.334 % in the non</w:t>
      </w:r>
      <w:r>
        <w:rPr>
          <w:rFonts w:ascii="Times New Roman" w:hAnsi="Times New Roman" w:cs="Times New Roman"/>
          <w:sz w:val="24"/>
        </w:rPr>
        <w:noBreakHyphen/>
        <w:t>remediated soil to 11.052 % in the remediated soil, both within the recommended 10–30 % range (FOA 2023). This trend is attributable to the increase in sand content and porosity, which together reduce water retention capacit</w:t>
      </w:r>
      <w:r>
        <w:rPr>
          <w:rFonts w:ascii="Times New Roman" w:hAnsi="Times New Roman" w:cs="Times New Roman"/>
          <w:sz w:val="24"/>
        </w:rPr>
        <w:t>y. Ijah and Antai (2003) observed a similar moisture decline in hydrocarbon</w:t>
      </w:r>
      <w:r>
        <w:rPr>
          <w:rFonts w:ascii="Times New Roman" w:hAnsi="Times New Roman" w:cs="Times New Roman"/>
          <w:sz w:val="24"/>
        </w:rPr>
        <w:noBreakHyphen/>
        <w:t>remediated soils where sand fractions increased and organic content was amended.</w:t>
      </w:r>
    </w:p>
    <w:p w14:paraId="05CA61D5" w14:textId="77777777" w:rsidR="00E46DF5" w:rsidRDefault="00633046">
      <w:pPr>
        <w:spacing w:line="480" w:lineRule="auto"/>
        <w:rPr>
          <w:rFonts w:ascii="Times New Roman" w:hAnsi="Times New Roman" w:cs="Times New Roman"/>
          <w:sz w:val="24"/>
        </w:rPr>
      </w:pPr>
      <w:r>
        <w:rPr>
          <w:rFonts w:ascii="Times New Roman" w:hAnsi="Times New Roman" w:cs="Times New Roman"/>
          <w:sz w:val="24"/>
        </w:rPr>
        <w:t>Porosity increased from 45 % to 49% after remediation, remaining within the acceptable 40–60 % rang</w:t>
      </w:r>
      <w:r>
        <w:rPr>
          <w:rFonts w:ascii="Times New Roman" w:hAnsi="Times New Roman" w:cs="Times New Roman"/>
          <w:sz w:val="24"/>
        </w:rPr>
        <w:t>e. Increased porosity often reflects improved soil structure, as observed in studies where remediation and organic amendments enhanced aggregate stability and pore space (Alghamdi et al.,  2024).</w:t>
      </w:r>
    </w:p>
    <w:p w14:paraId="4017E5AC" w14:textId="77777777" w:rsidR="00E46DF5" w:rsidRDefault="00633046">
      <w:pPr>
        <w:spacing w:line="480" w:lineRule="auto"/>
        <w:rPr>
          <w:rFonts w:ascii="Times New Roman" w:hAnsi="Times New Roman" w:cs="Times New Roman"/>
          <w:sz w:val="24"/>
        </w:rPr>
      </w:pPr>
      <w:r>
        <w:rPr>
          <w:rFonts w:ascii="Times New Roman" w:hAnsi="Times New Roman" w:cs="Times New Roman"/>
          <w:sz w:val="24"/>
        </w:rPr>
        <w:t>Textural changes were notable. Sand content rose from 74.40 </w:t>
      </w:r>
      <w:r>
        <w:rPr>
          <w:rFonts w:ascii="Times New Roman" w:hAnsi="Times New Roman" w:cs="Times New Roman"/>
          <w:sz w:val="24"/>
        </w:rPr>
        <w:t>% in the non</w:t>
      </w:r>
      <w:r>
        <w:rPr>
          <w:rFonts w:ascii="Times New Roman" w:hAnsi="Times New Roman" w:cs="Times New Roman"/>
          <w:sz w:val="24"/>
        </w:rPr>
        <w:noBreakHyphen/>
        <w:t>remediated soil to 80.36 % in the remediated soil, while silt and clay fractions declined from 8.28 % to 3.32 % and 17.32 % to 16.32 % respectively. This shift toward a sandier profile is characteristic of soils undergoing remediation processe</w:t>
      </w:r>
      <w:r>
        <w:rPr>
          <w:rFonts w:ascii="Times New Roman" w:hAnsi="Times New Roman" w:cs="Times New Roman"/>
          <w:sz w:val="24"/>
        </w:rPr>
        <w:t>s that remove finer fractions or loosen soil structure. Similar textural outcomes were documented Devatha et al., (2019) in remediated petroleum</w:t>
      </w:r>
      <w:r>
        <w:rPr>
          <w:rFonts w:ascii="Times New Roman" w:hAnsi="Times New Roman" w:cs="Times New Roman"/>
          <w:sz w:val="24"/>
        </w:rPr>
        <w:noBreakHyphen/>
        <w:t xml:space="preserve">laden soils, </w:t>
      </w:r>
      <w:r>
        <w:rPr>
          <w:rFonts w:ascii="Times New Roman" w:hAnsi="Times New Roman" w:cs="Times New Roman"/>
          <w:sz w:val="24"/>
        </w:rPr>
        <w:lastRenderedPageBreak/>
        <w:t>where sand content exceeded 48.4 % after treatment.</w:t>
      </w:r>
    </w:p>
    <w:p w14:paraId="6FD2C149" w14:textId="77777777" w:rsidR="00E46DF5" w:rsidRDefault="00633046">
      <w:pPr>
        <w:spacing w:line="480" w:lineRule="auto"/>
        <w:rPr>
          <w:rFonts w:ascii="Times New Roman" w:hAnsi="Times New Roman" w:cs="Times New Roman"/>
          <w:sz w:val="24"/>
        </w:rPr>
      </w:pPr>
      <w:r>
        <w:rPr>
          <w:rFonts w:ascii="Times New Roman" w:hAnsi="Times New Roman" w:cs="Times New Roman"/>
          <w:sz w:val="24"/>
        </w:rPr>
        <w:t>Total organic matter (TOM) increased from 0.57</w:t>
      </w:r>
      <w:r>
        <w:rPr>
          <w:rFonts w:ascii="Times New Roman" w:hAnsi="Times New Roman" w:cs="Times New Roman"/>
          <w:sz w:val="24"/>
        </w:rPr>
        <w:t>9 % in the non</w:t>
      </w:r>
      <w:r>
        <w:rPr>
          <w:rFonts w:ascii="Times New Roman" w:hAnsi="Times New Roman" w:cs="Times New Roman"/>
          <w:sz w:val="24"/>
        </w:rPr>
        <w:noBreakHyphen/>
        <w:t>remediated soil to 1.064 % in the remediated soil. FAO (2023) soil fertility framework considers values between 0.5 % and 6.0 % to be within acceptable ranges for tropical soils. The increase to 1.064 % indicates a positive improvement in so</w:t>
      </w:r>
      <w:r>
        <w:rPr>
          <w:rFonts w:ascii="Times New Roman" w:hAnsi="Times New Roman" w:cs="Times New Roman"/>
          <w:sz w:val="24"/>
        </w:rPr>
        <w:t>il organic carbon, corroborating Egobueze et al., (2019), who reported organic matter enrichment in remediated soils that received organic amendments and exhibited enhanced microbial activity.</w:t>
      </w:r>
    </w:p>
    <w:p w14:paraId="034E0A81" w14:textId="77777777" w:rsidR="00E46DF5" w:rsidRDefault="00633046">
      <w:pPr>
        <w:spacing w:line="480" w:lineRule="auto"/>
        <w:rPr>
          <w:rFonts w:ascii="Times New Roman" w:hAnsi="Times New Roman" w:cs="Times New Roman"/>
          <w:sz w:val="24"/>
        </w:rPr>
      </w:pPr>
      <w:r>
        <w:rPr>
          <w:rFonts w:ascii="Times New Roman" w:hAnsi="Times New Roman" w:cs="Times New Roman"/>
          <w:sz w:val="24"/>
        </w:rPr>
        <w:t>Cation exchange capacity (CEC) declined from 0.569 meq/100 g in</w:t>
      </w:r>
      <w:r>
        <w:rPr>
          <w:rFonts w:ascii="Times New Roman" w:hAnsi="Times New Roman" w:cs="Times New Roman"/>
          <w:sz w:val="24"/>
        </w:rPr>
        <w:t xml:space="preserve"> the non</w:t>
      </w:r>
      <w:r>
        <w:rPr>
          <w:rFonts w:ascii="Times New Roman" w:hAnsi="Times New Roman" w:cs="Times New Roman"/>
          <w:sz w:val="24"/>
        </w:rPr>
        <w:noBreakHyphen/>
        <w:t>remediated soil to 0.369 meq/100 g in the remediated soil but remained above the FAO (2023) minimum acceptable limit of 0.2 meq/100 g. This decline is consistent with the observed increase in sand content, since sandy soils have fewer charged surf</w:t>
      </w:r>
      <w:r>
        <w:rPr>
          <w:rFonts w:ascii="Times New Roman" w:hAnsi="Times New Roman" w:cs="Times New Roman"/>
          <w:sz w:val="24"/>
        </w:rPr>
        <w:t>aces than finer textured soils Costa et al., (2020) recorded similar CEC values (0.30–0.40 meq/100 g) in remediated soils where coarse particles became dominant and organic matter increases were moderate.</w:t>
      </w:r>
    </w:p>
    <w:p w14:paraId="63F5A970" w14:textId="77777777" w:rsidR="00E46DF5" w:rsidRDefault="00633046">
      <w:pPr>
        <w:spacing w:line="480" w:lineRule="auto"/>
        <w:rPr>
          <w:rFonts w:ascii="Times New Roman" w:hAnsi="Times New Roman" w:cs="Times New Roman"/>
          <w:sz w:val="24"/>
        </w:rPr>
      </w:pPr>
      <w:r>
        <w:rPr>
          <w:rFonts w:ascii="Times New Roman" w:hAnsi="Times New Roman" w:cs="Times New Roman"/>
          <w:sz w:val="24"/>
        </w:rPr>
        <w:t>Collectively, the physicochemical profile shows tha</w:t>
      </w:r>
      <w:r>
        <w:rPr>
          <w:rFonts w:ascii="Times New Roman" w:hAnsi="Times New Roman" w:cs="Times New Roman"/>
          <w:sz w:val="24"/>
        </w:rPr>
        <w:t>t remediation maintained soils within internationally accepted benchmarks for pH, conductivity, acidity, moisture, and organic matter while adjusting texture and exchange properties in ways that reflect altered physical structure. The observed increases in</w:t>
      </w:r>
      <w:r>
        <w:rPr>
          <w:rFonts w:ascii="Times New Roman" w:hAnsi="Times New Roman" w:cs="Times New Roman"/>
          <w:sz w:val="24"/>
        </w:rPr>
        <w:t xml:space="preserve"> organic matter and porosity are consistent with studies demonstrating that remediation, especially when combined with organic amendments, improves soil habitat for biota and plant roots. Meanwhile, the textural shift toward sand and associated lower moist</w:t>
      </w:r>
      <w:r>
        <w:rPr>
          <w:rFonts w:ascii="Times New Roman" w:hAnsi="Times New Roman" w:cs="Times New Roman"/>
          <w:sz w:val="24"/>
        </w:rPr>
        <w:t>ure and CEC indicate that targeted nutrient and water management may be necessary for sustained productivity.</w:t>
      </w:r>
    </w:p>
    <w:p w14:paraId="62721ED4" w14:textId="77777777" w:rsidR="00E46DF5" w:rsidRDefault="00633046">
      <w:pPr>
        <w:spacing w:line="480" w:lineRule="auto"/>
        <w:rPr>
          <w:rFonts w:ascii="Times New Roman" w:hAnsi="Times New Roman" w:cs="Times New Roman"/>
          <w:b/>
          <w:sz w:val="24"/>
        </w:rPr>
      </w:pPr>
      <w:r>
        <w:rPr>
          <w:rFonts w:ascii="Times New Roman" w:hAnsi="Times New Roman" w:cs="Times New Roman"/>
          <w:b/>
          <w:sz w:val="24"/>
        </w:rPr>
        <w:t>5.0</w:t>
      </w:r>
      <w:r>
        <w:rPr>
          <w:rFonts w:ascii="Times New Roman" w:hAnsi="Times New Roman" w:cs="Times New Roman"/>
          <w:b/>
          <w:sz w:val="24"/>
        </w:rPr>
        <w:tab/>
        <w:t xml:space="preserve">Conclusion </w:t>
      </w:r>
    </w:p>
    <w:p w14:paraId="4F15A67F" w14:textId="77777777" w:rsidR="00E46DF5" w:rsidRDefault="00633046">
      <w:pPr>
        <w:spacing w:line="480" w:lineRule="auto"/>
        <w:rPr>
          <w:rFonts w:ascii="Times New Roman" w:hAnsi="Times New Roman" w:cs="Times New Roman"/>
          <w:sz w:val="24"/>
        </w:rPr>
      </w:pPr>
      <w:r>
        <w:rPr>
          <w:rFonts w:ascii="Times New Roman" w:hAnsi="Times New Roman" w:cs="Times New Roman"/>
          <w:sz w:val="24"/>
        </w:rPr>
        <w:t xml:space="preserve">This study revealed that remediation clearly influenced both the nutrient status and </w:t>
      </w:r>
      <w:r>
        <w:rPr>
          <w:rFonts w:ascii="Times New Roman" w:hAnsi="Times New Roman" w:cs="Times New Roman"/>
          <w:sz w:val="24"/>
        </w:rPr>
        <w:lastRenderedPageBreak/>
        <w:t xml:space="preserve">physicochemical properties of the soil, with </w:t>
      </w:r>
      <w:r>
        <w:rPr>
          <w:rFonts w:ascii="Times New Roman" w:hAnsi="Times New Roman" w:cs="Times New Roman"/>
          <w:sz w:val="24"/>
        </w:rPr>
        <w:t>clear numerical evidence of improvement in general soil quality. Nitrogen increased from 0.029 mg/kg in the non-remediated soil to 0.053 mg/kg after remediation, indicating a shift from nitrogen-deficient to moderately adequate fertility conditions. Phosph</w:t>
      </w:r>
      <w:r>
        <w:rPr>
          <w:rFonts w:ascii="Times New Roman" w:hAnsi="Times New Roman" w:cs="Times New Roman"/>
          <w:sz w:val="24"/>
        </w:rPr>
        <w:t>orus also improved markedly, rising from 0.15 mg/kg to 0.90 mg/kg, a value well within the recommended agronomic range for crop production. Total organic matter increased from 0.579 % to 1.064 %, reflecting enhanced organic carbon status and improved biolo</w:t>
      </w:r>
      <w:r>
        <w:rPr>
          <w:rFonts w:ascii="Times New Roman" w:hAnsi="Times New Roman" w:cs="Times New Roman"/>
          <w:sz w:val="24"/>
        </w:rPr>
        <w:t>gical conditions. Soil pH remained stable at 6.21–6.23, electrical conductivity declined from 98 to 60 µS/cm, and temperature remained within the optimal biological range of 27.1–27.9 °C, confirming that remediation did not compromise soil chemical stabili</w:t>
      </w:r>
      <w:r>
        <w:rPr>
          <w:rFonts w:ascii="Times New Roman" w:hAnsi="Times New Roman" w:cs="Times New Roman"/>
          <w:sz w:val="24"/>
        </w:rPr>
        <w:t>ty. Conversely, some nutrients declined following remediation. Potassium decreased from 42.93 mg/kg to 9.74 mg/kg, magnesium from 27.28 mg/kg to 16.03 mg/kg, and cation exchange capacity from 0.569 to 0.369 meq/100 g. These reductions correspond with incre</w:t>
      </w:r>
      <w:r>
        <w:rPr>
          <w:rFonts w:ascii="Times New Roman" w:hAnsi="Times New Roman" w:cs="Times New Roman"/>
          <w:sz w:val="24"/>
        </w:rPr>
        <w:t>ased sand content (74.40 % to 80.36 %) and reduced silt and clay fractions, which lowered nutrient retention capacity. Zinc and copper also declined but remained within acceptable limits.</w:t>
      </w:r>
    </w:p>
    <w:p w14:paraId="79606ECB" w14:textId="58398D9B" w:rsidR="00E46DF5" w:rsidRDefault="00633046">
      <w:pPr>
        <w:spacing w:line="480" w:lineRule="auto"/>
        <w:rPr>
          <w:rFonts w:ascii="Times New Roman" w:hAnsi="Times New Roman" w:cs="Times New Roman"/>
          <w:sz w:val="24"/>
        </w:rPr>
      </w:pPr>
      <w:r>
        <w:rPr>
          <w:rFonts w:ascii="Times New Roman" w:hAnsi="Times New Roman" w:cs="Times New Roman"/>
          <w:sz w:val="24"/>
        </w:rPr>
        <w:t>Based on these findings, post-remediation management is recommended.</w:t>
      </w:r>
      <w:r>
        <w:rPr>
          <w:rFonts w:ascii="Times New Roman" w:hAnsi="Times New Roman" w:cs="Times New Roman"/>
          <w:sz w:val="24"/>
        </w:rPr>
        <w:t xml:space="preserve"> Supplementary application of potassium- and magnesium-rich fertilizers is necessary to address nutrient depletion below critical thresholds. Organic amendments should be applied to further increase organic matter. Routine soil testing is also recommended </w:t>
      </w:r>
      <w:r>
        <w:rPr>
          <w:rFonts w:ascii="Times New Roman" w:hAnsi="Times New Roman" w:cs="Times New Roman"/>
          <w:sz w:val="24"/>
        </w:rPr>
        <w:t>to guide site-specific nutrient management and ensure sustained agricultural productivity on remediated soils.</w:t>
      </w:r>
      <w:bookmarkStart w:id="0" w:name="_GoBack"/>
      <w:bookmarkEnd w:id="0"/>
    </w:p>
    <w:p w14:paraId="03876300" w14:textId="77777777" w:rsidR="00E46DF5" w:rsidRDefault="00633046">
      <w:pPr>
        <w:rPr>
          <w:rFonts w:ascii="Times New Roman" w:hAnsi="Times New Roman" w:cs="Times New Roman"/>
          <w:b/>
          <w:sz w:val="24"/>
        </w:rPr>
      </w:pPr>
      <w:r>
        <w:rPr>
          <w:rFonts w:ascii="Times New Roman" w:hAnsi="Times New Roman" w:cs="Times New Roman"/>
          <w:b/>
          <w:sz w:val="24"/>
        </w:rPr>
        <w:t>References</w:t>
      </w:r>
    </w:p>
    <w:p w14:paraId="7BEDB736" w14:textId="77777777" w:rsidR="00E46DF5" w:rsidRDefault="00633046">
      <w:pPr>
        <w:ind w:left="810" w:hanging="810"/>
        <w:rPr>
          <w:rFonts w:ascii="Times New Roman" w:hAnsi="Times New Roman" w:cs="Times New Roman"/>
          <w:sz w:val="24"/>
        </w:rPr>
      </w:pPr>
      <w:r>
        <w:rPr>
          <w:rFonts w:ascii="Times New Roman" w:hAnsi="Times New Roman" w:cs="Times New Roman"/>
          <w:sz w:val="24"/>
        </w:rPr>
        <w:t>Abbasi, M. K., Khaliq</w:t>
      </w:r>
      <w:r>
        <w:rPr>
          <w:rFonts w:ascii="Times New Roman" w:hAnsi="Times New Roman" w:cs="Times New Roman"/>
          <w:sz w:val="24"/>
        </w:rPr>
        <w:t xml:space="preserve">, A., (2016). Nitrogen mineralization of a loam soil supplemented with organic–inorganic amendments under laboratory incubation. </w:t>
      </w:r>
      <w:r>
        <w:rPr>
          <w:rFonts w:ascii="Times New Roman" w:hAnsi="Times New Roman" w:cs="Times New Roman"/>
          <w:i/>
          <w:sz w:val="24"/>
        </w:rPr>
        <w:t>Frontiers in Plant Science, 7</w:t>
      </w:r>
      <w:r>
        <w:rPr>
          <w:rFonts w:ascii="Times New Roman" w:hAnsi="Times New Roman" w:cs="Times New Roman"/>
          <w:sz w:val="24"/>
        </w:rPr>
        <w:t>, 1-8. https://doi.org/10.3389/fpls.2016.01038</w:t>
      </w:r>
    </w:p>
    <w:p w14:paraId="699A8601" w14:textId="77777777" w:rsidR="00E46DF5" w:rsidRDefault="00633046">
      <w:pPr>
        <w:ind w:left="810" w:hanging="810"/>
        <w:rPr>
          <w:rFonts w:ascii="Times New Roman" w:hAnsi="Times New Roman" w:cs="Times New Roman"/>
          <w:sz w:val="24"/>
        </w:rPr>
      </w:pPr>
      <w:r>
        <w:rPr>
          <w:rFonts w:ascii="Times New Roman" w:hAnsi="Times New Roman" w:cs="Times New Roman"/>
          <w:sz w:val="24"/>
        </w:rPr>
        <w:t>Alghamdi, A. G., Majrashi, M. A., Ibrahim, H. M., (</w:t>
      </w:r>
      <w:r>
        <w:rPr>
          <w:rFonts w:ascii="Times New Roman" w:hAnsi="Times New Roman" w:cs="Times New Roman"/>
          <w:sz w:val="24"/>
        </w:rPr>
        <w:t xml:space="preserve">2024). Improving the physical properties and water retention of sandy soils by the synergistic utilization of natural clay deposits and </w:t>
      </w:r>
      <w:r>
        <w:rPr>
          <w:rFonts w:ascii="Times New Roman" w:hAnsi="Times New Roman" w:cs="Times New Roman"/>
          <w:sz w:val="24"/>
        </w:rPr>
        <w:lastRenderedPageBreak/>
        <w:t xml:space="preserve">wheat straw. </w:t>
      </w:r>
      <w:r>
        <w:rPr>
          <w:rFonts w:ascii="Times New Roman" w:hAnsi="Times New Roman" w:cs="Times New Roman"/>
          <w:i/>
          <w:sz w:val="24"/>
        </w:rPr>
        <w:t>Sustainability, 16</w:t>
      </w:r>
      <w:r>
        <w:rPr>
          <w:rFonts w:ascii="Times New Roman" w:hAnsi="Times New Roman" w:cs="Times New Roman"/>
          <w:sz w:val="24"/>
        </w:rPr>
        <w:t>(1), 46. https://doi.org/10.3390/su16010046</w:t>
      </w:r>
    </w:p>
    <w:p w14:paraId="6813CA13" w14:textId="77777777" w:rsidR="00E46DF5" w:rsidRDefault="00633046">
      <w:pPr>
        <w:ind w:left="810" w:hanging="810"/>
        <w:rPr>
          <w:rFonts w:ascii="Times New Roman" w:hAnsi="Times New Roman" w:cs="Times New Roman"/>
          <w:sz w:val="24"/>
        </w:rPr>
      </w:pPr>
      <w:r>
        <w:rPr>
          <w:rFonts w:ascii="Times New Roman" w:hAnsi="Times New Roman" w:cs="Times New Roman"/>
          <w:sz w:val="24"/>
        </w:rPr>
        <w:t xml:space="preserve">Amaechi, J. U., Onweremadu, E. U., Uzoho, B. </w:t>
      </w:r>
      <w:r>
        <w:rPr>
          <w:rFonts w:ascii="Times New Roman" w:hAnsi="Times New Roman" w:cs="Times New Roman"/>
          <w:sz w:val="24"/>
        </w:rPr>
        <w:t xml:space="preserve">U.,  Chukwu, E. D., (2022). Physico-chemical properties of wetland soils affected by crude oil spillage in Niger Delta area, Nigeria. </w:t>
      </w:r>
      <w:r>
        <w:rPr>
          <w:rFonts w:ascii="Times New Roman" w:hAnsi="Times New Roman" w:cs="Times New Roman"/>
          <w:i/>
          <w:sz w:val="24"/>
        </w:rPr>
        <w:t>International Journal of Plant &amp; Soil Science, 34</w:t>
      </w:r>
      <w:r>
        <w:rPr>
          <w:rFonts w:ascii="Times New Roman" w:hAnsi="Times New Roman" w:cs="Times New Roman"/>
          <w:sz w:val="24"/>
        </w:rPr>
        <w:t>(24), 109–121. https://doi.org/10.9734/ijpss/2022/v34i242619</w:t>
      </w:r>
    </w:p>
    <w:p w14:paraId="5A3C2274" w14:textId="77777777" w:rsidR="00E46DF5" w:rsidRDefault="00633046">
      <w:pPr>
        <w:ind w:left="810" w:hanging="810"/>
        <w:rPr>
          <w:rFonts w:ascii="Times New Roman" w:hAnsi="Times New Roman" w:cs="Times New Roman"/>
          <w:sz w:val="24"/>
        </w:rPr>
      </w:pPr>
      <w:r>
        <w:rPr>
          <w:rFonts w:ascii="Times New Roman" w:hAnsi="Times New Roman" w:cs="Times New Roman"/>
          <w:sz w:val="24"/>
        </w:rPr>
        <w:t>American Pub</w:t>
      </w:r>
      <w:r>
        <w:rPr>
          <w:rFonts w:ascii="Times New Roman" w:hAnsi="Times New Roman" w:cs="Times New Roman"/>
          <w:sz w:val="24"/>
        </w:rPr>
        <w:t>lic Health Association. (2017). Standard methods for the examination of water and wastewater (23rd ed.). APHA; American Water Works Association; Water Environment Federation. https://www.standardmethods.org/doi/book/10.2105/smww.2882</w:t>
      </w:r>
    </w:p>
    <w:p w14:paraId="50029707" w14:textId="77777777" w:rsidR="00E46DF5" w:rsidRDefault="00633046">
      <w:pPr>
        <w:ind w:left="810" w:hanging="810"/>
        <w:jc w:val="left"/>
        <w:rPr>
          <w:rFonts w:ascii="Times New Roman" w:hAnsi="Times New Roman" w:cs="Times New Roman"/>
          <w:sz w:val="24"/>
        </w:rPr>
      </w:pPr>
      <w:r>
        <w:rPr>
          <w:rFonts w:ascii="Times New Roman" w:hAnsi="Times New Roman" w:cs="Times New Roman"/>
          <w:sz w:val="24"/>
        </w:rPr>
        <w:t>Association of Officia</w:t>
      </w:r>
      <w:r>
        <w:rPr>
          <w:rFonts w:ascii="Times New Roman" w:hAnsi="Times New Roman" w:cs="Times New Roman"/>
          <w:sz w:val="24"/>
        </w:rPr>
        <w:t>l Analytical Chemists. (2019). Official Methods of Analysis of AOAC International (21st ed.). AOAC International.  https://www.aoac.org/official-method-of-analysis-21st-edition/</w:t>
      </w:r>
    </w:p>
    <w:p w14:paraId="0E68CE0C" w14:textId="77777777" w:rsidR="00E46DF5" w:rsidRDefault="00633046">
      <w:pPr>
        <w:ind w:left="810" w:hanging="810"/>
        <w:rPr>
          <w:rFonts w:ascii="Times New Roman" w:hAnsi="Times New Roman" w:cs="Times New Roman"/>
          <w:sz w:val="24"/>
        </w:rPr>
      </w:pPr>
      <w:r>
        <w:rPr>
          <w:rFonts w:ascii="Times New Roman" w:hAnsi="Times New Roman" w:cs="Times New Roman"/>
          <w:sz w:val="24"/>
        </w:rPr>
        <w:t>Brown, D. M., Okoro, S., van Gils, J., van Spanning, R., Bonte, M., Hutchings,</w:t>
      </w:r>
      <w:r>
        <w:rPr>
          <w:rFonts w:ascii="Times New Roman" w:hAnsi="Times New Roman" w:cs="Times New Roman"/>
          <w:sz w:val="24"/>
        </w:rPr>
        <w:t xml:space="preserve"> T., Linden, O., Egbuche, U., Bruun, K.B., Smith, J.W.N., (2017). Comparison of landfarming amendments to improve bioremediation of petroleum hydrocarbons in Niger Delta soils. </w:t>
      </w:r>
      <w:r>
        <w:rPr>
          <w:rFonts w:ascii="Times New Roman" w:hAnsi="Times New Roman" w:cs="Times New Roman"/>
          <w:i/>
          <w:sz w:val="24"/>
        </w:rPr>
        <w:t>Science of the Total Environment, 596–597</w:t>
      </w:r>
      <w:r>
        <w:rPr>
          <w:rFonts w:ascii="Times New Roman" w:hAnsi="Times New Roman" w:cs="Times New Roman"/>
          <w:sz w:val="24"/>
        </w:rPr>
        <w:t xml:space="preserve">, 284–292. </w:t>
      </w:r>
      <w:r>
        <w:rPr>
          <w:rFonts w:ascii="Times New Roman" w:hAnsi="Times New Roman" w:cs="Times New Roman"/>
          <w:sz w:val="24"/>
        </w:rPr>
        <w:t>https://doi.org/10.1016/j.scitotenv.2017.04.072</w:t>
      </w:r>
    </w:p>
    <w:p w14:paraId="65B5686A" w14:textId="77777777" w:rsidR="00E46DF5" w:rsidRPr="000826D4" w:rsidRDefault="00633046">
      <w:pPr>
        <w:ind w:left="810" w:hanging="810"/>
        <w:rPr>
          <w:rFonts w:ascii="Times New Roman" w:hAnsi="Times New Roman" w:cs="Times New Roman"/>
          <w:sz w:val="24"/>
          <w:lang w:val="es-US"/>
        </w:rPr>
      </w:pPr>
      <w:r w:rsidRPr="000826D4">
        <w:rPr>
          <w:rFonts w:ascii="Times New Roman" w:hAnsi="Times New Roman" w:cs="Times New Roman"/>
          <w:sz w:val="24"/>
          <w:lang w:val="es-US"/>
        </w:rPr>
        <w:t xml:space="preserve">Costa, A.C.S. da, Souza Junior, I.G.D., Canton, L.C., Gil, L.G., Figueiredo, R., (2020). </w:t>
      </w:r>
      <w:r>
        <w:rPr>
          <w:rFonts w:ascii="Times New Roman" w:hAnsi="Times New Roman" w:cs="Times New Roman"/>
          <w:sz w:val="24"/>
        </w:rPr>
        <w:t>Contribution of the chemical and mineralogical properties of sandy-loam tropical soils to the cation exchange capacity.</w:t>
      </w:r>
      <w:r>
        <w:rPr>
          <w:rFonts w:ascii="Times New Roman" w:hAnsi="Times New Roman" w:cs="Times New Roman"/>
          <w:sz w:val="24"/>
        </w:rPr>
        <w:t xml:space="preserve"> </w:t>
      </w:r>
      <w:r w:rsidRPr="000826D4">
        <w:rPr>
          <w:rFonts w:ascii="Times New Roman" w:hAnsi="Times New Roman" w:cs="Times New Roman"/>
          <w:i/>
          <w:sz w:val="24"/>
          <w:lang w:val="es-US"/>
        </w:rPr>
        <w:t>Revista Brasileira de Ciência do Solo, 44</w:t>
      </w:r>
      <w:r w:rsidRPr="000826D4">
        <w:rPr>
          <w:rFonts w:ascii="Times New Roman" w:hAnsi="Times New Roman" w:cs="Times New Roman"/>
          <w:sz w:val="24"/>
          <w:lang w:val="es-US"/>
        </w:rPr>
        <w:t>, e0200019. https://doi.org/10.36783/18069657rbcs20200019</w:t>
      </w:r>
    </w:p>
    <w:p w14:paraId="7B73A457" w14:textId="77777777" w:rsidR="00E46DF5" w:rsidRDefault="00633046">
      <w:pPr>
        <w:ind w:left="810" w:hanging="810"/>
        <w:rPr>
          <w:rFonts w:ascii="Times New Roman" w:hAnsi="Times New Roman" w:cs="Times New Roman"/>
          <w:sz w:val="24"/>
        </w:rPr>
      </w:pPr>
      <w:r>
        <w:rPr>
          <w:rFonts w:ascii="Times New Roman" w:hAnsi="Times New Roman" w:cs="Times New Roman"/>
          <w:sz w:val="24"/>
        </w:rPr>
        <w:t>Devatha, C. P., Vishnu Vishal, A., Rao, J. P., (2019). Investigation of physical and chemical characteristics on soil due to crude oil contamination and its</w:t>
      </w:r>
      <w:r>
        <w:rPr>
          <w:rFonts w:ascii="Times New Roman" w:hAnsi="Times New Roman" w:cs="Times New Roman"/>
          <w:sz w:val="24"/>
        </w:rPr>
        <w:t xml:space="preserve"> remediation. </w:t>
      </w:r>
      <w:r>
        <w:rPr>
          <w:rFonts w:ascii="Times New Roman" w:hAnsi="Times New Roman" w:cs="Times New Roman"/>
          <w:i/>
          <w:sz w:val="24"/>
        </w:rPr>
        <w:t>Applied Water Science, 9</w:t>
      </w:r>
      <w:r>
        <w:rPr>
          <w:rFonts w:ascii="Times New Roman" w:hAnsi="Times New Roman" w:cs="Times New Roman"/>
          <w:sz w:val="24"/>
        </w:rPr>
        <w:t>, 89-94. https://doi.org/10.1007/s13201-019-0970-4</w:t>
      </w:r>
    </w:p>
    <w:p w14:paraId="1E7484C9" w14:textId="77777777" w:rsidR="00E46DF5" w:rsidRDefault="00633046">
      <w:pPr>
        <w:ind w:left="810" w:hanging="810"/>
        <w:rPr>
          <w:rFonts w:ascii="Times New Roman" w:hAnsi="Times New Roman" w:cs="Times New Roman"/>
          <w:sz w:val="24"/>
        </w:rPr>
      </w:pPr>
      <w:r>
        <w:rPr>
          <w:rFonts w:ascii="Times New Roman" w:hAnsi="Times New Roman" w:cs="Times New Roman"/>
          <w:sz w:val="24"/>
        </w:rPr>
        <w:t xml:space="preserve">D’Odorico, P., Bhattachan, A., Davis, K.F., Ravi, S., Runyan, C.W.. (2017). Global desertification: Drivers and feedbacks. </w:t>
      </w:r>
      <w:r>
        <w:rPr>
          <w:rFonts w:ascii="Times New Roman" w:hAnsi="Times New Roman" w:cs="Times New Roman"/>
          <w:i/>
          <w:sz w:val="24"/>
        </w:rPr>
        <w:t>Advances in Water Resources, 51</w:t>
      </w:r>
      <w:r>
        <w:rPr>
          <w:rFonts w:ascii="Times New Roman" w:hAnsi="Times New Roman" w:cs="Times New Roman"/>
          <w:sz w:val="24"/>
        </w:rPr>
        <w:t>, 326–344. ht</w:t>
      </w:r>
      <w:r>
        <w:rPr>
          <w:rFonts w:ascii="Times New Roman" w:hAnsi="Times New Roman" w:cs="Times New Roman"/>
          <w:sz w:val="24"/>
        </w:rPr>
        <w:t>tps://doi.org/10.1016/j.advwatres.2012.01.013</w:t>
      </w:r>
    </w:p>
    <w:p w14:paraId="7716CB23" w14:textId="77777777" w:rsidR="00E46DF5" w:rsidRDefault="00633046">
      <w:pPr>
        <w:ind w:left="810" w:hanging="810"/>
        <w:rPr>
          <w:rFonts w:ascii="Times New Roman" w:hAnsi="Times New Roman" w:cs="Times New Roman"/>
          <w:sz w:val="24"/>
        </w:rPr>
      </w:pPr>
      <w:r>
        <w:rPr>
          <w:rFonts w:ascii="Times New Roman" w:hAnsi="Times New Roman" w:cs="Times New Roman"/>
          <w:sz w:val="24"/>
        </w:rPr>
        <w:t>Egobueze, F. E., Ayotamuno, J. M., Iwegbue, C. M. A., Eze, C.,  Okparanma, R. N., (2019). Effects of organic amendment on some soil physicochemical characteristics and vegetative properties of Zea mays in wetla</w:t>
      </w:r>
      <w:r>
        <w:rPr>
          <w:rFonts w:ascii="Times New Roman" w:hAnsi="Times New Roman" w:cs="Times New Roman"/>
          <w:sz w:val="24"/>
        </w:rPr>
        <w:t xml:space="preserve">nd soils of the Niger Delta impacted with crude oil. </w:t>
      </w:r>
      <w:r>
        <w:rPr>
          <w:rFonts w:ascii="Times New Roman" w:hAnsi="Times New Roman" w:cs="Times New Roman"/>
          <w:i/>
          <w:sz w:val="24"/>
        </w:rPr>
        <w:t>International Journal of Recycling of Organic Waste in Agriculture, 8</w:t>
      </w:r>
      <w:r>
        <w:rPr>
          <w:rFonts w:ascii="Times New Roman" w:hAnsi="Times New Roman" w:cs="Times New Roman"/>
          <w:sz w:val="24"/>
        </w:rPr>
        <w:t>(4), 423–435. https://doi.org/10.1007/s40093-019-00315-6</w:t>
      </w:r>
    </w:p>
    <w:p w14:paraId="407BFFCA" w14:textId="77777777" w:rsidR="00E46DF5" w:rsidRDefault="00633046">
      <w:pPr>
        <w:ind w:left="810" w:hanging="810"/>
        <w:rPr>
          <w:rFonts w:ascii="Times New Roman" w:hAnsi="Times New Roman" w:cs="Times New Roman"/>
          <w:sz w:val="24"/>
        </w:rPr>
      </w:pPr>
      <w:proofErr w:type="spellStart"/>
      <w:r w:rsidRPr="000826D4">
        <w:rPr>
          <w:rFonts w:ascii="Times New Roman" w:hAnsi="Times New Roman" w:cs="Times New Roman"/>
          <w:sz w:val="24"/>
          <w:lang w:val="es-US"/>
        </w:rPr>
        <w:t>Ejechi</w:t>
      </w:r>
      <w:proofErr w:type="spellEnd"/>
      <w:r w:rsidRPr="000826D4">
        <w:rPr>
          <w:rFonts w:ascii="Times New Roman" w:hAnsi="Times New Roman" w:cs="Times New Roman"/>
          <w:sz w:val="24"/>
          <w:lang w:val="es-US"/>
        </w:rPr>
        <w:t xml:space="preserve">, B. O., Ozochi, C. </w:t>
      </w:r>
      <w:proofErr w:type="gramStart"/>
      <w:r w:rsidRPr="000826D4">
        <w:rPr>
          <w:rFonts w:ascii="Times New Roman" w:hAnsi="Times New Roman" w:cs="Times New Roman"/>
          <w:sz w:val="24"/>
          <w:lang w:val="es-US"/>
        </w:rPr>
        <w:t>A.,.</w:t>
      </w:r>
      <w:proofErr w:type="gramEnd"/>
      <w:r w:rsidRPr="000826D4">
        <w:rPr>
          <w:rFonts w:ascii="Times New Roman" w:hAnsi="Times New Roman" w:cs="Times New Roman"/>
          <w:sz w:val="24"/>
          <w:lang w:val="es-US"/>
        </w:rPr>
        <w:t xml:space="preserve"> </w:t>
      </w:r>
      <w:r>
        <w:rPr>
          <w:rFonts w:ascii="Times New Roman" w:hAnsi="Times New Roman" w:cs="Times New Roman"/>
          <w:sz w:val="24"/>
        </w:rPr>
        <w:t xml:space="preserve">(2015). Assessment of the physicochemical and </w:t>
      </w:r>
      <w:r>
        <w:rPr>
          <w:rFonts w:ascii="Times New Roman" w:hAnsi="Times New Roman" w:cs="Times New Roman"/>
          <w:sz w:val="24"/>
        </w:rPr>
        <w:t xml:space="preserve">microbiological status of western Niger Delta soil for crude oil pollution bioremediation potential. </w:t>
      </w:r>
      <w:r>
        <w:rPr>
          <w:rFonts w:ascii="Times New Roman" w:hAnsi="Times New Roman" w:cs="Times New Roman"/>
          <w:i/>
          <w:sz w:val="24"/>
        </w:rPr>
        <w:t>Environmental Monitoring and Assessment, 187</w:t>
      </w:r>
      <w:r>
        <w:rPr>
          <w:rFonts w:ascii="Times New Roman" w:hAnsi="Times New Roman" w:cs="Times New Roman"/>
          <w:sz w:val="24"/>
        </w:rPr>
        <w:t>(6), 369. https://doi.org/10.1007/s10661-015-4598-z</w:t>
      </w:r>
    </w:p>
    <w:p w14:paraId="7010CECF" w14:textId="77777777" w:rsidR="00E46DF5" w:rsidRDefault="00633046">
      <w:pPr>
        <w:ind w:left="810" w:hanging="810"/>
        <w:rPr>
          <w:rFonts w:ascii="Times New Roman" w:hAnsi="Times New Roman" w:cs="Times New Roman"/>
          <w:sz w:val="24"/>
        </w:rPr>
      </w:pPr>
      <w:r>
        <w:rPr>
          <w:rFonts w:ascii="Times New Roman" w:hAnsi="Times New Roman" w:cs="Times New Roman"/>
          <w:sz w:val="24"/>
        </w:rPr>
        <w:t xml:space="preserve">Food and Agriculture Organization of the United Nations. </w:t>
      </w:r>
      <w:r>
        <w:rPr>
          <w:rFonts w:ascii="Times New Roman" w:hAnsi="Times New Roman" w:cs="Times New Roman"/>
          <w:sz w:val="24"/>
        </w:rPr>
        <w:t>(2023). Technical guidelines on soils for nutrition: Sustainable soil management for nutrition-sensitive agriculture. https://doi.org/10.4060/cc5069en</w:t>
      </w:r>
    </w:p>
    <w:p w14:paraId="4FDAC0A7" w14:textId="77777777" w:rsidR="00E46DF5" w:rsidRDefault="00633046">
      <w:pPr>
        <w:ind w:left="810" w:hanging="810"/>
        <w:rPr>
          <w:rFonts w:ascii="Times New Roman" w:hAnsi="Times New Roman" w:cs="Times New Roman"/>
          <w:sz w:val="24"/>
        </w:rPr>
      </w:pPr>
      <w:proofErr w:type="spellStart"/>
      <w:r w:rsidRPr="000826D4">
        <w:rPr>
          <w:rFonts w:ascii="Times New Roman" w:hAnsi="Times New Roman" w:cs="Times New Roman"/>
          <w:sz w:val="24"/>
          <w:lang w:val="es-US"/>
        </w:rPr>
        <w:lastRenderedPageBreak/>
        <w:t>Itam</w:t>
      </w:r>
      <w:proofErr w:type="spellEnd"/>
      <w:r w:rsidRPr="000826D4">
        <w:rPr>
          <w:rFonts w:ascii="Times New Roman" w:hAnsi="Times New Roman" w:cs="Times New Roman"/>
          <w:sz w:val="24"/>
          <w:lang w:val="es-US"/>
        </w:rPr>
        <w:t xml:space="preserve">, D., Hogan, N., Uzor, N., Udeh, E., </w:t>
      </w:r>
      <w:proofErr w:type="spellStart"/>
      <w:r w:rsidRPr="000826D4">
        <w:rPr>
          <w:rFonts w:ascii="Times New Roman" w:hAnsi="Times New Roman" w:cs="Times New Roman"/>
          <w:sz w:val="24"/>
          <w:lang w:val="es-US"/>
        </w:rPr>
        <w:t>Ugwoha</w:t>
      </w:r>
      <w:proofErr w:type="spellEnd"/>
      <w:r w:rsidRPr="000826D4">
        <w:rPr>
          <w:rFonts w:ascii="Times New Roman" w:hAnsi="Times New Roman" w:cs="Times New Roman"/>
          <w:sz w:val="24"/>
          <w:lang w:val="es-US"/>
        </w:rPr>
        <w:t xml:space="preserve">, E., (2023). </w:t>
      </w:r>
      <w:r>
        <w:rPr>
          <w:rFonts w:ascii="Times New Roman" w:hAnsi="Times New Roman" w:cs="Times New Roman"/>
          <w:sz w:val="24"/>
        </w:rPr>
        <w:t>Modelling and optimizing the effect of pH on</w:t>
      </w:r>
      <w:r>
        <w:rPr>
          <w:rFonts w:ascii="Times New Roman" w:hAnsi="Times New Roman" w:cs="Times New Roman"/>
          <w:sz w:val="24"/>
        </w:rPr>
        <w:t xml:space="preserve"> remediation of crude oil polluted soil with biochar blend using response surface methodology. </w:t>
      </w:r>
      <w:r>
        <w:rPr>
          <w:rFonts w:ascii="Times New Roman" w:hAnsi="Times New Roman" w:cs="Times New Roman"/>
          <w:i/>
          <w:sz w:val="24"/>
        </w:rPr>
        <w:t>Advances in Research, 24</w:t>
      </w:r>
      <w:r>
        <w:rPr>
          <w:rFonts w:ascii="Times New Roman" w:hAnsi="Times New Roman" w:cs="Times New Roman"/>
          <w:sz w:val="24"/>
        </w:rPr>
        <w:t>(3), 56–73.</w:t>
      </w:r>
    </w:p>
    <w:p w14:paraId="161D9E69" w14:textId="77777777" w:rsidR="00E46DF5" w:rsidRDefault="00633046">
      <w:pPr>
        <w:ind w:left="810" w:hanging="810"/>
        <w:rPr>
          <w:rFonts w:ascii="Times New Roman" w:hAnsi="Times New Roman" w:cs="Times New Roman"/>
          <w:sz w:val="24"/>
        </w:rPr>
      </w:pPr>
      <w:r>
        <w:rPr>
          <w:rFonts w:ascii="Times New Roman" w:hAnsi="Times New Roman" w:cs="Times New Roman"/>
          <w:sz w:val="24"/>
        </w:rPr>
        <w:t>Li, F., Liang, X., Li, H., Chen, L.,  Zhao, J., (2020). Enhanced soil aggregate stability limits colloidal phosphorus loss po</w:t>
      </w:r>
      <w:r>
        <w:rPr>
          <w:rFonts w:ascii="Times New Roman" w:hAnsi="Times New Roman" w:cs="Times New Roman"/>
          <w:sz w:val="24"/>
        </w:rPr>
        <w:t xml:space="preserve">tentials in agricultural systems. </w:t>
      </w:r>
      <w:r>
        <w:rPr>
          <w:rFonts w:ascii="Times New Roman" w:hAnsi="Times New Roman" w:cs="Times New Roman"/>
          <w:i/>
          <w:sz w:val="24"/>
        </w:rPr>
        <w:t>Environmental Sciences Europe, 32</w:t>
      </w:r>
      <w:r>
        <w:rPr>
          <w:rFonts w:ascii="Times New Roman" w:hAnsi="Times New Roman" w:cs="Times New Roman"/>
          <w:sz w:val="24"/>
        </w:rPr>
        <w:t>, 17-20. https://doi.org/10.1186/s12302-020-0299-5</w:t>
      </w:r>
    </w:p>
    <w:p w14:paraId="0952F086" w14:textId="77777777" w:rsidR="00E46DF5" w:rsidRDefault="00633046">
      <w:pPr>
        <w:ind w:left="810" w:hanging="810"/>
        <w:rPr>
          <w:rFonts w:ascii="Times New Roman" w:hAnsi="Times New Roman" w:cs="Times New Roman"/>
          <w:sz w:val="24"/>
        </w:rPr>
      </w:pPr>
      <w:r>
        <w:rPr>
          <w:rFonts w:ascii="Times New Roman" w:hAnsi="Times New Roman" w:cs="Times New Roman"/>
          <w:sz w:val="24"/>
        </w:rPr>
        <w:t>Li, X., Wang, X., Zhang, Y., Zhao, Q., Yu, B.,  Li, Y.,. (2016). Salinity and conductivity amendment of soil enhanced the bioelectrochemic</w:t>
      </w:r>
      <w:r>
        <w:rPr>
          <w:rFonts w:ascii="Times New Roman" w:hAnsi="Times New Roman" w:cs="Times New Roman"/>
          <w:sz w:val="24"/>
        </w:rPr>
        <w:t xml:space="preserve">al degradation of petroleum hydrocarbons. </w:t>
      </w:r>
      <w:r>
        <w:rPr>
          <w:rFonts w:ascii="Times New Roman" w:hAnsi="Times New Roman" w:cs="Times New Roman"/>
          <w:i/>
          <w:sz w:val="24"/>
        </w:rPr>
        <w:t>Scientific Reports, 6</w:t>
      </w:r>
      <w:r>
        <w:rPr>
          <w:rFonts w:ascii="Times New Roman" w:hAnsi="Times New Roman" w:cs="Times New Roman"/>
          <w:sz w:val="24"/>
        </w:rPr>
        <w:t>, 32861. https://doi.org/10.1038/srep32861</w:t>
      </w:r>
    </w:p>
    <w:p w14:paraId="4DE1F801" w14:textId="77777777" w:rsidR="00E46DF5" w:rsidRDefault="00633046">
      <w:pPr>
        <w:ind w:left="810" w:hanging="810"/>
        <w:rPr>
          <w:rFonts w:ascii="Times New Roman" w:hAnsi="Times New Roman" w:cs="Times New Roman"/>
          <w:sz w:val="24"/>
        </w:rPr>
      </w:pPr>
      <w:r>
        <w:rPr>
          <w:rFonts w:ascii="Times New Roman" w:hAnsi="Times New Roman" w:cs="Times New Roman"/>
          <w:sz w:val="24"/>
        </w:rPr>
        <w:t>Mbasabire, P., Murindangabo, Y. T., Brom, J., Uwihanganye, J.,  Bwimba, R., (2025). Remediation of heavy-metal-contaminated soils using phosphate-enri</w:t>
      </w:r>
      <w:r>
        <w:rPr>
          <w:rFonts w:ascii="Times New Roman" w:hAnsi="Times New Roman" w:cs="Times New Roman"/>
          <w:sz w:val="24"/>
        </w:rPr>
        <w:t xml:space="preserve">ched sewage sludge biochar. </w:t>
      </w:r>
      <w:r>
        <w:rPr>
          <w:rFonts w:ascii="Times New Roman" w:hAnsi="Times New Roman" w:cs="Times New Roman"/>
          <w:i/>
          <w:sz w:val="24"/>
        </w:rPr>
        <w:t>Sustainability, 17</w:t>
      </w:r>
      <w:r>
        <w:rPr>
          <w:rFonts w:ascii="Times New Roman" w:hAnsi="Times New Roman" w:cs="Times New Roman"/>
          <w:sz w:val="24"/>
        </w:rPr>
        <w:t>(16), 7345. https://doi.org/10.3390/su17167345</w:t>
      </w:r>
    </w:p>
    <w:p w14:paraId="70F42876" w14:textId="77777777" w:rsidR="00E46DF5" w:rsidRDefault="00633046">
      <w:pPr>
        <w:ind w:left="810" w:hanging="810"/>
        <w:rPr>
          <w:rFonts w:ascii="Times New Roman" w:hAnsi="Times New Roman" w:cs="Times New Roman"/>
          <w:sz w:val="24"/>
        </w:rPr>
      </w:pPr>
      <w:r>
        <w:rPr>
          <w:rFonts w:ascii="Times New Roman" w:hAnsi="Times New Roman" w:cs="Times New Roman"/>
          <w:sz w:val="24"/>
        </w:rPr>
        <w:t>National Bureau of Statistics. (2023). Nigeria gross domestic product report: Q4. https://nigerianstat.gov.ng/elibrary/read/1241415</w:t>
      </w:r>
    </w:p>
    <w:p w14:paraId="61C1187F" w14:textId="77777777" w:rsidR="00E46DF5" w:rsidRDefault="00633046">
      <w:pPr>
        <w:ind w:left="810" w:hanging="810"/>
        <w:rPr>
          <w:rFonts w:ascii="Times New Roman" w:hAnsi="Times New Roman" w:cs="Times New Roman"/>
          <w:sz w:val="24"/>
        </w:rPr>
      </w:pPr>
      <w:r>
        <w:rPr>
          <w:rFonts w:ascii="Times New Roman" w:hAnsi="Times New Roman" w:cs="Times New Roman"/>
          <w:sz w:val="24"/>
        </w:rPr>
        <w:t>Onwuka, M. I., Ozurumba, U. V.,</w:t>
      </w:r>
      <w:r>
        <w:rPr>
          <w:rFonts w:ascii="Times New Roman" w:hAnsi="Times New Roman" w:cs="Times New Roman"/>
          <w:sz w:val="24"/>
        </w:rPr>
        <w:t xml:space="preserve"> Nkwocha, O. S., (2016). Changes in soil pH and exchangeable acidity of selected parent materials as influenced by amendments in South East Nigeria. </w:t>
      </w:r>
      <w:r>
        <w:rPr>
          <w:rFonts w:ascii="Times New Roman" w:hAnsi="Times New Roman" w:cs="Times New Roman"/>
          <w:i/>
          <w:sz w:val="24"/>
        </w:rPr>
        <w:t>Journal of Geoscience and Environment Protection, 4</w:t>
      </w:r>
      <w:r>
        <w:rPr>
          <w:rFonts w:ascii="Times New Roman" w:hAnsi="Times New Roman" w:cs="Times New Roman"/>
          <w:sz w:val="24"/>
        </w:rPr>
        <w:t>(5), 80–88. https://doi.org/10.4236/gep.2016.45008</w:t>
      </w:r>
    </w:p>
    <w:p w14:paraId="47D5B40D" w14:textId="77777777" w:rsidR="00E46DF5" w:rsidRDefault="00633046">
      <w:pPr>
        <w:ind w:left="810" w:hanging="810"/>
        <w:rPr>
          <w:rFonts w:ascii="Times New Roman" w:hAnsi="Times New Roman" w:cs="Times New Roman"/>
          <w:sz w:val="24"/>
        </w:rPr>
      </w:pPr>
      <w:r>
        <w:rPr>
          <w:rFonts w:ascii="Times New Roman" w:hAnsi="Times New Roman" w:cs="Times New Roman"/>
          <w:sz w:val="24"/>
        </w:rPr>
        <w:t>Saha,</w:t>
      </w:r>
      <w:r>
        <w:rPr>
          <w:rFonts w:ascii="Times New Roman" w:hAnsi="Times New Roman" w:cs="Times New Roman"/>
          <w:sz w:val="24"/>
        </w:rPr>
        <w:t xml:space="preserve"> M.K., Khan, H.R., Akter, S., Hossain, B., (2023). Integrated effects of vermicompost, climatic factors and soil mixing on selected soil fertility indicators. </w:t>
      </w:r>
      <w:r>
        <w:rPr>
          <w:rFonts w:ascii="Times New Roman" w:hAnsi="Times New Roman" w:cs="Times New Roman"/>
          <w:i/>
          <w:sz w:val="24"/>
        </w:rPr>
        <w:t>Dhaka University Journal of Biological Sciences, 32</w:t>
      </w:r>
      <w:r>
        <w:rPr>
          <w:rFonts w:ascii="Times New Roman" w:hAnsi="Times New Roman" w:cs="Times New Roman"/>
          <w:sz w:val="24"/>
        </w:rPr>
        <w:t>(1), 119–134. https://doi.org/10.3329/dujbs.v3</w:t>
      </w:r>
      <w:r>
        <w:rPr>
          <w:rFonts w:ascii="Times New Roman" w:hAnsi="Times New Roman" w:cs="Times New Roman"/>
          <w:sz w:val="24"/>
        </w:rPr>
        <w:t>2i1.64196</w:t>
      </w:r>
    </w:p>
    <w:p w14:paraId="6C69307C" w14:textId="77777777" w:rsidR="00E46DF5" w:rsidRDefault="00633046">
      <w:pPr>
        <w:ind w:left="810" w:hanging="810"/>
        <w:rPr>
          <w:rFonts w:ascii="Times New Roman" w:hAnsi="Times New Roman" w:cs="Times New Roman"/>
          <w:sz w:val="24"/>
        </w:rPr>
      </w:pPr>
      <w:r>
        <w:rPr>
          <w:rFonts w:ascii="Times New Roman" w:hAnsi="Times New Roman" w:cs="Times New Roman"/>
          <w:sz w:val="24"/>
        </w:rPr>
        <w:t xml:space="preserve">Sahoo, G. R., Swamy, S. L., Mishra, A.,. (2021). Effect of seed source, light, and nitrogen levels on biomass and nutrient allocation pattern in seedlings of Pongamia pinnata. </w:t>
      </w:r>
      <w:r>
        <w:rPr>
          <w:rFonts w:ascii="Times New Roman" w:hAnsi="Times New Roman" w:cs="Times New Roman"/>
          <w:i/>
          <w:sz w:val="24"/>
        </w:rPr>
        <w:t>Environmental Science and Pollution Research, 28,</w:t>
      </w:r>
      <w:r>
        <w:rPr>
          <w:rFonts w:ascii="Times New Roman" w:hAnsi="Times New Roman" w:cs="Times New Roman"/>
          <w:sz w:val="24"/>
        </w:rPr>
        <w:t xml:space="preserve"> 15005–15020. https:/</w:t>
      </w:r>
      <w:r>
        <w:rPr>
          <w:rFonts w:ascii="Times New Roman" w:hAnsi="Times New Roman" w:cs="Times New Roman"/>
          <w:sz w:val="24"/>
        </w:rPr>
        <w:t>/doi.org/10.1007/s11356-020-11734-8</w:t>
      </w:r>
    </w:p>
    <w:p w14:paraId="1A75F61E" w14:textId="77777777" w:rsidR="00E46DF5" w:rsidRDefault="00633046">
      <w:pPr>
        <w:ind w:left="810" w:hanging="810"/>
        <w:rPr>
          <w:rFonts w:ascii="Times New Roman" w:hAnsi="Times New Roman" w:cs="Times New Roman"/>
          <w:sz w:val="24"/>
        </w:rPr>
      </w:pPr>
      <w:r>
        <w:rPr>
          <w:rFonts w:ascii="Times New Roman" w:hAnsi="Times New Roman" w:cs="Times New Roman"/>
          <w:sz w:val="24"/>
        </w:rPr>
        <w:t xml:space="preserve">Tajudeen, A. S.,  Nyiayaana, K.,. (2024). Oil exploitation and conflict in Kegbara Dere community in Rivers State, Nigeria. </w:t>
      </w:r>
      <w:r>
        <w:rPr>
          <w:rFonts w:ascii="Times New Roman" w:hAnsi="Times New Roman" w:cs="Times New Roman"/>
          <w:i/>
          <w:sz w:val="24"/>
        </w:rPr>
        <w:t>American Journal of Social and Humanitarian Research, 5</w:t>
      </w:r>
      <w:r>
        <w:rPr>
          <w:rFonts w:ascii="Times New Roman" w:hAnsi="Times New Roman" w:cs="Times New Roman"/>
          <w:sz w:val="24"/>
        </w:rPr>
        <w:t>(3), 73–85.</w:t>
      </w:r>
    </w:p>
    <w:p w14:paraId="3A6F941F" w14:textId="77777777" w:rsidR="00E46DF5" w:rsidRDefault="00633046">
      <w:pPr>
        <w:ind w:left="810" w:hanging="810"/>
        <w:rPr>
          <w:rFonts w:ascii="Times New Roman" w:hAnsi="Times New Roman" w:cs="Times New Roman"/>
          <w:sz w:val="24"/>
        </w:rPr>
      </w:pPr>
      <w:r>
        <w:rPr>
          <w:rFonts w:ascii="Times New Roman" w:hAnsi="Times New Roman" w:cs="Times New Roman"/>
          <w:sz w:val="24"/>
        </w:rPr>
        <w:t>United States Department of A</w:t>
      </w:r>
      <w:r>
        <w:rPr>
          <w:rFonts w:ascii="Times New Roman" w:hAnsi="Times New Roman" w:cs="Times New Roman"/>
          <w:sz w:val="24"/>
        </w:rPr>
        <w:t>griculture, Natural Resources Conservation Service. (2024). Field book for describing and sampling soils (Version 4.0). USDA-NRCS. https://www.nrcs.usda.gov/sites/default/files/2025-01/Field-Book-for-Describing-and-Sampling-Soils-v4.pdf</w:t>
      </w:r>
    </w:p>
    <w:p w14:paraId="65923E14" w14:textId="77777777" w:rsidR="00E46DF5" w:rsidRDefault="00633046">
      <w:pPr>
        <w:ind w:left="810" w:hanging="810"/>
        <w:jc w:val="left"/>
        <w:rPr>
          <w:rFonts w:ascii="Times New Roman" w:hAnsi="Times New Roman" w:cs="Times New Roman"/>
          <w:sz w:val="24"/>
        </w:rPr>
      </w:pPr>
      <w:r>
        <w:rPr>
          <w:rFonts w:ascii="Times New Roman" w:hAnsi="Times New Roman" w:cs="Times New Roman"/>
          <w:sz w:val="24"/>
        </w:rPr>
        <w:t>USEPA (United State</w:t>
      </w:r>
      <w:r>
        <w:rPr>
          <w:rFonts w:ascii="Times New Roman" w:hAnsi="Times New Roman" w:cs="Times New Roman"/>
          <w:sz w:val="24"/>
        </w:rPr>
        <w:t xml:space="preserve">s Environmental Protection Agency). (2017). Soil screening guidance: Technical background document (EPA/540/R-95/128). </w:t>
      </w:r>
      <w:hyperlink r:id="rId12" w:history="1">
        <w:r w:rsidR="00E46DF5">
          <w:rPr>
            <w:rStyle w:val="Hyperlink"/>
            <w:rFonts w:ascii="Times New Roman" w:hAnsi="Times New Roman" w:cs="Times New Roman"/>
            <w:sz w:val="24"/>
          </w:rPr>
          <w:t>https://nepis.epa.gov/Exe/tiff2png.cgi/100025LM.PNG?-r+75+-g+7+D%3A%5CZYFILES%5CINDEX%20DATA%5C95THRU99%5CTIFF%5C00000040%5C100025LM.TIF</w:t>
        </w:r>
      </w:hyperlink>
    </w:p>
    <w:p w14:paraId="366476C8" w14:textId="77777777" w:rsidR="00E46DF5" w:rsidRDefault="00633046">
      <w:pPr>
        <w:ind w:left="810" w:hanging="810"/>
        <w:rPr>
          <w:rFonts w:ascii="Times New Roman" w:hAnsi="Times New Roman" w:cs="Times New Roman"/>
          <w:sz w:val="24"/>
        </w:rPr>
      </w:pPr>
      <w:r w:rsidRPr="000826D4">
        <w:rPr>
          <w:rFonts w:ascii="Times New Roman" w:hAnsi="Times New Roman" w:cs="Times New Roman"/>
          <w:sz w:val="24"/>
          <w:lang w:val="es-US"/>
        </w:rPr>
        <w:lastRenderedPageBreak/>
        <w:t xml:space="preserve">Volf, M. R., </w:t>
      </w:r>
      <w:proofErr w:type="spellStart"/>
      <w:r w:rsidRPr="000826D4">
        <w:rPr>
          <w:rFonts w:ascii="Times New Roman" w:hAnsi="Times New Roman" w:cs="Times New Roman"/>
          <w:sz w:val="24"/>
          <w:lang w:val="es-US"/>
        </w:rPr>
        <w:t>Crusciol</w:t>
      </w:r>
      <w:proofErr w:type="spellEnd"/>
      <w:r w:rsidRPr="000826D4">
        <w:rPr>
          <w:rFonts w:ascii="Times New Roman" w:hAnsi="Times New Roman" w:cs="Times New Roman"/>
          <w:sz w:val="24"/>
          <w:lang w:val="es-US"/>
        </w:rPr>
        <w:t xml:space="preserve">, C. A. C., de Azevedo, A. C., Thompson, M. L., Kovar, J. L., (2021). </w:t>
      </w:r>
      <w:r>
        <w:rPr>
          <w:rFonts w:ascii="Times New Roman" w:hAnsi="Times New Roman" w:cs="Times New Roman"/>
          <w:sz w:val="24"/>
        </w:rPr>
        <w:t xml:space="preserve">Potassium bioavailability in a tropical kaolinitic soil. </w:t>
      </w:r>
      <w:r>
        <w:rPr>
          <w:rFonts w:ascii="Times New Roman" w:hAnsi="Times New Roman" w:cs="Times New Roman"/>
          <w:i/>
          <w:sz w:val="24"/>
        </w:rPr>
        <w:t>Agronomy, 11</w:t>
      </w:r>
      <w:r>
        <w:rPr>
          <w:rFonts w:ascii="Times New Roman" w:hAnsi="Times New Roman" w:cs="Times New Roman"/>
          <w:sz w:val="24"/>
        </w:rPr>
        <w:t>(10), 2016. https://doi.org/10.3390/agronomy11102016</w:t>
      </w:r>
    </w:p>
    <w:p w14:paraId="472DB79D" w14:textId="77777777" w:rsidR="00E46DF5" w:rsidRDefault="00633046">
      <w:pPr>
        <w:ind w:left="810" w:hanging="810"/>
        <w:rPr>
          <w:rFonts w:ascii="Times New Roman" w:hAnsi="Times New Roman" w:cs="Times New Roman"/>
          <w:sz w:val="24"/>
        </w:rPr>
      </w:pPr>
      <w:r>
        <w:rPr>
          <w:rFonts w:ascii="Times New Roman" w:hAnsi="Times New Roman" w:cs="Times New Roman"/>
          <w:sz w:val="24"/>
        </w:rPr>
        <w:t>Wang, Q., Guo, S., Ali, M., Song, X., Tang, Z., Zhang, M., Luo, Y., (2022). Thermally enhanced bioremediation: A review of the fundame</w:t>
      </w:r>
      <w:r>
        <w:rPr>
          <w:rFonts w:ascii="Times New Roman" w:hAnsi="Times New Roman" w:cs="Times New Roman"/>
          <w:sz w:val="24"/>
        </w:rPr>
        <w:t xml:space="preserve">ntals and applications in soil and groundwater remediation. </w:t>
      </w:r>
      <w:r>
        <w:rPr>
          <w:rFonts w:ascii="Times New Roman" w:hAnsi="Times New Roman" w:cs="Times New Roman"/>
          <w:i/>
          <w:sz w:val="24"/>
        </w:rPr>
        <w:t>Journal of Hazardous Materials, 435</w:t>
      </w:r>
      <w:r>
        <w:rPr>
          <w:rFonts w:ascii="Times New Roman" w:hAnsi="Times New Roman" w:cs="Times New Roman"/>
          <w:sz w:val="24"/>
        </w:rPr>
        <w:t>, 128749. https://doi.org/10.1016/j.jhazmat.2022.128749</w:t>
      </w:r>
    </w:p>
    <w:p w14:paraId="3FE9DD86" w14:textId="77777777" w:rsidR="00E46DF5" w:rsidRDefault="00633046">
      <w:pPr>
        <w:ind w:left="810" w:hanging="810"/>
        <w:rPr>
          <w:rFonts w:ascii="Times New Roman" w:hAnsi="Times New Roman" w:cs="Times New Roman"/>
          <w:sz w:val="24"/>
        </w:rPr>
      </w:pPr>
      <w:r>
        <w:rPr>
          <w:rFonts w:ascii="Times New Roman" w:hAnsi="Times New Roman" w:cs="Times New Roman"/>
          <w:sz w:val="24"/>
        </w:rPr>
        <w:t>Wonodi., A &amp; Ekpete, O.A., (2021). Impact of cement production factories on the physical and chemical cha</w:t>
      </w:r>
      <w:r>
        <w:rPr>
          <w:rFonts w:ascii="Times New Roman" w:hAnsi="Times New Roman" w:cs="Times New Roman"/>
          <w:sz w:val="24"/>
        </w:rPr>
        <w:t xml:space="preserve">racteristics of soil within production areas in Port Harcourt metropolis, Rivers State, Niger Delta, Nigeria. </w:t>
      </w:r>
      <w:r>
        <w:rPr>
          <w:rFonts w:ascii="Times New Roman" w:hAnsi="Times New Roman" w:cs="Times New Roman"/>
          <w:i/>
          <w:sz w:val="24"/>
        </w:rPr>
        <w:t>Faculty of Natural and Applied Sciences Journal of Scientific Innovations, 3</w:t>
      </w:r>
      <w:r>
        <w:rPr>
          <w:rFonts w:ascii="Times New Roman" w:hAnsi="Times New Roman" w:cs="Times New Roman"/>
          <w:sz w:val="24"/>
        </w:rPr>
        <w:t>(1), 50-59.</w:t>
      </w:r>
    </w:p>
    <w:p w14:paraId="09E42F35" w14:textId="77777777" w:rsidR="00E46DF5" w:rsidRDefault="00633046">
      <w:pPr>
        <w:ind w:left="810" w:hanging="810"/>
        <w:rPr>
          <w:rFonts w:ascii="Times New Roman" w:hAnsi="Times New Roman" w:cs="Times New Roman"/>
          <w:sz w:val="24"/>
        </w:rPr>
      </w:pPr>
      <w:r>
        <w:rPr>
          <w:rFonts w:ascii="Times New Roman" w:hAnsi="Times New Roman" w:cs="Times New Roman"/>
          <w:sz w:val="24"/>
        </w:rPr>
        <w:t>Wu, M., Wu, J., Zhang, X., Ye, X., Wang, C., (2019). Effec</w:t>
      </w:r>
      <w:r>
        <w:rPr>
          <w:rFonts w:ascii="Times New Roman" w:hAnsi="Times New Roman" w:cs="Times New Roman"/>
          <w:sz w:val="24"/>
        </w:rPr>
        <w:t xml:space="preserve">t of bioaugmentation and biostimulation on hydrocarbon degradation and soil nutrient status in petroleum-contaminated loessal soil. </w:t>
      </w:r>
      <w:r>
        <w:rPr>
          <w:rFonts w:ascii="Times New Roman" w:hAnsi="Times New Roman" w:cs="Times New Roman"/>
          <w:i/>
          <w:sz w:val="24"/>
        </w:rPr>
        <w:t>Chemosphere, 237</w:t>
      </w:r>
      <w:r>
        <w:rPr>
          <w:rFonts w:ascii="Times New Roman" w:hAnsi="Times New Roman" w:cs="Times New Roman"/>
          <w:sz w:val="24"/>
        </w:rPr>
        <w:t xml:space="preserve">, 124456. </w:t>
      </w:r>
      <w:hyperlink r:id="rId13" w:history="1">
        <w:r w:rsidR="00E46DF5">
          <w:rPr>
            <w:rStyle w:val="Hyperlink"/>
            <w:rFonts w:ascii="Times New Roman" w:hAnsi="Times New Roman" w:cs="Times New Roman"/>
            <w:sz w:val="24"/>
          </w:rPr>
          <w:t>https://doi.org/10.1016/j.chemosphere.2019.124456</w:t>
        </w:r>
      </w:hyperlink>
    </w:p>
    <w:p w14:paraId="11F3A959" w14:textId="77777777" w:rsidR="00E46DF5" w:rsidRDefault="00E46DF5">
      <w:pPr>
        <w:jc w:val="center"/>
        <w:rPr>
          <w:rFonts w:ascii="Times New Roman" w:hAnsi="Times New Roman" w:cs="Times New Roman"/>
          <w:sz w:val="24"/>
        </w:rPr>
      </w:pPr>
    </w:p>
    <w:sectPr w:rsidR="00E46DF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71185" w14:textId="77777777" w:rsidR="00633046" w:rsidRDefault="00633046" w:rsidP="00792C49">
      <w:pPr>
        <w:spacing w:after="0" w:line="240" w:lineRule="auto"/>
      </w:pPr>
      <w:r>
        <w:separator/>
      </w:r>
    </w:p>
  </w:endnote>
  <w:endnote w:type="continuationSeparator" w:id="0">
    <w:p w14:paraId="6501F595" w14:textId="77777777" w:rsidR="00633046" w:rsidRDefault="00633046" w:rsidP="00792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FDBF2" w14:textId="77777777" w:rsidR="00792C49" w:rsidRDefault="00792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FDB9" w14:textId="77777777" w:rsidR="00792C49" w:rsidRDefault="00792C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75661" w14:textId="77777777" w:rsidR="00792C49" w:rsidRDefault="00792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ACAC1" w14:textId="77777777" w:rsidR="00633046" w:rsidRDefault="00633046" w:rsidP="00792C49">
      <w:pPr>
        <w:spacing w:after="0" w:line="240" w:lineRule="auto"/>
      </w:pPr>
      <w:r>
        <w:separator/>
      </w:r>
    </w:p>
  </w:footnote>
  <w:footnote w:type="continuationSeparator" w:id="0">
    <w:p w14:paraId="7F5D418E" w14:textId="77777777" w:rsidR="00633046" w:rsidRDefault="00633046" w:rsidP="00792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F92CF" w14:textId="30971F05" w:rsidR="00792C49" w:rsidRDefault="00792C49">
    <w:pPr>
      <w:pStyle w:val="Header"/>
    </w:pPr>
    <w:r>
      <w:rPr>
        <w:noProof/>
      </w:rPr>
      <w:pict w14:anchorId="6EDD0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5659532"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A8753" w14:textId="002DB7CE" w:rsidR="00792C49" w:rsidRDefault="00792C49">
    <w:pPr>
      <w:pStyle w:val="Header"/>
    </w:pPr>
    <w:r>
      <w:rPr>
        <w:noProof/>
      </w:rPr>
      <w:pict w14:anchorId="57981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5659533"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35F5E" w14:textId="17FC99B9" w:rsidR="00792C49" w:rsidRDefault="00792C49">
    <w:pPr>
      <w:pStyle w:val="Header"/>
    </w:pPr>
    <w:r>
      <w:rPr>
        <w:noProof/>
      </w:rPr>
      <w:pict w14:anchorId="51648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5659531"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D42439"/>
    <w:multiLevelType w:val="multilevel"/>
    <w:tmpl w:val="A4B437DC"/>
    <w:lvl w:ilvl="0">
      <w:start w:val="1"/>
      <w:numFmt w:val="decimal"/>
      <w:lvlText w:val="%1.0"/>
      <w:lvlJc w:val="left"/>
      <w:pPr>
        <w:ind w:left="588" w:hanging="588"/>
      </w:pPr>
      <w:rPr>
        <w:rFonts w:hint="default"/>
      </w:rPr>
    </w:lvl>
    <w:lvl w:ilvl="1">
      <w:start w:val="1"/>
      <w:numFmt w:val="decimal"/>
      <w:lvlText w:val="%1.%2"/>
      <w:lvlJc w:val="left"/>
      <w:pPr>
        <w:ind w:left="1308" w:hanging="58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W0NDM1NjYzMjYwNjVW0lEKTi0uzszPAykwrAUAT5KEniwAAAA="/>
  </w:docVars>
  <w:rsids>
    <w:rsidRoot w:val="00012BD8"/>
    <w:rsid w:val="000105DD"/>
    <w:rsid w:val="00012BD8"/>
    <w:rsid w:val="000419CC"/>
    <w:rsid w:val="00073575"/>
    <w:rsid w:val="000826D4"/>
    <w:rsid w:val="000D39F4"/>
    <w:rsid w:val="000E010B"/>
    <w:rsid w:val="000F5284"/>
    <w:rsid w:val="001767FD"/>
    <w:rsid w:val="001F414C"/>
    <w:rsid w:val="002309B6"/>
    <w:rsid w:val="00273F89"/>
    <w:rsid w:val="00273FAF"/>
    <w:rsid w:val="00283B54"/>
    <w:rsid w:val="0028567F"/>
    <w:rsid w:val="002A3CC1"/>
    <w:rsid w:val="002B0554"/>
    <w:rsid w:val="002B3D50"/>
    <w:rsid w:val="002E334F"/>
    <w:rsid w:val="002E5477"/>
    <w:rsid w:val="00355208"/>
    <w:rsid w:val="00374E48"/>
    <w:rsid w:val="003C78E7"/>
    <w:rsid w:val="003E364B"/>
    <w:rsid w:val="003F544D"/>
    <w:rsid w:val="00406575"/>
    <w:rsid w:val="0048299E"/>
    <w:rsid w:val="004A597A"/>
    <w:rsid w:val="004C61AD"/>
    <w:rsid w:val="004D753F"/>
    <w:rsid w:val="0054406A"/>
    <w:rsid w:val="005445FD"/>
    <w:rsid w:val="00566D26"/>
    <w:rsid w:val="005F02C6"/>
    <w:rsid w:val="0061197D"/>
    <w:rsid w:val="00624927"/>
    <w:rsid w:val="00633046"/>
    <w:rsid w:val="00680296"/>
    <w:rsid w:val="006A5AAB"/>
    <w:rsid w:val="006C4A50"/>
    <w:rsid w:val="006C6E22"/>
    <w:rsid w:val="006D4CBC"/>
    <w:rsid w:val="006F7429"/>
    <w:rsid w:val="007042A5"/>
    <w:rsid w:val="007629C3"/>
    <w:rsid w:val="00774051"/>
    <w:rsid w:val="007761C0"/>
    <w:rsid w:val="00777EA6"/>
    <w:rsid w:val="00792C49"/>
    <w:rsid w:val="007A0BD2"/>
    <w:rsid w:val="007A4EB7"/>
    <w:rsid w:val="007C6234"/>
    <w:rsid w:val="007D5F25"/>
    <w:rsid w:val="007E3CEE"/>
    <w:rsid w:val="00801230"/>
    <w:rsid w:val="008701B9"/>
    <w:rsid w:val="00887FF4"/>
    <w:rsid w:val="00893126"/>
    <w:rsid w:val="008B1D01"/>
    <w:rsid w:val="008D7F71"/>
    <w:rsid w:val="009B4F19"/>
    <w:rsid w:val="009D3661"/>
    <w:rsid w:val="009E1773"/>
    <w:rsid w:val="00A31968"/>
    <w:rsid w:val="00AB6B57"/>
    <w:rsid w:val="00AC17C8"/>
    <w:rsid w:val="00B104F3"/>
    <w:rsid w:val="00B15733"/>
    <w:rsid w:val="00B52BBA"/>
    <w:rsid w:val="00B74178"/>
    <w:rsid w:val="00B86D28"/>
    <w:rsid w:val="00BB3D04"/>
    <w:rsid w:val="00BD2210"/>
    <w:rsid w:val="00BE23A3"/>
    <w:rsid w:val="00C72353"/>
    <w:rsid w:val="00CF3AAB"/>
    <w:rsid w:val="00D135A2"/>
    <w:rsid w:val="00D672F8"/>
    <w:rsid w:val="00DA02CC"/>
    <w:rsid w:val="00DE01BE"/>
    <w:rsid w:val="00DF3F1F"/>
    <w:rsid w:val="00E03B32"/>
    <w:rsid w:val="00E46DF5"/>
    <w:rsid w:val="00E51D96"/>
    <w:rsid w:val="00EA0C8C"/>
    <w:rsid w:val="00EA3B2C"/>
    <w:rsid w:val="00ED1053"/>
    <w:rsid w:val="00ED70EB"/>
    <w:rsid w:val="00EE349A"/>
    <w:rsid w:val="00EE4596"/>
    <w:rsid w:val="00EE6AA4"/>
    <w:rsid w:val="00EF656D"/>
    <w:rsid w:val="00F13029"/>
    <w:rsid w:val="00F13613"/>
    <w:rsid w:val="00F629E4"/>
    <w:rsid w:val="00FC1241"/>
    <w:rsid w:val="00FC6D08"/>
    <w:rsid w:val="00FD2934"/>
    <w:rsid w:val="00FD4640"/>
    <w:rsid w:val="00FF6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D1CEAF"/>
  <w15:chartTrackingRefBased/>
  <w15:docId w15:val="{A55C6108-E147-459C-B56C-273A8053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14C"/>
    <w:pPr>
      <w:widowControl w:val="0"/>
      <w:jc w:val="both"/>
    </w:pPr>
    <w:rPr>
      <w:rFonts w:ascii="Calibri" w:eastAsia="SimSun" w:hAnsi="Calibri" w:cs="SimSun"/>
      <w:sz w:val="21"/>
      <w:szCs w:val="24"/>
      <w:lang w:eastAsia="zh-C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5B9BD5" w:themeColor="accent1"/>
      <w:spacing w:val="15"/>
      <w:sz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Pr>
      <w:b/>
      <w:bCs/>
      <w:i/>
      <w:iCs/>
      <w:color w:val="5B9BD5"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rPr>
      <w:rFonts w:ascii="Times New Roman" w:eastAsiaTheme="minorEastAsia" w:hAnsi="Times New Roman" w:cs="Times New Roman"/>
    </w:rPr>
  </w:style>
  <w:style w:type="table" w:customStyle="1" w:styleId="TableGridLight1">
    <w:name w:val="Table Grid Light1"/>
    <w:basedOn w:val="TableNormal"/>
    <w:uiPriority w:val="40"/>
    <w:pPr>
      <w:spacing w:after="0" w:line="240" w:lineRule="auto"/>
    </w:pPr>
    <w:rPr>
      <w:rFonts w:ascii="Times New Roman" w:eastAsia="SimSu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link w:val="CommentText"/>
    <w:uiPriority w:val="99"/>
    <w:qFormat/>
    <w:rPr>
      <w:sz w:val="20"/>
      <w:szCs w:val="20"/>
    </w:rPr>
  </w:style>
  <w:style w:type="paragraph" w:customStyle="1" w:styleId="Gv4p8b0">
    <w:name w:val="Gv4p8b0"/>
    <w:basedOn w:val="Normal"/>
    <w:uiPriority w:val="99"/>
    <w:pPr>
      <w:spacing w:before="100" w:after="100"/>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chemosphere.2019.124456"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nepis.epa.gov/Exe/tiff2png.cgi/100025LM.PNG?-r+75+-g+7+D%3A%5CZYFILES%5CINDEX%20DATA%5C95THRU99%5CTIFF%5C00000040%5C100025LM.TI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19</Pages>
  <Words>4756</Words>
  <Characters>27111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PC 1170</cp:lastModifiedBy>
  <cp:revision>16</cp:revision>
  <dcterms:created xsi:type="dcterms:W3CDTF">2026-02-10T09:57:00Z</dcterms:created>
  <dcterms:modified xsi:type="dcterms:W3CDTF">2026-02-11T09:18:00Z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67ea194d-d588-42d9-802b-db9ee6061600</vt:lpwstr>
  </property>
</Properties>
</file>