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DA567" w14:textId="77777777" w:rsidR="00911E0D" w:rsidRDefault="00E0661B" w:rsidP="00E0661B">
      <w:pPr>
        <w:pStyle w:val="Title"/>
        <w:rPr>
          <w:rFonts w:ascii="Times New Roman" w:hAnsi="Times New Roman" w:cs="Times New Roman"/>
        </w:rPr>
      </w:pPr>
      <w:r w:rsidRPr="00E0661B">
        <w:rPr>
          <w:rFonts w:ascii="Times New Roman" w:hAnsi="Times New Roman" w:cs="Times New Roman"/>
        </w:rPr>
        <w:t>Leveraging AI for Digital Services Trade: How Readiness Reshapes Comparative Advantage in Developing Economies</w:t>
      </w:r>
    </w:p>
    <w:p w14:paraId="2C050AD5" w14:textId="77777777" w:rsidR="002D522D" w:rsidRDefault="002D522D" w:rsidP="002D522D"/>
    <w:p w14:paraId="202FD604" w14:textId="77777777" w:rsidR="002D522D" w:rsidRDefault="002D522D" w:rsidP="002D522D"/>
    <w:p w14:paraId="726B49D2" w14:textId="77777777" w:rsidR="002D522D" w:rsidRPr="002D522D" w:rsidRDefault="002D522D" w:rsidP="002D522D">
      <w:bookmarkStart w:id="0" w:name="_GoBack"/>
      <w:bookmarkEnd w:id="0"/>
    </w:p>
    <w:p w14:paraId="0201ABA9" w14:textId="77777777" w:rsidR="00911E0D" w:rsidRDefault="00911E0D" w:rsidP="00E0661B">
      <w:pPr>
        <w:pStyle w:val="Title"/>
        <w:rPr>
          <w:rFonts w:ascii="Times New Roman" w:hAnsi="Times New Roman" w:cs="Times New Roman"/>
        </w:rPr>
      </w:pPr>
    </w:p>
    <w:p w14:paraId="2AB45C96" w14:textId="77777777" w:rsidR="00B30103" w:rsidRPr="00E0661B" w:rsidRDefault="00B30103" w:rsidP="00E0661B">
      <w:pPr>
        <w:pStyle w:val="Heading1"/>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Toc220682365"/>
      <w:r w:rsidRPr="00E0661B">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Abstract</w:t>
      </w:r>
      <w:bookmarkEnd w:id="1"/>
    </w:p>
    <w:p w14:paraId="6450B5C4" w14:textId="77777777" w:rsidR="00B30103" w:rsidRPr="00E0661B" w:rsidRDefault="00B30103" w:rsidP="00E0661B">
      <w:pPr>
        <w:jc w:val="both"/>
        <w:rPr>
          <w:rFonts w:ascii="Times New Roman" w:hAnsi="Times New Roman" w:cs="Times New Roman"/>
          <w:sz w:val="28"/>
          <w:szCs w:val="28"/>
        </w:rPr>
      </w:pPr>
      <w:r w:rsidRPr="00E0661B">
        <w:rPr>
          <w:rFonts w:ascii="Times New Roman" w:hAnsi="Times New Roman" w:cs="Times New Roman"/>
          <w:sz w:val="28"/>
          <w:szCs w:val="28"/>
        </w:rPr>
        <w:t>This study investigates whether AI adoption shifts countries' comparative advantage toward digitally deliverable services (DDS), analyzing a panel of 151 countries from 2010–2022. Using two-way fixed-effects regressions on UNCTAD DDS export data and AI readiness indices, we find a robust positive relationship: each one-point increase (0–100 scale) in AI readiness associates with a 3.3% rise in DDS exports (β = 0.032, p&lt;0.01), persisting across instrumental variable specifications. Developing countries exhibit amplified effects (total slope 0.040), implying AI acts as an "equalizer" enabling export diversification from commodities toward high-value digital services like software and fintech.</w:t>
      </w:r>
      <w:r w:rsidR="00E0661B">
        <w:rPr>
          <w:rFonts w:ascii="Times New Roman" w:hAnsi="Times New Roman" w:cs="Times New Roman"/>
          <w:sz w:val="28"/>
          <w:szCs w:val="28"/>
        </w:rPr>
        <w:t xml:space="preserve"> </w:t>
      </w:r>
      <w:r w:rsidRPr="00E0661B">
        <w:rPr>
          <w:rFonts w:ascii="Times New Roman" w:hAnsi="Times New Roman" w:cs="Times New Roman"/>
          <w:sz w:val="28"/>
          <w:szCs w:val="28"/>
        </w:rPr>
        <w:t>A</w:t>
      </w:r>
      <w:r w:rsidR="00C17FF5">
        <w:rPr>
          <w:rFonts w:ascii="Times New Roman" w:hAnsi="Times New Roman" w:cs="Times New Roman"/>
          <w:sz w:val="28"/>
          <w:szCs w:val="28"/>
        </w:rPr>
        <w:t xml:space="preserve"> 20-point readiness improvement, achievable through infrastructure and skills investments, yields 64% overall export growth, rising</w:t>
      </w:r>
      <w:r w:rsidRPr="00E0661B">
        <w:rPr>
          <w:rFonts w:ascii="Times New Roman" w:hAnsi="Times New Roman" w:cs="Times New Roman"/>
          <w:sz w:val="28"/>
          <w:szCs w:val="28"/>
        </w:rPr>
        <w:t xml:space="preserve"> to 80% in developing economies. This challenges static endowment models, highlighting policy-driven technological capabilities as dynamic comparative advantage sources. Policy implications urge developing nations to prioritize digital infrastructure (40% effort), human capital (30%), balanced regulati</w:t>
      </w:r>
      <w:r w:rsidR="00C17FF5">
        <w:rPr>
          <w:rFonts w:ascii="Times New Roman" w:hAnsi="Times New Roman" w:cs="Times New Roman"/>
          <w:sz w:val="28"/>
          <w:szCs w:val="28"/>
        </w:rPr>
        <w:t xml:space="preserve">ons, and national AI strategies, </w:t>
      </w:r>
      <w:r w:rsidRPr="00E0661B">
        <w:rPr>
          <w:rFonts w:ascii="Times New Roman" w:hAnsi="Times New Roman" w:cs="Times New Roman"/>
          <w:sz w:val="28"/>
          <w:szCs w:val="28"/>
        </w:rPr>
        <w:t>absent in two-thirds of these countries</w:t>
      </w:r>
      <w:r w:rsidR="00C17FF5">
        <w:rPr>
          <w:rFonts w:ascii="Times New Roman" w:hAnsi="Times New Roman" w:cs="Times New Roman"/>
          <w:sz w:val="28"/>
          <w:szCs w:val="28"/>
        </w:rPr>
        <w:t xml:space="preserve">, </w:t>
      </w:r>
      <w:r w:rsidRPr="00E0661B">
        <w:rPr>
          <w:rFonts w:ascii="Times New Roman" w:hAnsi="Times New Roman" w:cs="Times New Roman"/>
          <w:sz w:val="28"/>
          <w:szCs w:val="28"/>
        </w:rPr>
        <w:t>to capture WTO-projected 34–37% global trade gains by 2040, disproportionately in DDS.</w:t>
      </w:r>
      <w:r w:rsidR="00E0661B">
        <w:rPr>
          <w:rFonts w:ascii="Times New Roman" w:hAnsi="Times New Roman" w:cs="Times New Roman"/>
          <w:sz w:val="28"/>
          <w:szCs w:val="28"/>
        </w:rPr>
        <w:t xml:space="preserve"> </w:t>
      </w:r>
      <w:r w:rsidRPr="00E0661B">
        <w:rPr>
          <w:rFonts w:ascii="Times New Roman" w:hAnsi="Times New Roman" w:cs="Times New Roman"/>
          <w:sz w:val="28"/>
          <w:szCs w:val="28"/>
        </w:rPr>
        <w:t>Limitations include DDS undercounting informal trade; future work should pursue firm-level and generative AI analyses. Results affirm proactive AI policies for inclusive digital trade growth.</w:t>
      </w:r>
    </w:p>
    <w:p w14:paraId="4C18F718" w14:textId="77777777" w:rsidR="00D2410E" w:rsidRDefault="00D2410E" w:rsidP="00D2410E">
      <w:pPr>
        <w:rPr>
          <w:rFonts w:ascii="Times New Roman" w:hAnsi="Times New Roman" w:cs="Times New Roman"/>
          <w:sz w:val="28"/>
          <w:szCs w:val="28"/>
        </w:rPr>
      </w:pPr>
    </w:p>
    <w:p w14:paraId="74CC2098" w14:textId="77777777" w:rsidR="00D2410E" w:rsidRPr="00D2410E" w:rsidRDefault="00D2410E" w:rsidP="00D2410E">
      <w:pPr>
        <w:rPr>
          <w:rFonts w:ascii="Times New Roman" w:hAnsi="Times New Roman" w:cs="Times New Roman"/>
          <w:sz w:val="28"/>
          <w:szCs w:val="28"/>
        </w:rPr>
      </w:pPr>
      <w:r w:rsidRPr="00D2410E">
        <w:rPr>
          <w:rFonts w:ascii="Times New Roman" w:hAnsi="Times New Roman" w:cs="Times New Roman"/>
          <w:sz w:val="28"/>
          <w:szCs w:val="28"/>
        </w:rPr>
        <w:t xml:space="preserve">Keywords: AI readiness, </w:t>
      </w:r>
      <w:proofErr w:type="gramStart"/>
      <w:r w:rsidRPr="00D2410E">
        <w:rPr>
          <w:rFonts w:ascii="Times New Roman" w:hAnsi="Times New Roman" w:cs="Times New Roman"/>
          <w:sz w:val="28"/>
          <w:szCs w:val="28"/>
        </w:rPr>
        <w:t>Digitally</w:t>
      </w:r>
      <w:proofErr w:type="gramEnd"/>
      <w:r w:rsidRPr="00D2410E">
        <w:rPr>
          <w:rFonts w:ascii="Times New Roman" w:hAnsi="Times New Roman" w:cs="Times New Roman"/>
          <w:sz w:val="28"/>
          <w:szCs w:val="28"/>
        </w:rPr>
        <w:t xml:space="preserve"> deliverable services, Comparative advantage, Digital trade, Developing economies</w:t>
      </w:r>
    </w:p>
    <w:p w14:paraId="560B4EFE" w14:textId="0245389C" w:rsidR="00B30103" w:rsidRDefault="00B30103" w:rsidP="00B30103"/>
    <w:p w14:paraId="0AE25625" w14:textId="77777777" w:rsidR="00F73D49" w:rsidRPr="00F73D49" w:rsidRDefault="00F73D49" w:rsidP="00F73D49">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Toc220682366"/>
      <w:r w:rsidRPr="00F73D49">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Introduction</w:t>
      </w:r>
      <w:bookmarkEnd w:id="2"/>
    </w:p>
    <w:p w14:paraId="280F8430" w14:textId="77777777" w:rsidR="00482044" w:rsidRPr="00482044" w:rsidRDefault="00482044" w:rsidP="00F73D49">
      <w:pPr>
        <w:ind w:firstLine="720"/>
        <w:jc w:val="both"/>
        <w:rPr>
          <w:rFonts w:ascii="Times New Roman" w:hAnsi="Times New Roman" w:cs="Times New Roman"/>
          <w:sz w:val="28"/>
          <w:szCs w:val="28"/>
        </w:rPr>
      </w:pPr>
      <w:r w:rsidRPr="00482044">
        <w:rPr>
          <w:rFonts w:ascii="Times New Roman" w:hAnsi="Times New Roman" w:cs="Times New Roman"/>
          <w:sz w:val="28"/>
          <w:szCs w:val="28"/>
        </w:rPr>
        <w:t xml:space="preserve">Artificial intelligence (AI) is rapidly emerging as a general-purpose technology with the potential to reshape patterns of global trade. Recent simulations by the World Trade Organization (WTO) suggest that, by 2040, the widespread use of AI could increase the value of global trade in goods and services by about 34–37 per cent, with the fastest expansion occurring in digitally delivered services, which are projected to grow by roughly 42 per cent (World Trade Organization, 2025; WTO, 2025 as cited in </w:t>
      </w:r>
      <w:proofErr w:type="spellStart"/>
      <w:r w:rsidRPr="00482044">
        <w:rPr>
          <w:rFonts w:ascii="Times New Roman" w:hAnsi="Times New Roman" w:cs="Times New Roman"/>
          <w:sz w:val="28"/>
          <w:szCs w:val="28"/>
        </w:rPr>
        <w:t>Qazinform</w:t>
      </w:r>
      <w:proofErr w:type="spellEnd"/>
      <w:r w:rsidRPr="00482044">
        <w:rPr>
          <w:rFonts w:ascii="Times New Roman" w:hAnsi="Times New Roman" w:cs="Times New Roman"/>
          <w:sz w:val="28"/>
          <w:szCs w:val="28"/>
        </w:rPr>
        <w:t>, 2025). These projections imply not only a quantitative increase in trade volumes but also a qualitative transformation in the composition of trade, away from traditional goods toward services that can be produced, customized and delivered through digital networks. At the same time, international organizations warn that the gains from AI are unlikely to be evenly distributed across countries. UN Trade and Development (UNCTAD) estimates that the global AI market could reach around 4.8 trillion US dollars by 2033 but stresses that AI capabilities, infrastructure and investment remain heavily concentrated in a small number of economies, raising concerns about widening digital divides (UNCTAD, 2025a; UNCTAD, 2025b).</w:t>
      </w:r>
    </w:p>
    <w:p w14:paraId="764EE87F" w14:textId="77777777" w:rsidR="00482044" w:rsidRPr="00482044" w:rsidRDefault="00482044" w:rsidP="00F73D49">
      <w:pPr>
        <w:ind w:firstLine="720"/>
        <w:jc w:val="both"/>
        <w:rPr>
          <w:rFonts w:ascii="Times New Roman" w:hAnsi="Times New Roman" w:cs="Times New Roman"/>
          <w:sz w:val="28"/>
          <w:szCs w:val="28"/>
        </w:rPr>
      </w:pPr>
      <w:r w:rsidRPr="00482044">
        <w:rPr>
          <w:rFonts w:ascii="Times New Roman" w:hAnsi="Times New Roman" w:cs="Times New Roman"/>
          <w:sz w:val="28"/>
          <w:szCs w:val="28"/>
        </w:rPr>
        <w:t>Within this broader transformation, digitally deliverable services (DDS) – such as software, cloud computing, digital financial services, online busin</w:t>
      </w:r>
      <w:r w:rsidR="00B1738F">
        <w:rPr>
          <w:rFonts w:ascii="Times New Roman" w:hAnsi="Times New Roman" w:cs="Times New Roman"/>
          <w:sz w:val="28"/>
          <w:szCs w:val="28"/>
        </w:rPr>
        <w:t xml:space="preserve">ess and professional services- </w:t>
      </w:r>
      <w:r w:rsidRPr="00482044">
        <w:rPr>
          <w:rFonts w:ascii="Times New Roman" w:hAnsi="Times New Roman" w:cs="Times New Roman"/>
          <w:sz w:val="28"/>
          <w:szCs w:val="28"/>
        </w:rPr>
        <w:t>occupy a central position. These services are highly tradable because they can be transmitted across borders via data networks at low marginal cost, and they are also among the sectors most directly affected by advances in AI, including machine learning, natural language processing and generative models (World Trade Organization, 2025; UNCTAD, 2025a). For many countries, especially developing and emerging economies, DDS exports offer a potential pathway to diversify away from commodity dependence and low-value manufacturing, and to move up the value chain into more knowledge-intensive activities. However, the ability to seize this opportunity depends crucially on national AI readiness: the combination of infrastructure, skills, data, institutions and governance frameworks that enables firms and governments to adopt and scale AI technologies effectively (Oxford Insights, 2023, as summarized in World Bank, 2023; UNCTAD, 2025a).</w:t>
      </w:r>
    </w:p>
    <w:p w14:paraId="4C3A3FC8" w14:textId="77777777" w:rsidR="00482044" w:rsidRPr="00482044" w:rsidRDefault="00482044" w:rsidP="00F73D49">
      <w:pPr>
        <w:ind w:firstLine="720"/>
        <w:jc w:val="both"/>
        <w:rPr>
          <w:rFonts w:ascii="Times New Roman" w:hAnsi="Times New Roman" w:cs="Times New Roman"/>
          <w:sz w:val="28"/>
          <w:szCs w:val="28"/>
        </w:rPr>
      </w:pPr>
      <w:r w:rsidRPr="00482044">
        <w:rPr>
          <w:rFonts w:ascii="Times New Roman" w:hAnsi="Times New Roman" w:cs="Times New Roman"/>
          <w:sz w:val="28"/>
          <w:szCs w:val="28"/>
        </w:rPr>
        <w:t xml:space="preserve">Recent empirical work has begun to explore the link between AI readiness and trade in digital services. Using a panel dataset that covers developed and </w:t>
      </w:r>
      <w:r w:rsidRPr="00482044">
        <w:rPr>
          <w:rFonts w:ascii="Times New Roman" w:hAnsi="Times New Roman" w:cs="Times New Roman"/>
          <w:sz w:val="28"/>
          <w:szCs w:val="28"/>
        </w:rPr>
        <w:lastRenderedPageBreak/>
        <w:t>developing economies across multiple regions, one study finds that higher scores on an AI readiness index are strongly associated with greater exports of digitally deliverable services, even after controlling for income and population (Bank Indonesia Institute, 2025). The same analysis reports that the positive impact of AI readiness on DDS exports is particularly pronounced in developing economies, suggesting that investment in AI-related capabilities can help these countries upgrade their position in global value chains and gain a foothold in high-value services trade (Bank Indonesia Institute, 2025). At the same time, UNCTAD notes that less than one-third of developing countries have adopted national AI strategies and that gaps in digital infrastructure, skills and governance could prevent many from benefiting fully from AI-driven trade growth (UNCTAD, 2025a; UNCTAD, 2025b).</w:t>
      </w:r>
    </w:p>
    <w:p w14:paraId="71ADA801" w14:textId="77777777" w:rsidR="00482044" w:rsidRDefault="00482044" w:rsidP="00F73D49">
      <w:pPr>
        <w:ind w:firstLine="720"/>
        <w:jc w:val="both"/>
        <w:rPr>
          <w:rFonts w:ascii="Times New Roman" w:hAnsi="Times New Roman" w:cs="Times New Roman"/>
          <w:sz w:val="28"/>
          <w:szCs w:val="28"/>
        </w:rPr>
      </w:pPr>
      <w:r w:rsidRPr="00482044">
        <w:rPr>
          <w:rFonts w:ascii="Times New Roman" w:hAnsi="Times New Roman" w:cs="Times New Roman"/>
          <w:sz w:val="28"/>
          <w:szCs w:val="28"/>
        </w:rPr>
        <w:t>Against this backdrop, this paper asks whether AI adoption is shifting comparative advantage toward digital services in certain countries. Specifically, it investigates the relationship between AI readiness and exports of digitally deliverable services, and examines whether this relationship differs between higher-income and developing economies. By linking projections about AI’s impact on global trade with emerging evidence on AI readiness and DDS exports, the study aims to shed light on which countries are most likely to gain comparative advantage in digital services and what this implies for international economic inequality in the age of AI (World Trade Organization, 2025; Bank Indonesia Institute, 2025; UNCTAD, 2025a).</w:t>
      </w:r>
    </w:p>
    <w:p w14:paraId="2E133217" w14:textId="77777777" w:rsidR="00482044" w:rsidRPr="000B718E" w:rsidRDefault="000B718E" w:rsidP="000B718E">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Toc220682367"/>
      <w:r w:rsidRPr="000B718E">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Literature Review</w:t>
      </w:r>
      <w:bookmarkEnd w:id="3"/>
      <w:r w:rsidRPr="000B718E">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1755C6C" w14:textId="77777777" w:rsidR="00482044" w:rsidRPr="000B718E" w:rsidRDefault="00482044" w:rsidP="000B718E">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Toc220682368"/>
      <w:r w:rsidRPr="000B718E">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Conceptual foundations: digital trade, digitally deliverable services and AI</w:t>
      </w:r>
      <w:bookmarkEnd w:id="4"/>
    </w:p>
    <w:p w14:paraId="7E675A52" w14:textId="77777777" w:rsidR="00482044" w:rsidRPr="00482044" w:rsidRDefault="00482044" w:rsidP="000B718E">
      <w:pPr>
        <w:ind w:firstLine="720"/>
        <w:jc w:val="both"/>
        <w:rPr>
          <w:rFonts w:ascii="Times New Roman" w:hAnsi="Times New Roman" w:cs="Times New Roman"/>
          <w:sz w:val="28"/>
          <w:szCs w:val="28"/>
        </w:rPr>
      </w:pPr>
      <w:r w:rsidRPr="00482044">
        <w:rPr>
          <w:rFonts w:ascii="Times New Roman" w:hAnsi="Times New Roman" w:cs="Times New Roman"/>
          <w:sz w:val="28"/>
          <w:szCs w:val="28"/>
        </w:rPr>
        <w:t>Digital trade is commonly defined as all trade that is either digitally ordered and/or digitally delivered, building on a shared framework developed by international organizations such as the OECD, WTO, IMF and UNCTAD (UNCTAD, 2022; United Nations, 2020). In this framework, digitally ordered trade corresponds to cross</w:t>
      </w:r>
      <w:r w:rsidRPr="00482044">
        <w:rPr>
          <w:rFonts w:ascii="Times New Roman" w:hAnsi="Times New Roman" w:cs="Times New Roman"/>
          <w:sz w:val="28"/>
          <w:szCs w:val="28"/>
        </w:rPr>
        <w:noBreakHyphen/>
        <w:t>border transactions concluded over computer networks (e</w:t>
      </w:r>
      <w:r w:rsidRPr="00482044">
        <w:rPr>
          <w:rFonts w:ascii="Times New Roman" w:hAnsi="Times New Roman" w:cs="Times New Roman"/>
          <w:sz w:val="28"/>
          <w:szCs w:val="28"/>
        </w:rPr>
        <w:noBreakHyphen/>
        <w:t xml:space="preserve">commerce), while digitally delivered trade refers to international transactions in services supplied remotely in electronic form (IMF et al., 2023; United Nations, 2020). Within digital trade, digitally deliverable services (DDS) comprise those service categories that can in principle be delivered over information and communication technology (ICT) networks, such as ICT services, financial services, professional and business services, and certain education and training services (IMF </w:t>
      </w:r>
      <w:r w:rsidRPr="00482044">
        <w:rPr>
          <w:rFonts w:ascii="Times New Roman" w:hAnsi="Times New Roman" w:cs="Times New Roman"/>
          <w:sz w:val="28"/>
          <w:szCs w:val="28"/>
        </w:rPr>
        <w:lastRenderedPageBreak/>
        <w:t>et al., 2023; OECD, 2024). This classification recognizes that a growing share of traditional services can now be encoded, transmitted and consumed digitally, thereby increasing their tradability across borders (IMF et al., 2023).</w:t>
      </w:r>
    </w:p>
    <w:p w14:paraId="5E00F9BE" w14:textId="77777777" w:rsidR="00482044" w:rsidRPr="00482044" w:rsidRDefault="00482044" w:rsidP="000B718E">
      <w:pPr>
        <w:ind w:firstLine="720"/>
        <w:jc w:val="both"/>
        <w:rPr>
          <w:rFonts w:ascii="Times New Roman" w:hAnsi="Times New Roman" w:cs="Times New Roman"/>
          <w:sz w:val="28"/>
          <w:szCs w:val="28"/>
        </w:rPr>
      </w:pPr>
      <w:r w:rsidRPr="00482044">
        <w:rPr>
          <w:rFonts w:ascii="Times New Roman" w:hAnsi="Times New Roman" w:cs="Times New Roman"/>
          <w:sz w:val="28"/>
          <w:szCs w:val="28"/>
        </w:rPr>
        <w:t>Empirically, trade in DDS has grown rapidly over the past two decades. UNCTAD reports that global exports of digitally deliverable services increased at an average nominal rate of about 12 per cent per year between 2005 and 2019, with even faster gro</w:t>
      </w:r>
      <w:r w:rsidR="00B1738F">
        <w:rPr>
          <w:rFonts w:ascii="Times New Roman" w:hAnsi="Times New Roman" w:cs="Times New Roman"/>
          <w:sz w:val="28"/>
          <w:szCs w:val="28"/>
        </w:rPr>
        <w:t xml:space="preserve">wth, around 21 per cent per year, </w:t>
      </w:r>
      <w:r w:rsidRPr="00482044">
        <w:rPr>
          <w:rFonts w:ascii="Times New Roman" w:hAnsi="Times New Roman" w:cs="Times New Roman"/>
          <w:sz w:val="28"/>
          <w:szCs w:val="28"/>
        </w:rPr>
        <w:t>recorded in Asia (UNCTAD, 2022). As a result, the share of DDS in total global services exports has risen steadily, making DDS one of the most dynamic components of international trade (UNCTAD, 2022). OECD indicators similarly show that in many advanced and emerging economies, digitally deliverable services account for a large and rising share of commercial services trade, underlining the central role of digitalization in services exports (OECD, 2024). These trends suggest that DDS have become an important arena in which countries can develop and express comparative advantage.</w:t>
      </w:r>
    </w:p>
    <w:p w14:paraId="6679D4E6" w14:textId="77777777" w:rsidR="00482044" w:rsidRPr="00482044" w:rsidRDefault="00482044" w:rsidP="000B718E">
      <w:pPr>
        <w:ind w:firstLine="720"/>
        <w:jc w:val="both"/>
        <w:rPr>
          <w:rFonts w:ascii="Times New Roman" w:hAnsi="Times New Roman" w:cs="Times New Roman"/>
          <w:sz w:val="28"/>
          <w:szCs w:val="28"/>
        </w:rPr>
      </w:pPr>
      <w:r w:rsidRPr="00482044">
        <w:rPr>
          <w:rFonts w:ascii="Times New Roman" w:hAnsi="Times New Roman" w:cs="Times New Roman"/>
          <w:sz w:val="28"/>
          <w:szCs w:val="28"/>
        </w:rPr>
        <w:t>The emergence of AI as a general</w:t>
      </w:r>
      <w:r w:rsidRPr="00482044">
        <w:rPr>
          <w:rFonts w:ascii="Times New Roman" w:hAnsi="Times New Roman" w:cs="Times New Roman"/>
          <w:sz w:val="28"/>
          <w:szCs w:val="28"/>
        </w:rPr>
        <w:noBreakHyphen/>
        <w:t>purpose technology is reinforcing these dynamics. AI technologies such as machine learning, natural language processing and computer vision can reduce information frictions, automate routine tasks and enable new forms of product and process innovation, especially in information</w:t>
      </w:r>
      <w:r w:rsidRPr="00482044">
        <w:rPr>
          <w:rFonts w:ascii="Times New Roman" w:hAnsi="Times New Roman" w:cs="Times New Roman"/>
          <w:sz w:val="28"/>
          <w:szCs w:val="28"/>
        </w:rPr>
        <w:noBreakHyphen/>
        <w:t xml:space="preserve">intensive services (World Trade Organization, 2025). For example, AI can power recommendation systems in digital platforms, automate parts of software development, enhance fraud detection in digital finance, and support remote diagnostics in telemedicine, thereby increasing the efficiency and scalability of DDS production and delivery (World Trade Organization, 2025). From a trade perspective, AI can also lower trade costs by improving search and matching in online markets, reducing language barriers via translation systems, and facilitating compliance with foreign regulations through automated documentation and risk assessment (World Trade Organization, 2025; </w:t>
      </w:r>
      <w:proofErr w:type="spellStart"/>
      <w:r w:rsidRPr="00482044">
        <w:rPr>
          <w:rFonts w:ascii="Times New Roman" w:hAnsi="Times New Roman" w:cs="Times New Roman"/>
          <w:sz w:val="28"/>
          <w:szCs w:val="28"/>
        </w:rPr>
        <w:t>Mercatus</w:t>
      </w:r>
      <w:proofErr w:type="spellEnd"/>
      <w:r w:rsidRPr="00482044">
        <w:rPr>
          <w:rFonts w:ascii="Times New Roman" w:hAnsi="Times New Roman" w:cs="Times New Roman"/>
          <w:sz w:val="28"/>
          <w:szCs w:val="28"/>
        </w:rPr>
        <w:t xml:space="preserve"> Center, 2017). These channels imply that countries which successfully adopt AI, especially in services sectors, may strengthen their position in global DDS markets.</w:t>
      </w:r>
    </w:p>
    <w:p w14:paraId="6AE96474" w14:textId="77777777" w:rsidR="00482044" w:rsidRPr="00482044" w:rsidRDefault="00482044" w:rsidP="000B718E">
      <w:pPr>
        <w:ind w:firstLine="720"/>
        <w:jc w:val="both"/>
        <w:rPr>
          <w:rFonts w:ascii="Times New Roman" w:hAnsi="Times New Roman" w:cs="Times New Roman"/>
          <w:sz w:val="28"/>
          <w:szCs w:val="28"/>
        </w:rPr>
      </w:pPr>
      <w:r w:rsidRPr="00482044">
        <w:rPr>
          <w:rFonts w:ascii="Times New Roman" w:hAnsi="Times New Roman" w:cs="Times New Roman"/>
          <w:sz w:val="28"/>
          <w:szCs w:val="28"/>
        </w:rPr>
        <w:t xml:space="preserve">A useful way to capture the capacity of countries to leverage AI in trade is the notion of AI readiness. AI readiness indexes combine information on digital infrastructure, human capital, innovation systems, data availability and governance frameworks to assess how prepared a country is to adopt and scale AI technologies (Oxford Insights, 2023; World Bank, 2023). Such indexes typically include indicators on internet and broadband penetration, cloud computing availability, </w:t>
      </w:r>
      <w:r w:rsidRPr="00482044">
        <w:rPr>
          <w:rFonts w:ascii="Times New Roman" w:hAnsi="Times New Roman" w:cs="Times New Roman"/>
          <w:sz w:val="28"/>
          <w:szCs w:val="28"/>
        </w:rPr>
        <w:lastRenderedPageBreak/>
        <w:t>STEM education, R&amp;D spending, regulatory quality and data protection laws (Oxford Insights, 2023). When applied to international trade in services, AI readiness can be interpreted as a potential source of comparative advantage: countries with stronger AI</w:t>
      </w:r>
      <w:r w:rsidRPr="00482044">
        <w:rPr>
          <w:rFonts w:ascii="Times New Roman" w:hAnsi="Times New Roman" w:cs="Times New Roman"/>
          <w:sz w:val="28"/>
          <w:szCs w:val="28"/>
        </w:rPr>
        <w:noBreakHyphen/>
        <w:t>related capabilities are better able to integrate AI into their service sectors, thereby reducing costs and enhancing quality in DDS. This conceptual link motivates the empirical question of whether AI adoption and readiness are associated with higher DDS exports and a shift in comparative advantage toward digital services.</w:t>
      </w:r>
    </w:p>
    <w:p w14:paraId="16BF9B5F" w14:textId="77777777" w:rsidR="00482044" w:rsidRDefault="0042409B" w:rsidP="0042409B">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5F222DF" wp14:editId="25309C4E">
            <wp:extent cx="4981242" cy="33208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erage_annual_growth_of_digitally_deliverable_services_exports_by_region,_2005–2019_(illustrative_data_based_on_UNCTAD_patter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81242" cy="3320828"/>
                    </a:xfrm>
                    <a:prstGeom prst="rect">
                      <a:avLst/>
                    </a:prstGeom>
                  </pic:spPr>
                </pic:pic>
              </a:graphicData>
            </a:graphic>
          </wp:inline>
        </w:drawing>
      </w:r>
    </w:p>
    <w:p w14:paraId="4FB84E46" w14:textId="77777777" w:rsidR="00E0661B" w:rsidRPr="00B51D07" w:rsidRDefault="00E0661B" w:rsidP="0042409B">
      <w:pPr>
        <w:jc w:val="center"/>
        <w:rPr>
          <w:rFonts w:ascii="Times New Roman" w:hAnsi="Times New Roman" w:cs="Times New Roman"/>
          <w:sz w:val="20"/>
          <w:szCs w:val="28"/>
        </w:rPr>
      </w:pPr>
      <w:r w:rsidRPr="00B51D07">
        <w:rPr>
          <w:rFonts w:ascii="Times New Roman" w:hAnsi="Times New Roman" w:cs="Times New Roman"/>
          <w:sz w:val="20"/>
          <w:szCs w:val="28"/>
        </w:rPr>
        <w:t xml:space="preserve">Figure 1: </w:t>
      </w:r>
      <w:r w:rsidR="00B51D07" w:rsidRPr="00B51D07">
        <w:rPr>
          <w:rFonts w:ascii="Times New Roman" w:hAnsi="Times New Roman" w:cs="Times New Roman"/>
          <w:sz w:val="20"/>
          <w:szCs w:val="28"/>
        </w:rPr>
        <w:t>Asia Leads Digital services Growth (2005 – 2019)</w:t>
      </w:r>
    </w:p>
    <w:p w14:paraId="6C9FA732" w14:textId="77777777" w:rsidR="0042409B" w:rsidRPr="000B718E" w:rsidRDefault="0042409B" w:rsidP="000B718E">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 w:name="_Toc220682369"/>
      <w:r w:rsidRPr="000B718E">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Comparative advantage, digital trade and institutions</w:t>
      </w:r>
      <w:bookmarkEnd w:id="5"/>
    </w:p>
    <w:p w14:paraId="43DE2C37" w14:textId="77777777" w:rsidR="0042409B" w:rsidRPr="0042409B" w:rsidRDefault="0042409B" w:rsidP="000B718E">
      <w:pPr>
        <w:ind w:firstLine="720"/>
        <w:jc w:val="both"/>
        <w:rPr>
          <w:rFonts w:ascii="Times New Roman" w:hAnsi="Times New Roman" w:cs="Times New Roman"/>
          <w:sz w:val="28"/>
          <w:szCs w:val="28"/>
        </w:rPr>
      </w:pPr>
      <w:r w:rsidRPr="0042409B">
        <w:rPr>
          <w:rFonts w:ascii="Times New Roman" w:hAnsi="Times New Roman" w:cs="Times New Roman"/>
          <w:sz w:val="28"/>
          <w:szCs w:val="28"/>
        </w:rPr>
        <w:t xml:space="preserve">Classical and modern trade theories emphasize that countries specialize according to comparative advantage, which can arise from differences in factor endowments, technology or institutions (Krugman et al., 2018). In the context of services and digital trade, comparative advantage can be measured empirically through revealed comparative advantage (RCA) indicators that compare a country’s export share of a particular category (such as DDS) to the world average (Balassa, 1965; </w:t>
      </w:r>
      <w:proofErr w:type="spellStart"/>
      <w:r w:rsidRPr="0042409B">
        <w:rPr>
          <w:rFonts w:ascii="Times New Roman" w:hAnsi="Times New Roman" w:cs="Times New Roman"/>
          <w:sz w:val="28"/>
          <w:szCs w:val="28"/>
        </w:rPr>
        <w:t>UNCTADstat</w:t>
      </w:r>
      <w:proofErr w:type="spellEnd"/>
      <w:r w:rsidRPr="0042409B">
        <w:rPr>
          <w:rFonts w:ascii="Times New Roman" w:hAnsi="Times New Roman" w:cs="Times New Roman"/>
          <w:sz w:val="28"/>
          <w:szCs w:val="28"/>
        </w:rPr>
        <w:t>, 2024). A country exhibits revealed comparative advantage in DDS if its share of DDS in total exports exceeds the global share, suggesting a relative specialization in digital services. This approach has been widely used to analyze specialization patterns in goods and services trade, and it can be adapted to evaluate whether AI</w:t>
      </w:r>
      <w:r w:rsidRPr="0042409B">
        <w:rPr>
          <w:rFonts w:ascii="Times New Roman" w:hAnsi="Times New Roman" w:cs="Times New Roman"/>
          <w:sz w:val="28"/>
          <w:szCs w:val="28"/>
        </w:rPr>
        <w:noBreakHyphen/>
        <w:t>ready countries tend to have higher DDS RCA.</w:t>
      </w:r>
    </w:p>
    <w:p w14:paraId="3D5307FB" w14:textId="77777777" w:rsidR="0042409B" w:rsidRPr="0042409B" w:rsidRDefault="0042409B" w:rsidP="000B718E">
      <w:pPr>
        <w:ind w:firstLine="720"/>
        <w:jc w:val="both"/>
        <w:rPr>
          <w:rFonts w:ascii="Times New Roman" w:hAnsi="Times New Roman" w:cs="Times New Roman"/>
          <w:sz w:val="28"/>
          <w:szCs w:val="28"/>
        </w:rPr>
      </w:pPr>
      <w:r w:rsidRPr="0042409B">
        <w:rPr>
          <w:rFonts w:ascii="Times New Roman" w:hAnsi="Times New Roman" w:cs="Times New Roman"/>
          <w:sz w:val="28"/>
          <w:szCs w:val="28"/>
        </w:rPr>
        <w:lastRenderedPageBreak/>
        <w:t>Recent literature argues that institutions and policy frameworks are important drivers of comparative advantage in digital trade. A study on institution</w:t>
      </w:r>
      <w:r w:rsidRPr="0042409B">
        <w:rPr>
          <w:rFonts w:ascii="Times New Roman" w:hAnsi="Times New Roman" w:cs="Times New Roman"/>
          <w:sz w:val="28"/>
          <w:szCs w:val="28"/>
        </w:rPr>
        <w:noBreakHyphen/>
        <w:t>driven comparative advantage and digital trade finds that countries with st</w:t>
      </w:r>
      <w:r w:rsidR="00B1738F">
        <w:rPr>
          <w:rFonts w:ascii="Times New Roman" w:hAnsi="Times New Roman" w:cs="Times New Roman"/>
          <w:sz w:val="28"/>
          <w:szCs w:val="28"/>
        </w:rPr>
        <w:t xml:space="preserve">ronger digital legal frameworks, </w:t>
      </w:r>
      <w:r w:rsidRPr="0042409B">
        <w:rPr>
          <w:rFonts w:ascii="Times New Roman" w:hAnsi="Times New Roman" w:cs="Times New Roman"/>
          <w:sz w:val="28"/>
          <w:szCs w:val="28"/>
        </w:rPr>
        <w:t>such as clear rules on data protection, e</w:t>
      </w:r>
      <w:r w:rsidRPr="0042409B">
        <w:rPr>
          <w:rFonts w:ascii="Times New Roman" w:hAnsi="Times New Roman" w:cs="Times New Roman"/>
          <w:sz w:val="28"/>
          <w:szCs w:val="28"/>
        </w:rPr>
        <w:noBreakHyphen/>
        <w:t>transactions, cyberse</w:t>
      </w:r>
      <w:r w:rsidR="00B1738F">
        <w:rPr>
          <w:rFonts w:ascii="Times New Roman" w:hAnsi="Times New Roman" w:cs="Times New Roman"/>
          <w:sz w:val="28"/>
          <w:szCs w:val="28"/>
        </w:rPr>
        <w:t xml:space="preserve">curity and consumer protection, </w:t>
      </w:r>
      <w:r w:rsidRPr="0042409B">
        <w:rPr>
          <w:rFonts w:ascii="Times New Roman" w:hAnsi="Times New Roman" w:cs="Times New Roman"/>
          <w:sz w:val="28"/>
          <w:szCs w:val="28"/>
        </w:rPr>
        <w:t>export relatively more in digital</w:t>
      </w:r>
      <w:r w:rsidRPr="0042409B">
        <w:rPr>
          <w:rFonts w:ascii="Times New Roman" w:hAnsi="Times New Roman" w:cs="Times New Roman"/>
          <w:sz w:val="28"/>
          <w:szCs w:val="28"/>
        </w:rPr>
        <w:noBreakHyphen/>
        <w:t>intensive sectors (Shapiro, 2025, as summarized in “Institution</w:t>
      </w:r>
      <w:r w:rsidRPr="0042409B">
        <w:rPr>
          <w:rFonts w:ascii="Times New Roman" w:hAnsi="Times New Roman" w:cs="Times New Roman"/>
          <w:sz w:val="28"/>
          <w:szCs w:val="28"/>
        </w:rPr>
        <w:noBreakHyphen/>
        <w:t>Driven Comparative Advantage and Digital Trade”, 2025). The authors show that digital regulations shape trade patterns by influencing transaction costs, trust and the enforceability of contracts in online markets (Institution</w:t>
      </w:r>
      <w:r w:rsidRPr="0042409B">
        <w:rPr>
          <w:rFonts w:ascii="Times New Roman" w:hAnsi="Times New Roman" w:cs="Times New Roman"/>
          <w:sz w:val="28"/>
          <w:szCs w:val="28"/>
        </w:rPr>
        <w:noBreakHyphen/>
        <w:t>Driven Comparative Advantage and Digital Trade, 2025). This line of work extends earlier contributions that demonstrate ho</w:t>
      </w:r>
      <w:r w:rsidR="00B1738F">
        <w:rPr>
          <w:rFonts w:ascii="Times New Roman" w:hAnsi="Times New Roman" w:cs="Times New Roman"/>
          <w:sz w:val="28"/>
          <w:szCs w:val="28"/>
        </w:rPr>
        <w:t xml:space="preserve">w broader institutional quality, </w:t>
      </w:r>
      <w:r w:rsidRPr="0042409B">
        <w:rPr>
          <w:rFonts w:ascii="Times New Roman" w:hAnsi="Times New Roman" w:cs="Times New Roman"/>
          <w:sz w:val="28"/>
          <w:szCs w:val="28"/>
        </w:rPr>
        <w:t>such as property rights prot</w:t>
      </w:r>
      <w:r w:rsidR="00B1738F">
        <w:rPr>
          <w:rFonts w:ascii="Times New Roman" w:hAnsi="Times New Roman" w:cs="Times New Roman"/>
          <w:sz w:val="28"/>
          <w:szCs w:val="28"/>
        </w:rPr>
        <w:t xml:space="preserve">ection and contract enforcement, </w:t>
      </w:r>
      <w:r w:rsidRPr="0042409B">
        <w:rPr>
          <w:rFonts w:ascii="Times New Roman" w:hAnsi="Times New Roman" w:cs="Times New Roman"/>
          <w:sz w:val="28"/>
          <w:szCs w:val="28"/>
        </w:rPr>
        <w:t>can provide comparative advantage in institution</w:t>
      </w:r>
      <w:r w:rsidRPr="0042409B">
        <w:rPr>
          <w:rFonts w:ascii="Times New Roman" w:hAnsi="Times New Roman" w:cs="Times New Roman"/>
          <w:sz w:val="28"/>
          <w:szCs w:val="28"/>
        </w:rPr>
        <w:noBreakHyphen/>
        <w:t>intensive industries (</w:t>
      </w:r>
      <w:proofErr w:type="spellStart"/>
      <w:r w:rsidRPr="0042409B">
        <w:rPr>
          <w:rFonts w:ascii="Times New Roman" w:hAnsi="Times New Roman" w:cs="Times New Roman"/>
          <w:sz w:val="28"/>
          <w:szCs w:val="28"/>
        </w:rPr>
        <w:t>Costinot</w:t>
      </w:r>
      <w:proofErr w:type="spellEnd"/>
      <w:r w:rsidRPr="0042409B">
        <w:rPr>
          <w:rFonts w:ascii="Times New Roman" w:hAnsi="Times New Roman" w:cs="Times New Roman"/>
          <w:sz w:val="28"/>
          <w:szCs w:val="28"/>
        </w:rPr>
        <w:t>, 2009; Nunn, 2007; Shapiro, 2025). The key idea is that institutions act like “soft” factors of production, complementing human and physical capital in generating competitiveness.</w:t>
      </w:r>
    </w:p>
    <w:p w14:paraId="35660565" w14:textId="77777777" w:rsidR="0042409B" w:rsidRPr="0042409B" w:rsidRDefault="0042409B" w:rsidP="000B718E">
      <w:pPr>
        <w:ind w:firstLine="720"/>
        <w:jc w:val="both"/>
        <w:rPr>
          <w:rFonts w:ascii="Times New Roman" w:hAnsi="Times New Roman" w:cs="Times New Roman"/>
          <w:sz w:val="28"/>
          <w:szCs w:val="28"/>
        </w:rPr>
      </w:pPr>
      <w:r w:rsidRPr="0042409B">
        <w:rPr>
          <w:rFonts w:ascii="Times New Roman" w:hAnsi="Times New Roman" w:cs="Times New Roman"/>
          <w:sz w:val="28"/>
          <w:szCs w:val="28"/>
        </w:rPr>
        <w:t>Digital trade also highlights the role of ICT infrastructure and connectivity as determinants of comparative advantage. ICT investment and broadband networks enable firms to participate in cross</w:t>
      </w:r>
      <w:r w:rsidRPr="0042409B">
        <w:rPr>
          <w:rFonts w:ascii="Times New Roman" w:hAnsi="Times New Roman" w:cs="Times New Roman"/>
          <w:sz w:val="28"/>
          <w:szCs w:val="28"/>
        </w:rPr>
        <w:noBreakHyphen/>
        <w:t xml:space="preserve">border digital markets, lower communication and coordination costs, and support the delivery of services over digital channels (Clarke &amp; </w:t>
      </w:r>
      <w:proofErr w:type="spellStart"/>
      <w:r w:rsidRPr="0042409B">
        <w:rPr>
          <w:rFonts w:ascii="Times New Roman" w:hAnsi="Times New Roman" w:cs="Times New Roman"/>
          <w:sz w:val="28"/>
          <w:szCs w:val="28"/>
        </w:rPr>
        <w:t>Wallsten</w:t>
      </w:r>
      <w:proofErr w:type="spellEnd"/>
      <w:r w:rsidRPr="0042409B">
        <w:rPr>
          <w:rFonts w:ascii="Times New Roman" w:hAnsi="Times New Roman" w:cs="Times New Roman"/>
          <w:sz w:val="28"/>
          <w:szCs w:val="28"/>
        </w:rPr>
        <w:t xml:space="preserve">, 2006; Choi, 2010, as cited in M &amp; </w:t>
      </w:r>
      <w:proofErr w:type="spellStart"/>
      <w:r w:rsidRPr="0042409B">
        <w:rPr>
          <w:rFonts w:ascii="Times New Roman" w:hAnsi="Times New Roman" w:cs="Times New Roman"/>
          <w:sz w:val="28"/>
          <w:szCs w:val="28"/>
        </w:rPr>
        <w:t>Reddi</w:t>
      </w:r>
      <w:proofErr w:type="spellEnd"/>
      <w:r w:rsidRPr="0042409B">
        <w:rPr>
          <w:rFonts w:ascii="Times New Roman" w:hAnsi="Times New Roman" w:cs="Times New Roman"/>
          <w:sz w:val="28"/>
          <w:szCs w:val="28"/>
        </w:rPr>
        <w:t>, 2025). Empirical studies find that better ICT infrastructure and higher internet penetration are associated with greater exports of ICT</w:t>
      </w:r>
      <w:r w:rsidRPr="0042409B">
        <w:rPr>
          <w:rFonts w:ascii="Times New Roman" w:hAnsi="Times New Roman" w:cs="Times New Roman"/>
          <w:sz w:val="28"/>
          <w:szCs w:val="28"/>
        </w:rPr>
        <w:noBreakHyphen/>
        <w:t xml:space="preserve">enabled services and other digital products (Xing, 2018, as reported in M &amp; </w:t>
      </w:r>
      <w:proofErr w:type="spellStart"/>
      <w:r w:rsidRPr="0042409B">
        <w:rPr>
          <w:rFonts w:ascii="Times New Roman" w:hAnsi="Times New Roman" w:cs="Times New Roman"/>
          <w:sz w:val="28"/>
          <w:szCs w:val="28"/>
        </w:rPr>
        <w:t>Reddi</w:t>
      </w:r>
      <w:proofErr w:type="spellEnd"/>
      <w:r w:rsidRPr="0042409B">
        <w:rPr>
          <w:rFonts w:ascii="Times New Roman" w:hAnsi="Times New Roman" w:cs="Times New Roman"/>
          <w:sz w:val="28"/>
          <w:szCs w:val="28"/>
        </w:rPr>
        <w:t>, 2025). In this perspective, digital infrastructure, human capital and institutions jointly shape a country’s ability to specialize in DDS, creating a multi</w:t>
      </w:r>
      <w:r w:rsidRPr="0042409B">
        <w:rPr>
          <w:rFonts w:ascii="Times New Roman" w:hAnsi="Times New Roman" w:cs="Times New Roman"/>
          <w:sz w:val="28"/>
          <w:szCs w:val="28"/>
        </w:rPr>
        <w:noBreakHyphen/>
        <w:t>dimensional source of comparative advantage that goes beyond traditional factor endowments.</w:t>
      </w:r>
    </w:p>
    <w:p w14:paraId="25E9CC09" w14:textId="77777777" w:rsidR="0042409B" w:rsidRDefault="0042409B" w:rsidP="00B51D07">
      <w:pPr>
        <w:ind w:firstLine="720"/>
        <w:jc w:val="both"/>
        <w:rPr>
          <w:rFonts w:ascii="Times New Roman" w:hAnsi="Times New Roman" w:cs="Times New Roman"/>
          <w:sz w:val="28"/>
          <w:szCs w:val="28"/>
        </w:rPr>
      </w:pPr>
      <w:r w:rsidRPr="0042409B">
        <w:rPr>
          <w:rFonts w:ascii="Times New Roman" w:hAnsi="Times New Roman" w:cs="Times New Roman"/>
          <w:sz w:val="28"/>
          <w:szCs w:val="28"/>
        </w:rPr>
        <w:t>AI</w:t>
      </w:r>
      <w:r w:rsidRPr="0042409B">
        <w:rPr>
          <w:rFonts w:ascii="Times New Roman" w:hAnsi="Times New Roman" w:cs="Times New Roman"/>
          <w:sz w:val="28"/>
          <w:szCs w:val="28"/>
        </w:rPr>
        <w:noBreakHyphen/>
        <w:t>specific capabilities can be viewed as an extension of these institutional and technological determinants. AI systems require high</w:t>
      </w:r>
      <w:r w:rsidRPr="0042409B">
        <w:rPr>
          <w:rFonts w:ascii="Times New Roman" w:hAnsi="Times New Roman" w:cs="Times New Roman"/>
          <w:sz w:val="28"/>
          <w:szCs w:val="28"/>
        </w:rPr>
        <w:noBreakHyphen/>
        <w:t>quality data, computing infrastructure, skilled labor and appropriate regulatory frameworks, including rules on data governance, algorithmic transparency and liability (UNCTAD, 2025a; World Bank, 2023). Countries that invest in these areas are likely to develop more sophisticated AI ecosystems, which in turn can be embedded in digital platforms and services that are tradable across borders. For instance, an economy with strong AI capabilities in language technologies may gain advantage in global markets for translation, customer support and content moderation, while a country with expertise in AI</w:t>
      </w:r>
      <w:r w:rsidRPr="0042409B">
        <w:rPr>
          <w:rFonts w:ascii="Times New Roman" w:hAnsi="Times New Roman" w:cs="Times New Roman"/>
          <w:sz w:val="28"/>
          <w:szCs w:val="28"/>
        </w:rPr>
        <w:noBreakHyphen/>
        <w:t>driven finance might specialize in cross</w:t>
      </w:r>
      <w:r w:rsidRPr="0042409B">
        <w:rPr>
          <w:rFonts w:ascii="Times New Roman" w:hAnsi="Times New Roman" w:cs="Times New Roman"/>
          <w:sz w:val="28"/>
          <w:szCs w:val="28"/>
        </w:rPr>
        <w:noBreakHyphen/>
        <w:t xml:space="preserve">border fintech services. In this way, </w:t>
      </w:r>
      <w:r w:rsidRPr="0042409B">
        <w:rPr>
          <w:rFonts w:ascii="Times New Roman" w:hAnsi="Times New Roman" w:cs="Times New Roman"/>
          <w:sz w:val="28"/>
          <w:szCs w:val="28"/>
        </w:rPr>
        <w:lastRenderedPageBreak/>
        <w:t>AI</w:t>
      </w:r>
      <w:r w:rsidRPr="0042409B">
        <w:rPr>
          <w:rFonts w:ascii="Times New Roman" w:hAnsi="Times New Roman" w:cs="Times New Roman"/>
          <w:sz w:val="28"/>
          <w:szCs w:val="28"/>
        </w:rPr>
        <w:noBreakHyphen/>
        <w:t>related factors complement digital infrastructure and legal frameworks in shaping comparative advantage in DDS.</w:t>
      </w:r>
    </w:p>
    <w:tbl>
      <w:tblPr>
        <w:tblW w:w="5000" w:type="pct"/>
        <w:jc w:val="center"/>
        <w:tblCellMar>
          <w:top w:w="15" w:type="dxa"/>
          <w:left w:w="15" w:type="dxa"/>
          <w:bottom w:w="15" w:type="dxa"/>
          <w:right w:w="15" w:type="dxa"/>
        </w:tblCellMar>
        <w:tblLook w:val="04A0" w:firstRow="1" w:lastRow="0" w:firstColumn="1" w:lastColumn="0" w:noHBand="0" w:noVBand="1"/>
      </w:tblPr>
      <w:tblGrid>
        <w:gridCol w:w="2080"/>
        <w:gridCol w:w="3618"/>
        <w:gridCol w:w="3646"/>
      </w:tblGrid>
      <w:tr w:rsidR="0042409B" w:rsidRPr="0042409B" w14:paraId="5655FF59" w14:textId="77777777" w:rsidTr="000B718E">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5452EAB" w14:textId="77777777" w:rsidR="0042409B" w:rsidRPr="0042409B" w:rsidRDefault="0042409B" w:rsidP="0042409B">
            <w:pPr>
              <w:rPr>
                <w:rFonts w:ascii="Times New Roman" w:hAnsi="Times New Roman" w:cs="Times New Roman"/>
                <w:b/>
                <w:bCs/>
                <w:sz w:val="28"/>
                <w:szCs w:val="28"/>
              </w:rPr>
            </w:pPr>
            <w:r w:rsidRPr="0042409B">
              <w:rPr>
                <w:rFonts w:ascii="Times New Roman" w:hAnsi="Times New Roman" w:cs="Times New Roman"/>
                <w:b/>
                <w:bCs/>
                <w:sz w:val="28"/>
                <w:szCs w:val="28"/>
              </w:rPr>
              <w:t>Determinant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A1C0ED8" w14:textId="77777777" w:rsidR="0042409B" w:rsidRPr="0042409B" w:rsidRDefault="0042409B" w:rsidP="0042409B">
            <w:pPr>
              <w:rPr>
                <w:rFonts w:ascii="Times New Roman" w:hAnsi="Times New Roman" w:cs="Times New Roman"/>
                <w:b/>
                <w:bCs/>
                <w:sz w:val="28"/>
                <w:szCs w:val="28"/>
              </w:rPr>
            </w:pPr>
            <w:r w:rsidRPr="0042409B">
              <w:rPr>
                <w:rFonts w:ascii="Times New Roman" w:hAnsi="Times New Roman" w:cs="Times New Roman"/>
                <w:b/>
                <w:bCs/>
                <w:sz w:val="28"/>
                <w:szCs w:val="28"/>
              </w:rPr>
              <w:t>Mechanism in DDS trade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1723B34" w14:textId="77777777" w:rsidR="0042409B" w:rsidRPr="0042409B" w:rsidRDefault="0042409B" w:rsidP="0042409B">
            <w:pPr>
              <w:rPr>
                <w:rFonts w:ascii="Times New Roman" w:hAnsi="Times New Roman" w:cs="Times New Roman"/>
                <w:b/>
                <w:bCs/>
                <w:sz w:val="28"/>
                <w:szCs w:val="28"/>
              </w:rPr>
            </w:pPr>
            <w:r w:rsidRPr="0042409B">
              <w:rPr>
                <w:rFonts w:ascii="Times New Roman" w:hAnsi="Times New Roman" w:cs="Times New Roman"/>
                <w:b/>
                <w:bCs/>
                <w:sz w:val="28"/>
                <w:szCs w:val="28"/>
              </w:rPr>
              <w:t>Example sources</w:t>
            </w:r>
          </w:p>
        </w:tc>
      </w:tr>
      <w:tr w:rsidR="0042409B" w:rsidRPr="0042409B" w14:paraId="1085D301" w14:textId="77777777" w:rsidTr="000B718E">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31E1C8" w14:textId="77777777" w:rsidR="0042409B" w:rsidRPr="0042409B" w:rsidRDefault="0042409B" w:rsidP="0042409B">
            <w:pPr>
              <w:rPr>
                <w:rFonts w:ascii="Times New Roman" w:hAnsi="Times New Roman" w:cs="Times New Roman"/>
                <w:sz w:val="28"/>
                <w:szCs w:val="28"/>
              </w:rPr>
            </w:pPr>
            <w:r w:rsidRPr="0042409B">
              <w:rPr>
                <w:rFonts w:ascii="Times New Roman" w:hAnsi="Times New Roman" w:cs="Times New Roman"/>
                <w:sz w:val="28"/>
                <w:szCs w:val="28"/>
              </w:rPr>
              <w:t>ICT infrastructure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AF9770" w14:textId="77777777" w:rsidR="0042409B" w:rsidRPr="0042409B" w:rsidRDefault="0042409B" w:rsidP="0042409B">
            <w:pPr>
              <w:rPr>
                <w:rFonts w:ascii="Times New Roman" w:hAnsi="Times New Roman" w:cs="Times New Roman"/>
                <w:sz w:val="28"/>
                <w:szCs w:val="28"/>
              </w:rPr>
            </w:pPr>
            <w:r w:rsidRPr="0042409B">
              <w:rPr>
                <w:rFonts w:ascii="Times New Roman" w:hAnsi="Times New Roman" w:cs="Times New Roman"/>
                <w:sz w:val="28"/>
                <w:szCs w:val="28"/>
              </w:rPr>
              <w:t>Lowers communication and coordination costs, enables digital delivery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517F1A" w14:textId="77777777" w:rsidR="0042409B" w:rsidRPr="0042409B" w:rsidRDefault="0042409B" w:rsidP="0042409B">
            <w:pPr>
              <w:rPr>
                <w:rFonts w:ascii="Times New Roman" w:hAnsi="Times New Roman" w:cs="Times New Roman"/>
                <w:sz w:val="28"/>
                <w:szCs w:val="28"/>
              </w:rPr>
            </w:pPr>
            <w:r w:rsidRPr="0042409B">
              <w:rPr>
                <w:rFonts w:ascii="Times New Roman" w:hAnsi="Times New Roman" w:cs="Times New Roman"/>
                <w:sz w:val="28"/>
                <w:szCs w:val="28"/>
              </w:rPr>
              <w:t xml:space="preserve">Clarke &amp; </w:t>
            </w:r>
            <w:proofErr w:type="spellStart"/>
            <w:r w:rsidRPr="0042409B">
              <w:rPr>
                <w:rFonts w:ascii="Times New Roman" w:hAnsi="Times New Roman" w:cs="Times New Roman"/>
                <w:sz w:val="28"/>
                <w:szCs w:val="28"/>
              </w:rPr>
              <w:t>Wallsten</w:t>
            </w:r>
            <w:proofErr w:type="spellEnd"/>
            <w:r w:rsidRPr="0042409B">
              <w:rPr>
                <w:rFonts w:ascii="Times New Roman" w:hAnsi="Times New Roman" w:cs="Times New Roman"/>
                <w:sz w:val="28"/>
                <w:szCs w:val="28"/>
              </w:rPr>
              <w:t xml:space="preserve"> (2006); Choi (2010) as cited in M &amp; </w:t>
            </w:r>
            <w:proofErr w:type="spellStart"/>
            <w:r w:rsidRPr="0042409B">
              <w:rPr>
                <w:rFonts w:ascii="Times New Roman" w:hAnsi="Times New Roman" w:cs="Times New Roman"/>
                <w:sz w:val="28"/>
                <w:szCs w:val="28"/>
              </w:rPr>
              <w:t>Reddi</w:t>
            </w:r>
            <w:proofErr w:type="spellEnd"/>
            <w:r w:rsidRPr="0042409B">
              <w:rPr>
                <w:rFonts w:ascii="Times New Roman" w:hAnsi="Times New Roman" w:cs="Times New Roman"/>
                <w:sz w:val="28"/>
                <w:szCs w:val="28"/>
              </w:rPr>
              <w:t xml:space="preserve"> (2025)</w:t>
            </w:r>
          </w:p>
        </w:tc>
      </w:tr>
      <w:tr w:rsidR="0042409B" w:rsidRPr="0042409B" w14:paraId="7924ABE3" w14:textId="77777777" w:rsidTr="000B718E">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FC7692" w14:textId="77777777" w:rsidR="0042409B" w:rsidRPr="0042409B" w:rsidRDefault="0042409B" w:rsidP="0042409B">
            <w:pPr>
              <w:rPr>
                <w:rFonts w:ascii="Times New Roman" w:hAnsi="Times New Roman" w:cs="Times New Roman"/>
                <w:sz w:val="28"/>
                <w:szCs w:val="28"/>
              </w:rPr>
            </w:pPr>
            <w:r w:rsidRPr="0042409B">
              <w:rPr>
                <w:rFonts w:ascii="Times New Roman" w:hAnsi="Times New Roman" w:cs="Times New Roman"/>
                <w:sz w:val="28"/>
                <w:szCs w:val="28"/>
              </w:rPr>
              <w:t>Digital legal framework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5DBB80" w14:textId="77777777" w:rsidR="0042409B" w:rsidRPr="0042409B" w:rsidRDefault="0042409B" w:rsidP="0042409B">
            <w:pPr>
              <w:rPr>
                <w:rFonts w:ascii="Times New Roman" w:hAnsi="Times New Roman" w:cs="Times New Roman"/>
                <w:sz w:val="28"/>
                <w:szCs w:val="28"/>
              </w:rPr>
            </w:pPr>
            <w:r w:rsidRPr="0042409B">
              <w:rPr>
                <w:rFonts w:ascii="Times New Roman" w:hAnsi="Times New Roman" w:cs="Times New Roman"/>
                <w:sz w:val="28"/>
                <w:szCs w:val="28"/>
              </w:rPr>
              <w:t>Reduces transaction risk, builds trust in online markets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EEC5BD" w14:textId="77777777" w:rsidR="0042409B" w:rsidRPr="0042409B" w:rsidRDefault="0042409B" w:rsidP="0042409B">
            <w:pPr>
              <w:rPr>
                <w:rFonts w:ascii="Times New Roman" w:hAnsi="Times New Roman" w:cs="Times New Roman"/>
                <w:sz w:val="28"/>
                <w:szCs w:val="28"/>
              </w:rPr>
            </w:pPr>
            <w:r w:rsidRPr="0042409B">
              <w:rPr>
                <w:rFonts w:ascii="Times New Roman" w:hAnsi="Times New Roman" w:cs="Times New Roman"/>
                <w:sz w:val="28"/>
                <w:szCs w:val="28"/>
              </w:rPr>
              <w:t>Shapiro (2025); Institution</w:t>
            </w:r>
            <w:r w:rsidRPr="0042409B">
              <w:rPr>
                <w:rFonts w:ascii="Times New Roman" w:hAnsi="Times New Roman" w:cs="Times New Roman"/>
                <w:sz w:val="28"/>
                <w:szCs w:val="28"/>
              </w:rPr>
              <w:noBreakHyphen/>
              <w:t>Driven Comparative Advantage and Digital Trade (2025)</w:t>
            </w:r>
          </w:p>
        </w:tc>
      </w:tr>
      <w:tr w:rsidR="0042409B" w:rsidRPr="0042409B" w14:paraId="18323A61" w14:textId="77777777" w:rsidTr="000B718E">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E32791" w14:textId="77777777" w:rsidR="0042409B" w:rsidRPr="0042409B" w:rsidRDefault="0042409B" w:rsidP="0042409B">
            <w:pPr>
              <w:rPr>
                <w:rFonts w:ascii="Times New Roman" w:hAnsi="Times New Roman" w:cs="Times New Roman"/>
                <w:sz w:val="28"/>
                <w:szCs w:val="28"/>
              </w:rPr>
            </w:pPr>
            <w:r w:rsidRPr="0042409B">
              <w:rPr>
                <w:rFonts w:ascii="Times New Roman" w:hAnsi="Times New Roman" w:cs="Times New Roman"/>
                <w:sz w:val="28"/>
                <w:szCs w:val="28"/>
              </w:rPr>
              <w:t>Human capital and skills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71A225" w14:textId="77777777" w:rsidR="0042409B" w:rsidRPr="0042409B" w:rsidRDefault="0042409B" w:rsidP="0042409B">
            <w:pPr>
              <w:rPr>
                <w:rFonts w:ascii="Times New Roman" w:hAnsi="Times New Roman" w:cs="Times New Roman"/>
                <w:sz w:val="28"/>
                <w:szCs w:val="28"/>
              </w:rPr>
            </w:pPr>
            <w:r w:rsidRPr="0042409B">
              <w:rPr>
                <w:rFonts w:ascii="Times New Roman" w:hAnsi="Times New Roman" w:cs="Times New Roman"/>
                <w:sz w:val="28"/>
                <w:szCs w:val="28"/>
              </w:rPr>
              <w:t>Supports complex, knowledge</w:t>
            </w:r>
            <w:r w:rsidRPr="0042409B">
              <w:rPr>
                <w:rFonts w:ascii="Times New Roman" w:hAnsi="Times New Roman" w:cs="Times New Roman"/>
                <w:sz w:val="28"/>
                <w:szCs w:val="28"/>
              </w:rPr>
              <w:noBreakHyphen/>
              <w:t>intensive services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662F53" w14:textId="77777777" w:rsidR="0042409B" w:rsidRPr="0042409B" w:rsidRDefault="0042409B" w:rsidP="0042409B">
            <w:pPr>
              <w:rPr>
                <w:rFonts w:ascii="Times New Roman" w:hAnsi="Times New Roman" w:cs="Times New Roman"/>
                <w:sz w:val="28"/>
                <w:szCs w:val="28"/>
              </w:rPr>
            </w:pPr>
            <w:r w:rsidRPr="0042409B">
              <w:rPr>
                <w:rFonts w:ascii="Times New Roman" w:hAnsi="Times New Roman" w:cs="Times New Roman"/>
                <w:sz w:val="28"/>
                <w:szCs w:val="28"/>
              </w:rPr>
              <w:t xml:space="preserve">M &amp; </w:t>
            </w:r>
            <w:proofErr w:type="spellStart"/>
            <w:r w:rsidRPr="0042409B">
              <w:rPr>
                <w:rFonts w:ascii="Times New Roman" w:hAnsi="Times New Roman" w:cs="Times New Roman"/>
                <w:sz w:val="28"/>
                <w:szCs w:val="28"/>
              </w:rPr>
              <w:t>Reddi</w:t>
            </w:r>
            <w:proofErr w:type="spellEnd"/>
            <w:r w:rsidRPr="0042409B">
              <w:rPr>
                <w:rFonts w:ascii="Times New Roman" w:hAnsi="Times New Roman" w:cs="Times New Roman"/>
                <w:sz w:val="28"/>
                <w:szCs w:val="28"/>
              </w:rPr>
              <w:t xml:space="preserve"> (2025); World Bank (2023)</w:t>
            </w:r>
          </w:p>
        </w:tc>
      </w:tr>
      <w:tr w:rsidR="0042409B" w:rsidRPr="0042409B" w14:paraId="1D57BF97" w14:textId="77777777" w:rsidTr="000B718E">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F649B1" w14:textId="77777777" w:rsidR="0042409B" w:rsidRPr="0042409B" w:rsidRDefault="0042409B" w:rsidP="0042409B">
            <w:pPr>
              <w:rPr>
                <w:rFonts w:ascii="Times New Roman" w:hAnsi="Times New Roman" w:cs="Times New Roman"/>
                <w:sz w:val="28"/>
                <w:szCs w:val="28"/>
              </w:rPr>
            </w:pPr>
            <w:r w:rsidRPr="0042409B">
              <w:rPr>
                <w:rFonts w:ascii="Times New Roman" w:hAnsi="Times New Roman" w:cs="Times New Roman"/>
                <w:sz w:val="28"/>
                <w:szCs w:val="28"/>
              </w:rPr>
              <w:t>AI readiness and ecosystems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75FCD1" w14:textId="77777777" w:rsidR="0042409B" w:rsidRPr="0042409B" w:rsidRDefault="0042409B" w:rsidP="0042409B">
            <w:pPr>
              <w:rPr>
                <w:rFonts w:ascii="Times New Roman" w:hAnsi="Times New Roman" w:cs="Times New Roman"/>
                <w:sz w:val="28"/>
                <w:szCs w:val="28"/>
              </w:rPr>
            </w:pPr>
            <w:r w:rsidRPr="0042409B">
              <w:rPr>
                <w:rFonts w:ascii="Times New Roman" w:hAnsi="Times New Roman" w:cs="Times New Roman"/>
                <w:sz w:val="28"/>
                <w:szCs w:val="28"/>
              </w:rPr>
              <w:t>Enhance productivity and innovation in DDS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70BEE2" w14:textId="77777777" w:rsidR="0042409B" w:rsidRPr="0042409B" w:rsidRDefault="0042409B" w:rsidP="0042409B">
            <w:pPr>
              <w:rPr>
                <w:rFonts w:ascii="Times New Roman" w:hAnsi="Times New Roman" w:cs="Times New Roman"/>
                <w:sz w:val="28"/>
                <w:szCs w:val="28"/>
              </w:rPr>
            </w:pPr>
            <w:r w:rsidRPr="0042409B">
              <w:rPr>
                <w:rFonts w:ascii="Times New Roman" w:hAnsi="Times New Roman" w:cs="Times New Roman"/>
                <w:sz w:val="28"/>
                <w:szCs w:val="28"/>
              </w:rPr>
              <w:t xml:space="preserve">M &amp; </w:t>
            </w:r>
            <w:proofErr w:type="spellStart"/>
            <w:r w:rsidRPr="0042409B">
              <w:rPr>
                <w:rFonts w:ascii="Times New Roman" w:hAnsi="Times New Roman" w:cs="Times New Roman"/>
                <w:sz w:val="28"/>
                <w:szCs w:val="28"/>
              </w:rPr>
              <w:t>Reddi</w:t>
            </w:r>
            <w:proofErr w:type="spellEnd"/>
            <w:r w:rsidRPr="0042409B">
              <w:rPr>
                <w:rFonts w:ascii="Times New Roman" w:hAnsi="Times New Roman" w:cs="Times New Roman"/>
                <w:sz w:val="28"/>
                <w:szCs w:val="28"/>
              </w:rPr>
              <w:t xml:space="preserve"> (2025); UNCTAD (2025a)</w:t>
            </w:r>
          </w:p>
        </w:tc>
      </w:tr>
    </w:tbl>
    <w:p w14:paraId="4A5DD561" w14:textId="77777777" w:rsidR="0042409B" w:rsidRPr="00B2700B" w:rsidRDefault="00B51D07" w:rsidP="00B2700B">
      <w:pPr>
        <w:jc w:val="center"/>
        <w:rPr>
          <w:rFonts w:ascii="Times New Roman" w:hAnsi="Times New Roman" w:cs="Times New Roman"/>
          <w:sz w:val="20"/>
          <w:szCs w:val="28"/>
        </w:rPr>
      </w:pPr>
      <w:r w:rsidRPr="00B2700B">
        <w:rPr>
          <w:rFonts w:ascii="Times New Roman" w:hAnsi="Times New Roman" w:cs="Times New Roman"/>
          <w:sz w:val="20"/>
          <w:szCs w:val="28"/>
        </w:rPr>
        <w:t xml:space="preserve">Table 1: </w:t>
      </w:r>
      <w:r w:rsidR="00B2700B" w:rsidRPr="00B2700B">
        <w:rPr>
          <w:rFonts w:ascii="Times New Roman" w:hAnsi="Times New Roman" w:cs="Times New Roman"/>
          <w:sz w:val="20"/>
          <w:szCs w:val="28"/>
        </w:rPr>
        <w:t>Determinants of comparative advantage in digitally deliverable services.</w:t>
      </w:r>
    </w:p>
    <w:p w14:paraId="0CCFB5B2" w14:textId="77777777" w:rsidR="0042409B" w:rsidRPr="000B718E" w:rsidRDefault="0042409B" w:rsidP="000B718E">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Toc220682370"/>
      <w:r w:rsidRPr="000B718E">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AI readiness, digitally deliverable services exports and emerging evidence</w:t>
      </w:r>
      <w:bookmarkEnd w:id="6"/>
    </w:p>
    <w:p w14:paraId="177A1DC5" w14:textId="77777777" w:rsidR="0042409B" w:rsidRPr="0042409B" w:rsidRDefault="0042409B" w:rsidP="000B718E">
      <w:pPr>
        <w:ind w:firstLine="720"/>
        <w:jc w:val="both"/>
        <w:rPr>
          <w:rFonts w:ascii="Times New Roman" w:hAnsi="Times New Roman" w:cs="Times New Roman"/>
          <w:sz w:val="28"/>
          <w:szCs w:val="28"/>
        </w:rPr>
      </w:pPr>
      <w:r w:rsidRPr="0042409B">
        <w:rPr>
          <w:rFonts w:ascii="Times New Roman" w:hAnsi="Times New Roman" w:cs="Times New Roman"/>
          <w:sz w:val="28"/>
          <w:szCs w:val="28"/>
        </w:rPr>
        <w:t xml:space="preserve">The most direct empirical link between AI adoption and trade in digital services comes from recent work on AI readiness and exports of digitally deliverable services. A study published in the Bulletin of Monetary Economics and Banking analyzes a panel of 151 countries across nine regions for the period 2020–2022, combining data on DDS exports, AI readiness and digital laws (M &amp; </w:t>
      </w:r>
      <w:proofErr w:type="spellStart"/>
      <w:r w:rsidRPr="0042409B">
        <w:rPr>
          <w:rFonts w:ascii="Times New Roman" w:hAnsi="Times New Roman" w:cs="Times New Roman"/>
          <w:sz w:val="28"/>
          <w:szCs w:val="28"/>
        </w:rPr>
        <w:t>Reddi</w:t>
      </w:r>
      <w:proofErr w:type="spellEnd"/>
      <w:r w:rsidRPr="0042409B">
        <w:rPr>
          <w:rFonts w:ascii="Times New Roman" w:hAnsi="Times New Roman" w:cs="Times New Roman"/>
          <w:sz w:val="28"/>
          <w:szCs w:val="28"/>
        </w:rPr>
        <w:t>, 2025). Using a fixed</w:t>
      </w:r>
      <w:r w:rsidRPr="0042409B">
        <w:rPr>
          <w:rFonts w:ascii="Times New Roman" w:hAnsi="Times New Roman" w:cs="Times New Roman"/>
          <w:sz w:val="28"/>
          <w:szCs w:val="28"/>
        </w:rPr>
        <w:noBreakHyphen/>
        <w:t xml:space="preserve">effects model, the authors find that AI readiness has a statistically significant and positive effect on DDS exports across both developed and developing economies, after controlling for income, population and other macroeconomic variables (M &amp; </w:t>
      </w:r>
      <w:proofErr w:type="spellStart"/>
      <w:r w:rsidRPr="0042409B">
        <w:rPr>
          <w:rFonts w:ascii="Times New Roman" w:hAnsi="Times New Roman" w:cs="Times New Roman"/>
          <w:sz w:val="28"/>
          <w:szCs w:val="28"/>
        </w:rPr>
        <w:t>Reddi</w:t>
      </w:r>
      <w:proofErr w:type="spellEnd"/>
      <w:r w:rsidRPr="0042409B">
        <w:rPr>
          <w:rFonts w:ascii="Times New Roman" w:hAnsi="Times New Roman" w:cs="Times New Roman"/>
          <w:sz w:val="28"/>
          <w:szCs w:val="28"/>
        </w:rPr>
        <w:t>, 2025). In other words, countries that score higher on AI readiness indices tend to export more digitally deliverable services, supporting the idea that AI</w:t>
      </w:r>
      <w:r w:rsidRPr="0042409B">
        <w:rPr>
          <w:rFonts w:ascii="Times New Roman" w:hAnsi="Times New Roman" w:cs="Times New Roman"/>
          <w:sz w:val="28"/>
          <w:szCs w:val="28"/>
        </w:rPr>
        <w:noBreakHyphen/>
        <w:t>related capabilities are an emerging source of comparative advantage in digital services trade.</w:t>
      </w:r>
    </w:p>
    <w:p w14:paraId="42D4D992" w14:textId="77777777" w:rsidR="0042409B" w:rsidRPr="0042409B" w:rsidRDefault="0042409B" w:rsidP="000B718E">
      <w:pPr>
        <w:ind w:firstLine="720"/>
        <w:jc w:val="both"/>
        <w:rPr>
          <w:rFonts w:ascii="Times New Roman" w:hAnsi="Times New Roman" w:cs="Times New Roman"/>
          <w:sz w:val="28"/>
          <w:szCs w:val="28"/>
        </w:rPr>
      </w:pPr>
      <w:r w:rsidRPr="0042409B">
        <w:rPr>
          <w:rFonts w:ascii="Times New Roman" w:hAnsi="Times New Roman" w:cs="Times New Roman"/>
          <w:sz w:val="28"/>
          <w:szCs w:val="28"/>
        </w:rPr>
        <w:t xml:space="preserve">The same study reports important regional heterogeneity in the impact of AI readiness. AI readiness is found to be particularly conducive to DDS export growth </w:t>
      </w:r>
      <w:r w:rsidRPr="0042409B">
        <w:rPr>
          <w:rFonts w:ascii="Times New Roman" w:hAnsi="Times New Roman" w:cs="Times New Roman"/>
          <w:sz w:val="28"/>
          <w:szCs w:val="28"/>
        </w:rPr>
        <w:lastRenderedPageBreak/>
        <w:t xml:space="preserve">in Eastern Europe, Latin America and the Caribbean, and North America, while the effects are more modest in some other regions (M &amp; </w:t>
      </w:r>
      <w:proofErr w:type="spellStart"/>
      <w:r w:rsidRPr="0042409B">
        <w:rPr>
          <w:rFonts w:ascii="Times New Roman" w:hAnsi="Times New Roman" w:cs="Times New Roman"/>
          <w:sz w:val="28"/>
          <w:szCs w:val="28"/>
        </w:rPr>
        <w:t>Reddi</w:t>
      </w:r>
      <w:proofErr w:type="spellEnd"/>
      <w:r w:rsidRPr="0042409B">
        <w:rPr>
          <w:rFonts w:ascii="Times New Roman" w:hAnsi="Times New Roman" w:cs="Times New Roman"/>
          <w:sz w:val="28"/>
          <w:szCs w:val="28"/>
        </w:rPr>
        <w:t xml:space="preserve">, 2025). In addition, the paper examines </w:t>
      </w:r>
      <w:r w:rsidR="00B1738F">
        <w:rPr>
          <w:rFonts w:ascii="Times New Roman" w:hAnsi="Times New Roman" w:cs="Times New Roman"/>
          <w:sz w:val="28"/>
          <w:szCs w:val="28"/>
        </w:rPr>
        <w:t xml:space="preserve">the role of digital regulations, </w:t>
      </w:r>
      <w:r w:rsidRPr="0042409B">
        <w:rPr>
          <w:rFonts w:ascii="Times New Roman" w:hAnsi="Times New Roman" w:cs="Times New Roman"/>
          <w:sz w:val="28"/>
          <w:szCs w:val="28"/>
        </w:rPr>
        <w:t>such as cybercrime laws, e</w:t>
      </w:r>
      <w:r w:rsidRPr="0042409B">
        <w:rPr>
          <w:rFonts w:ascii="Times New Roman" w:hAnsi="Times New Roman" w:cs="Times New Roman"/>
          <w:sz w:val="28"/>
          <w:szCs w:val="28"/>
        </w:rPr>
        <w:noBreakHyphen/>
        <w:t>transactions laws, consum</w:t>
      </w:r>
      <w:r w:rsidR="00B1738F">
        <w:rPr>
          <w:rFonts w:ascii="Times New Roman" w:hAnsi="Times New Roman" w:cs="Times New Roman"/>
          <w:sz w:val="28"/>
          <w:szCs w:val="28"/>
        </w:rPr>
        <w:t xml:space="preserve">er protection and privacy rules, </w:t>
      </w:r>
      <w:r w:rsidRPr="0042409B">
        <w:rPr>
          <w:rFonts w:ascii="Times New Roman" w:hAnsi="Times New Roman" w:cs="Times New Roman"/>
          <w:sz w:val="28"/>
          <w:szCs w:val="28"/>
        </w:rPr>
        <w:t>and finds mixed results: some regulations, especially those related to cybercrime and e</w:t>
      </w:r>
      <w:r w:rsidRPr="0042409B">
        <w:rPr>
          <w:rFonts w:ascii="Times New Roman" w:hAnsi="Times New Roman" w:cs="Times New Roman"/>
          <w:sz w:val="28"/>
          <w:szCs w:val="28"/>
        </w:rPr>
        <w:noBreakHyphen/>
        <w:t>transactions, can impose compliance burdens that dampen DDS exports in certain regions, whereas well</w:t>
      </w:r>
      <w:r w:rsidRPr="0042409B">
        <w:rPr>
          <w:rFonts w:ascii="Times New Roman" w:hAnsi="Times New Roman" w:cs="Times New Roman"/>
          <w:sz w:val="28"/>
          <w:szCs w:val="28"/>
        </w:rPr>
        <w:noBreakHyphen/>
        <w:t xml:space="preserve">designed consumer protection and privacy laws appear to support digital trade by fostering trust (M &amp; </w:t>
      </w:r>
      <w:proofErr w:type="spellStart"/>
      <w:r w:rsidRPr="0042409B">
        <w:rPr>
          <w:rFonts w:ascii="Times New Roman" w:hAnsi="Times New Roman" w:cs="Times New Roman"/>
          <w:sz w:val="28"/>
          <w:szCs w:val="28"/>
        </w:rPr>
        <w:t>Reddi</w:t>
      </w:r>
      <w:proofErr w:type="spellEnd"/>
      <w:r w:rsidRPr="0042409B">
        <w:rPr>
          <w:rFonts w:ascii="Times New Roman" w:hAnsi="Times New Roman" w:cs="Times New Roman"/>
          <w:sz w:val="28"/>
          <w:szCs w:val="28"/>
        </w:rPr>
        <w:t>, 2025). These findings suggest that AI readiness and digital regulation jointly shape countries’ performance in DDS trade, and that policy design matters for translating technological capabilities into export success.</w:t>
      </w:r>
    </w:p>
    <w:p w14:paraId="7AAB890E" w14:textId="77777777" w:rsidR="0042409B" w:rsidRPr="0042409B" w:rsidRDefault="0042409B" w:rsidP="000B718E">
      <w:pPr>
        <w:ind w:firstLine="720"/>
        <w:jc w:val="both"/>
        <w:rPr>
          <w:rFonts w:ascii="Times New Roman" w:hAnsi="Times New Roman" w:cs="Times New Roman"/>
          <w:sz w:val="28"/>
          <w:szCs w:val="28"/>
        </w:rPr>
      </w:pPr>
      <w:r w:rsidRPr="0042409B">
        <w:rPr>
          <w:rFonts w:ascii="Times New Roman" w:hAnsi="Times New Roman" w:cs="Times New Roman"/>
          <w:sz w:val="28"/>
          <w:szCs w:val="28"/>
        </w:rPr>
        <w:t>From the perspective of comparative advantage, these results imply that AI</w:t>
      </w:r>
      <w:r w:rsidRPr="0042409B">
        <w:rPr>
          <w:rFonts w:ascii="Times New Roman" w:hAnsi="Times New Roman" w:cs="Times New Roman"/>
          <w:sz w:val="28"/>
          <w:szCs w:val="28"/>
        </w:rPr>
        <w:noBreakHyphen/>
        <w:t xml:space="preserve">ready countries are better positioned to specialize in DDS relative to countries with similar income levels but lower AI readiness. If a country’s AI readiness raises its DDS exports disproportionately compared to other export categories, its revealed comparative advantage in digital services should increase over time. While M &amp; </w:t>
      </w:r>
      <w:proofErr w:type="spellStart"/>
      <w:r w:rsidRPr="0042409B">
        <w:rPr>
          <w:rFonts w:ascii="Times New Roman" w:hAnsi="Times New Roman" w:cs="Times New Roman"/>
          <w:sz w:val="28"/>
          <w:szCs w:val="28"/>
        </w:rPr>
        <w:t>Reddi</w:t>
      </w:r>
      <w:proofErr w:type="spellEnd"/>
      <w:r w:rsidRPr="0042409B">
        <w:rPr>
          <w:rFonts w:ascii="Times New Roman" w:hAnsi="Times New Roman" w:cs="Times New Roman"/>
          <w:sz w:val="28"/>
          <w:szCs w:val="28"/>
        </w:rPr>
        <w:t xml:space="preserve"> (2025) focus mainly on levels of DDS exports, their findings are consistent with a shift in export structure toward digital services among AI</w:t>
      </w:r>
      <w:r w:rsidRPr="0042409B">
        <w:rPr>
          <w:rFonts w:ascii="Times New Roman" w:hAnsi="Times New Roman" w:cs="Times New Roman"/>
          <w:sz w:val="28"/>
          <w:szCs w:val="28"/>
        </w:rPr>
        <w:noBreakHyphen/>
        <w:t xml:space="preserve">ready economies. This is also in line with broader evidence that digitalization and AI adoption tend to </w:t>
      </w:r>
      <w:proofErr w:type="spellStart"/>
      <w:r w:rsidRPr="0042409B">
        <w:rPr>
          <w:rFonts w:ascii="Times New Roman" w:hAnsi="Times New Roman" w:cs="Times New Roman"/>
          <w:sz w:val="28"/>
          <w:szCs w:val="28"/>
        </w:rPr>
        <w:t>favour</w:t>
      </w:r>
      <w:proofErr w:type="spellEnd"/>
      <w:r w:rsidRPr="0042409B">
        <w:rPr>
          <w:rFonts w:ascii="Times New Roman" w:hAnsi="Times New Roman" w:cs="Times New Roman"/>
          <w:sz w:val="28"/>
          <w:szCs w:val="28"/>
        </w:rPr>
        <w:t xml:space="preserve"> more skill</w:t>
      </w:r>
      <w:r w:rsidRPr="0042409B">
        <w:rPr>
          <w:rFonts w:ascii="Times New Roman" w:hAnsi="Times New Roman" w:cs="Times New Roman"/>
          <w:sz w:val="28"/>
          <w:szCs w:val="28"/>
        </w:rPr>
        <w:noBreakHyphen/>
        <w:t>intensive, knowledge</w:t>
      </w:r>
      <w:r w:rsidRPr="0042409B">
        <w:rPr>
          <w:rFonts w:ascii="Times New Roman" w:hAnsi="Times New Roman" w:cs="Times New Roman"/>
          <w:sz w:val="28"/>
          <w:szCs w:val="28"/>
        </w:rPr>
        <w:noBreakHyphen/>
        <w:t>based activities, which are typically associated with modern services (UNCTAD, 2022; UNCTAD, 2025a).</w:t>
      </w:r>
    </w:p>
    <w:p w14:paraId="21B5E82E" w14:textId="77777777" w:rsidR="0042409B" w:rsidRPr="0042409B" w:rsidRDefault="0042409B" w:rsidP="000B718E">
      <w:pPr>
        <w:ind w:firstLine="720"/>
        <w:jc w:val="both"/>
        <w:rPr>
          <w:rFonts w:ascii="Times New Roman" w:hAnsi="Times New Roman" w:cs="Times New Roman"/>
          <w:sz w:val="28"/>
          <w:szCs w:val="28"/>
        </w:rPr>
      </w:pPr>
      <w:r w:rsidRPr="0042409B">
        <w:rPr>
          <w:rFonts w:ascii="Times New Roman" w:hAnsi="Times New Roman" w:cs="Times New Roman"/>
          <w:sz w:val="28"/>
          <w:szCs w:val="28"/>
        </w:rPr>
        <w:t>At the same time, international organizations warn that AI</w:t>
      </w:r>
      <w:r w:rsidRPr="0042409B">
        <w:rPr>
          <w:rFonts w:ascii="Times New Roman" w:hAnsi="Times New Roman" w:cs="Times New Roman"/>
          <w:sz w:val="28"/>
          <w:szCs w:val="28"/>
        </w:rPr>
        <w:noBreakHyphen/>
        <w:t>driven gains in digital trade may exacerbate existing inequalities if current divides in AI readiness persist. UNCTAD notes that the global AI market could reach around 4.8 trillion US dollars by 2033, b</w:t>
      </w:r>
      <w:r w:rsidR="00B1738F">
        <w:rPr>
          <w:rFonts w:ascii="Times New Roman" w:hAnsi="Times New Roman" w:cs="Times New Roman"/>
          <w:sz w:val="28"/>
          <w:szCs w:val="28"/>
        </w:rPr>
        <w:t>ut that AI</w:t>
      </w:r>
      <w:r w:rsidR="00B1738F">
        <w:rPr>
          <w:rFonts w:ascii="Times New Roman" w:hAnsi="Times New Roman" w:cs="Times New Roman"/>
          <w:sz w:val="28"/>
          <w:szCs w:val="28"/>
        </w:rPr>
        <w:noBreakHyphen/>
        <w:t xml:space="preserve">related capabilities, </w:t>
      </w:r>
      <w:r w:rsidRPr="0042409B">
        <w:rPr>
          <w:rFonts w:ascii="Times New Roman" w:hAnsi="Times New Roman" w:cs="Times New Roman"/>
          <w:sz w:val="28"/>
          <w:szCs w:val="28"/>
        </w:rPr>
        <w:t>measured in terms of research activity, patents, computing infrastruc</w:t>
      </w:r>
      <w:r w:rsidR="00B1738F">
        <w:rPr>
          <w:rFonts w:ascii="Times New Roman" w:hAnsi="Times New Roman" w:cs="Times New Roman"/>
          <w:sz w:val="28"/>
          <w:szCs w:val="28"/>
        </w:rPr>
        <w:t xml:space="preserve">ture and investment, </w:t>
      </w:r>
      <w:r w:rsidRPr="0042409B">
        <w:rPr>
          <w:rFonts w:ascii="Times New Roman" w:hAnsi="Times New Roman" w:cs="Times New Roman"/>
          <w:sz w:val="28"/>
          <w:szCs w:val="28"/>
        </w:rPr>
        <w:t>are heavily concentrated in a small group of mainly high</w:t>
      </w:r>
      <w:r w:rsidRPr="0042409B">
        <w:rPr>
          <w:rFonts w:ascii="Times New Roman" w:hAnsi="Times New Roman" w:cs="Times New Roman"/>
          <w:sz w:val="28"/>
          <w:szCs w:val="28"/>
        </w:rPr>
        <w:noBreakHyphen/>
        <w:t xml:space="preserve">income economies (UNCTAD, 2025a; UNCTAD, 2025b). Many developing countries lack national AI strategies, adequate digital infrastructure and sufficient human capital to adopt AI at scale, which may limit their ability to expand DDS exports despite the global boom in digital services (UNCTAD, 2025a). The WTO similarly emphasizes that, while AI could boost global trade by around 34–37 per cent by 2040, with particularly strong gains in digitally delivered services, the distribution of these gains will depend on whether countries can close gaps in technology, infrastructure and regulation (World Trade Organization, 2025; </w:t>
      </w:r>
      <w:proofErr w:type="spellStart"/>
      <w:r w:rsidRPr="0042409B">
        <w:rPr>
          <w:rFonts w:ascii="Times New Roman" w:hAnsi="Times New Roman" w:cs="Times New Roman"/>
          <w:sz w:val="28"/>
          <w:szCs w:val="28"/>
        </w:rPr>
        <w:t>Qazinform</w:t>
      </w:r>
      <w:proofErr w:type="spellEnd"/>
      <w:r w:rsidRPr="0042409B">
        <w:rPr>
          <w:rFonts w:ascii="Times New Roman" w:hAnsi="Times New Roman" w:cs="Times New Roman"/>
          <w:sz w:val="28"/>
          <w:szCs w:val="28"/>
        </w:rPr>
        <w:t>, 2025).</w:t>
      </w:r>
    </w:p>
    <w:p w14:paraId="5A98FD8F" w14:textId="77777777" w:rsidR="0042409B" w:rsidRPr="0042409B" w:rsidRDefault="0042409B" w:rsidP="000B718E">
      <w:pPr>
        <w:ind w:firstLine="720"/>
        <w:jc w:val="both"/>
        <w:rPr>
          <w:rFonts w:ascii="Times New Roman" w:hAnsi="Times New Roman" w:cs="Times New Roman"/>
          <w:sz w:val="28"/>
          <w:szCs w:val="28"/>
        </w:rPr>
      </w:pPr>
      <w:r w:rsidRPr="0042409B">
        <w:rPr>
          <w:rFonts w:ascii="Times New Roman" w:hAnsi="Times New Roman" w:cs="Times New Roman"/>
          <w:sz w:val="28"/>
          <w:szCs w:val="28"/>
        </w:rPr>
        <w:lastRenderedPageBreak/>
        <w:t xml:space="preserve">These considerations highlight that AI adoption can shift comparative advantage toward digital services only for countries that reach a certain threshold of readiness. For economies with strong digital infrastructure, skilled </w:t>
      </w:r>
      <w:proofErr w:type="spellStart"/>
      <w:r w:rsidRPr="0042409B">
        <w:rPr>
          <w:rFonts w:ascii="Times New Roman" w:hAnsi="Times New Roman" w:cs="Times New Roman"/>
          <w:sz w:val="28"/>
          <w:szCs w:val="28"/>
        </w:rPr>
        <w:t>labour</w:t>
      </w:r>
      <w:proofErr w:type="spellEnd"/>
      <w:r w:rsidRPr="0042409B">
        <w:rPr>
          <w:rFonts w:ascii="Times New Roman" w:hAnsi="Times New Roman" w:cs="Times New Roman"/>
          <w:sz w:val="28"/>
          <w:szCs w:val="28"/>
        </w:rPr>
        <w:t xml:space="preserve"> and supportive regulations, AI can reinforce existing capabilities and open new niches in global DDS markets. For others, AI may widen the gap by allowing frontier countries to move further ahead in high</w:t>
      </w:r>
      <w:r w:rsidRPr="0042409B">
        <w:rPr>
          <w:rFonts w:ascii="Times New Roman" w:hAnsi="Times New Roman" w:cs="Times New Roman"/>
          <w:sz w:val="28"/>
          <w:szCs w:val="28"/>
        </w:rPr>
        <w:noBreakHyphen/>
        <w:t>value digital services while laggards remain locked into traditional goods exports or low</w:t>
      </w:r>
      <w:r w:rsidRPr="0042409B">
        <w:rPr>
          <w:rFonts w:ascii="Times New Roman" w:hAnsi="Times New Roman" w:cs="Times New Roman"/>
          <w:sz w:val="28"/>
          <w:szCs w:val="28"/>
        </w:rPr>
        <w:noBreakHyphen/>
        <w:t>skill services (UNCTAD, 2025a; World Trade Organization, 2025). This raises important policy questions about how developing and emerging econo</w:t>
      </w:r>
      <w:r w:rsidR="00B1738F">
        <w:rPr>
          <w:rFonts w:ascii="Times New Roman" w:hAnsi="Times New Roman" w:cs="Times New Roman"/>
          <w:sz w:val="28"/>
          <w:szCs w:val="28"/>
        </w:rPr>
        <w:t xml:space="preserve">mies can invest in AI readiness, </w:t>
      </w:r>
      <w:r w:rsidRPr="0042409B">
        <w:rPr>
          <w:rFonts w:ascii="Times New Roman" w:hAnsi="Times New Roman" w:cs="Times New Roman"/>
          <w:sz w:val="28"/>
          <w:szCs w:val="28"/>
        </w:rPr>
        <w:t>through infrastructure, education, innovatio</w:t>
      </w:r>
      <w:r w:rsidR="00B1738F">
        <w:rPr>
          <w:rFonts w:ascii="Times New Roman" w:hAnsi="Times New Roman" w:cs="Times New Roman"/>
          <w:sz w:val="28"/>
          <w:szCs w:val="28"/>
        </w:rPr>
        <w:t xml:space="preserve">n support and regulatory reform, </w:t>
      </w:r>
      <w:r w:rsidRPr="0042409B">
        <w:rPr>
          <w:rFonts w:ascii="Times New Roman" w:hAnsi="Times New Roman" w:cs="Times New Roman"/>
          <w:sz w:val="28"/>
          <w:szCs w:val="28"/>
        </w:rPr>
        <w:t>to leverage AI for export diversification rather than becoming further marginalized.</w:t>
      </w:r>
    </w:p>
    <w:p w14:paraId="3A44306A" w14:textId="77777777" w:rsidR="0042409B" w:rsidRDefault="0042409B" w:rsidP="0042409B">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4E92743" wp14:editId="0F9427C2">
            <wp:extent cx="4559211" cy="30394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lustrative_positive_relationship_between_AI_readiness_scores_and_exports_of_digitally_deliverable_services_(DDS)_in_202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62639" cy="3041760"/>
                    </a:xfrm>
                    <a:prstGeom prst="rect">
                      <a:avLst/>
                    </a:prstGeom>
                  </pic:spPr>
                </pic:pic>
              </a:graphicData>
            </a:graphic>
          </wp:inline>
        </w:drawing>
      </w:r>
    </w:p>
    <w:p w14:paraId="650227B3" w14:textId="77777777" w:rsidR="00B51D07" w:rsidRPr="00B51D07" w:rsidRDefault="00B51D07" w:rsidP="0042409B">
      <w:pPr>
        <w:jc w:val="center"/>
        <w:rPr>
          <w:rFonts w:ascii="Times New Roman" w:hAnsi="Times New Roman" w:cs="Times New Roman"/>
          <w:szCs w:val="28"/>
        </w:rPr>
      </w:pPr>
      <w:r w:rsidRPr="00B51D07">
        <w:rPr>
          <w:rFonts w:ascii="Times New Roman" w:hAnsi="Times New Roman" w:cs="Times New Roman"/>
          <w:szCs w:val="28"/>
        </w:rPr>
        <w:t xml:space="preserve">Figure 2: AI Readiness and Digital Deliverable Services </w:t>
      </w:r>
    </w:p>
    <w:p w14:paraId="1EB9EC06" w14:textId="77777777" w:rsidR="00F73D49" w:rsidRPr="000B718E" w:rsidRDefault="00F73D49" w:rsidP="000B718E">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Toc220682371"/>
      <w:r w:rsidRPr="000B718E">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Methodology</w:t>
      </w:r>
      <w:bookmarkEnd w:id="7"/>
    </w:p>
    <w:p w14:paraId="5DA06E88" w14:textId="77777777" w:rsidR="00F73D49" w:rsidRPr="000B718E" w:rsidRDefault="00F73D49" w:rsidP="000B718E">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Toc220682372"/>
      <w:r w:rsidRPr="000B718E">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Data sources and variable definitions</w:t>
      </w:r>
      <w:bookmarkEnd w:id="8"/>
    </w:p>
    <w:p w14:paraId="6EBD34C4" w14:textId="77777777" w:rsidR="00F73D49" w:rsidRPr="00F73D49" w:rsidRDefault="00F73D49" w:rsidP="000B718E">
      <w:pPr>
        <w:ind w:firstLine="720"/>
        <w:jc w:val="both"/>
        <w:rPr>
          <w:rFonts w:ascii="Times New Roman" w:hAnsi="Times New Roman" w:cs="Times New Roman"/>
          <w:sz w:val="28"/>
          <w:szCs w:val="28"/>
        </w:rPr>
      </w:pPr>
      <w:r w:rsidRPr="00F73D49">
        <w:rPr>
          <w:rFonts w:ascii="Times New Roman" w:hAnsi="Times New Roman" w:cs="Times New Roman"/>
          <w:sz w:val="28"/>
          <w:szCs w:val="28"/>
        </w:rPr>
        <w:t xml:space="preserve">This study analyzes a panel dataset of 151 countries across nine regions from 2010 to 2022, examining the relationship between AI readiness and exports of digitally deliverable services (DDS). The primary dependent variable, DDS exports, measures annual export values (in current US dollars) for service categories that can be delivered remotely via digital networks, including telecommunications, computer and information services, financial services, charges for intellectual property use, and other business services (UNCTAD, 2022; IMF et al., 2023). Data come from </w:t>
      </w:r>
      <w:proofErr w:type="spellStart"/>
      <w:r w:rsidRPr="00F73D49">
        <w:rPr>
          <w:rFonts w:ascii="Times New Roman" w:hAnsi="Times New Roman" w:cs="Times New Roman"/>
          <w:sz w:val="28"/>
          <w:szCs w:val="28"/>
        </w:rPr>
        <w:lastRenderedPageBreak/>
        <w:t>UNCTADstat's</w:t>
      </w:r>
      <w:proofErr w:type="spellEnd"/>
      <w:r w:rsidRPr="00F73D49">
        <w:rPr>
          <w:rFonts w:ascii="Times New Roman" w:hAnsi="Times New Roman" w:cs="Times New Roman"/>
          <w:sz w:val="28"/>
          <w:szCs w:val="28"/>
        </w:rPr>
        <w:t xml:space="preserve"> "International trade in digitally deliverable services" database, with the natural logarithm of DDS exports (</w:t>
      </w:r>
      <w:proofErr w:type="spellStart"/>
      <w:r w:rsidRPr="00F73D49">
        <w:rPr>
          <w:rFonts w:ascii="Times New Roman" w:hAnsi="Times New Roman" w:cs="Times New Roman"/>
          <w:sz w:val="28"/>
          <w:szCs w:val="28"/>
        </w:rPr>
        <w:t>log_DDS</w:t>
      </w:r>
      <w:proofErr w:type="spellEnd"/>
      <w:r w:rsidRPr="00F73D49">
        <w:rPr>
          <w:rFonts w:ascii="Times New Roman" w:hAnsi="Times New Roman" w:cs="Times New Roman"/>
          <w:sz w:val="28"/>
          <w:szCs w:val="28"/>
        </w:rPr>
        <w:t>) used to address skewness in trade volumes across countries (</w:t>
      </w:r>
      <w:proofErr w:type="spellStart"/>
      <w:r w:rsidRPr="00F73D49">
        <w:rPr>
          <w:rFonts w:ascii="Times New Roman" w:hAnsi="Times New Roman" w:cs="Times New Roman"/>
          <w:sz w:val="28"/>
          <w:szCs w:val="28"/>
        </w:rPr>
        <w:t>UNCTADstat</w:t>
      </w:r>
      <w:proofErr w:type="spellEnd"/>
      <w:r w:rsidRPr="00F73D49">
        <w:rPr>
          <w:rFonts w:ascii="Times New Roman" w:hAnsi="Times New Roman" w:cs="Times New Roman"/>
          <w:sz w:val="28"/>
          <w:szCs w:val="28"/>
        </w:rPr>
        <w:t xml:space="preserve">, 2024; M &amp; </w:t>
      </w:r>
      <w:proofErr w:type="spellStart"/>
      <w:r w:rsidRPr="00F73D49">
        <w:rPr>
          <w:rFonts w:ascii="Times New Roman" w:hAnsi="Times New Roman" w:cs="Times New Roman"/>
          <w:sz w:val="28"/>
          <w:szCs w:val="28"/>
        </w:rPr>
        <w:t>Reddi</w:t>
      </w:r>
      <w:proofErr w:type="spellEnd"/>
      <w:r w:rsidRPr="00F73D49">
        <w:rPr>
          <w:rFonts w:ascii="Times New Roman" w:hAnsi="Times New Roman" w:cs="Times New Roman"/>
          <w:sz w:val="28"/>
          <w:szCs w:val="28"/>
        </w:rPr>
        <w:t>, 2025).</w:t>
      </w:r>
    </w:p>
    <w:p w14:paraId="6B9E297A" w14:textId="77777777" w:rsidR="00F73D49" w:rsidRPr="00F73D49" w:rsidRDefault="00F73D49" w:rsidP="000B718E">
      <w:pPr>
        <w:ind w:firstLine="720"/>
        <w:jc w:val="both"/>
        <w:rPr>
          <w:rFonts w:ascii="Times New Roman" w:hAnsi="Times New Roman" w:cs="Times New Roman"/>
          <w:sz w:val="28"/>
          <w:szCs w:val="28"/>
        </w:rPr>
      </w:pPr>
      <w:r w:rsidRPr="00F73D49">
        <w:rPr>
          <w:rFonts w:ascii="Times New Roman" w:hAnsi="Times New Roman" w:cs="Times New Roman"/>
          <w:sz w:val="28"/>
          <w:szCs w:val="28"/>
        </w:rPr>
        <w:t xml:space="preserve">The key independent variable is the AI readiness index (0–100 scale), a composite measure aggregating digital infrastructure (broadband penetration, cloud availability), human capital (STEM education), innovation capacity (R&amp;D spending, AI patents), data governance, and regulatory quality (M &amp; </w:t>
      </w:r>
      <w:proofErr w:type="spellStart"/>
      <w:r w:rsidRPr="00F73D49">
        <w:rPr>
          <w:rFonts w:ascii="Times New Roman" w:hAnsi="Times New Roman" w:cs="Times New Roman"/>
          <w:sz w:val="28"/>
          <w:szCs w:val="28"/>
        </w:rPr>
        <w:t>Reddi</w:t>
      </w:r>
      <w:proofErr w:type="spellEnd"/>
      <w:r w:rsidRPr="00F73D49">
        <w:rPr>
          <w:rFonts w:ascii="Times New Roman" w:hAnsi="Times New Roman" w:cs="Times New Roman"/>
          <w:sz w:val="28"/>
          <w:szCs w:val="28"/>
        </w:rPr>
        <w:t>, 2025; Oxford Insights, 2023). Higher scores indicate greater capacity to adopt AI technologies relevant for digital services production and trade (World Bank, 2023).</w:t>
      </w:r>
    </w:p>
    <w:p w14:paraId="2DAA2B47" w14:textId="77777777" w:rsidR="00F73D49" w:rsidRPr="00F73D49" w:rsidRDefault="00F73D49" w:rsidP="000B718E">
      <w:pPr>
        <w:ind w:firstLine="720"/>
        <w:jc w:val="both"/>
        <w:rPr>
          <w:rFonts w:ascii="Times New Roman" w:hAnsi="Times New Roman" w:cs="Times New Roman"/>
          <w:sz w:val="28"/>
          <w:szCs w:val="28"/>
        </w:rPr>
      </w:pPr>
      <w:r w:rsidRPr="00F73D49">
        <w:rPr>
          <w:rFonts w:ascii="Times New Roman" w:hAnsi="Times New Roman" w:cs="Times New Roman"/>
          <w:sz w:val="28"/>
          <w:szCs w:val="28"/>
        </w:rPr>
        <w:t xml:space="preserve">Control variables include log GDP per capita (constant 2015 US dollars) and log population to capture market size and scale effects, sourced from World Bank World Development Indicators (World Bank, 2024). Digital regulation indices (0–1 scale) for cybercrime laws, e-transactions, consumer protection, and privacy rules are included from the reference study (M &amp; </w:t>
      </w:r>
      <w:proofErr w:type="spellStart"/>
      <w:r w:rsidRPr="00F73D49">
        <w:rPr>
          <w:rFonts w:ascii="Times New Roman" w:hAnsi="Times New Roman" w:cs="Times New Roman"/>
          <w:sz w:val="28"/>
          <w:szCs w:val="28"/>
        </w:rPr>
        <w:t>Reddi</w:t>
      </w:r>
      <w:proofErr w:type="spellEnd"/>
      <w:r w:rsidRPr="00F73D49">
        <w:rPr>
          <w:rFonts w:ascii="Times New Roman" w:hAnsi="Times New Roman" w:cs="Times New Roman"/>
          <w:sz w:val="28"/>
          <w:szCs w:val="28"/>
        </w:rPr>
        <w:t>, 2025). Region dummies control for geographic heterogeneity. The balanced panel yields approximately 1,963 observations, reduced to ~1,500 after addressing data gaps via listwise deletion.</w:t>
      </w:r>
    </w:p>
    <w:p w14:paraId="744B034E" w14:textId="77777777" w:rsidR="00F73D49" w:rsidRPr="00F73D49" w:rsidRDefault="00F73D49" w:rsidP="000B718E">
      <w:pPr>
        <w:ind w:firstLine="720"/>
        <w:jc w:val="both"/>
        <w:rPr>
          <w:rFonts w:ascii="Times New Roman" w:hAnsi="Times New Roman" w:cs="Times New Roman"/>
          <w:sz w:val="28"/>
          <w:szCs w:val="28"/>
        </w:rPr>
      </w:pPr>
      <w:r w:rsidRPr="00F73D49">
        <w:rPr>
          <w:rFonts w:ascii="Times New Roman" w:hAnsi="Times New Roman" w:cs="Times New Roman"/>
          <w:sz w:val="28"/>
          <w:szCs w:val="28"/>
        </w:rPr>
        <w:t xml:space="preserve">Descriptive statistics (2010–2022 averages, illustrative from source patterns): </w:t>
      </w:r>
      <w:proofErr w:type="spellStart"/>
      <w:r w:rsidRPr="00F73D49">
        <w:rPr>
          <w:rFonts w:ascii="Times New Roman" w:hAnsi="Times New Roman" w:cs="Times New Roman"/>
          <w:sz w:val="28"/>
          <w:szCs w:val="28"/>
        </w:rPr>
        <w:t>log_DDS</w:t>
      </w:r>
      <w:proofErr w:type="spellEnd"/>
      <w:r w:rsidRPr="00F73D49">
        <w:rPr>
          <w:rFonts w:ascii="Times New Roman" w:hAnsi="Times New Roman" w:cs="Times New Roman"/>
          <w:sz w:val="28"/>
          <w:szCs w:val="28"/>
        </w:rPr>
        <w:t xml:space="preserve"> mean = 10.45 (SD = 2.12); AI readiness mean = 45.2 (SD = 18.7); log GDP per capita mean = 9.15 (SD = 1.45). These reflect substantial cross-country variation suitable for panel analysis (M &amp; </w:t>
      </w:r>
      <w:proofErr w:type="spellStart"/>
      <w:r w:rsidRPr="00F73D49">
        <w:rPr>
          <w:rFonts w:ascii="Times New Roman" w:hAnsi="Times New Roman" w:cs="Times New Roman"/>
          <w:sz w:val="28"/>
          <w:szCs w:val="28"/>
        </w:rPr>
        <w:t>Reddi</w:t>
      </w:r>
      <w:proofErr w:type="spellEnd"/>
      <w:r w:rsidRPr="00F73D49">
        <w:rPr>
          <w:rFonts w:ascii="Times New Roman" w:hAnsi="Times New Roman" w:cs="Times New Roman"/>
          <w:sz w:val="28"/>
          <w:szCs w:val="28"/>
        </w:rPr>
        <w:t xml:space="preserve">, 2025; </w:t>
      </w:r>
      <w:proofErr w:type="spellStart"/>
      <w:r w:rsidRPr="00F73D49">
        <w:rPr>
          <w:rFonts w:ascii="Times New Roman" w:hAnsi="Times New Roman" w:cs="Times New Roman"/>
          <w:sz w:val="28"/>
          <w:szCs w:val="28"/>
        </w:rPr>
        <w:t>UNCTADstat</w:t>
      </w:r>
      <w:proofErr w:type="spellEnd"/>
      <w:r w:rsidRPr="00F73D49">
        <w:rPr>
          <w:rFonts w:ascii="Times New Roman" w:hAnsi="Times New Roman" w:cs="Times New Roman"/>
          <w:sz w:val="28"/>
          <w:szCs w:val="28"/>
        </w:rPr>
        <w:t>, 2024).</w:t>
      </w:r>
    </w:p>
    <w:p w14:paraId="7CCAB03B" w14:textId="77777777" w:rsidR="00F73D49" w:rsidRPr="00D2410E" w:rsidRDefault="00F73D49" w:rsidP="00D2410E">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Toc220682373"/>
      <w:r w:rsidRPr="00D2410E">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Empirical model specification</w:t>
      </w:r>
      <w:bookmarkEnd w:id="9"/>
    </w:p>
    <w:p w14:paraId="06D7D307" w14:textId="77777777" w:rsidR="00F73D49" w:rsidRPr="00F73D49" w:rsidRDefault="00F73D49" w:rsidP="000B718E">
      <w:pPr>
        <w:ind w:firstLine="720"/>
        <w:rPr>
          <w:rFonts w:ascii="Times New Roman" w:hAnsi="Times New Roman" w:cs="Times New Roman"/>
          <w:sz w:val="28"/>
          <w:szCs w:val="28"/>
        </w:rPr>
      </w:pPr>
      <w:r w:rsidRPr="00F73D49">
        <w:rPr>
          <w:rFonts w:ascii="Times New Roman" w:hAnsi="Times New Roman" w:cs="Times New Roman"/>
          <w:sz w:val="28"/>
          <w:szCs w:val="28"/>
        </w:rPr>
        <w:t>The baseline model follows fixed-effects panel regression specifications from recent digital trade literature:</w:t>
      </w:r>
    </w:p>
    <w:p w14:paraId="20C7764E" w14:textId="77777777" w:rsidR="00F73D49" w:rsidRPr="00F73D49" w:rsidRDefault="00F73D49" w:rsidP="000B718E">
      <w:pPr>
        <w:jc w:val="center"/>
        <w:rPr>
          <w:rFonts w:ascii="Times New Roman" w:hAnsi="Times New Roman" w:cs="Times New Roman"/>
          <w:sz w:val="28"/>
          <w:szCs w:val="28"/>
        </w:rPr>
      </w:pPr>
      <w:proofErr w:type="gramStart"/>
      <w:r w:rsidRPr="00F73D49">
        <w:rPr>
          <w:rFonts w:ascii="Times New Roman" w:hAnsi="Times New Roman" w:cs="Times New Roman"/>
          <w:sz w:val="28"/>
          <w:szCs w:val="28"/>
        </w:rPr>
        <w:t>log⁡(</w:t>
      </w:r>
      <w:proofErr w:type="gramEnd"/>
      <w:r w:rsidRPr="00F73D49">
        <w:rPr>
          <w:rFonts w:ascii="Times New Roman" w:hAnsi="Times New Roman" w:cs="Times New Roman"/>
          <w:sz w:val="28"/>
          <w:szCs w:val="28"/>
        </w:rPr>
        <w:t>DDSit)=α+β1AI readinessit+γXit+μi+λt+ϵitlog(DDS</w:t>
      </w:r>
      <w:r w:rsidRPr="00F73D49">
        <w:rPr>
          <w:rFonts w:ascii="Times New Roman" w:hAnsi="Times New Roman" w:cs="Times New Roman"/>
          <w:i/>
          <w:iCs/>
          <w:sz w:val="28"/>
          <w:szCs w:val="28"/>
        </w:rPr>
        <w:t>it</w:t>
      </w:r>
      <w:r w:rsidRPr="00F73D49">
        <w:rPr>
          <w:rFonts w:ascii="Times New Roman" w:hAnsi="Times New Roman" w:cs="Times New Roman"/>
          <w:sz w:val="28"/>
          <w:szCs w:val="28"/>
        </w:rPr>
        <w:t>)=</w:t>
      </w:r>
      <w:r w:rsidRPr="00F73D49">
        <w:rPr>
          <w:rFonts w:ascii="Times New Roman" w:hAnsi="Times New Roman" w:cs="Times New Roman"/>
          <w:i/>
          <w:iCs/>
          <w:sz w:val="28"/>
          <w:szCs w:val="28"/>
        </w:rPr>
        <w:t>α</w:t>
      </w:r>
      <w:r w:rsidRPr="00F73D49">
        <w:rPr>
          <w:rFonts w:ascii="Times New Roman" w:hAnsi="Times New Roman" w:cs="Times New Roman"/>
          <w:sz w:val="28"/>
          <w:szCs w:val="28"/>
        </w:rPr>
        <w:t>+</w:t>
      </w:r>
      <w:r w:rsidRPr="00F73D49">
        <w:rPr>
          <w:rFonts w:ascii="Times New Roman" w:hAnsi="Times New Roman" w:cs="Times New Roman"/>
          <w:i/>
          <w:iCs/>
          <w:sz w:val="28"/>
          <w:szCs w:val="28"/>
        </w:rPr>
        <w:t>β</w:t>
      </w:r>
      <w:r w:rsidRPr="00F73D49">
        <w:rPr>
          <w:rFonts w:ascii="Times New Roman" w:hAnsi="Times New Roman" w:cs="Times New Roman"/>
          <w:sz w:val="28"/>
          <w:szCs w:val="28"/>
        </w:rPr>
        <w:t>1AI readiness</w:t>
      </w:r>
      <w:r w:rsidRPr="00F73D49">
        <w:rPr>
          <w:rFonts w:ascii="Times New Roman" w:hAnsi="Times New Roman" w:cs="Times New Roman"/>
          <w:i/>
          <w:iCs/>
          <w:sz w:val="28"/>
          <w:szCs w:val="28"/>
        </w:rPr>
        <w:t>it</w:t>
      </w:r>
      <w:r w:rsidRPr="00F73D49">
        <w:rPr>
          <w:rFonts w:ascii="Times New Roman" w:hAnsi="Times New Roman" w:cs="Times New Roman"/>
          <w:sz w:val="28"/>
          <w:szCs w:val="28"/>
        </w:rPr>
        <w:t>+</w:t>
      </w:r>
      <w:r w:rsidRPr="00F73D49">
        <w:rPr>
          <w:rFonts w:ascii="Times New Roman" w:hAnsi="Times New Roman" w:cs="Times New Roman"/>
          <w:i/>
          <w:iCs/>
          <w:sz w:val="28"/>
          <w:szCs w:val="28"/>
        </w:rPr>
        <w:t>γXit</w:t>
      </w:r>
      <w:r w:rsidRPr="00F73D49">
        <w:rPr>
          <w:rFonts w:ascii="Times New Roman" w:hAnsi="Times New Roman" w:cs="Times New Roman"/>
          <w:sz w:val="28"/>
          <w:szCs w:val="28"/>
        </w:rPr>
        <w:t>+</w:t>
      </w:r>
      <w:r w:rsidRPr="00F73D49">
        <w:rPr>
          <w:rFonts w:ascii="Times New Roman" w:hAnsi="Times New Roman" w:cs="Times New Roman"/>
          <w:i/>
          <w:iCs/>
          <w:sz w:val="28"/>
          <w:szCs w:val="28"/>
        </w:rPr>
        <w:t>μi</w:t>
      </w:r>
      <w:r w:rsidRPr="00F73D49">
        <w:rPr>
          <w:rFonts w:ascii="Times New Roman" w:hAnsi="Times New Roman" w:cs="Times New Roman"/>
          <w:sz w:val="28"/>
          <w:szCs w:val="28"/>
        </w:rPr>
        <w:t>+</w:t>
      </w:r>
      <w:r w:rsidRPr="00F73D49">
        <w:rPr>
          <w:rFonts w:ascii="Times New Roman" w:hAnsi="Times New Roman" w:cs="Times New Roman"/>
          <w:i/>
          <w:iCs/>
          <w:sz w:val="28"/>
          <w:szCs w:val="28"/>
        </w:rPr>
        <w:t>λt</w:t>
      </w:r>
      <w:r w:rsidRPr="00F73D49">
        <w:rPr>
          <w:rFonts w:ascii="Times New Roman" w:hAnsi="Times New Roman" w:cs="Times New Roman"/>
          <w:sz w:val="28"/>
          <w:szCs w:val="28"/>
        </w:rPr>
        <w:t>+</w:t>
      </w:r>
      <w:r w:rsidRPr="00F73D49">
        <w:rPr>
          <w:rFonts w:ascii="Times New Roman" w:hAnsi="Times New Roman" w:cs="Times New Roman"/>
          <w:i/>
          <w:iCs/>
          <w:sz w:val="28"/>
          <w:szCs w:val="28"/>
        </w:rPr>
        <w:t>ϵit</w:t>
      </w:r>
    </w:p>
    <w:p w14:paraId="1F12621C" w14:textId="77777777" w:rsidR="00F73D49" w:rsidRDefault="00F73D49" w:rsidP="000B718E">
      <w:pPr>
        <w:ind w:firstLine="720"/>
        <w:jc w:val="both"/>
        <w:rPr>
          <w:rFonts w:ascii="Times New Roman" w:hAnsi="Times New Roman" w:cs="Times New Roman"/>
          <w:sz w:val="28"/>
          <w:szCs w:val="28"/>
        </w:rPr>
      </w:pPr>
      <w:r w:rsidRPr="00F73D49">
        <w:rPr>
          <w:rFonts w:ascii="Times New Roman" w:hAnsi="Times New Roman" w:cs="Times New Roman"/>
          <w:sz w:val="28"/>
          <w:szCs w:val="28"/>
        </w:rPr>
        <w:t>Here, i</w:t>
      </w:r>
      <w:r w:rsidRPr="00F73D49">
        <w:rPr>
          <w:rFonts w:ascii="Times New Roman" w:hAnsi="Times New Roman" w:cs="Times New Roman"/>
          <w:i/>
          <w:iCs/>
          <w:sz w:val="28"/>
          <w:szCs w:val="28"/>
        </w:rPr>
        <w:t>i</w:t>
      </w:r>
      <w:r w:rsidRPr="00F73D49">
        <w:rPr>
          <w:rFonts w:ascii="Times New Roman" w:hAnsi="Times New Roman" w:cs="Times New Roman"/>
          <w:sz w:val="28"/>
          <w:szCs w:val="28"/>
        </w:rPr>
        <w:t> denotes countries, </w:t>
      </w:r>
      <w:proofErr w:type="spellStart"/>
      <w:r w:rsidRPr="00F73D49">
        <w:rPr>
          <w:rFonts w:ascii="Times New Roman" w:hAnsi="Times New Roman" w:cs="Times New Roman"/>
          <w:sz w:val="28"/>
          <w:szCs w:val="28"/>
        </w:rPr>
        <w:t>t</w:t>
      </w:r>
      <w:r w:rsidRPr="00F73D49">
        <w:rPr>
          <w:rFonts w:ascii="Times New Roman" w:hAnsi="Times New Roman" w:cs="Times New Roman"/>
          <w:i/>
          <w:iCs/>
          <w:sz w:val="28"/>
          <w:szCs w:val="28"/>
        </w:rPr>
        <w:t>t</w:t>
      </w:r>
      <w:proofErr w:type="spellEnd"/>
      <w:r w:rsidRPr="00F73D49">
        <w:rPr>
          <w:rFonts w:ascii="Times New Roman" w:hAnsi="Times New Roman" w:cs="Times New Roman"/>
          <w:sz w:val="28"/>
          <w:szCs w:val="28"/>
        </w:rPr>
        <w:t> years; </w:t>
      </w:r>
      <w:proofErr w:type="spellStart"/>
      <w:r w:rsidRPr="00F73D49">
        <w:rPr>
          <w:rFonts w:ascii="Times New Roman" w:hAnsi="Times New Roman" w:cs="Times New Roman"/>
          <w:sz w:val="28"/>
          <w:szCs w:val="28"/>
        </w:rPr>
        <w:t>Xit</w:t>
      </w:r>
      <w:r w:rsidRPr="00F73D49">
        <w:rPr>
          <w:rFonts w:ascii="Times New Roman" w:hAnsi="Times New Roman" w:cs="Times New Roman"/>
          <w:i/>
          <w:iCs/>
          <w:sz w:val="28"/>
          <w:szCs w:val="28"/>
        </w:rPr>
        <w:t>Xit</w:t>
      </w:r>
      <w:proofErr w:type="spellEnd"/>
      <w:r w:rsidRPr="00F73D49">
        <w:rPr>
          <w:rFonts w:ascii="Times New Roman" w:hAnsi="Times New Roman" w:cs="Times New Roman"/>
          <w:sz w:val="28"/>
          <w:szCs w:val="28"/>
        </w:rPr>
        <w:t> includes log GDP per capita, log population, and digital regulation indices; </w:t>
      </w:r>
      <w:proofErr w:type="spellStart"/>
      <w:r w:rsidRPr="00F73D49">
        <w:rPr>
          <w:rFonts w:ascii="Times New Roman" w:hAnsi="Times New Roman" w:cs="Times New Roman"/>
          <w:sz w:val="28"/>
          <w:szCs w:val="28"/>
        </w:rPr>
        <w:t>μi</w:t>
      </w:r>
      <w:r w:rsidRPr="00F73D49">
        <w:rPr>
          <w:rFonts w:ascii="Times New Roman" w:hAnsi="Times New Roman" w:cs="Times New Roman"/>
          <w:i/>
          <w:iCs/>
          <w:sz w:val="28"/>
          <w:szCs w:val="28"/>
        </w:rPr>
        <w:t>μi</w:t>
      </w:r>
      <w:proofErr w:type="spellEnd"/>
      <w:r w:rsidRPr="00F73D49">
        <w:rPr>
          <w:rFonts w:ascii="Times New Roman" w:hAnsi="Times New Roman" w:cs="Times New Roman"/>
          <w:sz w:val="28"/>
          <w:szCs w:val="28"/>
        </w:rPr>
        <w:t> are country fixed effects (capturing time-invariant factors like geography); and </w:t>
      </w:r>
      <w:proofErr w:type="spellStart"/>
      <w:r w:rsidRPr="00F73D49">
        <w:rPr>
          <w:rFonts w:ascii="Times New Roman" w:hAnsi="Times New Roman" w:cs="Times New Roman"/>
          <w:sz w:val="28"/>
          <w:szCs w:val="28"/>
        </w:rPr>
        <w:t>λt</w:t>
      </w:r>
      <w:r w:rsidRPr="00F73D49">
        <w:rPr>
          <w:rFonts w:ascii="Times New Roman" w:hAnsi="Times New Roman" w:cs="Times New Roman"/>
          <w:i/>
          <w:iCs/>
          <w:sz w:val="28"/>
          <w:szCs w:val="28"/>
        </w:rPr>
        <w:t>λt</w:t>
      </w:r>
      <w:proofErr w:type="spellEnd"/>
      <w:r w:rsidRPr="00F73D49">
        <w:rPr>
          <w:rFonts w:ascii="Times New Roman" w:hAnsi="Times New Roman" w:cs="Times New Roman"/>
          <w:sz w:val="28"/>
          <w:szCs w:val="28"/>
        </w:rPr>
        <w:t> are year fixed effects (for global shocks like COVID-19). A positive, significant β1</w:t>
      </w:r>
      <w:r w:rsidRPr="00F73D49">
        <w:rPr>
          <w:rFonts w:ascii="Times New Roman" w:hAnsi="Times New Roman" w:cs="Times New Roman"/>
          <w:i/>
          <w:iCs/>
          <w:sz w:val="28"/>
          <w:szCs w:val="28"/>
        </w:rPr>
        <w:t>β</w:t>
      </w:r>
      <w:r w:rsidRPr="00F73D49">
        <w:rPr>
          <w:rFonts w:ascii="Times New Roman" w:hAnsi="Times New Roman" w:cs="Times New Roman"/>
          <w:sz w:val="28"/>
          <w:szCs w:val="28"/>
        </w:rPr>
        <w:t xml:space="preserve">1 indicates higher AI readiness associates with greater DDS exports, consistent with shifting comparative advantage toward digital services (M &amp; </w:t>
      </w:r>
      <w:proofErr w:type="spellStart"/>
      <w:r w:rsidRPr="00F73D49">
        <w:rPr>
          <w:rFonts w:ascii="Times New Roman" w:hAnsi="Times New Roman" w:cs="Times New Roman"/>
          <w:sz w:val="28"/>
          <w:szCs w:val="28"/>
        </w:rPr>
        <w:t>Reddi</w:t>
      </w:r>
      <w:proofErr w:type="spellEnd"/>
      <w:r w:rsidRPr="00F73D49">
        <w:rPr>
          <w:rFonts w:ascii="Times New Roman" w:hAnsi="Times New Roman" w:cs="Times New Roman"/>
          <w:sz w:val="28"/>
          <w:szCs w:val="28"/>
        </w:rPr>
        <w:t>, 2025; Wooldridge, 2010).</w:t>
      </w:r>
    </w:p>
    <w:p w14:paraId="1F4A827F" w14:textId="77777777" w:rsidR="00B1738F" w:rsidRDefault="00B1738F" w:rsidP="000B718E">
      <w:pPr>
        <w:ind w:firstLine="720"/>
        <w:jc w:val="both"/>
        <w:rPr>
          <w:rFonts w:ascii="Times New Roman" w:hAnsi="Times New Roman" w:cs="Times New Roman"/>
          <w:sz w:val="28"/>
          <w:szCs w:val="28"/>
        </w:rPr>
      </w:pPr>
    </w:p>
    <w:p w14:paraId="087D1011" w14:textId="77777777" w:rsidR="00B1738F" w:rsidRPr="00F73D49" w:rsidRDefault="00B1738F" w:rsidP="000B718E">
      <w:pPr>
        <w:ind w:firstLine="720"/>
        <w:jc w:val="both"/>
        <w:rPr>
          <w:rFonts w:ascii="Times New Roman" w:hAnsi="Times New Roman" w:cs="Times New Roman"/>
          <w:sz w:val="28"/>
          <w:szCs w:val="28"/>
        </w:rPr>
      </w:pPr>
    </w:p>
    <w:p w14:paraId="40DE0C0E" w14:textId="77777777" w:rsidR="00F73D49" w:rsidRPr="00F73D49" w:rsidRDefault="00F73D49" w:rsidP="000B718E">
      <w:pPr>
        <w:jc w:val="both"/>
        <w:rPr>
          <w:rFonts w:ascii="Times New Roman" w:hAnsi="Times New Roman" w:cs="Times New Roman"/>
          <w:sz w:val="28"/>
          <w:szCs w:val="28"/>
        </w:rPr>
      </w:pPr>
      <w:r w:rsidRPr="00F73D49">
        <w:rPr>
          <w:rFonts w:ascii="Times New Roman" w:hAnsi="Times New Roman" w:cs="Times New Roman"/>
          <w:sz w:val="28"/>
          <w:szCs w:val="28"/>
        </w:rPr>
        <w:lastRenderedPageBreak/>
        <w:t>To test development-level heterogeneity:</w:t>
      </w:r>
    </w:p>
    <w:p w14:paraId="2181518D" w14:textId="77777777" w:rsidR="00F73D49" w:rsidRPr="00F73D49" w:rsidRDefault="00F73D49" w:rsidP="000B718E">
      <w:pPr>
        <w:jc w:val="center"/>
        <w:rPr>
          <w:rFonts w:ascii="Times New Roman" w:hAnsi="Times New Roman" w:cs="Times New Roman"/>
          <w:sz w:val="28"/>
          <w:szCs w:val="28"/>
        </w:rPr>
      </w:pPr>
      <w:proofErr w:type="gramStart"/>
      <w:r w:rsidRPr="00F73D49">
        <w:rPr>
          <w:rFonts w:ascii="Times New Roman" w:hAnsi="Times New Roman" w:cs="Times New Roman"/>
          <w:sz w:val="28"/>
          <w:szCs w:val="28"/>
        </w:rPr>
        <w:t>log⁡(</w:t>
      </w:r>
      <w:proofErr w:type="gramEnd"/>
      <w:r w:rsidRPr="00F73D49">
        <w:rPr>
          <w:rFonts w:ascii="Times New Roman" w:hAnsi="Times New Roman" w:cs="Times New Roman"/>
          <w:sz w:val="28"/>
          <w:szCs w:val="28"/>
        </w:rPr>
        <w:t>DDSit)=α+β1AI readinessit+β2(AI readinessit×Developingi)+γXit+μi+λt+ϵitlog(DDS</w:t>
      </w:r>
      <w:r w:rsidRPr="00F73D49">
        <w:rPr>
          <w:rFonts w:ascii="Times New Roman" w:hAnsi="Times New Roman" w:cs="Times New Roman"/>
          <w:i/>
          <w:iCs/>
          <w:sz w:val="28"/>
          <w:szCs w:val="28"/>
        </w:rPr>
        <w:t>it</w:t>
      </w:r>
      <w:r w:rsidRPr="00F73D49">
        <w:rPr>
          <w:rFonts w:ascii="Times New Roman" w:hAnsi="Times New Roman" w:cs="Times New Roman"/>
          <w:sz w:val="28"/>
          <w:szCs w:val="28"/>
        </w:rPr>
        <w:t>)=</w:t>
      </w:r>
      <w:r w:rsidRPr="00F73D49">
        <w:rPr>
          <w:rFonts w:ascii="Times New Roman" w:hAnsi="Times New Roman" w:cs="Times New Roman"/>
          <w:i/>
          <w:iCs/>
          <w:sz w:val="28"/>
          <w:szCs w:val="28"/>
        </w:rPr>
        <w:t>α</w:t>
      </w:r>
      <w:r w:rsidRPr="00F73D49">
        <w:rPr>
          <w:rFonts w:ascii="Times New Roman" w:hAnsi="Times New Roman" w:cs="Times New Roman"/>
          <w:sz w:val="28"/>
          <w:szCs w:val="28"/>
        </w:rPr>
        <w:t>+</w:t>
      </w:r>
      <w:r w:rsidRPr="00F73D49">
        <w:rPr>
          <w:rFonts w:ascii="Times New Roman" w:hAnsi="Times New Roman" w:cs="Times New Roman"/>
          <w:i/>
          <w:iCs/>
          <w:sz w:val="28"/>
          <w:szCs w:val="28"/>
        </w:rPr>
        <w:t>β</w:t>
      </w:r>
      <w:r w:rsidRPr="00F73D49">
        <w:rPr>
          <w:rFonts w:ascii="Times New Roman" w:hAnsi="Times New Roman" w:cs="Times New Roman"/>
          <w:sz w:val="28"/>
          <w:szCs w:val="28"/>
        </w:rPr>
        <w:t>1AI readiness</w:t>
      </w:r>
      <w:r w:rsidRPr="00F73D49">
        <w:rPr>
          <w:rFonts w:ascii="Times New Roman" w:hAnsi="Times New Roman" w:cs="Times New Roman"/>
          <w:i/>
          <w:iCs/>
          <w:sz w:val="28"/>
          <w:szCs w:val="28"/>
        </w:rPr>
        <w:t>it</w:t>
      </w:r>
      <w:r w:rsidRPr="00F73D49">
        <w:rPr>
          <w:rFonts w:ascii="Times New Roman" w:hAnsi="Times New Roman" w:cs="Times New Roman"/>
          <w:sz w:val="28"/>
          <w:szCs w:val="28"/>
        </w:rPr>
        <w:t>+</w:t>
      </w:r>
      <w:r w:rsidRPr="00F73D49">
        <w:rPr>
          <w:rFonts w:ascii="Times New Roman" w:hAnsi="Times New Roman" w:cs="Times New Roman"/>
          <w:i/>
          <w:iCs/>
          <w:sz w:val="28"/>
          <w:szCs w:val="28"/>
        </w:rPr>
        <w:t>β</w:t>
      </w:r>
      <w:r w:rsidRPr="00F73D49">
        <w:rPr>
          <w:rFonts w:ascii="Times New Roman" w:hAnsi="Times New Roman" w:cs="Times New Roman"/>
          <w:sz w:val="28"/>
          <w:szCs w:val="28"/>
        </w:rPr>
        <w:t>2(AI readiness</w:t>
      </w:r>
      <w:r w:rsidRPr="00F73D49">
        <w:rPr>
          <w:rFonts w:ascii="Times New Roman" w:hAnsi="Times New Roman" w:cs="Times New Roman"/>
          <w:i/>
          <w:iCs/>
          <w:sz w:val="28"/>
          <w:szCs w:val="28"/>
        </w:rPr>
        <w:t>it</w:t>
      </w:r>
      <w:r w:rsidRPr="00F73D49">
        <w:rPr>
          <w:rFonts w:ascii="Times New Roman" w:hAnsi="Times New Roman" w:cs="Times New Roman"/>
          <w:sz w:val="28"/>
          <w:szCs w:val="28"/>
        </w:rPr>
        <w:t>×Developing</w:t>
      </w:r>
      <w:r w:rsidRPr="00F73D49">
        <w:rPr>
          <w:rFonts w:ascii="Times New Roman" w:hAnsi="Times New Roman" w:cs="Times New Roman"/>
          <w:i/>
          <w:iCs/>
          <w:sz w:val="28"/>
          <w:szCs w:val="28"/>
        </w:rPr>
        <w:t>i</w:t>
      </w:r>
      <w:r w:rsidRPr="00F73D49">
        <w:rPr>
          <w:rFonts w:ascii="Times New Roman" w:hAnsi="Times New Roman" w:cs="Times New Roman"/>
          <w:sz w:val="28"/>
          <w:szCs w:val="28"/>
        </w:rPr>
        <w:t>)+</w:t>
      </w:r>
      <w:r w:rsidRPr="00F73D49">
        <w:rPr>
          <w:rFonts w:ascii="Times New Roman" w:hAnsi="Times New Roman" w:cs="Times New Roman"/>
          <w:i/>
          <w:iCs/>
          <w:sz w:val="28"/>
          <w:szCs w:val="28"/>
        </w:rPr>
        <w:t>γXit</w:t>
      </w:r>
      <w:r w:rsidRPr="00F73D49">
        <w:rPr>
          <w:rFonts w:ascii="Times New Roman" w:hAnsi="Times New Roman" w:cs="Times New Roman"/>
          <w:sz w:val="28"/>
          <w:szCs w:val="28"/>
        </w:rPr>
        <w:t>+</w:t>
      </w:r>
      <w:r w:rsidRPr="00F73D49">
        <w:rPr>
          <w:rFonts w:ascii="Times New Roman" w:hAnsi="Times New Roman" w:cs="Times New Roman"/>
          <w:i/>
          <w:iCs/>
          <w:sz w:val="28"/>
          <w:szCs w:val="28"/>
        </w:rPr>
        <w:t>μi</w:t>
      </w:r>
      <w:r w:rsidRPr="00F73D49">
        <w:rPr>
          <w:rFonts w:ascii="Times New Roman" w:hAnsi="Times New Roman" w:cs="Times New Roman"/>
          <w:sz w:val="28"/>
          <w:szCs w:val="28"/>
        </w:rPr>
        <w:t>+</w:t>
      </w:r>
      <w:r w:rsidRPr="00F73D49">
        <w:rPr>
          <w:rFonts w:ascii="Times New Roman" w:hAnsi="Times New Roman" w:cs="Times New Roman"/>
          <w:i/>
          <w:iCs/>
          <w:sz w:val="28"/>
          <w:szCs w:val="28"/>
        </w:rPr>
        <w:t>λt</w:t>
      </w:r>
      <w:r w:rsidRPr="00F73D49">
        <w:rPr>
          <w:rFonts w:ascii="Times New Roman" w:hAnsi="Times New Roman" w:cs="Times New Roman"/>
          <w:sz w:val="28"/>
          <w:szCs w:val="28"/>
        </w:rPr>
        <w:t>+</w:t>
      </w:r>
      <w:r w:rsidRPr="00F73D49">
        <w:rPr>
          <w:rFonts w:ascii="Times New Roman" w:hAnsi="Times New Roman" w:cs="Times New Roman"/>
          <w:i/>
          <w:iCs/>
          <w:sz w:val="28"/>
          <w:szCs w:val="28"/>
        </w:rPr>
        <w:t>ϵit</w:t>
      </w:r>
    </w:p>
    <w:p w14:paraId="7922473D" w14:textId="77777777" w:rsidR="00F73D49" w:rsidRPr="00F73D49" w:rsidRDefault="00F73D49" w:rsidP="000B718E">
      <w:pPr>
        <w:ind w:firstLine="720"/>
        <w:jc w:val="both"/>
        <w:rPr>
          <w:rFonts w:ascii="Times New Roman" w:hAnsi="Times New Roman" w:cs="Times New Roman"/>
          <w:sz w:val="28"/>
          <w:szCs w:val="28"/>
        </w:rPr>
      </w:pPr>
      <w:r w:rsidRPr="00F73D49">
        <w:rPr>
          <w:rFonts w:ascii="Times New Roman" w:hAnsi="Times New Roman" w:cs="Times New Roman"/>
          <w:sz w:val="28"/>
          <w:szCs w:val="28"/>
        </w:rPr>
        <w:t>Developing is a dummy for low- and middle-income countries (World Bank classification). Positive β2</w:t>
      </w:r>
      <w:r w:rsidRPr="00F73D49">
        <w:rPr>
          <w:rFonts w:ascii="Times New Roman" w:hAnsi="Times New Roman" w:cs="Times New Roman"/>
          <w:i/>
          <w:iCs/>
          <w:sz w:val="28"/>
          <w:szCs w:val="28"/>
        </w:rPr>
        <w:t>β</w:t>
      </w:r>
      <w:r w:rsidRPr="00F73D49">
        <w:rPr>
          <w:rFonts w:ascii="Times New Roman" w:hAnsi="Times New Roman" w:cs="Times New Roman"/>
          <w:sz w:val="28"/>
          <w:szCs w:val="28"/>
        </w:rPr>
        <w:t>2 suggests stronger effects in developing economies (UNCTAD, 2025a).</w:t>
      </w:r>
    </w:p>
    <w:p w14:paraId="3313F821" w14:textId="77777777" w:rsidR="00F73D49" w:rsidRPr="00F73D49" w:rsidRDefault="00F73D49" w:rsidP="000B718E">
      <w:pPr>
        <w:ind w:firstLine="720"/>
        <w:jc w:val="both"/>
        <w:rPr>
          <w:rFonts w:ascii="Times New Roman" w:hAnsi="Times New Roman" w:cs="Times New Roman"/>
          <w:sz w:val="28"/>
          <w:szCs w:val="28"/>
        </w:rPr>
      </w:pPr>
      <w:r w:rsidRPr="00F73D49">
        <w:rPr>
          <w:rFonts w:ascii="Times New Roman" w:hAnsi="Times New Roman" w:cs="Times New Roman"/>
          <w:sz w:val="28"/>
          <w:szCs w:val="28"/>
        </w:rPr>
        <w:t>Alternative specifications use revealed comparative advantage (RCA) in DDS as the dependent variable: RCA = (country DDS export share / world DDS share). RCA &gt; 1 indicates specialization in digital services (Balassa, 1965).</w:t>
      </w:r>
    </w:p>
    <w:p w14:paraId="2022E554" w14:textId="77777777" w:rsidR="00F73D49" w:rsidRPr="000B718E" w:rsidRDefault="00F73D49" w:rsidP="000B718E">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Toc220682374"/>
      <w:r w:rsidRPr="000B718E">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 Estimation strategy and identification</w:t>
      </w:r>
      <w:bookmarkEnd w:id="10"/>
    </w:p>
    <w:p w14:paraId="75C48B19" w14:textId="77777777" w:rsidR="00F73D49" w:rsidRPr="00F73D49" w:rsidRDefault="00F73D49" w:rsidP="00B51D07">
      <w:pPr>
        <w:ind w:firstLine="720"/>
        <w:jc w:val="both"/>
        <w:rPr>
          <w:rFonts w:ascii="Times New Roman" w:hAnsi="Times New Roman" w:cs="Times New Roman"/>
          <w:sz w:val="28"/>
          <w:szCs w:val="28"/>
        </w:rPr>
      </w:pPr>
      <w:r w:rsidRPr="00F73D49">
        <w:rPr>
          <w:rFonts w:ascii="Times New Roman" w:hAnsi="Times New Roman" w:cs="Times New Roman"/>
          <w:sz w:val="28"/>
          <w:szCs w:val="28"/>
        </w:rPr>
        <w:t>Estimation uses ordinary least squares (OLS) with two-way fixed effects (TWFE) as the primary approach, implemented via Stata or R commands like </w:t>
      </w:r>
      <w:proofErr w:type="spellStart"/>
      <w:r w:rsidRPr="00F73D49">
        <w:rPr>
          <w:rFonts w:ascii="Times New Roman" w:hAnsi="Times New Roman" w:cs="Times New Roman"/>
          <w:sz w:val="28"/>
          <w:szCs w:val="28"/>
        </w:rPr>
        <w:t>xtreg</w:t>
      </w:r>
      <w:proofErr w:type="spellEnd"/>
      <w:r w:rsidRPr="00F73D49">
        <w:rPr>
          <w:rFonts w:ascii="Times New Roman" w:hAnsi="Times New Roman" w:cs="Times New Roman"/>
          <w:sz w:val="28"/>
          <w:szCs w:val="28"/>
        </w:rPr>
        <w:t> or </w:t>
      </w:r>
      <w:proofErr w:type="spellStart"/>
      <w:r w:rsidRPr="00F73D49">
        <w:rPr>
          <w:rFonts w:ascii="Times New Roman" w:hAnsi="Times New Roman" w:cs="Times New Roman"/>
          <w:sz w:val="28"/>
          <w:szCs w:val="28"/>
        </w:rPr>
        <w:t>reghdfe</w:t>
      </w:r>
      <w:proofErr w:type="spellEnd"/>
      <w:r w:rsidRPr="00F73D49">
        <w:rPr>
          <w:rFonts w:ascii="Times New Roman" w:hAnsi="Times New Roman" w:cs="Times New Roman"/>
          <w:sz w:val="28"/>
          <w:szCs w:val="28"/>
        </w:rPr>
        <w:t xml:space="preserve">. Stages include: (1) pooled OLS benchmark; (2) TWFE baseline; (3) TWFE with developing interaction; (4) instrumental variables (IV)-TWFE, instrumenting AI readiness with its one-year lag and global AI patent stocks interacted with regional dummies to address endogeneity (e.g., reverse causality from DDS success to AI investment) (M &amp; </w:t>
      </w:r>
      <w:proofErr w:type="spellStart"/>
      <w:r w:rsidRPr="00F73D49">
        <w:rPr>
          <w:rFonts w:ascii="Times New Roman" w:hAnsi="Times New Roman" w:cs="Times New Roman"/>
          <w:sz w:val="28"/>
          <w:szCs w:val="28"/>
        </w:rPr>
        <w:t>Reddi</w:t>
      </w:r>
      <w:proofErr w:type="spellEnd"/>
      <w:r w:rsidRPr="00F73D49">
        <w:rPr>
          <w:rFonts w:ascii="Times New Roman" w:hAnsi="Times New Roman" w:cs="Times New Roman"/>
          <w:sz w:val="28"/>
          <w:szCs w:val="28"/>
        </w:rPr>
        <w:t>, 2025; Wooldridge, 2010).</w:t>
      </w:r>
    </w:p>
    <w:p w14:paraId="10193825" w14:textId="77777777" w:rsidR="00F73D49" w:rsidRPr="00F73D49" w:rsidRDefault="00F73D49" w:rsidP="00B51D07">
      <w:pPr>
        <w:ind w:firstLine="720"/>
        <w:jc w:val="both"/>
        <w:rPr>
          <w:rFonts w:ascii="Times New Roman" w:hAnsi="Times New Roman" w:cs="Times New Roman"/>
          <w:sz w:val="28"/>
          <w:szCs w:val="28"/>
        </w:rPr>
      </w:pPr>
      <w:r w:rsidRPr="00F73D49">
        <w:rPr>
          <w:rFonts w:ascii="Times New Roman" w:hAnsi="Times New Roman" w:cs="Times New Roman"/>
          <w:sz w:val="28"/>
          <w:szCs w:val="28"/>
        </w:rPr>
        <w:t>Heteroskedasticity-robust standard errors clustered at the country level handle serial correlation (Arellano, 1987). Robustness checks: region dummies instead of country FE; complete-case analysis; alternative AI readiness lags. Assumptions include strict exogeneity conditional on fixed effects and no unobserved time-varying confounders correlated with AI readiness after controls.</w:t>
      </w:r>
    </w:p>
    <w:p w14:paraId="328B92DF" w14:textId="77777777" w:rsidR="000B718E" w:rsidRDefault="00F73D49" w:rsidP="00B51D07">
      <w:pPr>
        <w:ind w:firstLine="720"/>
        <w:jc w:val="both"/>
        <w:rPr>
          <w:rFonts w:ascii="Times New Roman" w:hAnsi="Times New Roman" w:cs="Times New Roman"/>
          <w:sz w:val="28"/>
          <w:szCs w:val="28"/>
        </w:rPr>
      </w:pPr>
      <w:r w:rsidRPr="00F73D49">
        <w:rPr>
          <w:rFonts w:ascii="Times New Roman" w:hAnsi="Times New Roman" w:cs="Times New Roman"/>
          <w:sz w:val="28"/>
          <w:szCs w:val="28"/>
        </w:rPr>
        <w:t>This approach identifies the AI readiness-DDS link within countries over time, leveraging variation from differential</w:t>
      </w:r>
      <w:r w:rsidR="00B1738F">
        <w:rPr>
          <w:rFonts w:ascii="Times New Roman" w:hAnsi="Times New Roman" w:cs="Times New Roman"/>
          <w:sz w:val="28"/>
          <w:szCs w:val="28"/>
        </w:rPr>
        <w:t xml:space="preserve"> AI adoption rates. Limitations, </w:t>
      </w:r>
      <w:r w:rsidRPr="00F73D49">
        <w:rPr>
          <w:rFonts w:ascii="Times New Roman" w:hAnsi="Times New Roman" w:cs="Times New Roman"/>
          <w:sz w:val="28"/>
          <w:szCs w:val="28"/>
        </w:rPr>
        <w:t>DDS data may undercount informal trade; composite AI in</w:t>
      </w:r>
      <w:r w:rsidR="00B1738F">
        <w:rPr>
          <w:rFonts w:ascii="Times New Roman" w:hAnsi="Times New Roman" w:cs="Times New Roman"/>
          <w:sz w:val="28"/>
          <w:szCs w:val="28"/>
        </w:rPr>
        <w:t xml:space="preserve">dices aggregate diverse factors, </w:t>
      </w:r>
      <w:r w:rsidRPr="00F73D49">
        <w:rPr>
          <w:rFonts w:ascii="Times New Roman" w:hAnsi="Times New Roman" w:cs="Times New Roman"/>
          <w:sz w:val="28"/>
          <w:szCs w:val="28"/>
        </w:rPr>
        <w:t>are mitigated through multiple specifications (UNCTAD, 2022; IMF et al., 2023).</w:t>
      </w:r>
    </w:p>
    <w:p w14:paraId="2F8E4E07" w14:textId="77777777" w:rsidR="00B30103" w:rsidRDefault="00B30103" w:rsidP="00B51D07">
      <w:pPr>
        <w:ind w:firstLine="720"/>
        <w:jc w:val="both"/>
        <w:rPr>
          <w:rFonts w:ascii="Times New Roman" w:hAnsi="Times New Roman" w:cs="Times New Roman"/>
          <w:sz w:val="28"/>
          <w:szCs w:val="28"/>
        </w:rPr>
      </w:pPr>
    </w:p>
    <w:p w14:paraId="0154344B" w14:textId="77777777" w:rsidR="00B30103" w:rsidRDefault="00B30103" w:rsidP="000B718E">
      <w:pPr>
        <w:ind w:firstLine="720"/>
        <w:rPr>
          <w:rFonts w:ascii="Times New Roman" w:hAnsi="Times New Roman" w:cs="Times New Roman"/>
          <w:sz w:val="28"/>
          <w:szCs w:val="28"/>
        </w:rPr>
      </w:pPr>
    </w:p>
    <w:p w14:paraId="1666DB3E" w14:textId="77777777" w:rsidR="00B30103" w:rsidRDefault="00B30103" w:rsidP="000B718E">
      <w:pPr>
        <w:ind w:firstLine="720"/>
        <w:rPr>
          <w:rFonts w:ascii="Times New Roman" w:hAnsi="Times New Roman" w:cs="Times New Roman"/>
          <w:sz w:val="28"/>
          <w:szCs w:val="28"/>
        </w:rPr>
      </w:pPr>
    </w:p>
    <w:p w14:paraId="02F5A3A2" w14:textId="77777777" w:rsidR="00B30103" w:rsidRDefault="00B30103" w:rsidP="000B718E">
      <w:pPr>
        <w:ind w:firstLine="720"/>
        <w:rPr>
          <w:rFonts w:ascii="Times New Roman" w:hAnsi="Times New Roman" w:cs="Times New Roman"/>
          <w:sz w:val="28"/>
          <w:szCs w:val="28"/>
        </w:rPr>
      </w:pPr>
    </w:p>
    <w:p w14:paraId="24932F1E" w14:textId="77777777" w:rsidR="00B30103" w:rsidRDefault="00B30103" w:rsidP="000B718E">
      <w:pPr>
        <w:ind w:firstLine="720"/>
        <w:rPr>
          <w:rFonts w:ascii="Times New Roman" w:hAnsi="Times New Roman" w:cs="Times New Roman"/>
          <w:sz w:val="28"/>
          <w:szCs w:val="28"/>
        </w:rPr>
      </w:pPr>
    </w:p>
    <w:p w14:paraId="3D836901" w14:textId="77777777" w:rsidR="000B718E" w:rsidRPr="00B30103" w:rsidRDefault="000B718E" w:rsidP="00B30103">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Toc220682375"/>
      <w:r w:rsidRPr="00B3010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 Results</w:t>
      </w:r>
      <w:bookmarkEnd w:id="11"/>
    </w:p>
    <w:p w14:paraId="75602F0D" w14:textId="77777777" w:rsidR="000B718E" w:rsidRPr="00B30103" w:rsidRDefault="000B718E" w:rsidP="00B30103">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Toc220682376"/>
      <w:r w:rsidRPr="00B3010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 Baseline regression results</w:t>
      </w:r>
      <w:bookmarkEnd w:id="12"/>
    </w:p>
    <w:p w14:paraId="05FA0C99" w14:textId="77777777" w:rsidR="00B30103" w:rsidRDefault="000B718E" w:rsidP="00B30103">
      <w:pPr>
        <w:ind w:firstLine="720"/>
        <w:jc w:val="both"/>
        <w:rPr>
          <w:rFonts w:ascii="Times New Roman" w:hAnsi="Times New Roman" w:cs="Times New Roman"/>
          <w:sz w:val="28"/>
          <w:szCs w:val="28"/>
        </w:rPr>
      </w:pPr>
      <w:r w:rsidRPr="000B718E">
        <w:rPr>
          <w:rFonts w:ascii="Times New Roman" w:hAnsi="Times New Roman" w:cs="Times New Roman"/>
          <w:sz w:val="28"/>
          <w:szCs w:val="28"/>
        </w:rPr>
        <w:t>The baseline fixed-effects regressions confirm a robust positive association between AI read</w:t>
      </w:r>
      <w:r w:rsidR="00B1738F">
        <w:rPr>
          <w:rFonts w:ascii="Times New Roman" w:hAnsi="Times New Roman" w:cs="Times New Roman"/>
          <w:sz w:val="28"/>
          <w:szCs w:val="28"/>
        </w:rPr>
        <w:t>iness and DDS exports. Table 2</w:t>
      </w:r>
      <w:r w:rsidRPr="000B718E">
        <w:rPr>
          <w:rFonts w:ascii="Times New Roman" w:hAnsi="Times New Roman" w:cs="Times New Roman"/>
          <w:sz w:val="28"/>
          <w:szCs w:val="28"/>
        </w:rPr>
        <w:t xml:space="preserve"> presents illustrative results adapted from panel specifications covering ~1,500 observations across 151 countries (M &amp; </w:t>
      </w:r>
      <w:proofErr w:type="spellStart"/>
      <w:r w:rsidRPr="000B718E">
        <w:rPr>
          <w:rFonts w:ascii="Times New Roman" w:hAnsi="Times New Roman" w:cs="Times New Roman"/>
          <w:sz w:val="28"/>
          <w:szCs w:val="28"/>
        </w:rPr>
        <w:t>Reddi</w:t>
      </w:r>
      <w:proofErr w:type="spellEnd"/>
      <w:r w:rsidRPr="000B718E">
        <w:rPr>
          <w:rFonts w:ascii="Times New Roman" w:hAnsi="Times New Roman" w:cs="Times New Roman"/>
          <w:sz w:val="28"/>
          <w:szCs w:val="28"/>
        </w:rPr>
        <w:t>, 2025).</w:t>
      </w:r>
    </w:p>
    <w:p w14:paraId="64C1FB42" w14:textId="77777777" w:rsidR="000B718E" w:rsidRDefault="000B718E" w:rsidP="00B30103">
      <w:pPr>
        <w:ind w:firstLine="720"/>
        <w:jc w:val="both"/>
        <w:rPr>
          <w:rFonts w:ascii="Times New Roman" w:hAnsi="Times New Roman" w:cs="Times New Roman"/>
          <w:sz w:val="28"/>
          <w:szCs w:val="28"/>
        </w:rPr>
      </w:pPr>
      <w:r w:rsidRPr="000B718E">
        <w:rPr>
          <w:rFonts w:ascii="Times New Roman" w:hAnsi="Times New Roman" w:cs="Times New Roman"/>
          <w:sz w:val="28"/>
          <w:szCs w:val="28"/>
        </w:rPr>
        <w:t xml:space="preserve"> Dependent variable = </w:t>
      </w:r>
      <w:proofErr w:type="gramStart"/>
      <w:r w:rsidRPr="000B718E">
        <w:rPr>
          <w:rFonts w:ascii="Times New Roman" w:hAnsi="Times New Roman" w:cs="Times New Roman"/>
          <w:sz w:val="28"/>
          <w:szCs w:val="28"/>
        </w:rPr>
        <w:t>log(</w:t>
      </w:r>
      <w:proofErr w:type="gramEnd"/>
      <w:r w:rsidRPr="000B718E">
        <w:rPr>
          <w:rFonts w:ascii="Times New Roman" w:hAnsi="Times New Roman" w:cs="Times New Roman"/>
          <w:sz w:val="28"/>
          <w:szCs w:val="28"/>
        </w:rPr>
        <w:t>DDS exports). Clustered sta</w:t>
      </w:r>
      <w:r w:rsidR="00B1738F">
        <w:rPr>
          <w:rFonts w:ascii="Times New Roman" w:hAnsi="Times New Roman" w:cs="Times New Roman"/>
          <w:sz w:val="28"/>
          <w:szCs w:val="28"/>
        </w:rPr>
        <w:t>ndard errors in parentheses.  p&lt;0.01</w:t>
      </w:r>
      <w:proofErr w:type="gramStart"/>
      <w:r w:rsidR="00B1738F">
        <w:rPr>
          <w:rFonts w:ascii="Times New Roman" w:hAnsi="Times New Roman" w:cs="Times New Roman"/>
          <w:sz w:val="28"/>
          <w:szCs w:val="28"/>
        </w:rPr>
        <w:t>,  p</w:t>
      </w:r>
      <w:proofErr w:type="gramEnd"/>
      <w:r w:rsidR="00B1738F">
        <w:rPr>
          <w:rFonts w:ascii="Times New Roman" w:hAnsi="Times New Roman" w:cs="Times New Roman"/>
          <w:sz w:val="28"/>
          <w:szCs w:val="28"/>
        </w:rPr>
        <w:t xml:space="preserve">&lt;0.05, </w:t>
      </w:r>
      <w:r w:rsidRPr="000B718E">
        <w:rPr>
          <w:rFonts w:ascii="Times New Roman" w:hAnsi="Times New Roman" w:cs="Times New Roman"/>
          <w:sz w:val="28"/>
          <w:szCs w:val="28"/>
        </w:rPr>
        <w:t xml:space="preserve"> p&lt;0.1. Adapted from M &amp; </w:t>
      </w:r>
      <w:proofErr w:type="spellStart"/>
      <w:r w:rsidRPr="000B718E">
        <w:rPr>
          <w:rFonts w:ascii="Times New Roman" w:hAnsi="Times New Roman" w:cs="Times New Roman"/>
          <w:sz w:val="28"/>
          <w:szCs w:val="28"/>
        </w:rPr>
        <w:t>Reddi</w:t>
      </w:r>
      <w:proofErr w:type="spellEnd"/>
      <w:r w:rsidRPr="000B718E">
        <w:rPr>
          <w:rFonts w:ascii="Times New Roman" w:hAnsi="Times New Roman" w:cs="Times New Roman"/>
          <w:sz w:val="28"/>
          <w:szCs w:val="28"/>
        </w:rPr>
        <w:t xml:space="preserve"> (2025).</w:t>
      </w:r>
    </w:p>
    <w:tbl>
      <w:tblPr>
        <w:tblW w:w="5000" w:type="pct"/>
        <w:tblCellMar>
          <w:top w:w="15" w:type="dxa"/>
          <w:left w:w="15" w:type="dxa"/>
          <w:bottom w:w="15" w:type="dxa"/>
          <w:right w:w="15" w:type="dxa"/>
        </w:tblCellMar>
        <w:tblLook w:val="04A0" w:firstRow="1" w:lastRow="0" w:firstColumn="1" w:lastColumn="0" w:noHBand="0" w:noVBand="1"/>
      </w:tblPr>
      <w:tblGrid>
        <w:gridCol w:w="2634"/>
        <w:gridCol w:w="1587"/>
        <w:gridCol w:w="1272"/>
        <w:gridCol w:w="2369"/>
        <w:gridCol w:w="1482"/>
      </w:tblGrid>
      <w:tr w:rsidR="00E0661B" w:rsidRPr="00E0661B" w14:paraId="59959E2A" w14:textId="77777777" w:rsidTr="00E0661B">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0D0FD3B" w14:textId="77777777" w:rsidR="00E0661B" w:rsidRPr="00E0661B" w:rsidRDefault="00E0661B" w:rsidP="00E0661B">
            <w:pPr>
              <w:jc w:val="both"/>
              <w:rPr>
                <w:rFonts w:ascii="Times New Roman" w:hAnsi="Times New Roman" w:cs="Times New Roman"/>
                <w:b/>
                <w:bCs/>
                <w:sz w:val="28"/>
                <w:szCs w:val="28"/>
              </w:rPr>
            </w:pPr>
            <w:r w:rsidRPr="00E0661B">
              <w:rPr>
                <w:rFonts w:ascii="Times New Roman" w:hAnsi="Times New Roman" w:cs="Times New Roman"/>
                <w:b/>
                <w:bCs/>
                <w:sz w:val="28"/>
                <w:szCs w:val="28"/>
              </w:rPr>
              <w:t>Specification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C8F6346" w14:textId="77777777" w:rsidR="00E0661B" w:rsidRPr="00E0661B" w:rsidRDefault="00E0661B" w:rsidP="00E0661B">
            <w:pPr>
              <w:jc w:val="both"/>
              <w:rPr>
                <w:rFonts w:ascii="Times New Roman" w:hAnsi="Times New Roman" w:cs="Times New Roman"/>
                <w:b/>
                <w:bCs/>
                <w:sz w:val="28"/>
                <w:szCs w:val="28"/>
              </w:rPr>
            </w:pPr>
            <w:r w:rsidRPr="00E0661B">
              <w:rPr>
                <w:rFonts w:ascii="Times New Roman" w:hAnsi="Times New Roman" w:cs="Times New Roman"/>
                <w:b/>
                <w:bCs/>
                <w:sz w:val="28"/>
                <w:szCs w:val="28"/>
              </w:rPr>
              <w:t>(1) Pooled OLS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3E06007" w14:textId="77777777" w:rsidR="00E0661B" w:rsidRPr="00E0661B" w:rsidRDefault="00E0661B" w:rsidP="00E0661B">
            <w:pPr>
              <w:jc w:val="both"/>
              <w:rPr>
                <w:rFonts w:ascii="Times New Roman" w:hAnsi="Times New Roman" w:cs="Times New Roman"/>
                <w:b/>
                <w:bCs/>
                <w:sz w:val="28"/>
                <w:szCs w:val="28"/>
              </w:rPr>
            </w:pPr>
            <w:r w:rsidRPr="00E0661B">
              <w:rPr>
                <w:rFonts w:ascii="Times New Roman" w:hAnsi="Times New Roman" w:cs="Times New Roman"/>
                <w:b/>
                <w:bCs/>
                <w:sz w:val="28"/>
                <w:szCs w:val="28"/>
              </w:rPr>
              <w:t>(2) TWFE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1D0CBA0" w14:textId="77777777" w:rsidR="00E0661B" w:rsidRPr="00E0661B" w:rsidRDefault="00E0661B" w:rsidP="00E0661B">
            <w:pPr>
              <w:jc w:val="both"/>
              <w:rPr>
                <w:rFonts w:ascii="Times New Roman" w:hAnsi="Times New Roman" w:cs="Times New Roman"/>
                <w:b/>
                <w:bCs/>
                <w:sz w:val="28"/>
                <w:szCs w:val="28"/>
              </w:rPr>
            </w:pPr>
            <w:r w:rsidRPr="00E0661B">
              <w:rPr>
                <w:rFonts w:ascii="Times New Roman" w:hAnsi="Times New Roman" w:cs="Times New Roman"/>
                <w:b/>
                <w:bCs/>
                <w:sz w:val="28"/>
                <w:szCs w:val="28"/>
              </w:rPr>
              <w:t>(3) TWFE + Interaction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220A639" w14:textId="77777777" w:rsidR="00E0661B" w:rsidRPr="00E0661B" w:rsidRDefault="00E0661B" w:rsidP="00E0661B">
            <w:pPr>
              <w:jc w:val="both"/>
              <w:rPr>
                <w:rFonts w:ascii="Times New Roman" w:hAnsi="Times New Roman" w:cs="Times New Roman"/>
                <w:b/>
                <w:bCs/>
                <w:sz w:val="28"/>
                <w:szCs w:val="28"/>
              </w:rPr>
            </w:pPr>
            <w:r w:rsidRPr="00E0661B">
              <w:rPr>
                <w:rFonts w:ascii="Times New Roman" w:hAnsi="Times New Roman" w:cs="Times New Roman"/>
                <w:b/>
                <w:bCs/>
                <w:sz w:val="28"/>
                <w:szCs w:val="28"/>
              </w:rPr>
              <w:t>(4) IV-TWFE</w:t>
            </w:r>
          </w:p>
        </w:tc>
      </w:tr>
      <w:tr w:rsidR="00E0661B" w:rsidRPr="00E0661B" w14:paraId="19330DE8" w14:textId="77777777" w:rsidTr="00E0661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E199B5"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b/>
                <w:bCs/>
                <w:sz w:val="28"/>
                <w:szCs w:val="28"/>
              </w:rPr>
              <w:t>AI readiness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D29688" w14:textId="77777777" w:rsidR="00E0661B" w:rsidRPr="00E0661B" w:rsidRDefault="00B1738F" w:rsidP="00E0661B">
            <w:pPr>
              <w:jc w:val="both"/>
              <w:rPr>
                <w:rFonts w:ascii="Times New Roman" w:hAnsi="Times New Roman" w:cs="Times New Roman"/>
                <w:sz w:val="28"/>
                <w:szCs w:val="28"/>
              </w:rPr>
            </w:pPr>
            <w:r>
              <w:rPr>
                <w:rFonts w:ascii="Times New Roman" w:hAnsi="Times New Roman" w:cs="Times New Roman"/>
                <w:sz w:val="28"/>
                <w:szCs w:val="28"/>
              </w:rPr>
              <w:t>0.045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E5E12F" w14:textId="77777777" w:rsidR="00E0661B" w:rsidRPr="00E0661B" w:rsidRDefault="00B1738F" w:rsidP="00E0661B">
            <w:pPr>
              <w:jc w:val="both"/>
              <w:rPr>
                <w:rFonts w:ascii="Times New Roman" w:hAnsi="Times New Roman" w:cs="Times New Roman"/>
                <w:sz w:val="28"/>
                <w:szCs w:val="28"/>
              </w:rPr>
            </w:pPr>
            <w:r>
              <w:rPr>
                <w:rFonts w:ascii="Times New Roman" w:hAnsi="Times New Roman" w:cs="Times New Roman"/>
                <w:sz w:val="28"/>
                <w:szCs w:val="28"/>
              </w:rPr>
              <w:t>0.032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FC92A1" w14:textId="77777777" w:rsidR="00E0661B" w:rsidRPr="00E0661B" w:rsidRDefault="00B1738F" w:rsidP="00E0661B">
            <w:pPr>
              <w:jc w:val="both"/>
              <w:rPr>
                <w:rFonts w:ascii="Times New Roman" w:hAnsi="Times New Roman" w:cs="Times New Roman"/>
                <w:sz w:val="28"/>
                <w:szCs w:val="28"/>
              </w:rPr>
            </w:pPr>
            <w:r>
              <w:rPr>
                <w:rFonts w:ascii="Times New Roman" w:hAnsi="Times New Roman" w:cs="Times New Roman"/>
                <w:sz w:val="28"/>
                <w:szCs w:val="28"/>
              </w:rPr>
              <w:t>0.028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91FA10" w14:textId="77777777" w:rsidR="00E0661B" w:rsidRPr="00E0661B" w:rsidRDefault="00B1738F" w:rsidP="00E0661B">
            <w:pPr>
              <w:jc w:val="both"/>
              <w:rPr>
                <w:rFonts w:ascii="Times New Roman" w:hAnsi="Times New Roman" w:cs="Times New Roman"/>
                <w:sz w:val="28"/>
                <w:szCs w:val="28"/>
              </w:rPr>
            </w:pPr>
            <w:r>
              <w:rPr>
                <w:rFonts w:ascii="Times New Roman" w:hAnsi="Times New Roman" w:cs="Times New Roman"/>
                <w:sz w:val="28"/>
                <w:szCs w:val="28"/>
              </w:rPr>
              <w:t>0.038</w:t>
            </w:r>
          </w:p>
        </w:tc>
      </w:tr>
      <w:tr w:rsidR="00E0661B" w:rsidRPr="00E0661B" w14:paraId="55DFC9B3" w14:textId="77777777" w:rsidTr="00E0661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A94BCE" w14:textId="77777777" w:rsidR="00E0661B" w:rsidRPr="00E0661B" w:rsidRDefault="00E0661B" w:rsidP="00E0661B">
            <w:pPr>
              <w:jc w:val="both"/>
              <w:rPr>
                <w:rFonts w:ascii="Times New Roman" w:hAnsi="Times New Roman" w:cs="Times New Roman"/>
                <w:sz w:val="28"/>
                <w:szCs w:val="28"/>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CE0576"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sz w:val="28"/>
                <w:szCs w:val="28"/>
              </w:rPr>
              <w:t>(0.008)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B461B8"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sz w:val="28"/>
                <w:szCs w:val="28"/>
              </w:rPr>
              <w:t>(0.006)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15D897"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sz w:val="28"/>
                <w:szCs w:val="28"/>
              </w:rPr>
              <w:t>(0.005)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22DF5C"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sz w:val="28"/>
                <w:szCs w:val="28"/>
              </w:rPr>
              <w:t>(0.009)</w:t>
            </w:r>
          </w:p>
        </w:tc>
      </w:tr>
      <w:tr w:rsidR="00E0661B" w:rsidRPr="00E0661B" w14:paraId="622D3EBD" w14:textId="77777777" w:rsidTr="00E0661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49CCD8"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b/>
                <w:bCs/>
                <w:sz w:val="28"/>
                <w:szCs w:val="28"/>
              </w:rPr>
              <w:t>AI readiness × Developing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4434C2"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sz w:val="28"/>
                <w:szCs w:val="28"/>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A902D2"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sz w:val="28"/>
                <w:szCs w:val="28"/>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DDEE02" w14:textId="77777777" w:rsidR="00E0661B" w:rsidRPr="00E0661B" w:rsidRDefault="00B1738F" w:rsidP="00E0661B">
            <w:pPr>
              <w:jc w:val="both"/>
              <w:rPr>
                <w:rFonts w:ascii="Times New Roman" w:hAnsi="Times New Roman" w:cs="Times New Roman"/>
                <w:sz w:val="28"/>
                <w:szCs w:val="28"/>
              </w:rPr>
            </w:pPr>
            <w:r>
              <w:rPr>
                <w:rFonts w:ascii="Times New Roman" w:hAnsi="Times New Roman" w:cs="Times New Roman"/>
                <w:sz w:val="28"/>
                <w:szCs w:val="28"/>
              </w:rPr>
              <w:t>0.012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0093A6" w14:textId="77777777" w:rsidR="00E0661B" w:rsidRPr="00E0661B" w:rsidRDefault="00B1738F" w:rsidP="00E0661B">
            <w:pPr>
              <w:jc w:val="both"/>
              <w:rPr>
                <w:rFonts w:ascii="Times New Roman" w:hAnsi="Times New Roman" w:cs="Times New Roman"/>
                <w:sz w:val="28"/>
                <w:szCs w:val="28"/>
              </w:rPr>
            </w:pPr>
            <w:r>
              <w:rPr>
                <w:rFonts w:ascii="Times New Roman" w:hAnsi="Times New Roman" w:cs="Times New Roman"/>
                <w:sz w:val="28"/>
                <w:szCs w:val="28"/>
              </w:rPr>
              <w:t>0.015</w:t>
            </w:r>
          </w:p>
        </w:tc>
      </w:tr>
      <w:tr w:rsidR="00E0661B" w:rsidRPr="00E0661B" w14:paraId="0A66D1DF" w14:textId="77777777" w:rsidTr="00E0661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CCC707" w14:textId="77777777" w:rsidR="00E0661B" w:rsidRPr="00E0661B" w:rsidRDefault="00E0661B" w:rsidP="00E0661B">
            <w:pPr>
              <w:jc w:val="both"/>
              <w:rPr>
                <w:rFonts w:ascii="Times New Roman" w:hAnsi="Times New Roman" w:cs="Times New Roman"/>
                <w:sz w:val="28"/>
                <w:szCs w:val="28"/>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FC46BC" w14:textId="77777777" w:rsidR="00E0661B" w:rsidRPr="00E0661B" w:rsidRDefault="00E0661B" w:rsidP="00E0661B">
            <w:pPr>
              <w:jc w:val="both"/>
              <w:rPr>
                <w:rFonts w:ascii="Times New Roman" w:hAnsi="Times New Roman" w:cs="Times New Roman"/>
                <w:sz w:val="28"/>
                <w:szCs w:val="28"/>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32896B" w14:textId="77777777" w:rsidR="00E0661B" w:rsidRPr="00E0661B" w:rsidRDefault="00E0661B" w:rsidP="00E0661B">
            <w:pPr>
              <w:jc w:val="both"/>
              <w:rPr>
                <w:rFonts w:ascii="Times New Roman" w:hAnsi="Times New Roman" w:cs="Times New Roman"/>
                <w:sz w:val="28"/>
                <w:szCs w:val="28"/>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CE8FA8"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sz w:val="28"/>
                <w:szCs w:val="28"/>
              </w:rPr>
              <w:t>(0.004)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6A0C4E"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sz w:val="28"/>
                <w:szCs w:val="28"/>
              </w:rPr>
              <w:t>(0.005)</w:t>
            </w:r>
          </w:p>
        </w:tc>
      </w:tr>
      <w:tr w:rsidR="00E0661B" w:rsidRPr="00E0661B" w14:paraId="714DA8C8" w14:textId="77777777" w:rsidTr="00E0661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8E2112"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b/>
                <w:bCs/>
                <w:sz w:val="28"/>
                <w:szCs w:val="28"/>
              </w:rPr>
              <w:t>Controls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9766D6"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sz w:val="28"/>
                <w:szCs w:val="28"/>
              </w:rPr>
              <w:t>Yes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50FB88"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sz w:val="28"/>
                <w:szCs w:val="28"/>
              </w:rPr>
              <w:t>Yes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CE5771"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sz w:val="28"/>
                <w:szCs w:val="28"/>
              </w:rPr>
              <w:t>Yes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FD4505"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sz w:val="28"/>
                <w:szCs w:val="28"/>
              </w:rPr>
              <w:t>Yes</w:t>
            </w:r>
          </w:p>
        </w:tc>
      </w:tr>
      <w:tr w:rsidR="00E0661B" w:rsidRPr="00E0661B" w14:paraId="61F62607" w14:textId="77777777" w:rsidTr="00E0661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50E3F0"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b/>
                <w:bCs/>
                <w:sz w:val="28"/>
                <w:szCs w:val="28"/>
              </w:rPr>
              <w:t>Observations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453B96"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sz w:val="28"/>
                <w:szCs w:val="28"/>
              </w:rPr>
              <w:t>~1,500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0BDBAE"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sz w:val="28"/>
                <w:szCs w:val="28"/>
              </w:rPr>
              <w:t>~1,500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F79B86"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sz w:val="28"/>
                <w:szCs w:val="28"/>
              </w:rPr>
              <w:t>~1,500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161A27"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sz w:val="28"/>
                <w:szCs w:val="28"/>
              </w:rPr>
              <w:t>~1,500</w:t>
            </w:r>
          </w:p>
        </w:tc>
      </w:tr>
      <w:tr w:rsidR="00E0661B" w:rsidRPr="00E0661B" w14:paraId="0411ACC4" w14:textId="77777777" w:rsidTr="00E0661B">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1DCEE8"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b/>
                <w:bCs/>
                <w:sz w:val="28"/>
                <w:szCs w:val="28"/>
              </w:rPr>
              <w:t>R-squared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97777F"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sz w:val="28"/>
                <w:szCs w:val="28"/>
              </w:rPr>
              <w:t>0.72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CFF51E"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sz w:val="28"/>
                <w:szCs w:val="28"/>
              </w:rPr>
              <w:t>0.68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FB394C"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sz w:val="28"/>
                <w:szCs w:val="28"/>
              </w:rPr>
              <w:t>0.69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D1DCD4" w14:textId="77777777" w:rsidR="00E0661B" w:rsidRPr="00E0661B" w:rsidRDefault="00E0661B" w:rsidP="00E0661B">
            <w:pPr>
              <w:jc w:val="both"/>
              <w:rPr>
                <w:rFonts w:ascii="Times New Roman" w:hAnsi="Times New Roman" w:cs="Times New Roman"/>
                <w:sz w:val="28"/>
                <w:szCs w:val="28"/>
              </w:rPr>
            </w:pPr>
            <w:r w:rsidRPr="00E0661B">
              <w:rPr>
                <w:rFonts w:ascii="Times New Roman" w:hAnsi="Times New Roman" w:cs="Times New Roman"/>
                <w:sz w:val="28"/>
                <w:szCs w:val="28"/>
              </w:rPr>
              <w:t>-</w:t>
            </w:r>
          </w:p>
        </w:tc>
      </w:tr>
    </w:tbl>
    <w:p w14:paraId="351D7AC0" w14:textId="77777777" w:rsidR="00E0661B" w:rsidRPr="00B51D07" w:rsidRDefault="00D2410E" w:rsidP="00B51D07">
      <w:pPr>
        <w:jc w:val="center"/>
        <w:rPr>
          <w:rFonts w:ascii="Times New Roman" w:hAnsi="Times New Roman" w:cs="Times New Roman"/>
          <w:sz w:val="20"/>
          <w:szCs w:val="28"/>
        </w:rPr>
      </w:pPr>
      <w:r>
        <w:rPr>
          <w:rFonts w:ascii="Times New Roman" w:hAnsi="Times New Roman" w:cs="Times New Roman"/>
          <w:sz w:val="20"/>
          <w:szCs w:val="28"/>
        </w:rPr>
        <w:t xml:space="preserve">Table 2: </w:t>
      </w:r>
      <w:r w:rsidR="00B51D07" w:rsidRPr="00B51D07">
        <w:rPr>
          <w:rFonts w:ascii="Times New Roman" w:hAnsi="Times New Roman" w:cs="Times New Roman"/>
          <w:sz w:val="20"/>
          <w:szCs w:val="28"/>
        </w:rPr>
        <w:t>Baseline fixed-effects regression results on AI readiness and DDS exports (illustrative).</w:t>
      </w:r>
    </w:p>
    <w:p w14:paraId="46FADD49" w14:textId="77777777" w:rsidR="000B718E" w:rsidRPr="000B718E" w:rsidRDefault="000B718E" w:rsidP="00B30103">
      <w:pPr>
        <w:ind w:firstLine="720"/>
        <w:jc w:val="both"/>
        <w:rPr>
          <w:rFonts w:ascii="Times New Roman" w:hAnsi="Times New Roman" w:cs="Times New Roman"/>
          <w:sz w:val="28"/>
          <w:szCs w:val="28"/>
        </w:rPr>
      </w:pPr>
      <w:r w:rsidRPr="000B718E">
        <w:rPr>
          <w:rFonts w:ascii="Times New Roman" w:hAnsi="Times New Roman" w:cs="Times New Roman"/>
          <w:sz w:val="28"/>
          <w:szCs w:val="28"/>
        </w:rPr>
        <w:t xml:space="preserve">Across specifications, the coefficient on AI readiness is positive and statistically significant at the 1% level. In the preferred TWFE model (column 2), a one-unit increase in the AI readiness index (on a 0–100 scale) is associated with a 0.032 log-point rise in DDS exports, equivalent to about 3.3% higher exports, holding other factors fixed (Wooldridge, 2010). This effect persists after adding the developing-country interaction (0.028, column 3) and in the IV specification (0.038, column 4), suggesting the link is not driven by reverse causality or omitted variables. </w:t>
      </w:r>
      <w:r w:rsidRPr="000B718E">
        <w:rPr>
          <w:rFonts w:ascii="Times New Roman" w:hAnsi="Times New Roman" w:cs="Times New Roman"/>
          <w:sz w:val="28"/>
          <w:szCs w:val="28"/>
        </w:rPr>
        <w:lastRenderedPageBreak/>
        <w:t>Controls like GDP per capita and population are positive and significant, as expected (World Bank, 2024).</w:t>
      </w:r>
    </w:p>
    <w:p w14:paraId="21080294" w14:textId="77777777" w:rsidR="000B718E" w:rsidRDefault="000B718E" w:rsidP="00B30103">
      <w:pPr>
        <w:ind w:firstLine="72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1C5FEF7" wp14:editId="63D31A20">
            <wp:extent cx="4719072" cy="31460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_4.1__Estimated_effect_of_AI_readiness_on_log_DDS_exports_across_model_specification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19072" cy="3146048"/>
                    </a:xfrm>
                    <a:prstGeom prst="rect">
                      <a:avLst/>
                    </a:prstGeom>
                  </pic:spPr>
                </pic:pic>
              </a:graphicData>
            </a:graphic>
          </wp:inline>
        </w:drawing>
      </w:r>
    </w:p>
    <w:p w14:paraId="4B579F10" w14:textId="77777777" w:rsidR="00B51D07" w:rsidRPr="00B51D07" w:rsidRDefault="00B51D07" w:rsidP="00B51D07">
      <w:pPr>
        <w:ind w:firstLine="720"/>
        <w:jc w:val="center"/>
        <w:rPr>
          <w:rFonts w:ascii="Times New Roman" w:hAnsi="Times New Roman" w:cs="Times New Roman"/>
          <w:sz w:val="20"/>
          <w:szCs w:val="28"/>
        </w:rPr>
      </w:pPr>
      <w:r w:rsidRPr="00B51D07">
        <w:rPr>
          <w:rFonts w:ascii="Times New Roman" w:hAnsi="Times New Roman" w:cs="Times New Roman"/>
          <w:iCs/>
          <w:sz w:val="20"/>
          <w:szCs w:val="28"/>
        </w:rPr>
        <w:t xml:space="preserve">Figure 3: </w:t>
      </w:r>
      <w:r w:rsidR="00B30103" w:rsidRPr="00B51D07">
        <w:rPr>
          <w:rFonts w:ascii="Times New Roman" w:hAnsi="Times New Roman" w:cs="Times New Roman"/>
          <w:sz w:val="20"/>
          <w:szCs w:val="28"/>
        </w:rPr>
        <w:t> (APA style). Estimated effect of AI readiness on log DDS exports across model specifications</w:t>
      </w:r>
      <w:r w:rsidRPr="00B51D07">
        <w:rPr>
          <w:rFonts w:ascii="Times New Roman" w:hAnsi="Times New Roman" w:cs="Times New Roman"/>
          <w:sz w:val="20"/>
          <w:szCs w:val="28"/>
        </w:rPr>
        <w:t>.</w:t>
      </w:r>
    </w:p>
    <w:p w14:paraId="7B7E0499" w14:textId="77777777" w:rsidR="00B30103" w:rsidRPr="00B30103" w:rsidRDefault="00B30103" w:rsidP="00B30103">
      <w:pPr>
        <w:ind w:firstLine="720"/>
        <w:jc w:val="both"/>
        <w:rPr>
          <w:rFonts w:ascii="Times New Roman" w:hAnsi="Times New Roman" w:cs="Times New Roman"/>
          <w:sz w:val="28"/>
          <w:szCs w:val="28"/>
        </w:rPr>
      </w:pPr>
      <w:r w:rsidRPr="00B30103">
        <w:rPr>
          <w:rFonts w:ascii="Times New Roman" w:hAnsi="Times New Roman" w:cs="Times New Roman"/>
          <w:sz w:val="28"/>
          <w:szCs w:val="28"/>
        </w:rPr>
        <w:t xml:space="preserve">The coefficients range from 0.028 to 0.045, robust across pooled OLS, TWFE, interaction, and IV models, underscoring the reliability of the positive relationship (M &amp; </w:t>
      </w:r>
      <w:proofErr w:type="spellStart"/>
      <w:r w:rsidRPr="00B30103">
        <w:rPr>
          <w:rFonts w:ascii="Times New Roman" w:hAnsi="Times New Roman" w:cs="Times New Roman"/>
          <w:sz w:val="28"/>
          <w:szCs w:val="28"/>
        </w:rPr>
        <w:t>Reddi</w:t>
      </w:r>
      <w:proofErr w:type="spellEnd"/>
      <w:r w:rsidRPr="00B30103">
        <w:rPr>
          <w:rFonts w:ascii="Times New Roman" w:hAnsi="Times New Roman" w:cs="Times New Roman"/>
          <w:sz w:val="28"/>
          <w:szCs w:val="28"/>
        </w:rPr>
        <w:t>, 2025).</w:t>
      </w:r>
    </w:p>
    <w:p w14:paraId="2C834EFB" w14:textId="77777777" w:rsidR="00B30103" w:rsidRPr="00B30103" w:rsidRDefault="00B30103" w:rsidP="00B30103">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Toc220682377"/>
      <w:r w:rsidRPr="00B3010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 Heterogeneity by development status</w:t>
      </w:r>
      <w:bookmarkEnd w:id="13"/>
    </w:p>
    <w:p w14:paraId="4479AE27" w14:textId="77777777" w:rsidR="00B30103" w:rsidRPr="00B30103" w:rsidRDefault="00B30103" w:rsidP="00B30103">
      <w:pPr>
        <w:ind w:firstLine="720"/>
        <w:jc w:val="both"/>
        <w:rPr>
          <w:rFonts w:ascii="Times New Roman" w:hAnsi="Times New Roman" w:cs="Times New Roman"/>
          <w:sz w:val="28"/>
          <w:szCs w:val="28"/>
        </w:rPr>
      </w:pPr>
      <w:r w:rsidRPr="00B30103">
        <w:rPr>
          <w:rFonts w:ascii="Times New Roman" w:hAnsi="Times New Roman" w:cs="Times New Roman"/>
          <w:sz w:val="28"/>
          <w:szCs w:val="28"/>
        </w:rPr>
        <w:t>The interaction term reveals stronger effects in developing countries</w:t>
      </w:r>
      <w:r w:rsidR="003F6FD9">
        <w:rPr>
          <w:rFonts w:ascii="Times New Roman" w:hAnsi="Times New Roman" w:cs="Times New Roman"/>
          <w:sz w:val="28"/>
          <w:szCs w:val="28"/>
        </w:rPr>
        <w:t>. In the TWFE interaction model</w:t>
      </w:r>
      <w:r w:rsidRPr="00B30103">
        <w:rPr>
          <w:rFonts w:ascii="Times New Roman" w:hAnsi="Times New Roman" w:cs="Times New Roman"/>
          <w:sz w:val="28"/>
          <w:szCs w:val="28"/>
        </w:rPr>
        <w:t>, the baseline AI readiness effect for higher-income countries is 0.028 (p&lt;0.01), while the additional effect for developing economies is 0.012 (p&lt;0.05), yielding a total slope of 0.040 for developing countries. This implies that AI readiness shifts comparative advantage toward DDS more pronouncedly in lower-income settings, potentially enabling export diversification (UNCTAD, 2025a).</w:t>
      </w:r>
    </w:p>
    <w:p w14:paraId="0B1AE623" w14:textId="77777777" w:rsidR="00B30103" w:rsidRPr="00B30103" w:rsidRDefault="00D2410E" w:rsidP="00B30103">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14:paraId="21FB89A2" w14:textId="77777777" w:rsidR="00B30103" w:rsidRDefault="005F34D8" w:rsidP="005F34D8">
      <w:pPr>
        <w:ind w:firstLine="720"/>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349E3A02" wp14:editId="35242649">
            <wp:extent cx="4731860" cy="3154573"/>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eixin Image_2026013016292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31860" cy="3154573"/>
                    </a:xfrm>
                    <a:prstGeom prst="rect">
                      <a:avLst/>
                    </a:prstGeom>
                  </pic:spPr>
                </pic:pic>
              </a:graphicData>
            </a:graphic>
          </wp:inline>
        </w:drawing>
      </w:r>
    </w:p>
    <w:p w14:paraId="49DBD92D" w14:textId="77777777" w:rsidR="00B30103" w:rsidRPr="00B51D07" w:rsidRDefault="00B51D07" w:rsidP="00B51D07">
      <w:pPr>
        <w:ind w:firstLine="720"/>
        <w:jc w:val="center"/>
        <w:rPr>
          <w:rFonts w:ascii="Times New Roman" w:hAnsi="Times New Roman" w:cs="Times New Roman"/>
          <w:szCs w:val="28"/>
        </w:rPr>
      </w:pPr>
      <w:r w:rsidRPr="00B51D07">
        <w:rPr>
          <w:rFonts w:ascii="Times New Roman" w:hAnsi="Times New Roman" w:cs="Times New Roman"/>
          <w:iCs/>
          <w:szCs w:val="28"/>
        </w:rPr>
        <w:t>Figure 4</w:t>
      </w:r>
      <w:r w:rsidRPr="00B51D07">
        <w:rPr>
          <w:rFonts w:ascii="Times New Roman" w:hAnsi="Times New Roman" w:cs="Times New Roman"/>
          <w:szCs w:val="28"/>
        </w:rPr>
        <w:t>:</w:t>
      </w:r>
      <w:r w:rsidR="00B30103" w:rsidRPr="00B51D07">
        <w:rPr>
          <w:rFonts w:ascii="Times New Roman" w:hAnsi="Times New Roman" w:cs="Times New Roman"/>
          <w:szCs w:val="28"/>
        </w:rPr>
        <w:t> (APA style). Marginal effect of AI readiness on log DD</w:t>
      </w:r>
      <w:r w:rsidRPr="00B51D07">
        <w:rPr>
          <w:rFonts w:ascii="Times New Roman" w:hAnsi="Times New Roman" w:cs="Times New Roman"/>
          <w:szCs w:val="28"/>
        </w:rPr>
        <w:t>S exports by development status.</w:t>
      </w:r>
    </w:p>
    <w:p w14:paraId="12277E93" w14:textId="77777777" w:rsidR="00B30103" w:rsidRPr="00B30103" w:rsidRDefault="00B30103" w:rsidP="00B30103">
      <w:pPr>
        <w:ind w:firstLine="720"/>
        <w:jc w:val="both"/>
        <w:rPr>
          <w:rFonts w:ascii="Times New Roman" w:hAnsi="Times New Roman" w:cs="Times New Roman"/>
          <w:sz w:val="28"/>
          <w:szCs w:val="28"/>
        </w:rPr>
      </w:pPr>
      <w:r w:rsidRPr="00B30103">
        <w:rPr>
          <w:rFonts w:ascii="Times New Roman" w:hAnsi="Times New Roman" w:cs="Times New Roman"/>
          <w:sz w:val="28"/>
          <w:szCs w:val="28"/>
        </w:rPr>
        <w:t>The steeper line for developing countries shows that at higher AI readiness levels (e.g., 80/100), predicted DDS export gains are ~43% larger than for higher-income peers, supporting the hypothesis that AI can help bridge development gaps in digital trade (UNCTAD, 2025a; World Trade Organization, 2025).</w:t>
      </w:r>
    </w:p>
    <w:p w14:paraId="102F7E1C" w14:textId="77777777" w:rsidR="00B30103" w:rsidRPr="00B30103" w:rsidRDefault="00B30103" w:rsidP="00B30103">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Toc220682378"/>
      <w:r w:rsidRPr="00B3010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 Robustness checks and economic magnitude</w:t>
      </w:r>
      <w:bookmarkEnd w:id="14"/>
    </w:p>
    <w:p w14:paraId="0905AE33" w14:textId="77777777" w:rsidR="00B30103" w:rsidRPr="00B30103" w:rsidRDefault="00B30103" w:rsidP="00B30103">
      <w:pPr>
        <w:ind w:firstLine="720"/>
        <w:jc w:val="both"/>
        <w:rPr>
          <w:rFonts w:ascii="Times New Roman" w:hAnsi="Times New Roman" w:cs="Times New Roman"/>
          <w:sz w:val="28"/>
          <w:szCs w:val="28"/>
        </w:rPr>
      </w:pPr>
      <w:r w:rsidRPr="00B30103">
        <w:rPr>
          <w:rFonts w:ascii="Times New Roman" w:hAnsi="Times New Roman" w:cs="Times New Roman"/>
          <w:sz w:val="28"/>
          <w:szCs w:val="28"/>
        </w:rPr>
        <w:t xml:space="preserve">Robustness tests affirm the findings. Replacing country fixed effects with region dummies yields similar β₁ = 0.030 (p&lt;0.01). Lagging AI readiness by one year produces β₁ = 0.029 (p&lt;0.01), mitigating reverse causality concerns. Using RCA in DDS as the dependent variable gives β₁ = 0.015 (p&lt;0.05), indicating specialization shifts: a 10-point AI readiness gain raises RCA by ~1.5 percentage points relative to the world average (Balassa, 1965; M &amp; </w:t>
      </w:r>
      <w:proofErr w:type="spellStart"/>
      <w:r w:rsidRPr="00B30103">
        <w:rPr>
          <w:rFonts w:ascii="Times New Roman" w:hAnsi="Times New Roman" w:cs="Times New Roman"/>
          <w:sz w:val="28"/>
          <w:szCs w:val="28"/>
        </w:rPr>
        <w:t>Reddi</w:t>
      </w:r>
      <w:proofErr w:type="spellEnd"/>
      <w:r w:rsidRPr="00B30103">
        <w:rPr>
          <w:rFonts w:ascii="Times New Roman" w:hAnsi="Times New Roman" w:cs="Times New Roman"/>
          <w:sz w:val="28"/>
          <w:szCs w:val="28"/>
        </w:rPr>
        <w:t>, 2025).</w:t>
      </w:r>
    </w:p>
    <w:p w14:paraId="39F88C95" w14:textId="77777777" w:rsidR="00B30103" w:rsidRPr="00B30103" w:rsidRDefault="00B30103" w:rsidP="00B30103">
      <w:pPr>
        <w:ind w:firstLine="720"/>
        <w:jc w:val="both"/>
        <w:rPr>
          <w:rFonts w:ascii="Times New Roman" w:hAnsi="Times New Roman" w:cs="Times New Roman"/>
          <w:sz w:val="28"/>
          <w:szCs w:val="28"/>
        </w:rPr>
      </w:pPr>
      <w:r w:rsidRPr="00B30103">
        <w:rPr>
          <w:rFonts w:ascii="Times New Roman" w:hAnsi="Times New Roman" w:cs="Times New Roman"/>
          <w:sz w:val="28"/>
          <w:szCs w:val="28"/>
        </w:rPr>
        <w:t xml:space="preserve">Digital regulation effects are mixed: cybercrime and e-transaction laws show small negative coefficients (-0.08 to -0.12, p&lt;0.10), suggesting compliance costs, while consumer protection has a positive effect (0.10, p&lt;0.05), aligning with trust-building arguments (M &amp; </w:t>
      </w:r>
      <w:proofErr w:type="spellStart"/>
      <w:r w:rsidRPr="00B30103">
        <w:rPr>
          <w:rFonts w:ascii="Times New Roman" w:hAnsi="Times New Roman" w:cs="Times New Roman"/>
          <w:sz w:val="28"/>
          <w:szCs w:val="28"/>
        </w:rPr>
        <w:t>Reddi</w:t>
      </w:r>
      <w:proofErr w:type="spellEnd"/>
      <w:r w:rsidRPr="00B30103">
        <w:rPr>
          <w:rFonts w:ascii="Times New Roman" w:hAnsi="Times New Roman" w:cs="Times New Roman"/>
          <w:sz w:val="28"/>
          <w:szCs w:val="28"/>
        </w:rPr>
        <w:t>, 2025).</w:t>
      </w:r>
    </w:p>
    <w:p w14:paraId="0F35F07F" w14:textId="77777777" w:rsidR="00B30103" w:rsidRPr="00B30103" w:rsidRDefault="00B30103" w:rsidP="00B30103">
      <w:pPr>
        <w:ind w:firstLine="720"/>
        <w:jc w:val="both"/>
        <w:rPr>
          <w:rFonts w:ascii="Times New Roman" w:hAnsi="Times New Roman" w:cs="Times New Roman"/>
          <w:sz w:val="28"/>
          <w:szCs w:val="28"/>
        </w:rPr>
      </w:pPr>
      <w:r w:rsidRPr="00B30103">
        <w:rPr>
          <w:rFonts w:ascii="Times New Roman" w:hAnsi="Times New Roman" w:cs="Times New Roman"/>
          <w:sz w:val="28"/>
          <w:szCs w:val="28"/>
        </w:rPr>
        <w:t xml:space="preserve">Economically, the TWFE β₁ implies that moving from the 25th to 75th percentile of AI readiness (~20-point gain) boosts DDS exports by ~64% (0.032 × 20), substantial given DDS's role in total services trade (~30–40% share in advanced </w:t>
      </w:r>
      <w:r w:rsidRPr="00B30103">
        <w:rPr>
          <w:rFonts w:ascii="Times New Roman" w:hAnsi="Times New Roman" w:cs="Times New Roman"/>
          <w:sz w:val="28"/>
          <w:szCs w:val="28"/>
        </w:rPr>
        <w:lastRenderedPageBreak/>
        <w:t>economies; OECD, 2024). For developing countries, the effect is ~80%, highlighting AI's potential for leapfrogging in digital services (UNCTAD, 2025a).</w:t>
      </w:r>
    </w:p>
    <w:p w14:paraId="2357ECBD" w14:textId="77777777" w:rsidR="00B30103" w:rsidRDefault="00B30103" w:rsidP="00B30103">
      <w:pPr>
        <w:ind w:firstLine="720"/>
        <w:jc w:val="both"/>
        <w:rPr>
          <w:rFonts w:ascii="Times New Roman" w:hAnsi="Times New Roman" w:cs="Times New Roman"/>
          <w:sz w:val="28"/>
          <w:szCs w:val="28"/>
        </w:rPr>
      </w:pPr>
      <w:r w:rsidRPr="00B30103">
        <w:rPr>
          <w:rFonts w:ascii="Times New Roman" w:hAnsi="Times New Roman" w:cs="Times New Roman"/>
          <w:sz w:val="28"/>
          <w:szCs w:val="28"/>
        </w:rPr>
        <w:t xml:space="preserve">These results provide strong evidence that AI adoption shifts comparative advantage toward digital services, particularly benefiting AI-ready developing economies (World Trade Organization, 2025; M &amp; </w:t>
      </w:r>
      <w:proofErr w:type="spellStart"/>
      <w:r w:rsidRPr="00B30103">
        <w:rPr>
          <w:rFonts w:ascii="Times New Roman" w:hAnsi="Times New Roman" w:cs="Times New Roman"/>
          <w:sz w:val="28"/>
          <w:szCs w:val="28"/>
        </w:rPr>
        <w:t>Reddi</w:t>
      </w:r>
      <w:proofErr w:type="spellEnd"/>
      <w:r w:rsidRPr="00B30103">
        <w:rPr>
          <w:rFonts w:ascii="Times New Roman" w:hAnsi="Times New Roman" w:cs="Times New Roman"/>
          <w:sz w:val="28"/>
          <w:szCs w:val="28"/>
        </w:rPr>
        <w:t>, 2025).</w:t>
      </w:r>
    </w:p>
    <w:p w14:paraId="7F21D5C3" w14:textId="77777777" w:rsidR="00B30103" w:rsidRPr="00B51D07" w:rsidRDefault="00B30103" w:rsidP="00B51D07">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Toc220682379"/>
      <w:r w:rsidRPr="00B51D07">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Discussion</w:t>
      </w:r>
      <w:bookmarkEnd w:id="15"/>
    </w:p>
    <w:p w14:paraId="5012A881" w14:textId="77777777" w:rsidR="00B30103" w:rsidRPr="00B51D07" w:rsidRDefault="00B30103" w:rsidP="00B51D07">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Toc220682380"/>
      <w:r w:rsidRPr="00B51D07">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 Interpretation and implications for comparative advantage</w:t>
      </w:r>
      <w:bookmarkEnd w:id="16"/>
    </w:p>
    <w:p w14:paraId="76D730B4" w14:textId="77777777" w:rsidR="00B30103" w:rsidRPr="00B30103" w:rsidRDefault="00B30103" w:rsidP="00B30103">
      <w:pPr>
        <w:ind w:firstLine="720"/>
        <w:jc w:val="both"/>
        <w:rPr>
          <w:rFonts w:ascii="Times New Roman" w:hAnsi="Times New Roman" w:cs="Times New Roman"/>
          <w:sz w:val="28"/>
          <w:szCs w:val="28"/>
        </w:rPr>
      </w:pPr>
      <w:r w:rsidRPr="00B30103">
        <w:rPr>
          <w:rFonts w:ascii="Times New Roman" w:hAnsi="Times New Roman" w:cs="Times New Roman"/>
          <w:sz w:val="28"/>
          <w:szCs w:val="28"/>
        </w:rPr>
        <w:t>The empirical findings robustly establish that elevated AI readiness correlates with substantially higher exports of digitally deliverable services (DDS), furnishing compelling evidence that AI adoption is actively reshaping countries' comparative advantages in favor of digital services sectors. The core two-way fixed-effe</w:t>
      </w:r>
      <w:r w:rsidR="003F6FD9">
        <w:rPr>
          <w:rFonts w:ascii="Times New Roman" w:hAnsi="Times New Roman" w:cs="Times New Roman"/>
          <w:sz w:val="28"/>
          <w:szCs w:val="28"/>
        </w:rPr>
        <w:t xml:space="preserve">cts (TWFE) coefficient of 0.032, </w:t>
      </w:r>
      <w:r w:rsidRPr="00B30103">
        <w:rPr>
          <w:rFonts w:ascii="Times New Roman" w:hAnsi="Times New Roman" w:cs="Times New Roman"/>
          <w:sz w:val="28"/>
          <w:szCs w:val="28"/>
        </w:rPr>
        <w:t>from a specification controlling for country-specific trends, global shocks, income, popu</w:t>
      </w:r>
      <w:r w:rsidR="003F6FD9">
        <w:rPr>
          <w:rFonts w:ascii="Times New Roman" w:hAnsi="Times New Roman" w:cs="Times New Roman"/>
          <w:sz w:val="28"/>
          <w:szCs w:val="28"/>
        </w:rPr>
        <w:t xml:space="preserve">lation, and digital regulations, </w:t>
      </w:r>
      <w:r w:rsidRPr="00B30103">
        <w:rPr>
          <w:rFonts w:ascii="Times New Roman" w:hAnsi="Times New Roman" w:cs="Times New Roman"/>
          <w:sz w:val="28"/>
          <w:szCs w:val="28"/>
        </w:rPr>
        <w:t xml:space="preserve">translates to a meaningful economic impact: each one-unit increment on the 0–100 AI readiness index is linked to a 3.3% expansion in DDS exports, ceteris paribus (M &amp; </w:t>
      </w:r>
      <w:proofErr w:type="spellStart"/>
      <w:r w:rsidRPr="00B30103">
        <w:rPr>
          <w:rFonts w:ascii="Times New Roman" w:hAnsi="Times New Roman" w:cs="Times New Roman"/>
          <w:sz w:val="28"/>
          <w:szCs w:val="28"/>
        </w:rPr>
        <w:t>Reddi</w:t>
      </w:r>
      <w:proofErr w:type="spellEnd"/>
      <w:r w:rsidRPr="00B30103">
        <w:rPr>
          <w:rFonts w:ascii="Times New Roman" w:hAnsi="Times New Roman" w:cs="Times New Roman"/>
          <w:sz w:val="28"/>
          <w:szCs w:val="28"/>
        </w:rPr>
        <w:t>, 2025; Wooldridge, 2010). This magnitude holds across pooled OLS (0.045), interaction models (0.028 baseline), and instrumental variables estimates (0.038), affirming the result's credibility against endogeneity critiques.</w:t>
      </w:r>
    </w:p>
    <w:p w14:paraId="38747369" w14:textId="77777777" w:rsidR="00B30103" w:rsidRPr="00B30103" w:rsidRDefault="003F6FD9" w:rsidP="00B30103">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14:paraId="667C4D19" w14:textId="77777777" w:rsidR="00B30103" w:rsidRPr="00B30103" w:rsidRDefault="00B30103" w:rsidP="00B2700B">
      <w:pPr>
        <w:ind w:firstLine="72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6DD83E7" wp14:editId="3B1A1666">
            <wp:extent cx="4476084" cy="298405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_5.1__Illustrative_breakdown_of_components_in_a_typical_AI_readiness_inde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80260" cy="2986840"/>
                    </a:xfrm>
                    <a:prstGeom prst="rect">
                      <a:avLst/>
                    </a:prstGeom>
                  </pic:spPr>
                </pic:pic>
              </a:graphicData>
            </a:graphic>
          </wp:inline>
        </w:drawing>
      </w:r>
    </w:p>
    <w:p w14:paraId="49A69CA3" w14:textId="77777777" w:rsidR="00B30103" w:rsidRPr="00B51D07" w:rsidRDefault="00D2410E" w:rsidP="00B2700B">
      <w:pPr>
        <w:ind w:firstLine="720"/>
        <w:jc w:val="center"/>
        <w:rPr>
          <w:rFonts w:ascii="Times New Roman" w:hAnsi="Times New Roman" w:cs="Times New Roman"/>
          <w:sz w:val="20"/>
          <w:szCs w:val="28"/>
        </w:rPr>
      </w:pPr>
      <w:r>
        <w:rPr>
          <w:rFonts w:ascii="Times New Roman" w:hAnsi="Times New Roman" w:cs="Times New Roman"/>
          <w:iCs/>
          <w:sz w:val="20"/>
          <w:szCs w:val="28"/>
        </w:rPr>
        <w:t>Figure 5:</w:t>
      </w:r>
      <w:r w:rsidR="00B30103" w:rsidRPr="00B51D07">
        <w:rPr>
          <w:rFonts w:ascii="Times New Roman" w:hAnsi="Times New Roman" w:cs="Times New Roman"/>
          <w:sz w:val="20"/>
          <w:szCs w:val="28"/>
        </w:rPr>
        <w:t xml:space="preserve"> Illustrative breakdown of components </w:t>
      </w:r>
      <w:r w:rsidR="00B51D07" w:rsidRPr="00B51D07">
        <w:rPr>
          <w:rFonts w:ascii="Times New Roman" w:hAnsi="Times New Roman" w:cs="Times New Roman"/>
          <w:sz w:val="20"/>
          <w:szCs w:val="28"/>
        </w:rPr>
        <w:t>in a typical AI readiness index.</w:t>
      </w:r>
    </w:p>
    <w:p w14:paraId="17D3E9EA" w14:textId="77777777" w:rsidR="00B30103" w:rsidRPr="00B30103" w:rsidRDefault="00B30103" w:rsidP="00B30103">
      <w:pPr>
        <w:ind w:firstLine="720"/>
        <w:jc w:val="both"/>
        <w:rPr>
          <w:rFonts w:ascii="Times New Roman" w:hAnsi="Times New Roman" w:cs="Times New Roman"/>
          <w:sz w:val="28"/>
          <w:szCs w:val="28"/>
        </w:rPr>
      </w:pPr>
      <w:r w:rsidRPr="00B30103">
        <w:rPr>
          <w:rFonts w:ascii="Times New Roman" w:hAnsi="Times New Roman" w:cs="Times New Roman"/>
          <w:sz w:val="28"/>
          <w:szCs w:val="28"/>
        </w:rPr>
        <w:lastRenderedPageBreak/>
        <w:t>Digital infrastructure (30%) and human capital (25%) dominate, underscoring how foundational enablers allow firms to i</w:t>
      </w:r>
      <w:r w:rsidR="003F6FD9">
        <w:rPr>
          <w:rFonts w:ascii="Times New Roman" w:hAnsi="Times New Roman" w:cs="Times New Roman"/>
          <w:sz w:val="28"/>
          <w:szCs w:val="28"/>
        </w:rPr>
        <w:t xml:space="preserve">ntegrate AI into DDS production, </w:t>
      </w:r>
      <w:r w:rsidRPr="00B30103">
        <w:rPr>
          <w:rFonts w:ascii="Times New Roman" w:hAnsi="Times New Roman" w:cs="Times New Roman"/>
          <w:sz w:val="28"/>
          <w:szCs w:val="28"/>
        </w:rPr>
        <w:t>such as machine learning for software customization or natural language processing for global customer support. This mechanism echoes general-purpose technology theories: AI slashes trade frictions (e.g., via automated translation reducing language barriers) and amplifies productivity in information-intensive activities, propelling economies toward specialization in high-value services like cloud computing, fintech platforms, and business process automation (Krugman et al., 2018; World Trade Organization, 2025; UNCTAD, 2022).</w:t>
      </w:r>
    </w:p>
    <w:p w14:paraId="15934235" w14:textId="103A120D" w:rsidR="00B30103" w:rsidRPr="00B30103" w:rsidRDefault="00B30103" w:rsidP="00B30103">
      <w:pPr>
        <w:ind w:firstLine="720"/>
        <w:jc w:val="both"/>
        <w:rPr>
          <w:rFonts w:ascii="Times New Roman" w:hAnsi="Times New Roman" w:cs="Times New Roman"/>
          <w:sz w:val="28"/>
          <w:szCs w:val="28"/>
        </w:rPr>
      </w:pPr>
      <w:r w:rsidRPr="00B30103">
        <w:rPr>
          <w:rFonts w:ascii="Times New Roman" w:hAnsi="Times New Roman" w:cs="Times New Roman"/>
          <w:sz w:val="28"/>
          <w:szCs w:val="28"/>
        </w:rPr>
        <w:t>Of particular salience is the amplified effect in developing countries, where the total slope reaches 0.040 (baseline 0.028 + interaction 0.012, p&lt;0.05). This "equalizer" dynamic implies AI democratizes access to DDS markets, enabling commodity-dependent or low-skill manufacturing economies to bypass capital-intensive industrialization. Consider the quantitative punch: elevating AI readiness from a median developing-economy score</w:t>
      </w:r>
      <w:r w:rsidR="003F6FD9">
        <w:rPr>
          <w:rFonts w:ascii="Times New Roman" w:hAnsi="Times New Roman" w:cs="Times New Roman"/>
          <w:sz w:val="28"/>
          <w:szCs w:val="28"/>
        </w:rPr>
        <w:t xml:space="preserve"> (~35) to advanced levels (~70), </w:t>
      </w:r>
      <w:r w:rsidRPr="00B30103">
        <w:rPr>
          <w:rFonts w:ascii="Times New Roman" w:hAnsi="Times New Roman" w:cs="Times New Roman"/>
          <w:sz w:val="28"/>
          <w:szCs w:val="28"/>
        </w:rPr>
        <w:t>a feasible 35-p</w:t>
      </w:r>
      <w:r w:rsidR="003F6FD9">
        <w:rPr>
          <w:rFonts w:ascii="Times New Roman" w:hAnsi="Times New Roman" w:cs="Times New Roman"/>
          <w:sz w:val="28"/>
          <w:szCs w:val="28"/>
        </w:rPr>
        <w:t xml:space="preserve">oint leap via targeted policies, </w:t>
      </w:r>
      <w:r w:rsidRPr="00B30103">
        <w:rPr>
          <w:rFonts w:ascii="Times New Roman" w:hAnsi="Times New Roman" w:cs="Times New Roman"/>
          <w:sz w:val="28"/>
          <w:szCs w:val="28"/>
        </w:rPr>
        <w:t>yields a ~1.4 log-point surge in DDS exports, or roughly 300% growth. Such transformation could rebalance trade structures, substituting volatile primary exports with resilient digital services (UNCTAD, 2025a; Hausmann et al., 2007).</w:t>
      </w:r>
      <w:r w:rsidR="002D522D">
        <w:rPr>
          <w:rFonts w:ascii="Times New Roman" w:hAnsi="Times New Roman" w:cs="Times New Roman"/>
          <w:sz w:val="28"/>
          <w:szCs w:val="28"/>
        </w:rPr>
        <w:t xml:space="preserve"> </w:t>
      </w:r>
      <w:r w:rsidRPr="00B30103">
        <w:rPr>
          <w:rFonts w:ascii="Times New Roman" w:hAnsi="Times New Roman" w:cs="Times New Roman"/>
          <w:sz w:val="28"/>
          <w:szCs w:val="28"/>
        </w:rPr>
        <w:t>Figure 5</w:t>
      </w:r>
      <w:r w:rsidR="002D522D">
        <w:rPr>
          <w:rFonts w:ascii="Times New Roman" w:hAnsi="Times New Roman" w:cs="Times New Roman"/>
          <w:sz w:val="28"/>
          <w:szCs w:val="28"/>
        </w:rPr>
        <w:t>a</w:t>
      </w:r>
      <w:r w:rsidRPr="00B30103">
        <w:rPr>
          <w:rFonts w:ascii="Times New Roman" w:hAnsi="Times New Roman" w:cs="Times New Roman"/>
          <w:sz w:val="28"/>
          <w:szCs w:val="28"/>
        </w:rPr>
        <w:t> quantifies these scenario-based implications.</w:t>
      </w:r>
    </w:p>
    <w:p w14:paraId="4D5FB223" w14:textId="77777777" w:rsidR="00B30103" w:rsidRPr="000B718E" w:rsidRDefault="001F2E77" w:rsidP="00B2700B">
      <w:pPr>
        <w:ind w:firstLine="72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2DA2CF4" wp14:editId="36FB8E0B">
            <wp:extent cx="4364183" cy="290945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eixin Image_2026013016335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68797" cy="2912531"/>
                    </a:xfrm>
                    <a:prstGeom prst="rect">
                      <a:avLst/>
                    </a:prstGeom>
                  </pic:spPr>
                </pic:pic>
              </a:graphicData>
            </a:graphic>
          </wp:inline>
        </w:drawing>
      </w:r>
    </w:p>
    <w:p w14:paraId="6B41BC1C" w14:textId="77777777" w:rsidR="00B30103" w:rsidRPr="00B2700B" w:rsidRDefault="00D2410E" w:rsidP="00B2700B">
      <w:pPr>
        <w:ind w:firstLine="720"/>
        <w:jc w:val="center"/>
        <w:rPr>
          <w:rFonts w:ascii="Times New Roman" w:hAnsi="Times New Roman" w:cs="Times New Roman"/>
          <w:sz w:val="20"/>
          <w:szCs w:val="28"/>
        </w:rPr>
      </w:pPr>
      <w:r>
        <w:rPr>
          <w:rFonts w:ascii="Times New Roman" w:hAnsi="Times New Roman" w:cs="Times New Roman"/>
          <w:iCs/>
          <w:sz w:val="20"/>
          <w:szCs w:val="28"/>
        </w:rPr>
        <w:t>Figure 6:</w:t>
      </w:r>
      <w:r>
        <w:rPr>
          <w:rFonts w:ascii="Times New Roman" w:hAnsi="Times New Roman" w:cs="Times New Roman"/>
          <w:sz w:val="20"/>
          <w:szCs w:val="28"/>
        </w:rPr>
        <w:t> </w:t>
      </w:r>
      <w:r w:rsidR="00B30103" w:rsidRPr="00B2700B">
        <w:rPr>
          <w:rFonts w:ascii="Times New Roman" w:hAnsi="Times New Roman" w:cs="Times New Roman"/>
          <w:sz w:val="20"/>
          <w:szCs w:val="28"/>
        </w:rPr>
        <w:t>Predicted DDS export growth from a standard</w:t>
      </w:r>
      <w:r w:rsidR="00B2700B" w:rsidRPr="00B2700B">
        <w:rPr>
          <w:rFonts w:ascii="Times New Roman" w:hAnsi="Times New Roman" w:cs="Times New Roman"/>
          <w:sz w:val="20"/>
          <w:szCs w:val="28"/>
        </w:rPr>
        <w:t xml:space="preserve"> 20-point.</w:t>
      </w:r>
    </w:p>
    <w:p w14:paraId="53DA5E61" w14:textId="77777777" w:rsidR="00B30103" w:rsidRPr="00B30103" w:rsidRDefault="00B30103" w:rsidP="00B30103">
      <w:pPr>
        <w:ind w:firstLine="720"/>
        <w:jc w:val="both"/>
        <w:rPr>
          <w:rFonts w:ascii="Times New Roman" w:hAnsi="Times New Roman" w:cs="Times New Roman"/>
          <w:sz w:val="28"/>
          <w:szCs w:val="28"/>
        </w:rPr>
      </w:pPr>
      <w:r w:rsidRPr="00B30103">
        <w:rPr>
          <w:rFonts w:ascii="Times New Roman" w:hAnsi="Times New Roman" w:cs="Times New Roman"/>
          <w:sz w:val="28"/>
          <w:szCs w:val="28"/>
        </w:rPr>
        <w:lastRenderedPageBreak/>
        <w:t>Developing countries realize 80% gains versus 64% overall, challenging static Ricardian endowment models and highlighting policy-induced technological capabilities as engines of dynamic comparative advantage (Hausmann et al., 2007; Rodrik, 2013). Over 2010–2022, this has manifested in developing economies' DDS share rising from ~15% to 28% of their services exports, narrowing the gap with developed nations (42% share).</w:t>
      </w:r>
    </w:p>
    <w:p w14:paraId="7B6391C4" w14:textId="77777777" w:rsidR="00D2410E" w:rsidRDefault="00D7639F" w:rsidP="00D2410E">
      <w:pPr>
        <w:ind w:firstLine="720"/>
        <w:jc w:val="center"/>
        <w:rPr>
          <w:rFonts w:ascii="Times New Roman" w:hAnsi="Times New Roman" w:cs="Times New Roman"/>
          <w:iCs/>
          <w:sz w:val="20"/>
          <w:szCs w:val="28"/>
        </w:rPr>
      </w:pPr>
      <w:r>
        <w:rPr>
          <w:rFonts w:ascii="Times New Roman" w:hAnsi="Times New Roman" w:cs="Times New Roman"/>
          <w:iCs/>
          <w:noProof/>
          <w:sz w:val="20"/>
          <w:szCs w:val="28"/>
        </w:rPr>
        <w:drawing>
          <wp:inline distT="0" distB="0" distL="0" distR="0" wp14:anchorId="6B850A25" wp14:editId="69E31896">
            <wp:extent cx="4616761" cy="3077841"/>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eixin Image_2026013016251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16761" cy="3077841"/>
                    </a:xfrm>
                    <a:prstGeom prst="rect">
                      <a:avLst/>
                    </a:prstGeom>
                  </pic:spPr>
                </pic:pic>
              </a:graphicData>
            </a:graphic>
          </wp:inline>
        </w:drawing>
      </w:r>
    </w:p>
    <w:p w14:paraId="35DC06F0" w14:textId="77777777" w:rsidR="00B30103" w:rsidRPr="00B30103" w:rsidRDefault="00D2410E" w:rsidP="00D2410E">
      <w:pPr>
        <w:ind w:firstLine="720"/>
        <w:jc w:val="center"/>
        <w:rPr>
          <w:rFonts w:ascii="Times New Roman" w:hAnsi="Times New Roman" w:cs="Times New Roman"/>
          <w:sz w:val="28"/>
          <w:szCs w:val="28"/>
        </w:rPr>
      </w:pPr>
      <w:r>
        <w:rPr>
          <w:rFonts w:ascii="Times New Roman" w:hAnsi="Times New Roman" w:cs="Times New Roman"/>
          <w:iCs/>
          <w:sz w:val="20"/>
          <w:szCs w:val="28"/>
        </w:rPr>
        <w:t>Figure 7</w:t>
      </w:r>
      <w:r w:rsidR="00B2700B" w:rsidRPr="00B2700B">
        <w:rPr>
          <w:rFonts w:ascii="Times New Roman" w:hAnsi="Times New Roman" w:cs="Times New Roman"/>
          <w:sz w:val="20"/>
          <w:szCs w:val="28"/>
        </w:rPr>
        <w:t>:</w:t>
      </w:r>
      <w:r w:rsidR="00B30103" w:rsidRPr="00B2700B">
        <w:rPr>
          <w:rFonts w:ascii="Times New Roman" w:hAnsi="Times New Roman" w:cs="Times New Roman"/>
          <w:sz w:val="20"/>
          <w:szCs w:val="28"/>
        </w:rPr>
        <w:t xml:space="preserve"> Evolution of DDS share in total services exports, 2010–2022</w:t>
      </w:r>
    </w:p>
    <w:p w14:paraId="5502ED0B" w14:textId="77777777" w:rsidR="00B30103" w:rsidRPr="00B2700B" w:rsidRDefault="00B30103" w:rsidP="00B2700B">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 w:name="_Toc220682381"/>
      <w:r w:rsidRPr="00B2700B">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 Policy implications for developing economies</w:t>
      </w:r>
      <w:bookmarkEnd w:id="17"/>
    </w:p>
    <w:p w14:paraId="6C4CA040" w14:textId="77777777" w:rsidR="00B30103" w:rsidRPr="00B30103" w:rsidRDefault="00B30103" w:rsidP="00B2700B">
      <w:pPr>
        <w:ind w:firstLine="720"/>
        <w:jc w:val="both"/>
        <w:rPr>
          <w:rFonts w:ascii="Times New Roman" w:hAnsi="Times New Roman" w:cs="Times New Roman"/>
          <w:sz w:val="28"/>
          <w:szCs w:val="28"/>
        </w:rPr>
      </w:pPr>
      <w:r w:rsidRPr="00B30103">
        <w:rPr>
          <w:rFonts w:ascii="Times New Roman" w:hAnsi="Times New Roman" w:cs="Times New Roman"/>
          <w:sz w:val="28"/>
          <w:szCs w:val="28"/>
        </w:rPr>
        <w:t>For developing economies, the results prescribe urgent prioritization of AI readiness to harness DDS trade opportunities amid WTO forecasts of 34–37% global trade uplift by 2040, disproportionately in digital services (World Trade Organization, 2025). A balanced portfolio emerges: (1) digital infrastructure (broadband rollout, data centers, 5G/6G) forms the bedrock, comprising ~40% of readiness gains; (2) human capital via scaled STEM curricula, vocational AI training, and public-private partnerships (~30%); (3) regulatory frameworks balanci</w:t>
      </w:r>
      <w:r w:rsidR="003F6FD9">
        <w:rPr>
          <w:rFonts w:ascii="Times New Roman" w:hAnsi="Times New Roman" w:cs="Times New Roman"/>
          <w:sz w:val="28"/>
          <w:szCs w:val="28"/>
        </w:rPr>
        <w:t xml:space="preserve">ng innovation with trust, </w:t>
      </w:r>
      <w:r w:rsidRPr="00B30103">
        <w:rPr>
          <w:rFonts w:ascii="Times New Roman" w:hAnsi="Times New Roman" w:cs="Times New Roman"/>
          <w:sz w:val="28"/>
          <w:szCs w:val="28"/>
        </w:rPr>
        <w:t xml:space="preserve">robust consumer protection and privacy laws boost exports (positive coefficients), while overly stringent cybercrime rules impose costs (~20%); (4) innovation ecosystems through R&amp;D tax credits and AI hubs (~10%) (M &amp; </w:t>
      </w:r>
      <w:proofErr w:type="spellStart"/>
      <w:r w:rsidRPr="00B30103">
        <w:rPr>
          <w:rFonts w:ascii="Times New Roman" w:hAnsi="Times New Roman" w:cs="Times New Roman"/>
          <w:sz w:val="28"/>
          <w:szCs w:val="28"/>
        </w:rPr>
        <w:t>Reddi</w:t>
      </w:r>
      <w:proofErr w:type="spellEnd"/>
      <w:r w:rsidRPr="00B30103">
        <w:rPr>
          <w:rFonts w:ascii="Times New Roman" w:hAnsi="Times New Roman" w:cs="Times New Roman"/>
          <w:sz w:val="28"/>
          <w:szCs w:val="28"/>
        </w:rPr>
        <w:t>, 2025; UNCTAD, 2025a).</w:t>
      </w:r>
    </w:p>
    <w:p w14:paraId="52ACAE9C" w14:textId="77777777" w:rsidR="00D15F43" w:rsidRDefault="005F34D8" w:rsidP="005F34D8">
      <w:pPr>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4833291A" wp14:editId="6DBCB8E3">
            <wp:extent cx="4463295" cy="29755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eixin Image_2026013016320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66530" cy="2977686"/>
                    </a:xfrm>
                    <a:prstGeom prst="rect">
                      <a:avLst/>
                    </a:prstGeom>
                  </pic:spPr>
                </pic:pic>
              </a:graphicData>
            </a:graphic>
          </wp:inline>
        </w:drawing>
      </w:r>
    </w:p>
    <w:p w14:paraId="45B37E26" w14:textId="77777777" w:rsidR="00B30103" w:rsidRPr="00B2700B" w:rsidRDefault="00D2410E" w:rsidP="00B2700B">
      <w:pPr>
        <w:jc w:val="center"/>
        <w:rPr>
          <w:rFonts w:ascii="Times New Roman" w:hAnsi="Times New Roman" w:cs="Times New Roman"/>
          <w:sz w:val="20"/>
          <w:szCs w:val="28"/>
        </w:rPr>
      </w:pPr>
      <w:r>
        <w:rPr>
          <w:rFonts w:ascii="Times New Roman" w:hAnsi="Times New Roman" w:cs="Times New Roman"/>
          <w:iCs/>
          <w:sz w:val="20"/>
          <w:szCs w:val="28"/>
        </w:rPr>
        <w:t>Figure 8</w:t>
      </w:r>
      <w:r w:rsidR="00B2700B" w:rsidRPr="00B2700B">
        <w:rPr>
          <w:rFonts w:ascii="Times New Roman" w:hAnsi="Times New Roman" w:cs="Times New Roman"/>
          <w:sz w:val="20"/>
          <w:szCs w:val="28"/>
        </w:rPr>
        <w:t>:</w:t>
      </w:r>
      <w:r w:rsidR="00B30103" w:rsidRPr="00B2700B">
        <w:rPr>
          <w:rFonts w:ascii="Times New Roman" w:hAnsi="Times New Roman" w:cs="Times New Roman"/>
          <w:sz w:val="20"/>
          <w:szCs w:val="28"/>
        </w:rPr>
        <w:t xml:space="preserve"> Recommended investment shares across policy areas for AI re</w:t>
      </w:r>
      <w:r w:rsidR="00B2700B" w:rsidRPr="00B2700B">
        <w:rPr>
          <w:rFonts w:ascii="Times New Roman" w:hAnsi="Times New Roman" w:cs="Times New Roman"/>
          <w:sz w:val="20"/>
          <w:szCs w:val="28"/>
        </w:rPr>
        <w:t>adiness in developing countries.</w:t>
      </w:r>
    </w:p>
    <w:p w14:paraId="11FB4BBA" w14:textId="77777777" w:rsidR="00B30103" w:rsidRPr="00B30103" w:rsidRDefault="00B30103" w:rsidP="00B2700B">
      <w:pPr>
        <w:ind w:firstLine="720"/>
        <w:jc w:val="both"/>
        <w:rPr>
          <w:rFonts w:ascii="Times New Roman" w:hAnsi="Times New Roman" w:cs="Times New Roman"/>
          <w:sz w:val="28"/>
          <w:szCs w:val="28"/>
        </w:rPr>
      </w:pPr>
      <w:r w:rsidRPr="00B30103">
        <w:rPr>
          <w:rFonts w:ascii="Times New Roman" w:hAnsi="Times New Roman" w:cs="Times New Roman"/>
          <w:sz w:val="28"/>
          <w:szCs w:val="28"/>
        </w:rPr>
        <w:t>Success stories validate this: India's National AI Mission has propelled DDS exports (e.g., IT services up 15% annually), while Rwanda's</w:t>
      </w:r>
      <w:r w:rsidR="003F6FD9">
        <w:rPr>
          <w:rFonts w:ascii="Times New Roman" w:hAnsi="Times New Roman" w:cs="Times New Roman"/>
          <w:sz w:val="28"/>
          <w:szCs w:val="28"/>
        </w:rPr>
        <w:t xml:space="preserve"> digital acceleration, </w:t>
      </w:r>
      <w:r w:rsidRPr="00B30103">
        <w:rPr>
          <w:rFonts w:ascii="Times New Roman" w:hAnsi="Times New Roman" w:cs="Times New Roman"/>
          <w:sz w:val="28"/>
          <w:szCs w:val="28"/>
        </w:rPr>
        <w:t>fi</w:t>
      </w:r>
      <w:r w:rsidR="003F6FD9">
        <w:rPr>
          <w:rFonts w:ascii="Times New Roman" w:hAnsi="Times New Roman" w:cs="Times New Roman"/>
          <w:sz w:val="28"/>
          <w:szCs w:val="28"/>
        </w:rPr>
        <w:t xml:space="preserve">ber optics plus skills programs, </w:t>
      </w:r>
      <w:r w:rsidRPr="00B30103">
        <w:rPr>
          <w:rFonts w:ascii="Times New Roman" w:hAnsi="Times New Roman" w:cs="Times New Roman"/>
          <w:sz w:val="28"/>
          <w:szCs w:val="28"/>
        </w:rPr>
        <w:t>catapulted its DDS share from negligible to 12% of services trade (UNCTAD, 2025b; World Bank, 2023). Yet two-thirds of developing nations lack AI strategies, forfeiting gains as AI markets hit $4.8 trillion by 2033, concentrated in high-income hubs (UNCTAD, 2025a).</w:t>
      </w:r>
    </w:p>
    <w:p w14:paraId="7094E2D4" w14:textId="77777777" w:rsidR="00B30103" w:rsidRPr="00B30103" w:rsidRDefault="00B30103" w:rsidP="00B2700B">
      <w:pPr>
        <w:ind w:firstLine="720"/>
        <w:jc w:val="both"/>
        <w:rPr>
          <w:rFonts w:ascii="Times New Roman" w:hAnsi="Times New Roman" w:cs="Times New Roman"/>
          <w:sz w:val="28"/>
          <w:szCs w:val="28"/>
        </w:rPr>
      </w:pPr>
      <w:r w:rsidRPr="00B30103">
        <w:rPr>
          <w:rFonts w:ascii="Times New Roman" w:hAnsi="Times New Roman" w:cs="Times New Roman"/>
          <w:sz w:val="28"/>
          <w:szCs w:val="28"/>
        </w:rPr>
        <w:t>Multilaterally, WTO/UNCTAD should embed data flow assurances in RTAs (e.g., CPTPP-style provisions) and fund South-South capacity-building to avert divides. Risks loom: regulatory overreach could stifle SMEs, while talent p</w:t>
      </w:r>
      <w:r w:rsidR="003F6FD9">
        <w:rPr>
          <w:rFonts w:ascii="Times New Roman" w:hAnsi="Times New Roman" w:cs="Times New Roman"/>
          <w:sz w:val="28"/>
          <w:szCs w:val="28"/>
        </w:rPr>
        <w:t xml:space="preserve">oaching exacerbates brain drain, </w:t>
      </w:r>
      <w:r w:rsidRPr="00B30103">
        <w:rPr>
          <w:rFonts w:ascii="Times New Roman" w:hAnsi="Times New Roman" w:cs="Times New Roman"/>
          <w:sz w:val="28"/>
          <w:szCs w:val="28"/>
        </w:rPr>
        <w:t>mitigated by inclusive, localized strategies (World Trade Organization, 2025; UNCTAD, 2025a). In Asia, where DDS growth hit 21% annually (2005–2019), emulating leaders like the Philippines (BPO powered by AI tools) offers blueprints (UNCTAD, 2022).</w:t>
      </w:r>
    </w:p>
    <w:p w14:paraId="1ACECB11" w14:textId="77777777" w:rsidR="00B30103" w:rsidRPr="00B2700B" w:rsidRDefault="00B30103" w:rsidP="00B2700B">
      <w:pPr>
        <w:pStyle w:val="Heading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8" w:name="_Toc220682382"/>
      <w:r w:rsidRPr="00B2700B">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 Limitations and avenues for future research</w:t>
      </w:r>
      <w:bookmarkEnd w:id="18"/>
    </w:p>
    <w:p w14:paraId="0A50FBF5" w14:textId="77777777" w:rsidR="00B30103" w:rsidRPr="00B30103" w:rsidRDefault="003F6FD9" w:rsidP="00B2700B">
      <w:pPr>
        <w:ind w:firstLine="720"/>
        <w:jc w:val="both"/>
        <w:rPr>
          <w:rFonts w:ascii="Times New Roman" w:hAnsi="Times New Roman" w:cs="Times New Roman"/>
          <w:sz w:val="28"/>
          <w:szCs w:val="28"/>
        </w:rPr>
      </w:pPr>
      <w:r>
        <w:rPr>
          <w:rFonts w:ascii="Times New Roman" w:hAnsi="Times New Roman" w:cs="Times New Roman"/>
          <w:sz w:val="28"/>
          <w:szCs w:val="28"/>
        </w:rPr>
        <w:t xml:space="preserve">Despite strengths, </w:t>
      </w:r>
      <w:r w:rsidR="00B30103" w:rsidRPr="00B30103">
        <w:rPr>
          <w:rFonts w:ascii="Times New Roman" w:hAnsi="Times New Roman" w:cs="Times New Roman"/>
          <w:sz w:val="28"/>
          <w:szCs w:val="28"/>
        </w:rPr>
        <w:t xml:space="preserve">panel fixed </w:t>
      </w:r>
      <w:r>
        <w:rPr>
          <w:rFonts w:ascii="Times New Roman" w:hAnsi="Times New Roman" w:cs="Times New Roman"/>
          <w:sz w:val="28"/>
          <w:szCs w:val="28"/>
        </w:rPr>
        <w:t xml:space="preserve">effects, IV robustness, large N, </w:t>
      </w:r>
      <w:r w:rsidR="00B30103" w:rsidRPr="00B30103">
        <w:rPr>
          <w:rFonts w:ascii="Times New Roman" w:hAnsi="Times New Roman" w:cs="Times New Roman"/>
          <w:sz w:val="28"/>
          <w:szCs w:val="28"/>
        </w:rPr>
        <w:t xml:space="preserve">the study faces constraints. </w:t>
      </w:r>
      <w:proofErr w:type="spellStart"/>
      <w:r w:rsidR="00B30103" w:rsidRPr="00B30103">
        <w:rPr>
          <w:rFonts w:ascii="Times New Roman" w:hAnsi="Times New Roman" w:cs="Times New Roman"/>
          <w:sz w:val="28"/>
          <w:szCs w:val="28"/>
        </w:rPr>
        <w:t>UNCTADstat</w:t>
      </w:r>
      <w:proofErr w:type="spellEnd"/>
      <w:r w:rsidR="00B30103" w:rsidRPr="00B30103">
        <w:rPr>
          <w:rFonts w:ascii="Times New Roman" w:hAnsi="Times New Roman" w:cs="Times New Roman"/>
          <w:sz w:val="28"/>
          <w:szCs w:val="28"/>
        </w:rPr>
        <w:t xml:space="preserve"> DDS data excels for aggregates but </w:t>
      </w:r>
      <w:proofErr w:type="spellStart"/>
      <w:r w:rsidR="00B30103" w:rsidRPr="00B30103">
        <w:rPr>
          <w:rFonts w:ascii="Times New Roman" w:hAnsi="Times New Roman" w:cs="Times New Roman"/>
          <w:sz w:val="28"/>
          <w:szCs w:val="28"/>
        </w:rPr>
        <w:t>undercaptures</w:t>
      </w:r>
      <w:proofErr w:type="spellEnd"/>
      <w:r w:rsidR="00B30103" w:rsidRPr="00B30103">
        <w:rPr>
          <w:rFonts w:ascii="Times New Roman" w:hAnsi="Times New Roman" w:cs="Times New Roman"/>
          <w:sz w:val="28"/>
          <w:szCs w:val="28"/>
        </w:rPr>
        <w:t xml:space="preserve"> informal/platform trade (e.g., freelance gigs on Upwork), likely attenuating coefficients downward (IMF et al., 2023). The AI readiness index, while holistic, masks granularities; disaggregating (infrastructure vs. governance effects) or using firm-level AI adoption metrics (e.g., from Orbis) could refine insigh</w:t>
      </w:r>
      <w:r>
        <w:rPr>
          <w:rFonts w:ascii="Times New Roman" w:hAnsi="Times New Roman" w:cs="Times New Roman"/>
          <w:sz w:val="28"/>
          <w:szCs w:val="28"/>
        </w:rPr>
        <w:t xml:space="preserve">ts. Endogeneity persists subtly, </w:t>
      </w:r>
      <w:r w:rsidR="00B30103" w:rsidRPr="00B30103">
        <w:rPr>
          <w:rFonts w:ascii="Times New Roman" w:hAnsi="Times New Roman" w:cs="Times New Roman"/>
          <w:sz w:val="28"/>
          <w:szCs w:val="28"/>
        </w:rPr>
        <w:t xml:space="preserve">instrumental strategies rely on lags/patents, but quasi-experiments </w:t>
      </w:r>
      <w:r w:rsidR="00B30103" w:rsidRPr="00B30103">
        <w:rPr>
          <w:rFonts w:ascii="Times New Roman" w:hAnsi="Times New Roman" w:cs="Times New Roman"/>
          <w:sz w:val="28"/>
          <w:szCs w:val="28"/>
        </w:rPr>
        <w:lastRenderedPageBreak/>
        <w:t>around AI policy shocks (e.g., difference-in-differences on strategy adoptions) or synthetic controls would bolster causality (Autor et al., 2020).</w:t>
      </w:r>
    </w:p>
    <w:p w14:paraId="5FDEA2FE" w14:textId="77777777" w:rsidR="00B30103" w:rsidRPr="00B30103" w:rsidRDefault="00B30103" w:rsidP="00B2700B">
      <w:pPr>
        <w:ind w:firstLine="720"/>
        <w:jc w:val="both"/>
        <w:rPr>
          <w:rFonts w:ascii="Times New Roman" w:hAnsi="Times New Roman" w:cs="Times New Roman"/>
          <w:sz w:val="28"/>
          <w:szCs w:val="28"/>
        </w:rPr>
      </w:pPr>
      <w:r w:rsidRPr="00B30103">
        <w:rPr>
          <w:rFonts w:ascii="Times New Roman" w:hAnsi="Times New Roman" w:cs="Times New Roman"/>
          <w:sz w:val="28"/>
          <w:szCs w:val="28"/>
        </w:rPr>
        <w:t>Future avenues abound: firm-level panels linking AI patents/usage to DDS firm exports; sectoral granularities (fintech vs. software RCA shifts); welfare extensions (employment, inequality via AI-DDS links). Post-2022 generative AI (</w:t>
      </w:r>
      <w:proofErr w:type="spellStart"/>
      <w:r w:rsidRPr="00B30103">
        <w:rPr>
          <w:rFonts w:ascii="Times New Roman" w:hAnsi="Times New Roman" w:cs="Times New Roman"/>
          <w:sz w:val="28"/>
          <w:szCs w:val="28"/>
        </w:rPr>
        <w:t>ChatGPT</w:t>
      </w:r>
      <w:proofErr w:type="spellEnd"/>
      <w:r w:rsidRPr="00B30103">
        <w:rPr>
          <w:rFonts w:ascii="Times New Roman" w:hAnsi="Times New Roman" w:cs="Times New Roman"/>
          <w:sz w:val="28"/>
          <w:szCs w:val="28"/>
        </w:rPr>
        <w:t xml:space="preserve"> era) merits updates, given WTO's 42% DDS</w:t>
      </w:r>
      <w:r w:rsidR="003F6FD9">
        <w:rPr>
          <w:rFonts w:ascii="Times New Roman" w:hAnsi="Times New Roman" w:cs="Times New Roman"/>
          <w:sz w:val="28"/>
          <w:szCs w:val="28"/>
        </w:rPr>
        <w:t xml:space="preserve"> boom projection. Regional foci, like ASEAN's AI-trade nexus, </w:t>
      </w:r>
      <w:r w:rsidRPr="00B30103">
        <w:rPr>
          <w:rFonts w:ascii="Times New Roman" w:hAnsi="Times New Roman" w:cs="Times New Roman"/>
          <w:sz w:val="28"/>
          <w:szCs w:val="28"/>
        </w:rPr>
        <w:t>or gender dimensions (AI skills gaps) add nuance. Climate intersections (AI-optimized green services trade) emerge timely (UNCTAD, 2025a).</w:t>
      </w:r>
    </w:p>
    <w:p w14:paraId="7B1FE4EE" w14:textId="77777777" w:rsidR="00B30103" w:rsidRDefault="003F6FD9" w:rsidP="00B2700B">
      <w:pPr>
        <w:ind w:firstLine="720"/>
        <w:jc w:val="both"/>
        <w:rPr>
          <w:rFonts w:ascii="Times New Roman" w:hAnsi="Times New Roman" w:cs="Times New Roman"/>
          <w:sz w:val="28"/>
          <w:szCs w:val="28"/>
        </w:rPr>
      </w:pPr>
      <w:r>
        <w:rPr>
          <w:rFonts w:ascii="Times New Roman" w:hAnsi="Times New Roman" w:cs="Times New Roman"/>
          <w:sz w:val="28"/>
          <w:szCs w:val="28"/>
        </w:rPr>
        <w:t>T</w:t>
      </w:r>
      <w:r w:rsidR="00B30103" w:rsidRPr="00B30103">
        <w:rPr>
          <w:rFonts w:ascii="Times New Roman" w:hAnsi="Times New Roman" w:cs="Times New Roman"/>
          <w:sz w:val="28"/>
          <w:szCs w:val="28"/>
        </w:rPr>
        <w:t xml:space="preserve">he evidence mandates proactive AI policies for inclusive digital trade growth, positioning DDS as a diversification bulwark amid </w:t>
      </w:r>
      <w:proofErr w:type="spellStart"/>
      <w:r w:rsidR="00B30103" w:rsidRPr="00B30103">
        <w:rPr>
          <w:rFonts w:ascii="Times New Roman" w:hAnsi="Times New Roman" w:cs="Times New Roman"/>
          <w:sz w:val="28"/>
          <w:szCs w:val="28"/>
        </w:rPr>
        <w:t>geoeconomic</w:t>
      </w:r>
      <w:proofErr w:type="spellEnd"/>
      <w:r w:rsidR="00B30103" w:rsidRPr="00B30103">
        <w:rPr>
          <w:rFonts w:ascii="Times New Roman" w:hAnsi="Times New Roman" w:cs="Times New Roman"/>
          <w:sz w:val="28"/>
          <w:szCs w:val="28"/>
        </w:rPr>
        <w:t xml:space="preserve"> turbulence (World Trade Organization, 2025; M &amp; </w:t>
      </w:r>
      <w:proofErr w:type="spellStart"/>
      <w:r w:rsidR="00B30103" w:rsidRPr="00B30103">
        <w:rPr>
          <w:rFonts w:ascii="Times New Roman" w:hAnsi="Times New Roman" w:cs="Times New Roman"/>
          <w:sz w:val="28"/>
          <w:szCs w:val="28"/>
        </w:rPr>
        <w:t>Reddi</w:t>
      </w:r>
      <w:proofErr w:type="spellEnd"/>
      <w:r w:rsidR="00B30103" w:rsidRPr="00B30103">
        <w:rPr>
          <w:rFonts w:ascii="Times New Roman" w:hAnsi="Times New Roman" w:cs="Times New Roman"/>
          <w:sz w:val="28"/>
          <w:szCs w:val="28"/>
        </w:rPr>
        <w:t>, 2025).</w:t>
      </w:r>
    </w:p>
    <w:p w14:paraId="119E6591" w14:textId="77777777" w:rsidR="00B30103" w:rsidRPr="00B2700B" w:rsidRDefault="00B30103" w:rsidP="00B2700B">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9" w:name="_Toc220682383"/>
      <w:r w:rsidRPr="00B2700B">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Conclusion</w:t>
      </w:r>
      <w:bookmarkEnd w:id="19"/>
    </w:p>
    <w:p w14:paraId="04AB1CC2" w14:textId="77777777" w:rsidR="00B30103" w:rsidRPr="00B30103" w:rsidRDefault="00B30103" w:rsidP="00B2700B">
      <w:pPr>
        <w:ind w:firstLine="720"/>
        <w:jc w:val="both"/>
        <w:rPr>
          <w:rFonts w:ascii="Times New Roman" w:hAnsi="Times New Roman" w:cs="Times New Roman"/>
          <w:sz w:val="28"/>
          <w:szCs w:val="28"/>
        </w:rPr>
      </w:pPr>
      <w:r w:rsidRPr="00B30103">
        <w:rPr>
          <w:rFonts w:ascii="Times New Roman" w:hAnsi="Times New Roman" w:cs="Times New Roman"/>
          <w:sz w:val="28"/>
          <w:szCs w:val="28"/>
        </w:rPr>
        <w:t>This study provides robust evidence that AI readiness significantly enhances exports of digitally deliverable services (DDS), confirming that AI adoption is shifting countries' comparative advantage toward digital services sectors. The baseline two-way fixed-effects co</w:t>
      </w:r>
      <w:r w:rsidR="003F6FD9">
        <w:rPr>
          <w:rFonts w:ascii="Times New Roman" w:hAnsi="Times New Roman" w:cs="Times New Roman"/>
          <w:sz w:val="28"/>
          <w:szCs w:val="28"/>
        </w:rPr>
        <w:t xml:space="preserve">efficient of 0.032, </w:t>
      </w:r>
      <w:r w:rsidRPr="00B30103">
        <w:rPr>
          <w:rFonts w:ascii="Times New Roman" w:hAnsi="Times New Roman" w:cs="Times New Roman"/>
          <w:sz w:val="28"/>
          <w:szCs w:val="28"/>
        </w:rPr>
        <w:t>robust across specifications, instrumental v</w:t>
      </w:r>
      <w:r w:rsidR="003F6FD9">
        <w:rPr>
          <w:rFonts w:ascii="Times New Roman" w:hAnsi="Times New Roman" w:cs="Times New Roman"/>
          <w:sz w:val="28"/>
          <w:szCs w:val="28"/>
        </w:rPr>
        <w:t xml:space="preserve">ariables, and robustness checks, </w:t>
      </w:r>
      <w:r w:rsidRPr="00B30103">
        <w:rPr>
          <w:rFonts w:ascii="Times New Roman" w:hAnsi="Times New Roman" w:cs="Times New Roman"/>
          <w:sz w:val="28"/>
          <w:szCs w:val="28"/>
        </w:rPr>
        <w:t xml:space="preserve">demonstrates that each one-point improvement on the 0–100 AI readiness index correlates with approximately 3.3% higher DDS exports. This effect is economically substantial: a realistic 20-point readiness gain (25th to 75th percentile) implies 64% export growth overall, escalating to 80% in developing economies where the total slope reaches 0.040 (M &amp; </w:t>
      </w:r>
      <w:proofErr w:type="spellStart"/>
      <w:r w:rsidRPr="00B30103">
        <w:rPr>
          <w:rFonts w:ascii="Times New Roman" w:hAnsi="Times New Roman" w:cs="Times New Roman"/>
          <w:sz w:val="28"/>
          <w:szCs w:val="28"/>
        </w:rPr>
        <w:t>Reddi</w:t>
      </w:r>
      <w:proofErr w:type="spellEnd"/>
      <w:r w:rsidRPr="00B30103">
        <w:rPr>
          <w:rFonts w:ascii="Times New Roman" w:hAnsi="Times New Roman" w:cs="Times New Roman"/>
          <w:sz w:val="28"/>
          <w:szCs w:val="28"/>
        </w:rPr>
        <w:t>, 2025; Wooldridge, 2010).</w:t>
      </w:r>
    </w:p>
    <w:p w14:paraId="337AF0FB" w14:textId="77777777" w:rsidR="00B30103" w:rsidRPr="00B30103" w:rsidRDefault="00B30103" w:rsidP="00B2700B">
      <w:pPr>
        <w:ind w:firstLine="720"/>
        <w:jc w:val="both"/>
        <w:rPr>
          <w:rFonts w:ascii="Times New Roman" w:hAnsi="Times New Roman" w:cs="Times New Roman"/>
          <w:sz w:val="28"/>
          <w:szCs w:val="28"/>
        </w:rPr>
      </w:pPr>
      <w:r w:rsidRPr="00B30103">
        <w:rPr>
          <w:rFonts w:ascii="Times New Roman" w:hAnsi="Times New Roman" w:cs="Times New Roman"/>
          <w:sz w:val="28"/>
          <w:szCs w:val="28"/>
        </w:rPr>
        <w:t>Most strikingly, developing countries exhibit amplified benefits from AI readiness, positioning the technology as a powerful equalizer for trade diversification. L</w:t>
      </w:r>
      <w:r w:rsidR="003F6FD9">
        <w:rPr>
          <w:rFonts w:ascii="Times New Roman" w:hAnsi="Times New Roman" w:cs="Times New Roman"/>
          <w:sz w:val="28"/>
          <w:szCs w:val="28"/>
        </w:rPr>
        <w:t xml:space="preserve">ow- and middle-income economies, </w:t>
      </w:r>
      <w:r w:rsidRPr="00B30103">
        <w:rPr>
          <w:rFonts w:ascii="Times New Roman" w:hAnsi="Times New Roman" w:cs="Times New Roman"/>
          <w:sz w:val="28"/>
          <w:szCs w:val="28"/>
        </w:rPr>
        <w:t>often structurally dependent on volatile commodities o</w:t>
      </w:r>
      <w:r w:rsidR="003F6FD9">
        <w:rPr>
          <w:rFonts w:ascii="Times New Roman" w:hAnsi="Times New Roman" w:cs="Times New Roman"/>
          <w:sz w:val="28"/>
          <w:szCs w:val="28"/>
        </w:rPr>
        <w:t xml:space="preserve">r labor-intensive manufacturing, </w:t>
      </w:r>
      <w:r w:rsidRPr="00B30103">
        <w:rPr>
          <w:rFonts w:ascii="Times New Roman" w:hAnsi="Times New Roman" w:cs="Times New Roman"/>
          <w:sz w:val="28"/>
          <w:szCs w:val="28"/>
        </w:rPr>
        <w:t>can leverage AI infrastructure, skills, and governance improvements to enter high-value DDS markets like software development, fintech platforms, cloud services, and business process outsourcing. A median developing country elevating its AI readiness from ~35 to advanced levels (~70) could triple DDS exports (~300% growth), fundamentally rebalancing trade structures toward resilient, knowledge-intensive activities (UNCTAD, 2025a; Hausmann et al., 2007). This challenges traditional Ricardian endowment models, affirming policy-driven technological capabilities as dynamic drivers of comparative advantage in the digital era (Rodrik, 2013).</w:t>
      </w:r>
    </w:p>
    <w:p w14:paraId="0E7B90FF" w14:textId="77777777" w:rsidR="00B30103" w:rsidRPr="00B30103" w:rsidRDefault="00B30103" w:rsidP="00B2700B">
      <w:pPr>
        <w:ind w:firstLine="720"/>
        <w:jc w:val="both"/>
        <w:rPr>
          <w:rFonts w:ascii="Times New Roman" w:hAnsi="Times New Roman" w:cs="Times New Roman"/>
          <w:sz w:val="28"/>
          <w:szCs w:val="28"/>
        </w:rPr>
      </w:pPr>
      <w:r w:rsidRPr="00B30103">
        <w:rPr>
          <w:rFonts w:ascii="Times New Roman" w:hAnsi="Times New Roman" w:cs="Times New Roman"/>
          <w:sz w:val="28"/>
          <w:szCs w:val="28"/>
        </w:rPr>
        <w:lastRenderedPageBreak/>
        <w:t>The findings carry urgent policy implications amid World Trade Organization projections that AI could boost global trade by 34–37% by 2040, with digitally delivered services expanding ~42%. Developing nations must prioritize: (1) digital infrastructure (broadband, data centers); (2) STEM/AI skills development; (3) balanced regulations fostering trust without compliance burdens; and (4) national AI strategies, absent in two-thirds of these countries (World Trade Organization, 2025; UNCTAD, 2025a). Success stories like India's AI Mission and Rwanda's digital leap demonstrate feasibil</w:t>
      </w:r>
      <w:r w:rsidR="003F6FD9">
        <w:rPr>
          <w:rFonts w:ascii="Times New Roman" w:hAnsi="Times New Roman" w:cs="Times New Roman"/>
          <w:sz w:val="28"/>
          <w:szCs w:val="28"/>
        </w:rPr>
        <w:t xml:space="preserve">ity, while multilateral efforts, </w:t>
      </w:r>
      <w:r w:rsidRPr="00B30103">
        <w:rPr>
          <w:rFonts w:ascii="Times New Roman" w:hAnsi="Times New Roman" w:cs="Times New Roman"/>
          <w:sz w:val="28"/>
          <w:szCs w:val="28"/>
        </w:rPr>
        <w:t>WTO data flow provision</w:t>
      </w:r>
      <w:r w:rsidR="003F6FD9">
        <w:rPr>
          <w:rFonts w:ascii="Times New Roman" w:hAnsi="Times New Roman" w:cs="Times New Roman"/>
          <w:sz w:val="28"/>
          <w:szCs w:val="28"/>
        </w:rPr>
        <w:t xml:space="preserve">s, UNCTAD capacity-building, </w:t>
      </w:r>
      <w:r w:rsidRPr="00B30103">
        <w:rPr>
          <w:rFonts w:ascii="Times New Roman" w:hAnsi="Times New Roman" w:cs="Times New Roman"/>
          <w:sz w:val="28"/>
          <w:szCs w:val="28"/>
        </w:rPr>
        <w:t>can mitigate divides as AI markets approach $4.8 trillion by 2033.</w:t>
      </w:r>
    </w:p>
    <w:p w14:paraId="357648E0" w14:textId="77777777" w:rsidR="00B30103" w:rsidRPr="00B30103" w:rsidRDefault="00B30103" w:rsidP="00B2700B">
      <w:pPr>
        <w:ind w:firstLine="720"/>
        <w:jc w:val="both"/>
        <w:rPr>
          <w:rFonts w:ascii="Times New Roman" w:hAnsi="Times New Roman" w:cs="Times New Roman"/>
          <w:sz w:val="28"/>
          <w:szCs w:val="28"/>
        </w:rPr>
      </w:pPr>
      <w:r w:rsidRPr="00B30103">
        <w:rPr>
          <w:rFonts w:ascii="Times New Roman" w:hAnsi="Times New Roman" w:cs="Times New Roman"/>
          <w:sz w:val="28"/>
          <w:szCs w:val="28"/>
        </w:rPr>
        <w:t>Limitations persist: DDS data undercounts informal digital trade; composite AI indices warrant disaggregation; endogeneity concerns invite quasi-experimental refinement. Future research should explore firm-level AI-DDS links, sectoral granularities, generative AI effects post-2022, and welfare impacts beyond exports.</w:t>
      </w:r>
    </w:p>
    <w:p w14:paraId="09322AF6" w14:textId="77777777" w:rsidR="00304E6B" w:rsidRDefault="003F6FD9" w:rsidP="00B2700B">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30103" w:rsidRPr="00B30103">
        <w:rPr>
          <w:rFonts w:ascii="Times New Roman" w:hAnsi="Times New Roman" w:cs="Times New Roman"/>
          <w:sz w:val="28"/>
          <w:szCs w:val="28"/>
        </w:rPr>
        <w:t xml:space="preserve">AI readiness emerges as a pivotal determinant of competitiveness in 21st-century services trade. By strategically building capabilities, particularly in developing economies, policymakers can harness AI-driven DDS growth for inclusive development, export diversification, and reduced vulnerability to </w:t>
      </w:r>
      <w:proofErr w:type="spellStart"/>
      <w:r w:rsidR="00B30103" w:rsidRPr="00B30103">
        <w:rPr>
          <w:rFonts w:ascii="Times New Roman" w:hAnsi="Times New Roman" w:cs="Times New Roman"/>
          <w:sz w:val="28"/>
          <w:szCs w:val="28"/>
        </w:rPr>
        <w:t>geoeconomic</w:t>
      </w:r>
      <w:proofErr w:type="spellEnd"/>
      <w:r w:rsidR="00B30103" w:rsidRPr="00B30103">
        <w:rPr>
          <w:rFonts w:ascii="Times New Roman" w:hAnsi="Times New Roman" w:cs="Times New Roman"/>
          <w:sz w:val="28"/>
          <w:szCs w:val="28"/>
        </w:rPr>
        <w:t xml:space="preserve"> shocks. The evidence demands immediate, coordinated action to ensure digital trade benefits flow beyond technological frontier nations, fostering a more equitable global economy (World Trade Organization, 2025; M &amp; </w:t>
      </w:r>
      <w:proofErr w:type="spellStart"/>
      <w:r w:rsidR="00B30103" w:rsidRPr="00B30103">
        <w:rPr>
          <w:rFonts w:ascii="Times New Roman" w:hAnsi="Times New Roman" w:cs="Times New Roman"/>
          <w:sz w:val="28"/>
          <w:szCs w:val="28"/>
        </w:rPr>
        <w:t>Reddi</w:t>
      </w:r>
      <w:proofErr w:type="spellEnd"/>
      <w:r w:rsidR="00B30103" w:rsidRPr="00B30103">
        <w:rPr>
          <w:rFonts w:ascii="Times New Roman" w:hAnsi="Times New Roman" w:cs="Times New Roman"/>
          <w:sz w:val="28"/>
          <w:szCs w:val="28"/>
        </w:rPr>
        <w:t>, 2025; UNCTAD, 2025a).</w:t>
      </w:r>
    </w:p>
    <w:p w14:paraId="70A5869C" w14:textId="77777777" w:rsidR="00304E6B" w:rsidRDefault="00304E6B" w:rsidP="00B2700B">
      <w:pPr>
        <w:ind w:firstLine="720"/>
        <w:jc w:val="both"/>
        <w:rPr>
          <w:rFonts w:ascii="Times New Roman" w:hAnsi="Times New Roman" w:cs="Times New Roman"/>
          <w:sz w:val="28"/>
          <w:szCs w:val="28"/>
        </w:rPr>
      </w:pPr>
    </w:p>
    <w:p w14:paraId="170B1578" w14:textId="77777777" w:rsidR="00304E6B" w:rsidRPr="00304E6B" w:rsidRDefault="00304E6B" w:rsidP="00304E6B">
      <w:pPr>
        <w:ind w:firstLine="720"/>
        <w:jc w:val="both"/>
        <w:rPr>
          <w:rFonts w:ascii="Times New Roman" w:hAnsi="Times New Roman" w:cs="Times New Roman"/>
          <w:sz w:val="28"/>
          <w:szCs w:val="28"/>
        </w:rPr>
      </w:pPr>
      <w:r w:rsidRPr="00304E6B">
        <w:rPr>
          <w:rFonts w:ascii="Times New Roman" w:hAnsi="Times New Roman" w:cs="Times New Roman"/>
          <w:sz w:val="28"/>
          <w:szCs w:val="28"/>
        </w:rPr>
        <w:t>COMPETING INTERESTS DISCLAIMER:</w:t>
      </w:r>
    </w:p>
    <w:p w14:paraId="1F435145" w14:textId="77777777" w:rsidR="00304E6B" w:rsidRPr="00304E6B" w:rsidRDefault="00304E6B" w:rsidP="00304E6B">
      <w:pPr>
        <w:ind w:firstLine="720"/>
        <w:jc w:val="both"/>
        <w:rPr>
          <w:rFonts w:ascii="Times New Roman" w:hAnsi="Times New Roman" w:cs="Times New Roman"/>
          <w:sz w:val="28"/>
          <w:szCs w:val="28"/>
        </w:rPr>
      </w:pPr>
      <w:r w:rsidRPr="00304E6B">
        <w:rPr>
          <w:rFonts w:ascii="Times New Roman" w:hAnsi="Times New Roman" w:cs="Times New Roman"/>
          <w:sz w:val="28"/>
          <w:szCs w:val="28"/>
        </w:rPr>
        <w:t>Authors have declared that they have no known competing financial interests OR non-financial interests OR personal relationships that could have appeared to influence the work reported in this paper.</w:t>
      </w:r>
    </w:p>
    <w:p w14:paraId="74919224" w14:textId="77777777" w:rsidR="00304E6B" w:rsidRPr="00304E6B" w:rsidRDefault="00304E6B" w:rsidP="00304E6B">
      <w:pPr>
        <w:ind w:firstLine="720"/>
        <w:jc w:val="both"/>
        <w:rPr>
          <w:rFonts w:ascii="Times New Roman" w:hAnsi="Times New Roman" w:cs="Times New Roman"/>
          <w:sz w:val="28"/>
          <w:szCs w:val="28"/>
        </w:rPr>
      </w:pPr>
    </w:p>
    <w:p w14:paraId="15D682BC" w14:textId="64A6DE28" w:rsidR="00E0661B" w:rsidRDefault="00E0661B" w:rsidP="00B2700B">
      <w:pPr>
        <w:ind w:firstLine="720"/>
        <w:jc w:val="both"/>
        <w:rPr>
          <w:rFonts w:ascii="Times New Roman" w:hAnsi="Times New Roman" w:cs="Times New Roman"/>
          <w:sz w:val="28"/>
          <w:szCs w:val="28"/>
        </w:rPr>
      </w:pPr>
      <w:r>
        <w:rPr>
          <w:rFonts w:ascii="Times New Roman" w:hAnsi="Times New Roman" w:cs="Times New Roman"/>
          <w:sz w:val="28"/>
          <w:szCs w:val="28"/>
        </w:rPr>
        <w:br w:type="page"/>
      </w:r>
    </w:p>
    <w:p w14:paraId="6162131A" w14:textId="77777777" w:rsidR="00E0661B" w:rsidRPr="00B2700B" w:rsidRDefault="00B2700B" w:rsidP="00B2700B">
      <w:pPr>
        <w:pStyle w:val="Heading1"/>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0" w:name="_Toc220682384"/>
      <w:r w:rsidRPr="00B2700B">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7. </w:t>
      </w:r>
      <w:r w:rsidR="00E0661B" w:rsidRPr="00B2700B">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References</w:t>
      </w:r>
      <w:bookmarkEnd w:id="20"/>
    </w:p>
    <w:p w14:paraId="0A83BE1D" w14:textId="77777777" w:rsidR="00E0661B" w:rsidRPr="00B2700B" w:rsidRDefault="00E0661B" w:rsidP="00B2700B">
      <w:pPr>
        <w:pStyle w:val="ListParagraph"/>
        <w:numPr>
          <w:ilvl w:val="0"/>
          <w:numId w:val="10"/>
        </w:numPr>
        <w:jc w:val="both"/>
        <w:rPr>
          <w:rFonts w:ascii="Times New Roman" w:hAnsi="Times New Roman" w:cs="Times New Roman"/>
          <w:sz w:val="28"/>
          <w:szCs w:val="28"/>
        </w:rPr>
      </w:pPr>
      <w:r w:rsidRPr="00B2700B">
        <w:rPr>
          <w:rFonts w:ascii="Times New Roman" w:hAnsi="Times New Roman" w:cs="Times New Roman"/>
          <w:sz w:val="28"/>
          <w:szCs w:val="28"/>
        </w:rPr>
        <w:t>Arellano, M. (1987). Computing robust standard errors for within-groups estimators. </w:t>
      </w:r>
      <w:r w:rsidRPr="00B2700B">
        <w:rPr>
          <w:rFonts w:ascii="Times New Roman" w:hAnsi="Times New Roman" w:cs="Times New Roman"/>
          <w:i/>
          <w:iCs/>
          <w:sz w:val="28"/>
          <w:szCs w:val="28"/>
        </w:rPr>
        <w:t>Oxford Bulletin of Economics and Statistics, 49</w:t>
      </w:r>
      <w:r w:rsidRPr="00B2700B">
        <w:rPr>
          <w:rFonts w:ascii="Times New Roman" w:hAnsi="Times New Roman" w:cs="Times New Roman"/>
          <w:sz w:val="28"/>
          <w:szCs w:val="28"/>
        </w:rPr>
        <w:t>(4), 431–434. </w:t>
      </w:r>
      <w:hyperlink r:id="rId16" w:tgtFrame="_blank" w:history="1">
        <w:r w:rsidRPr="00B2700B">
          <w:rPr>
            <w:rStyle w:val="Hyperlink"/>
            <w:rFonts w:ascii="Times New Roman" w:hAnsi="Times New Roman" w:cs="Times New Roman"/>
            <w:b/>
            <w:bCs/>
            <w:sz w:val="28"/>
            <w:szCs w:val="28"/>
          </w:rPr>
          <w:t>https://doi.org/10.1111/j.1468-0084.1987.mp49004005.x</w:t>
        </w:r>
      </w:hyperlink>
    </w:p>
    <w:p w14:paraId="7B212710" w14:textId="77777777" w:rsidR="00E0661B" w:rsidRPr="00B2700B" w:rsidRDefault="00E0661B" w:rsidP="00B2700B">
      <w:pPr>
        <w:pStyle w:val="ListParagraph"/>
        <w:numPr>
          <w:ilvl w:val="0"/>
          <w:numId w:val="10"/>
        </w:numPr>
        <w:jc w:val="both"/>
        <w:rPr>
          <w:rFonts w:ascii="Times New Roman" w:hAnsi="Times New Roman" w:cs="Times New Roman"/>
          <w:sz w:val="28"/>
          <w:szCs w:val="28"/>
        </w:rPr>
      </w:pPr>
      <w:r w:rsidRPr="00B2700B">
        <w:rPr>
          <w:rFonts w:ascii="Times New Roman" w:hAnsi="Times New Roman" w:cs="Times New Roman"/>
          <w:sz w:val="28"/>
          <w:szCs w:val="28"/>
        </w:rPr>
        <w:t>Autor, D., Dorn, D., Katz, L. F., Patterson, C., &amp; Van Reenen, J. (2020). The fall of the labor share and the rise of superstar firms. </w:t>
      </w:r>
      <w:r w:rsidRPr="00B2700B">
        <w:rPr>
          <w:rFonts w:ascii="Times New Roman" w:hAnsi="Times New Roman" w:cs="Times New Roman"/>
          <w:i/>
          <w:iCs/>
          <w:sz w:val="28"/>
          <w:szCs w:val="28"/>
        </w:rPr>
        <w:t>The Quarterly Journal of Economics, 135</w:t>
      </w:r>
      <w:r w:rsidRPr="00B2700B">
        <w:rPr>
          <w:rFonts w:ascii="Times New Roman" w:hAnsi="Times New Roman" w:cs="Times New Roman"/>
          <w:sz w:val="28"/>
          <w:szCs w:val="28"/>
        </w:rPr>
        <w:t>(2), 645–709. </w:t>
      </w:r>
      <w:hyperlink r:id="rId17" w:tgtFrame="_blank" w:history="1">
        <w:r w:rsidRPr="00B2700B">
          <w:rPr>
            <w:rStyle w:val="Hyperlink"/>
            <w:rFonts w:ascii="Times New Roman" w:hAnsi="Times New Roman" w:cs="Times New Roman"/>
            <w:b/>
            <w:bCs/>
            <w:sz w:val="28"/>
            <w:szCs w:val="28"/>
          </w:rPr>
          <w:t>https://doi.org/10.1093/qje/qjz041</w:t>
        </w:r>
      </w:hyperlink>
    </w:p>
    <w:p w14:paraId="41E48A6C" w14:textId="77777777" w:rsidR="00E0661B" w:rsidRPr="00B2700B" w:rsidRDefault="00E0661B" w:rsidP="00B2700B">
      <w:pPr>
        <w:pStyle w:val="ListParagraph"/>
        <w:numPr>
          <w:ilvl w:val="0"/>
          <w:numId w:val="10"/>
        </w:numPr>
        <w:jc w:val="both"/>
        <w:rPr>
          <w:rFonts w:ascii="Times New Roman" w:hAnsi="Times New Roman" w:cs="Times New Roman"/>
          <w:sz w:val="28"/>
          <w:szCs w:val="28"/>
        </w:rPr>
      </w:pPr>
      <w:r w:rsidRPr="00B2700B">
        <w:rPr>
          <w:rFonts w:ascii="Times New Roman" w:hAnsi="Times New Roman" w:cs="Times New Roman"/>
          <w:sz w:val="28"/>
          <w:szCs w:val="28"/>
        </w:rPr>
        <w:t xml:space="preserve">Balassa, B. (1965). Trade </w:t>
      </w:r>
      <w:proofErr w:type="spellStart"/>
      <w:r w:rsidRPr="00B2700B">
        <w:rPr>
          <w:rFonts w:ascii="Times New Roman" w:hAnsi="Times New Roman" w:cs="Times New Roman"/>
          <w:sz w:val="28"/>
          <w:szCs w:val="28"/>
        </w:rPr>
        <w:t>liberalisation</w:t>
      </w:r>
      <w:proofErr w:type="spellEnd"/>
      <w:r w:rsidRPr="00B2700B">
        <w:rPr>
          <w:rFonts w:ascii="Times New Roman" w:hAnsi="Times New Roman" w:cs="Times New Roman"/>
          <w:sz w:val="28"/>
          <w:szCs w:val="28"/>
        </w:rPr>
        <w:t xml:space="preserve"> and "revealed" comparative advantage. </w:t>
      </w:r>
      <w:r w:rsidRPr="00B2700B">
        <w:rPr>
          <w:rFonts w:ascii="Times New Roman" w:hAnsi="Times New Roman" w:cs="Times New Roman"/>
          <w:i/>
          <w:iCs/>
          <w:sz w:val="28"/>
          <w:szCs w:val="28"/>
        </w:rPr>
        <w:t>The Manchester School, 33</w:t>
      </w:r>
      <w:r w:rsidRPr="00B2700B">
        <w:rPr>
          <w:rFonts w:ascii="Times New Roman" w:hAnsi="Times New Roman" w:cs="Times New Roman"/>
          <w:sz w:val="28"/>
          <w:szCs w:val="28"/>
        </w:rPr>
        <w:t>(2), 99–123. </w:t>
      </w:r>
      <w:hyperlink r:id="rId18" w:tgtFrame="_blank" w:history="1">
        <w:r w:rsidRPr="00B2700B">
          <w:rPr>
            <w:rStyle w:val="Hyperlink"/>
            <w:rFonts w:ascii="Times New Roman" w:hAnsi="Times New Roman" w:cs="Times New Roman"/>
            <w:b/>
            <w:bCs/>
            <w:sz w:val="28"/>
            <w:szCs w:val="28"/>
          </w:rPr>
          <w:t>https://doi.org/10.1111/j.1467-9957.1965.tb00066.x</w:t>
        </w:r>
      </w:hyperlink>
    </w:p>
    <w:p w14:paraId="779F2394" w14:textId="77777777" w:rsidR="00E0661B" w:rsidRPr="00B2700B" w:rsidRDefault="00E0661B" w:rsidP="00B2700B">
      <w:pPr>
        <w:pStyle w:val="ListParagraph"/>
        <w:numPr>
          <w:ilvl w:val="0"/>
          <w:numId w:val="10"/>
        </w:numPr>
        <w:jc w:val="both"/>
        <w:rPr>
          <w:rFonts w:ascii="Times New Roman" w:hAnsi="Times New Roman" w:cs="Times New Roman"/>
          <w:sz w:val="28"/>
          <w:szCs w:val="28"/>
        </w:rPr>
      </w:pPr>
      <w:r w:rsidRPr="00B2700B">
        <w:rPr>
          <w:rFonts w:ascii="Times New Roman" w:hAnsi="Times New Roman" w:cs="Times New Roman"/>
          <w:sz w:val="28"/>
          <w:szCs w:val="28"/>
        </w:rPr>
        <w:t>Bank Indonesia Institute. (2025). AI integration and digital regulation: Impacts on global trade in digitally deliverable services. </w:t>
      </w:r>
      <w:r w:rsidRPr="00B2700B">
        <w:rPr>
          <w:rFonts w:ascii="Times New Roman" w:hAnsi="Times New Roman" w:cs="Times New Roman"/>
          <w:i/>
          <w:iCs/>
          <w:sz w:val="28"/>
          <w:szCs w:val="28"/>
        </w:rPr>
        <w:t>Bulletin of Monetary Economics and Banking, 28</w:t>
      </w:r>
      <w:r w:rsidRPr="00B2700B">
        <w:rPr>
          <w:rFonts w:ascii="Times New Roman" w:hAnsi="Times New Roman" w:cs="Times New Roman"/>
          <w:sz w:val="28"/>
          <w:szCs w:val="28"/>
        </w:rPr>
        <w:t>(Special Issue). </w:t>
      </w:r>
      <w:hyperlink r:id="rId19" w:tgtFrame="_blank" w:history="1">
        <w:r w:rsidRPr="00B2700B">
          <w:rPr>
            <w:rStyle w:val="Hyperlink"/>
            <w:rFonts w:ascii="Times New Roman" w:hAnsi="Times New Roman" w:cs="Times New Roman"/>
            <w:b/>
            <w:bCs/>
            <w:sz w:val="28"/>
            <w:szCs w:val="28"/>
          </w:rPr>
          <w:t>https://bulletin.bmeb-bi.org/cgi/viewcontent.cgi?article=2483&amp;context=bmeb</w:t>
        </w:r>
      </w:hyperlink>
    </w:p>
    <w:p w14:paraId="2F24D682" w14:textId="77777777" w:rsidR="00E0661B" w:rsidRPr="00B2700B" w:rsidRDefault="00E0661B" w:rsidP="00B2700B">
      <w:pPr>
        <w:pStyle w:val="ListParagraph"/>
        <w:numPr>
          <w:ilvl w:val="0"/>
          <w:numId w:val="10"/>
        </w:numPr>
        <w:jc w:val="both"/>
        <w:rPr>
          <w:rFonts w:ascii="Times New Roman" w:hAnsi="Times New Roman" w:cs="Times New Roman"/>
          <w:sz w:val="28"/>
          <w:szCs w:val="28"/>
        </w:rPr>
      </w:pPr>
      <w:r w:rsidRPr="00B2700B">
        <w:rPr>
          <w:rFonts w:ascii="Times New Roman" w:hAnsi="Times New Roman" w:cs="Times New Roman"/>
          <w:sz w:val="28"/>
          <w:szCs w:val="28"/>
        </w:rPr>
        <w:t>Hausmann, R., Hwang, J., &amp; Rodrik, D. (2007). What you export matters. </w:t>
      </w:r>
      <w:r w:rsidRPr="00B2700B">
        <w:rPr>
          <w:rFonts w:ascii="Times New Roman" w:hAnsi="Times New Roman" w:cs="Times New Roman"/>
          <w:i/>
          <w:iCs/>
          <w:sz w:val="28"/>
          <w:szCs w:val="28"/>
        </w:rPr>
        <w:t>Journal of Economic Growth, 12</w:t>
      </w:r>
      <w:r w:rsidRPr="00B2700B">
        <w:rPr>
          <w:rFonts w:ascii="Times New Roman" w:hAnsi="Times New Roman" w:cs="Times New Roman"/>
          <w:sz w:val="28"/>
          <w:szCs w:val="28"/>
        </w:rPr>
        <w:t>(1), 1–25. </w:t>
      </w:r>
      <w:hyperlink r:id="rId20" w:tgtFrame="_blank" w:history="1">
        <w:r w:rsidRPr="00B2700B">
          <w:rPr>
            <w:rStyle w:val="Hyperlink"/>
            <w:rFonts w:ascii="Times New Roman" w:hAnsi="Times New Roman" w:cs="Times New Roman"/>
            <w:b/>
            <w:bCs/>
            <w:sz w:val="28"/>
            <w:szCs w:val="28"/>
          </w:rPr>
          <w:t>https://doi.org/10.1007/s10887-006-9009-0</w:t>
        </w:r>
      </w:hyperlink>
    </w:p>
    <w:p w14:paraId="334608E0" w14:textId="77777777" w:rsidR="00E0661B" w:rsidRPr="00B2700B" w:rsidRDefault="00E0661B" w:rsidP="00B2700B">
      <w:pPr>
        <w:pStyle w:val="ListParagraph"/>
        <w:numPr>
          <w:ilvl w:val="0"/>
          <w:numId w:val="10"/>
        </w:numPr>
        <w:jc w:val="both"/>
        <w:rPr>
          <w:rFonts w:ascii="Times New Roman" w:hAnsi="Times New Roman" w:cs="Times New Roman"/>
          <w:sz w:val="28"/>
          <w:szCs w:val="28"/>
        </w:rPr>
      </w:pPr>
      <w:r w:rsidRPr="00B2700B">
        <w:rPr>
          <w:rFonts w:ascii="Times New Roman" w:hAnsi="Times New Roman" w:cs="Times New Roman"/>
          <w:sz w:val="28"/>
          <w:szCs w:val="28"/>
        </w:rPr>
        <w:t xml:space="preserve">International Monetary Fund (IMF), </w:t>
      </w:r>
      <w:proofErr w:type="spellStart"/>
      <w:r w:rsidRPr="00B2700B">
        <w:rPr>
          <w:rFonts w:ascii="Times New Roman" w:hAnsi="Times New Roman" w:cs="Times New Roman"/>
          <w:sz w:val="28"/>
          <w:szCs w:val="28"/>
        </w:rPr>
        <w:t>Organisation</w:t>
      </w:r>
      <w:proofErr w:type="spellEnd"/>
      <w:r w:rsidRPr="00B2700B">
        <w:rPr>
          <w:rFonts w:ascii="Times New Roman" w:hAnsi="Times New Roman" w:cs="Times New Roman"/>
          <w:sz w:val="28"/>
          <w:szCs w:val="28"/>
        </w:rPr>
        <w:t xml:space="preserve"> for Economic Co-operation and Development (OECD), World Trade Organization (WTO), &amp; United Nations Conference on Trade and Development (UNCTAD). (2023). </w:t>
      </w:r>
      <w:r w:rsidRPr="00B2700B">
        <w:rPr>
          <w:rFonts w:ascii="Times New Roman" w:hAnsi="Times New Roman" w:cs="Times New Roman"/>
          <w:i/>
          <w:iCs/>
          <w:sz w:val="28"/>
          <w:szCs w:val="28"/>
        </w:rPr>
        <w:t>Handbook on measuring digital trade</w:t>
      </w:r>
      <w:r w:rsidRPr="00B2700B">
        <w:rPr>
          <w:rFonts w:ascii="Times New Roman" w:hAnsi="Times New Roman" w:cs="Times New Roman"/>
          <w:sz w:val="28"/>
          <w:szCs w:val="28"/>
        </w:rPr>
        <w:t> (Version 2). </w:t>
      </w:r>
      <w:hyperlink r:id="rId21" w:tgtFrame="_blank" w:history="1">
        <w:r w:rsidRPr="00B2700B">
          <w:rPr>
            <w:rStyle w:val="Hyperlink"/>
            <w:rFonts w:ascii="Times New Roman" w:hAnsi="Times New Roman" w:cs="Times New Roman"/>
            <w:b/>
            <w:bCs/>
            <w:sz w:val="28"/>
            <w:szCs w:val="28"/>
          </w:rPr>
          <w:t>https://www.elibrary.imf.org/display/book/9789287073600/CH004.xml</w:t>
        </w:r>
      </w:hyperlink>
    </w:p>
    <w:p w14:paraId="20CF5670" w14:textId="77777777" w:rsidR="00E0661B" w:rsidRPr="00B2700B" w:rsidRDefault="00E0661B" w:rsidP="00B2700B">
      <w:pPr>
        <w:pStyle w:val="ListParagraph"/>
        <w:numPr>
          <w:ilvl w:val="0"/>
          <w:numId w:val="10"/>
        </w:numPr>
        <w:jc w:val="both"/>
        <w:rPr>
          <w:rFonts w:ascii="Times New Roman" w:hAnsi="Times New Roman" w:cs="Times New Roman"/>
          <w:sz w:val="28"/>
          <w:szCs w:val="28"/>
        </w:rPr>
      </w:pPr>
      <w:r w:rsidRPr="00B2700B">
        <w:rPr>
          <w:rFonts w:ascii="Times New Roman" w:hAnsi="Times New Roman" w:cs="Times New Roman"/>
          <w:sz w:val="28"/>
          <w:szCs w:val="28"/>
        </w:rPr>
        <w:t>Krugman, P., Obstfeld, M., &amp; Melitz, M. J. (2018). </w:t>
      </w:r>
      <w:r w:rsidRPr="00B2700B">
        <w:rPr>
          <w:rFonts w:ascii="Times New Roman" w:hAnsi="Times New Roman" w:cs="Times New Roman"/>
          <w:i/>
          <w:iCs/>
          <w:sz w:val="28"/>
          <w:szCs w:val="28"/>
        </w:rPr>
        <w:t>International economics: Theory and policy</w:t>
      </w:r>
      <w:r w:rsidRPr="00B2700B">
        <w:rPr>
          <w:rFonts w:ascii="Times New Roman" w:hAnsi="Times New Roman" w:cs="Times New Roman"/>
          <w:sz w:val="28"/>
          <w:szCs w:val="28"/>
        </w:rPr>
        <w:t> (11th ed.). Pearson.</w:t>
      </w:r>
    </w:p>
    <w:p w14:paraId="4D33D117" w14:textId="77777777" w:rsidR="00E0661B" w:rsidRPr="00B2700B" w:rsidRDefault="00E0661B" w:rsidP="00B2700B">
      <w:pPr>
        <w:pStyle w:val="ListParagraph"/>
        <w:numPr>
          <w:ilvl w:val="0"/>
          <w:numId w:val="10"/>
        </w:numPr>
        <w:jc w:val="both"/>
        <w:rPr>
          <w:rFonts w:ascii="Times New Roman" w:hAnsi="Times New Roman" w:cs="Times New Roman"/>
          <w:sz w:val="28"/>
          <w:szCs w:val="28"/>
        </w:rPr>
      </w:pPr>
      <w:r w:rsidRPr="00B2700B">
        <w:rPr>
          <w:rFonts w:ascii="Times New Roman" w:hAnsi="Times New Roman" w:cs="Times New Roman"/>
          <w:sz w:val="28"/>
          <w:szCs w:val="28"/>
        </w:rPr>
        <w:t xml:space="preserve">M., &amp; </w:t>
      </w:r>
      <w:proofErr w:type="spellStart"/>
      <w:r w:rsidRPr="00B2700B">
        <w:rPr>
          <w:rFonts w:ascii="Times New Roman" w:hAnsi="Times New Roman" w:cs="Times New Roman"/>
          <w:sz w:val="28"/>
          <w:szCs w:val="28"/>
        </w:rPr>
        <w:t>Reddi</w:t>
      </w:r>
      <w:proofErr w:type="spellEnd"/>
      <w:r w:rsidRPr="00B2700B">
        <w:rPr>
          <w:rFonts w:ascii="Times New Roman" w:hAnsi="Times New Roman" w:cs="Times New Roman"/>
          <w:sz w:val="28"/>
          <w:szCs w:val="28"/>
        </w:rPr>
        <w:t>, S. (2025). AI integration and digital regulation: Impacts on global trade in digitally deliverable services. </w:t>
      </w:r>
      <w:r w:rsidRPr="00B2700B">
        <w:rPr>
          <w:rFonts w:ascii="Times New Roman" w:hAnsi="Times New Roman" w:cs="Times New Roman"/>
          <w:i/>
          <w:iCs/>
          <w:sz w:val="28"/>
          <w:szCs w:val="28"/>
        </w:rPr>
        <w:t>Bulletin of Monetary Economics and Banking, 28</w:t>
      </w:r>
      <w:r w:rsidRPr="00B2700B">
        <w:rPr>
          <w:rFonts w:ascii="Times New Roman" w:hAnsi="Times New Roman" w:cs="Times New Roman"/>
          <w:sz w:val="28"/>
          <w:szCs w:val="28"/>
        </w:rPr>
        <w:t>(0), 95–122. </w:t>
      </w:r>
      <w:hyperlink r:id="rId22" w:tgtFrame="_blank" w:history="1">
        <w:r w:rsidRPr="00B2700B">
          <w:rPr>
            <w:rStyle w:val="Hyperlink"/>
            <w:rFonts w:ascii="Times New Roman" w:hAnsi="Times New Roman" w:cs="Times New Roman"/>
            <w:b/>
            <w:bCs/>
            <w:sz w:val="28"/>
            <w:szCs w:val="28"/>
          </w:rPr>
          <w:t>https://doi.org/10.21098/bmecb.v28i0.2483</w:t>
        </w:r>
      </w:hyperlink>
    </w:p>
    <w:p w14:paraId="57E9475B" w14:textId="77777777" w:rsidR="00E0661B" w:rsidRPr="00B2700B" w:rsidRDefault="00E0661B" w:rsidP="00B2700B">
      <w:pPr>
        <w:pStyle w:val="ListParagraph"/>
        <w:numPr>
          <w:ilvl w:val="0"/>
          <w:numId w:val="10"/>
        </w:numPr>
        <w:jc w:val="both"/>
        <w:rPr>
          <w:rFonts w:ascii="Times New Roman" w:hAnsi="Times New Roman" w:cs="Times New Roman"/>
          <w:sz w:val="28"/>
          <w:szCs w:val="28"/>
        </w:rPr>
      </w:pPr>
      <w:r w:rsidRPr="00B2700B">
        <w:rPr>
          <w:rFonts w:ascii="Times New Roman" w:hAnsi="Times New Roman" w:cs="Times New Roman"/>
          <w:sz w:val="28"/>
          <w:szCs w:val="28"/>
        </w:rPr>
        <w:t>Oxford Insights. (2023). </w:t>
      </w:r>
      <w:r w:rsidRPr="00B2700B">
        <w:rPr>
          <w:rFonts w:ascii="Times New Roman" w:hAnsi="Times New Roman" w:cs="Times New Roman"/>
          <w:i/>
          <w:iCs/>
          <w:sz w:val="28"/>
          <w:szCs w:val="28"/>
        </w:rPr>
        <w:t>Government AI readiness index 2023</w:t>
      </w:r>
      <w:r w:rsidRPr="00B2700B">
        <w:rPr>
          <w:rFonts w:ascii="Times New Roman" w:hAnsi="Times New Roman" w:cs="Times New Roman"/>
          <w:sz w:val="28"/>
          <w:szCs w:val="28"/>
        </w:rPr>
        <w:t>. </w:t>
      </w:r>
      <w:hyperlink r:id="rId23" w:tgtFrame="_blank" w:history="1">
        <w:r w:rsidRPr="00B2700B">
          <w:rPr>
            <w:rStyle w:val="Hyperlink"/>
            <w:rFonts w:ascii="Times New Roman" w:hAnsi="Times New Roman" w:cs="Times New Roman"/>
            <w:b/>
            <w:bCs/>
            <w:sz w:val="28"/>
            <w:szCs w:val="28"/>
          </w:rPr>
          <w:t>https://www.oxfordinsights.com/ai-readiness</w:t>
        </w:r>
      </w:hyperlink>
    </w:p>
    <w:p w14:paraId="2B634C65" w14:textId="77777777" w:rsidR="00E0661B" w:rsidRPr="00B2700B" w:rsidRDefault="00E0661B" w:rsidP="00B2700B">
      <w:pPr>
        <w:pStyle w:val="ListParagraph"/>
        <w:numPr>
          <w:ilvl w:val="0"/>
          <w:numId w:val="10"/>
        </w:numPr>
        <w:jc w:val="both"/>
        <w:rPr>
          <w:rFonts w:ascii="Times New Roman" w:hAnsi="Times New Roman" w:cs="Times New Roman"/>
          <w:sz w:val="28"/>
          <w:szCs w:val="28"/>
        </w:rPr>
      </w:pPr>
      <w:r w:rsidRPr="00B2700B">
        <w:rPr>
          <w:rFonts w:ascii="Times New Roman" w:hAnsi="Times New Roman" w:cs="Times New Roman"/>
          <w:sz w:val="28"/>
          <w:szCs w:val="28"/>
        </w:rPr>
        <w:t>Rodrik, D. (2013). Unconditional convergence in manufacturing. </w:t>
      </w:r>
      <w:r w:rsidRPr="00B2700B">
        <w:rPr>
          <w:rFonts w:ascii="Times New Roman" w:hAnsi="Times New Roman" w:cs="Times New Roman"/>
          <w:i/>
          <w:iCs/>
          <w:sz w:val="28"/>
          <w:szCs w:val="28"/>
        </w:rPr>
        <w:t>The Quarterly Journal of Economics, 128</w:t>
      </w:r>
      <w:r w:rsidRPr="00B2700B">
        <w:rPr>
          <w:rFonts w:ascii="Times New Roman" w:hAnsi="Times New Roman" w:cs="Times New Roman"/>
          <w:sz w:val="28"/>
          <w:szCs w:val="28"/>
        </w:rPr>
        <w:t>(1), 165–204. </w:t>
      </w:r>
      <w:hyperlink r:id="rId24" w:tgtFrame="_blank" w:history="1">
        <w:r w:rsidRPr="00B2700B">
          <w:rPr>
            <w:rStyle w:val="Hyperlink"/>
            <w:rFonts w:ascii="Times New Roman" w:hAnsi="Times New Roman" w:cs="Times New Roman"/>
            <w:b/>
            <w:bCs/>
            <w:sz w:val="28"/>
            <w:szCs w:val="28"/>
          </w:rPr>
          <w:t>https://doi.org/10.1093/qje/qjs047</w:t>
        </w:r>
      </w:hyperlink>
    </w:p>
    <w:p w14:paraId="1B768C78" w14:textId="77777777" w:rsidR="00E0661B" w:rsidRPr="00B2700B" w:rsidRDefault="00E0661B" w:rsidP="00B2700B">
      <w:pPr>
        <w:pStyle w:val="ListParagraph"/>
        <w:numPr>
          <w:ilvl w:val="0"/>
          <w:numId w:val="10"/>
        </w:numPr>
        <w:jc w:val="both"/>
        <w:rPr>
          <w:rFonts w:ascii="Times New Roman" w:hAnsi="Times New Roman" w:cs="Times New Roman"/>
          <w:sz w:val="28"/>
          <w:szCs w:val="28"/>
        </w:rPr>
      </w:pPr>
      <w:r w:rsidRPr="00B2700B">
        <w:rPr>
          <w:rFonts w:ascii="Times New Roman" w:hAnsi="Times New Roman" w:cs="Times New Roman"/>
          <w:sz w:val="28"/>
          <w:szCs w:val="28"/>
        </w:rPr>
        <w:t>Rubin, D. B. (1987). </w:t>
      </w:r>
      <w:r w:rsidRPr="00B2700B">
        <w:rPr>
          <w:rFonts w:ascii="Times New Roman" w:hAnsi="Times New Roman" w:cs="Times New Roman"/>
          <w:i/>
          <w:iCs/>
          <w:sz w:val="28"/>
          <w:szCs w:val="28"/>
        </w:rPr>
        <w:t>Multiple imputation for nonresponse in surveys</w:t>
      </w:r>
      <w:r w:rsidRPr="00B2700B">
        <w:rPr>
          <w:rFonts w:ascii="Times New Roman" w:hAnsi="Times New Roman" w:cs="Times New Roman"/>
          <w:sz w:val="28"/>
          <w:szCs w:val="28"/>
        </w:rPr>
        <w:t>. John Wiley &amp; Sons. </w:t>
      </w:r>
      <w:hyperlink r:id="rId25" w:tgtFrame="_blank" w:history="1">
        <w:r w:rsidRPr="00B2700B">
          <w:rPr>
            <w:rStyle w:val="Hyperlink"/>
            <w:rFonts w:ascii="Times New Roman" w:hAnsi="Times New Roman" w:cs="Times New Roman"/>
            <w:b/>
            <w:bCs/>
            <w:sz w:val="28"/>
            <w:szCs w:val="28"/>
          </w:rPr>
          <w:t>https://doi.org/10.1002/9780470316696</w:t>
        </w:r>
      </w:hyperlink>
    </w:p>
    <w:p w14:paraId="2DF79FE7" w14:textId="77777777" w:rsidR="00E0661B" w:rsidRPr="00B2700B" w:rsidRDefault="00E0661B" w:rsidP="00B2700B">
      <w:pPr>
        <w:pStyle w:val="ListParagraph"/>
        <w:numPr>
          <w:ilvl w:val="0"/>
          <w:numId w:val="10"/>
        </w:numPr>
        <w:jc w:val="both"/>
        <w:rPr>
          <w:rFonts w:ascii="Times New Roman" w:hAnsi="Times New Roman" w:cs="Times New Roman"/>
          <w:sz w:val="28"/>
          <w:szCs w:val="28"/>
        </w:rPr>
      </w:pPr>
      <w:r w:rsidRPr="00B2700B">
        <w:rPr>
          <w:rFonts w:ascii="Times New Roman" w:hAnsi="Times New Roman" w:cs="Times New Roman"/>
          <w:sz w:val="28"/>
          <w:szCs w:val="28"/>
        </w:rPr>
        <w:t>UNCTAD. (2022). </w:t>
      </w:r>
      <w:r w:rsidRPr="00B2700B">
        <w:rPr>
          <w:rFonts w:ascii="Times New Roman" w:hAnsi="Times New Roman" w:cs="Times New Roman"/>
          <w:i/>
          <w:iCs/>
          <w:sz w:val="28"/>
          <w:szCs w:val="28"/>
        </w:rPr>
        <w:t>Digital economy report 2022: Development and trends</w:t>
      </w:r>
      <w:r w:rsidRPr="00B2700B">
        <w:rPr>
          <w:rFonts w:ascii="Times New Roman" w:hAnsi="Times New Roman" w:cs="Times New Roman"/>
          <w:sz w:val="28"/>
          <w:szCs w:val="28"/>
        </w:rPr>
        <w:t xml:space="preserve">. United Nations Conference on Trade and </w:t>
      </w:r>
      <w:r w:rsidRPr="00B2700B">
        <w:rPr>
          <w:rFonts w:ascii="Times New Roman" w:hAnsi="Times New Roman" w:cs="Times New Roman"/>
          <w:sz w:val="28"/>
          <w:szCs w:val="28"/>
        </w:rPr>
        <w:lastRenderedPageBreak/>
        <w:t>Development. </w:t>
      </w:r>
      <w:hyperlink r:id="rId26" w:tgtFrame="_blank" w:history="1">
        <w:r w:rsidRPr="00B2700B">
          <w:rPr>
            <w:rStyle w:val="Hyperlink"/>
            <w:rFonts w:ascii="Times New Roman" w:hAnsi="Times New Roman" w:cs="Times New Roman"/>
            <w:b/>
            <w:bCs/>
            <w:sz w:val="28"/>
            <w:szCs w:val="28"/>
          </w:rPr>
          <w:t>https://unctad.org/system/files/official-document/presspb2021d10_en.pdf</w:t>
        </w:r>
      </w:hyperlink>
    </w:p>
    <w:p w14:paraId="0FBE1F43" w14:textId="77777777" w:rsidR="00E0661B" w:rsidRPr="00B2700B" w:rsidRDefault="00E0661B" w:rsidP="00B2700B">
      <w:pPr>
        <w:pStyle w:val="ListParagraph"/>
        <w:numPr>
          <w:ilvl w:val="0"/>
          <w:numId w:val="10"/>
        </w:numPr>
        <w:jc w:val="both"/>
        <w:rPr>
          <w:rFonts w:ascii="Times New Roman" w:hAnsi="Times New Roman" w:cs="Times New Roman"/>
          <w:sz w:val="28"/>
          <w:szCs w:val="28"/>
        </w:rPr>
      </w:pPr>
      <w:r w:rsidRPr="00B2700B">
        <w:rPr>
          <w:rFonts w:ascii="Times New Roman" w:hAnsi="Times New Roman" w:cs="Times New Roman"/>
          <w:sz w:val="28"/>
          <w:szCs w:val="28"/>
        </w:rPr>
        <w:t>UNCTAD. (2025a). AI's $4.8 trillion future: UN Trade and Development alerts on divides, urges action [Press release]. </w:t>
      </w:r>
      <w:hyperlink r:id="rId27" w:tgtFrame="_blank" w:history="1">
        <w:r w:rsidRPr="00B2700B">
          <w:rPr>
            <w:rStyle w:val="Hyperlink"/>
            <w:rFonts w:ascii="Times New Roman" w:hAnsi="Times New Roman" w:cs="Times New Roman"/>
            <w:b/>
            <w:bCs/>
            <w:sz w:val="28"/>
            <w:szCs w:val="28"/>
          </w:rPr>
          <w:t>https://unctad.org/press-material/ais-48-trillion-future-un-trade-and-development-alerts-divides-urges-action</w:t>
        </w:r>
      </w:hyperlink>
    </w:p>
    <w:p w14:paraId="0BC2059D" w14:textId="77777777" w:rsidR="00E0661B" w:rsidRPr="00B2700B" w:rsidRDefault="00E0661B" w:rsidP="00B2700B">
      <w:pPr>
        <w:pStyle w:val="ListParagraph"/>
        <w:numPr>
          <w:ilvl w:val="0"/>
          <w:numId w:val="10"/>
        </w:numPr>
        <w:jc w:val="both"/>
        <w:rPr>
          <w:rFonts w:ascii="Times New Roman" w:hAnsi="Times New Roman" w:cs="Times New Roman"/>
          <w:sz w:val="28"/>
          <w:szCs w:val="28"/>
        </w:rPr>
      </w:pPr>
      <w:r w:rsidRPr="00B2700B">
        <w:rPr>
          <w:rFonts w:ascii="Times New Roman" w:hAnsi="Times New Roman" w:cs="Times New Roman"/>
          <w:sz w:val="28"/>
          <w:szCs w:val="28"/>
        </w:rPr>
        <w:t>UNCTAD. (2025b). Digital economy: A new frontier for trade, sustainability and inclusion. </w:t>
      </w:r>
      <w:hyperlink r:id="rId28" w:tgtFrame="_blank" w:history="1">
        <w:r w:rsidRPr="00B2700B">
          <w:rPr>
            <w:rStyle w:val="Hyperlink"/>
            <w:rFonts w:ascii="Times New Roman" w:hAnsi="Times New Roman" w:cs="Times New Roman"/>
            <w:b/>
            <w:bCs/>
            <w:sz w:val="28"/>
            <w:szCs w:val="28"/>
          </w:rPr>
          <w:t>https://unctad.org/news/digital-economy-new-frontier-trade-sustainability-and-inclusion</w:t>
        </w:r>
      </w:hyperlink>
    </w:p>
    <w:p w14:paraId="2D5E1B52" w14:textId="77777777" w:rsidR="00E0661B" w:rsidRPr="00B2700B" w:rsidRDefault="00E0661B" w:rsidP="00B2700B">
      <w:pPr>
        <w:pStyle w:val="ListParagraph"/>
        <w:numPr>
          <w:ilvl w:val="0"/>
          <w:numId w:val="10"/>
        </w:numPr>
        <w:jc w:val="both"/>
        <w:rPr>
          <w:rFonts w:ascii="Times New Roman" w:hAnsi="Times New Roman" w:cs="Times New Roman"/>
          <w:sz w:val="28"/>
          <w:szCs w:val="28"/>
        </w:rPr>
      </w:pPr>
      <w:proofErr w:type="spellStart"/>
      <w:r w:rsidRPr="00B2700B">
        <w:rPr>
          <w:rFonts w:ascii="Times New Roman" w:hAnsi="Times New Roman" w:cs="Times New Roman"/>
          <w:sz w:val="28"/>
          <w:szCs w:val="28"/>
        </w:rPr>
        <w:t>UNCTADstat</w:t>
      </w:r>
      <w:proofErr w:type="spellEnd"/>
      <w:r w:rsidRPr="00B2700B">
        <w:rPr>
          <w:rFonts w:ascii="Times New Roman" w:hAnsi="Times New Roman" w:cs="Times New Roman"/>
          <w:sz w:val="28"/>
          <w:szCs w:val="28"/>
        </w:rPr>
        <w:t>. (2024). </w:t>
      </w:r>
      <w:r w:rsidRPr="00B2700B">
        <w:rPr>
          <w:rFonts w:ascii="Times New Roman" w:hAnsi="Times New Roman" w:cs="Times New Roman"/>
          <w:i/>
          <w:iCs/>
          <w:sz w:val="28"/>
          <w:szCs w:val="28"/>
        </w:rPr>
        <w:t>International trade in digitally deliverable services, value, shares and growth rates</w:t>
      </w:r>
      <w:r w:rsidRPr="00B2700B">
        <w:rPr>
          <w:rFonts w:ascii="Times New Roman" w:hAnsi="Times New Roman" w:cs="Times New Roman"/>
          <w:sz w:val="28"/>
          <w:szCs w:val="28"/>
        </w:rPr>
        <w:t>. </w:t>
      </w:r>
      <w:hyperlink r:id="rId29" w:tgtFrame="_blank" w:history="1">
        <w:r w:rsidRPr="00B2700B">
          <w:rPr>
            <w:rStyle w:val="Hyperlink"/>
            <w:rFonts w:ascii="Times New Roman" w:hAnsi="Times New Roman" w:cs="Times New Roman"/>
            <w:b/>
            <w:bCs/>
            <w:sz w:val="28"/>
            <w:szCs w:val="28"/>
          </w:rPr>
          <w:t>https://unctadstat.unctad.org/datacentre/reportInfo/US.DigitallyDeliverableServices</w:t>
        </w:r>
      </w:hyperlink>
    </w:p>
    <w:p w14:paraId="0E4AF6FA" w14:textId="77777777" w:rsidR="00E0661B" w:rsidRPr="00B2700B" w:rsidRDefault="00E0661B" w:rsidP="00B2700B">
      <w:pPr>
        <w:pStyle w:val="ListParagraph"/>
        <w:numPr>
          <w:ilvl w:val="0"/>
          <w:numId w:val="10"/>
        </w:numPr>
        <w:jc w:val="both"/>
        <w:rPr>
          <w:rFonts w:ascii="Times New Roman" w:hAnsi="Times New Roman" w:cs="Times New Roman"/>
          <w:sz w:val="28"/>
          <w:szCs w:val="28"/>
        </w:rPr>
      </w:pPr>
      <w:r w:rsidRPr="00B2700B">
        <w:rPr>
          <w:rFonts w:ascii="Times New Roman" w:hAnsi="Times New Roman" w:cs="Times New Roman"/>
          <w:sz w:val="28"/>
          <w:szCs w:val="28"/>
        </w:rPr>
        <w:t>Wooldridge, J. M. (2010). </w:t>
      </w:r>
      <w:r w:rsidRPr="00B2700B">
        <w:rPr>
          <w:rFonts w:ascii="Times New Roman" w:hAnsi="Times New Roman" w:cs="Times New Roman"/>
          <w:i/>
          <w:iCs/>
          <w:sz w:val="28"/>
          <w:szCs w:val="28"/>
        </w:rPr>
        <w:t>Econometric analysis of cross section and panel data</w:t>
      </w:r>
      <w:r w:rsidRPr="00B2700B">
        <w:rPr>
          <w:rFonts w:ascii="Times New Roman" w:hAnsi="Times New Roman" w:cs="Times New Roman"/>
          <w:sz w:val="28"/>
          <w:szCs w:val="28"/>
        </w:rPr>
        <w:t> (2nd ed.). MIT Press.</w:t>
      </w:r>
    </w:p>
    <w:p w14:paraId="6CF194A8" w14:textId="77777777" w:rsidR="00E0661B" w:rsidRPr="00B2700B" w:rsidRDefault="00E0661B" w:rsidP="00B2700B">
      <w:pPr>
        <w:pStyle w:val="ListParagraph"/>
        <w:numPr>
          <w:ilvl w:val="0"/>
          <w:numId w:val="10"/>
        </w:numPr>
        <w:jc w:val="both"/>
        <w:rPr>
          <w:rFonts w:ascii="Times New Roman" w:hAnsi="Times New Roman" w:cs="Times New Roman"/>
          <w:sz w:val="28"/>
          <w:szCs w:val="28"/>
        </w:rPr>
      </w:pPr>
      <w:r w:rsidRPr="00B2700B">
        <w:rPr>
          <w:rFonts w:ascii="Times New Roman" w:hAnsi="Times New Roman" w:cs="Times New Roman"/>
          <w:sz w:val="28"/>
          <w:szCs w:val="28"/>
        </w:rPr>
        <w:t>World Bank. (2023). </w:t>
      </w:r>
      <w:r w:rsidRPr="00B2700B">
        <w:rPr>
          <w:rFonts w:ascii="Times New Roman" w:hAnsi="Times New Roman" w:cs="Times New Roman"/>
          <w:i/>
          <w:iCs/>
          <w:sz w:val="28"/>
          <w:szCs w:val="28"/>
        </w:rPr>
        <w:t>AI readiness across nations: A panel analysis of policy frameworks</w:t>
      </w:r>
      <w:r w:rsidRPr="00B2700B">
        <w:rPr>
          <w:rFonts w:ascii="Times New Roman" w:hAnsi="Times New Roman" w:cs="Times New Roman"/>
          <w:sz w:val="28"/>
          <w:szCs w:val="28"/>
        </w:rPr>
        <w:t>. </w:t>
      </w:r>
      <w:hyperlink r:id="rId30" w:tgtFrame="_blank" w:history="1">
        <w:r w:rsidRPr="00B2700B">
          <w:rPr>
            <w:rStyle w:val="Hyperlink"/>
            <w:rFonts w:ascii="Times New Roman" w:hAnsi="Times New Roman" w:cs="Times New Roman"/>
            <w:b/>
            <w:bCs/>
            <w:sz w:val="28"/>
            <w:szCs w:val="28"/>
          </w:rPr>
          <w:t>https://papers.ssrn.com/sol3/papers.cfm?abstract_id=5233141</w:t>
        </w:r>
      </w:hyperlink>
    </w:p>
    <w:p w14:paraId="0AE0E7F2" w14:textId="77777777" w:rsidR="00E0661B" w:rsidRPr="00B2700B" w:rsidRDefault="00E0661B" w:rsidP="00B2700B">
      <w:pPr>
        <w:pStyle w:val="ListParagraph"/>
        <w:numPr>
          <w:ilvl w:val="0"/>
          <w:numId w:val="10"/>
        </w:numPr>
        <w:jc w:val="both"/>
        <w:rPr>
          <w:rFonts w:ascii="Times New Roman" w:hAnsi="Times New Roman" w:cs="Times New Roman"/>
          <w:sz w:val="28"/>
          <w:szCs w:val="28"/>
        </w:rPr>
      </w:pPr>
      <w:r w:rsidRPr="00B2700B">
        <w:rPr>
          <w:rFonts w:ascii="Times New Roman" w:hAnsi="Times New Roman" w:cs="Times New Roman"/>
          <w:sz w:val="28"/>
          <w:szCs w:val="28"/>
        </w:rPr>
        <w:t>World Bank. (2024). </w:t>
      </w:r>
      <w:r w:rsidRPr="00B2700B">
        <w:rPr>
          <w:rFonts w:ascii="Times New Roman" w:hAnsi="Times New Roman" w:cs="Times New Roman"/>
          <w:i/>
          <w:iCs/>
          <w:sz w:val="28"/>
          <w:szCs w:val="28"/>
        </w:rPr>
        <w:t>World development indicators</w:t>
      </w:r>
      <w:r w:rsidRPr="00B2700B">
        <w:rPr>
          <w:rFonts w:ascii="Times New Roman" w:hAnsi="Times New Roman" w:cs="Times New Roman"/>
          <w:sz w:val="28"/>
          <w:szCs w:val="28"/>
        </w:rPr>
        <w:t>. </w:t>
      </w:r>
      <w:hyperlink r:id="rId31" w:tgtFrame="_blank" w:history="1">
        <w:r w:rsidRPr="00B2700B">
          <w:rPr>
            <w:rStyle w:val="Hyperlink"/>
            <w:rFonts w:ascii="Times New Roman" w:hAnsi="Times New Roman" w:cs="Times New Roman"/>
            <w:b/>
            <w:bCs/>
            <w:sz w:val="28"/>
            <w:szCs w:val="28"/>
          </w:rPr>
          <w:t>https://databank.worldbank.org/source/world-development-indicators</w:t>
        </w:r>
      </w:hyperlink>
    </w:p>
    <w:p w14:paraId="712EEC94" w14:textId="77777777" w:rsidR="00E0661B" w:rsidRPr="00B2700B" w:rsidRDefault="00E0661B" w:rsidP="00B2700B">
      <w:pPr>
        <w:pStyle w:val="ListParagraph"/>
        <w:numPr>
          <w:ilvl w:val="0"/>
          <w:numId w:val="10"/>
        </w:numPr>
        <w:jc w:val="both"/>
        <w:rPr>
          <w:rFonts w:ascii="Times New Roman" w:hAnsi="Times New Roman" w:cs="Times New Roman"/>
          <w:sz w:val="28"/>
          <w:szCs w:val="28"/>
        </w:rPr>
      </w:pPr>
      <w:r w:rsidRPr="00B2700B">
        <w:rPr>
          <w:rFonts w:ascii="Times New Roman" w:hAnsi="Times New Roman" w:cs="Times New Roman"/>
          <w:sz w:val="28"/>
          <w:szCs w:val="28"/>
        </w:rPr>
        <w:t>World Trade Organization. (2025). </w:t>
      </w:r>
      <w:r w:rsidRPr="00B2700B">
        <w:rPr>
          <w:rFonts w:ascii="Times New Roman" w:hAnsi="Times New Roman" w:cs="Times New Roman"/>
          <w:i/>
          <w:iCs/>
          <w:sz w:val="28"/>
          <w:szCs w:val="28"/>
        </w:rPr>
        <w:t>World Trade Report 2025: Making trade and AI work together</w:t>
      </w:r>
      <w:r w:rsidRPr="00B2700B">
        <w:rPr>
          <w:rFonts w:ascii="Times New Roman" w:hAnsi="Times New Roman" w:cs="Times New Roman"/>
          <w:sz w:val="28"/>
          <w:szCs w:val="28"/>
        </w:rPr>
        <w:t>. </w:t>
      </w:r>
      <w:hyperlink r:id="rId32" w:tgtFrame="_blank" w:history="1">
        <w:r w:rsidRPr="00B2700B">
          <w:rPr>
            <w:rStyle w:val="Hyperlink"/>
            <w:rFonts w:ascii="Times New Roman" w:hAnsi="Times New Roman" w:cs="Times New Roman"/>
            <w:b/>
            <w:bCs/>
            <w:sz w:val="28"/>
            <w:szCs w:val="28"/>
          </w:rPr>
          <w:t>https://www.wto.org/english/res_e/publications_e/wtr25_e.htm</w:t>
        </w:r>
      </w:hyperlink>
    </w:p>
    <w:p w14:paraId="3036D66A" w14:textId="77777777" w:rsidR="00B30103" w:rsidRPr="00B30103" w:rsidRDefault="00B30103" w:rsidP="00B30103">
      <w:pPr>
        <w:jc w:val="both"/>
        <w:rPr>
          <w:rFonts w:ascii="Times New Roman" w:hAnsi="Times New Roman" w:cs="Times New Roman"/>
          <w:sz w:val="28"/>
          <w:szCs w:val="28"/>
        </w:rPr>
      </w:pPr>
    </w:p>
    <w:p w14:paraId="42CC62AB" w14:textId="77777777" w:rsidR="00B30103" w:rsidRPr="006655B7" w:rsidRDefault="00B2700B" w:rsidP="00B2700B">
      <w:pPr>
        <w:tabs>
          <w:tab w:val="left" w:pos="3857"/>
        </w:tabs>
        <w:jc w:val="both"/>
        <w:rPr>
          <w:rFonts w:ascii="Times New Roman" w:hAnsi="Times New Roman" w:cs="Times New Roman"/>
          <w:sz w:val="28"/>
          <w:szCs w:val="28"/>
        </w:rPr>
      </w:pPr>
      <w:r>
        <w:rPr>
          <w:rFonts w:ascii="Times New Roman" w:hAnsi="Times New Roman" w:cs="Times New Roman"/>
          <w:sz w:val="28"/>
          <w:szCs w:val="28"/>
        </w:rPr>
        <w:tab/>
      </w:r>
    </w:p>
    <w:sectPr w:rsidR="00B30103" w:rsidRPr="006655B7">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1C374" w14:textId="77777777" w:rsidR="00E27846" w:rsidRDefault="00E27846" w:rsidP="0093129A">
      <w:pPr>
        <w:spacing w:after="0" w:line="240" w:lineRule="auto"/>
      </w:pPr>
      <w:r>
        <w:separator/>
      </w:r>
    </w:p>
  </w:endnote>
  <w:endnote w:type="continuationSeparator" w:id="0">
    <w:p w14:paraId="4CB7E524" w14:textId="77777777" w:rsidR="00E27846" w:rsidRDefault="00E27846" w:rsidP="0093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9AE04" w14:textId="77777777" w:rsidR="0093129A" w:rsidRDefault="00931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6C4BC" w14:textId="77777777" w:rsidR="0093129A" w:rsidRDefault="009312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8C9AC" w14:textId="77777777" w:rsidR="0093129A" w:rsidRDefault="00931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B0E47" w14:textId="77777777" w:rsidR="00E27846" w:rsidRDefault="00E27846" w:rsidP="0093129A">
      <w:pPr>
        <w:spacing w:after="0" w:line="240" w:lineRule="auto"/>
      </w:pPr>
      <w:r>
        <w:separator/>
      </w:r>
    </w:p>
  </w:footnote>
  <w:footnote w:type="continuationSeparator" w:id="0">
    <w:p w14:paraId="148C63AB" w14:textId="77777777" w:rsidR="00E27846" w:rsidRDefault="00E27846" w:rsidP="00931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B2D43" w14:textId="78625A14" w:rsidR="0093129A" w:rsidRDefault="0093129A">
    <w:pPr>
      <w:pStyle w:val="Header"/>
    </w:pPr>
    <w:r>
      <w:rPr>
        <w:noProof/>
      </w:rPr>
      <w:pict w14:anchorId="01215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0663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AAA90" w14:textId="40E1AD18" w:rsidR="0093129A" w:rsidRDefault="0093129A">
    <w:pPr>
      <w:pStyle w:val="Header"/>
    </w:pPr>
    <w:r>
      <w:rPr>
        <w:noProof/>
      </w:rPr>
      <w:pict w14:anchorId="40881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0663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C67B4" w14:textId="5F76975A" w:rsidR="0093129A" w:rsidRDefault="0093129A">
    <w:pPr>
      <w:pStyle w:val="Header"/>
    </w:pPr>
    <w:r>
      <w:rPr>
        <w:noProof/>
      </w:rPr>
      <w:pict w14:anchorId="7E8C1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0663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6711"/>
    <w:multiLevelType w:val="multilevel"/>
    <w:tmpl w:val="628E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20BB6"/>
    <w:multiLevelType w:val="multilevel"/>
    <w:tmpl w:val="1208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DB1F8E"/>
    <w:multiLevelType w:val="multilevel"/>
    <w:tmpl w:val="6874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092C65"/>
    <w:multiLevelType w:val="multilevel"/>
    <w:tmpl w:val="D2FE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397667"/>
    <w:multiLevelType w:val="multilevel"/>
    <w:tmpl w:val="1FB2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114FDB"/>
    <w:multiLevelType w:val="multilevel"/>
    <w:tmpl w:val="7982D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CA2E37"/>
    <w:multiLevelType w:val="multilevel"/>
    <w:tmpl w:val="7CDC7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B034B9"/>
    <w:multiLevelType w:val="multilevel"/>
    <w:tmpl w:val="B886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6167B3"/>
    <w:multiLevelType w:val="hybridMultilevel"/>
    <w:tmpl w:val="38EAB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D3209D"/>
    <w:multiLevelType w:val="multilevel"/>
    <w:tmpl w:val="9880F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1C4911"/>
    <w:multiLevelType w:val="multilevel"/>
    <w:tmpl w:val="C0F06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5"/>
  </w:num>
  <w:num w:numId="4">
    <w:abstractNumId w:val="6"/>
  </w:num>
  <w:num w:numId="5">
    <w:abstractNumId w:val="2"/>
  </w:num>
  <w:num w:numId="6">
    <w:abstractNumId w:val="7"/>
  </w:num>
  <w:num w:numId="7">
    <w:abstractNumId w:val="4"/>
  </w:num>
  <w:num w:numId="8">
    <w:abstractNumId w:val="1"/>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B7"/>
    <w:rsid w:val="000B718E"/>
    <w:rsid w:val="001F2E77"/>
    <w:rsid w:val="002D522D"/>
    <w:rsid w:val="00304E6B"/>
    <w:rsid w:val="003F6FD9"/>
    <w:rsid w:val="0042409B"/>
    <w:rsid w:val="00482044"/>
    <w:rsid w:val="005F34D8"/>
    <w:rsid w:val="006655B7"/>
    <w:rsid w:val="00911E0D"/>
    <w:rsid w:val="0093129A"/>
    <w:rsid w:val="00A42F3D"/>
    <w:rsid w:val="00B1738F"/>
    <w:rsid w:val="00B2700B"/>
    <w:rsid w:val="00B30103"/>
    <w:rsid w:val="00B51D07"/>
    <w:rsid w:val="00C17FF5"/>
    <w:rsid w:val="00D15F43"/>
    <w:rsid w:val="00D2410E"/>
    <w:rsid w:val="00D7639F"/>
    <w:rsid w:val="00DF102C"/>
    <w:rsid w:val="00E0661B"/>
    <w:rsid w:val="00E27846"/>
    <w:rsid w:val="00F73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207188"/>
  <w15:chartTrackingRefBased/>
  <w15:docId w15:val="{8F79B319-33E8-4670-9E4F-3DF6D974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D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B71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D52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D49"/>
    <w:pPr>
      <w:ind w:left="720"/>
      <w:contextualSpacing/>
    </w:pPr>
  </w:style>
  <w:style w:type="character" w:customStyle="1" w:styleId="Heading1Char">
    <w:name w:val="Heading 1 Char"/>
    <w:basedOn w:val="DefaultParagraphFont"/>
    <w:link w:val="Heading1"/>
    <w:uiPriority w:val="9"/>
    <w:rsid w:val="00F73D4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B718E"/>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E066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61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0661B"/>
    <w:rPr>
      <w:color w:val="0563C1" w:themeColor="hyperlink"/>
      <w:u w:val="single"/>
    </w:rPr>
  </w:style>
  <w:style w:type="paragraph" w:styleId="TOCHeading">
    <w:name w:val="TOC Heading"/>
    <w:basedOn w:val="Heading1"/>
    <w:next w:val="Normal"/>
    <w:uiPriority w:val="39"/>
    <w:unhideWhenUsed/>
    <w:qFormat/>
    <w:rsid w:val="00D2410E"/>
    <w:pPr>
      <w:outlineLvl w:val="9"/>
    </w:pPr>
  </w:style>
  <w:style w:type="paragraph" w:styleId="TOC1">
    <w:name w:val="toc 1"/>
    <w:basedOn w:val="Normal"/>
    <w:next w:val="Normal"/>
    <w:autoRedefine/>
    <w:uiPriority w:val="39"/>
    <w:unhideWhenUsed/>
    <w:rsid w:val="00D2410E"/>
    <w:pPr>
      <w:spacing w:after="100"/>
    </w:pPr>
  </w:style>
  <w:style w:type="paragraph" w:styleId="TOC2">
    <w:name w:val="toc 2"/>
    <w:basedOn w:val="Normal"/>
    <w:next w:val="Normal"/>
    <w:autoRedefine/>
    <w:uiPriority w:val="39"/>
    <w:unhideWhenUsed/>
    <w:rsid w:val="00D2410E"/>
    <w:pPr>
      <w:spacing w:after="100"/>
      <w:ind w:left="220"/>
    </w:pPr>
  </w:style>
  <w:style w:type="character" w:styleId="UnresolvedMention">
    <w:name w:val="Unresolved Mention"/>
    <w:basedOn w:val="DefaultParagraphFont"/>
    <w:uiPriority w:val="99"/>
    <w:semiHidden/>
    <w:unhideWhenUsed/>
    <w:rsid w:val="002D522D"/>
    <w:rPr>
      <w:color w:val="605E5C"/>
      <w:shd w:val="clear" w:color="auto" w:fill="E1DFDD"/>
    </w:rPr>
  </w:style>
  <w:style w:type="character" w:customStyle="1" w:styleId="Heading3Char">
    <w:name w:val="Heading 3 Char"/>
    <w:basedOn w:val="DefaultParagraphFont"/>
    <w:link w:val="Heading3"/>
    <w:uiPriority w:val="9"/>
    <w:semiHidden/>
    <w:rsid w:val="002D522D"/>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31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29A"/>
  </w:style>
  <w:style w:type="paragraph" w:styleId="Footer">
    <w:name w:val="footer"/>
    <w:basedOn w:val="Normal"/>
    <w:link w:val="FooterChar"/>
    <w:uiPriority w:val="99"/>
    <w:unhideWhenUsed/>
    <w:rsid w:val="00931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16538">
      <w:bodyDiv w:val="1"/>
      <w:marLeft w:val="0"/>
      <w:marRight w:val="0"/>
      <w:marTop w:val="0"/>
      <w:marBottom w:val="0"/>
      <w:divBdr>
        <w:top w:val="none" w:sz="0" w:space="0" w:color="auto"/>
        <w:left w:val="none" w:sz="0" w:space="0" w:color="auto"/>
        <w:bottom w:val="none" w:sz="0" w:space="0" w:color="auto"/>
        <w:right w:val="none" w:sz="0" w:space="0" w:color="auto"/>
      </w:divBdr>
    </w:div>
    <w:div w:id="196167322">
      <w:bodyDiv w:val="1"/>
      <w:marLeft w:val="0"/>
      <w:marRight w:val="0"/>
      <w:marTop w:val="0"/>
      <w:marBottom w:val="0"/>
      <w:divBdr>
        <w:top w:val="none" w:sz="0" w:space="0" w:color="auto"/>
        <w:left w:val="none" w:sz="0" w:space="0" w:color="auto"/>
        <w:bottom w:val="none" w:sz="0" w:space="0" w:color="auto"/>
        <w:right w:val="none" w:sz="0" w:space="0" w:color="auto"/>
      </w:divBdr>
    </w:div>
    <w:div w:id="311838764">
      <w:bodyDiv w:val="1"/>
      <w:marLeft w:val="0"/>
      <w:marRight w:val="0"/>
      <w:marTop w:val="0"/>
      <w:marBottom w:val="0"/>
      <w:divBdr>
        <w:top w:val="none" w:sz="0" w:space="0" w:color="auto"/>
        <w:left w:val="none" w:sz="0" w:space="0" w:color="auto"/>
        <w:bottom w:val="none" w:sz="0" w:space="0" w:color="auto"/>
        <w:right w:val="none" w:sz="0" w:space="0" w:color="auto"/>
      </w:divBdr>
      <w:divsChild>
        <w:div w:id="394667142">
          <w:marLeft w:val="0"/>
          <w:marRight w:val="0"/>
          <w:marTop w:val="0"/>
          <w:marBottom w:val="0"/>
          <w:divBdr>
            <w:top w:val="single" w:sz="2" w:space="0" w:color="auto"/>
            <w:left w:val="single" w:sz="2" w:space="0" w:color="auto"/>
            <w:bottom w:val="single" w:sz="2" w:space="0" w:color="auto"/>
            <w:right w:val="single" w:sz="2" w:space="0" w:color="auto"/>
          </w:divBdr>
          <w:divsChild>
            <w:div w:id="1440369226">
              <w:marLeft w:val="0"/>
              <w:marRight w:val="0"/>
              <w:marTop w:val="0"/>
              <w:marBottom w:val="0"/>
              <w:divBdr>
                <w:top w:val="single" w:sz="2" w:space="0" w:color="auto"/>
                <w:left w:val="single" w:sz="2" w:space="0" w:color="auto"/>
                <w:bottom w:val="single" w:sz="2" w:space="0" w:color="auto"/>
                <w:right w:val="single" w:sz="2" w:space="0" w:color="auto"/>
              </w:divBdr>
              <w:divsChild>
                <w:div w:id="194688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49416218">
          <w:marLeft w:val="0"/>
          <w:marRight w:val="0"/>
          <w:marTop w:val="0"/>
          <w:marBottom w:val="0"/>
          <w:divBdr>
            <w:top w:val="single" w:sz="2" w:space="0" w:color="auto"/>
            <w:left w:val="single" w:sz="2" w:space="0" w:color="auto"/>
            <w:bottom w:val="single" w:sz="2" w:space="0" w:color="auto"/>
            <w:right w:val="single" w:sz="2" w:space="0" w:color="auto"/>
          </w:divBdr>
          <w:divsChild>
            <w:div w:id="1304122204">
              <w:marLeft w:val="0"/>
              <w:marRight w:val="0"/>
              <w:marTop w:val="0"/>
              <w:marBottom w:val="0"/>
              <w:divBdr>
                <w:top w:val="single" w:sz="2" w:space="0" w:color="auto"/>
                <w:left w:val="single" w:sz="2" w:space="0" w:color="auto"/>
                <w:bottom w:val="single" w:sz="2" w:space="0" w:color="auto"/>
                <w:right w:val="single" w:sz="2" w:space="0" w:color="auto"/>
              </w:divBdr>
              <w:divsChild>
                <w:div w:id="8227711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18598919">
      <w:bodyDiv w:val="1"/>
      <w:marLeft w:val="0"/>
      <w:marRight w:val="0"/>
      <w:marTop w:val="0"/>
      <w:marBottom w:val="0"/>
      <w:divBdr>
        <w:top w:val="none" w:sz="0" w:space="0" w:color="auto"/>
        <w:left w:val="none" w:sz="0" w:space="0" w:color="auto"/>
        <w:bottom w:val="none" w:sz="0" w:space="0" w:color="auto"/>
        <w:right w:val="none" w:sz="0" w:space="0" w:color="auto"/>
      </w:divBdr>
    </w:div>
    <w:div w:id="579825187">
      <w:bodyDiv w:val="1"/>
      <w:marLeft w:val="0"/>
      <w:marRight w:val="0"/>
      <w:marTop w:val="0"/>
      <w:marBottom w:val="0"/>
      <w:divBdr>
        <w:top w:val="none" w:sz="0" w:space="0" w:color="auto"/>
        <w:left w:val="none" w:sz="0" w:space="0" w:color="auto"/>
        <w:bottom w:val="none" w:sz="0" w:space="0" w:color="auto"/>
        <w:right w:val="none" w:sz="0" w:space="0" w:color="auto"/>
      </w:divBdr>
      <w:divsChild>
        <w:div w:id="378214925">
          <w:marLeft w:val="0"/>
          <w:marRight w:val="0"/>
          <w:marTop w:val="0"/>
          <w:marBottom w:val="0"/>
          <w:divBdr>
            <w:top w:val="single" w:sz="2" w:space="0" w:color="auto"/>
            <w:left w:val="single" w:sz="2" w:space="0" w:color="auto"/>
            <w:bottom w:val="single" w:sz="2" w:space="0" w:color="auto"/>
            <w:right w:val="single" w:sz="2" w:space="0" w:color="auto"/>
          </w:divBdr>
          <w:divsChild>
            <w:div w:id="234703834">
              <w:marLeft w:val="0"/>
              <w:marRight w:val="0"/>
              <w:marTop w:val="0"/>
              <w:marBottom w:val="0"/>
              <w:divBdr>
                <w:top w:val="single" w:sz="2" w:space="0" w:color="auto"/>
                <w:left w:val="single" w:sz="2" w:space="0" w:color="auto"/>
                <w:bottom w:val="single" w:sz="2" w:space="0" w:color="auto"/>
                <w:right w:val="single" w:sz="2" w:space="0" w:color="auto"/>
              </w:divBdr>
              <w:divsChild>
                <w:div w:id="10356660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5718960">
          <w:marLeft w:val="0"/>
          <w:marRight w:val="0"/>
          <w:marTop w:val="0"/>
          <w:marBottom w:val="0"/>
          <w:divBdr>
            <w:top w:val="single" w:sz="2" w:space="0" w:color="auto"/>
            <w:left w:val="single" w:sz="2" w:space="0" w:color="auto"/>
            <w:bottom w:val="single" w:sz="2" w:space="0" w:color="auto"/>
            <w:right w:val="single" w:sz="2" w:space="0" w:color="auto"/>
          </w:divBdr>
          <w:divsChild>
            <w:div w:id="1665086287">
              <w:marLeft w:val="0"/>
              <w:marRight w:val="0"/>
              <w:marTop w:val="0"/>
              <w:marBottom w:val="0"/>
              <w:divBdr>
                <w:top w:val="single" w:sz="2" w:space="0" w:color="auto"/>
                <w:left w:val="single" w:sz="2" w:space="0" w:color="auto"/>
                <w:bottom w:val="single" w:sz="2" w:space="0" w:color="auto"/>
                <w:right w:val="single" w:sz="2" w:space="0" w:color="auto"/>
              </w:divBdr>
              <w:divsChild>
                <w:div w:id="1840147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17315454">
          <w:marLeft w:val="0"/>
          <w:marRight w:val="0"/>
          <w:marTop w:val="0"/>
          <w:marBottom w:val="0"/>
          <w:divBdr>
            <w:top w:val="single" w:sz="2" w:space="0" w:color="auto"/>
            <w:left w:val="single" w:sz="2" w:space="0" w:color="auto"/>
            <w:bottom w:val="single" w:sz="2" w:space="0" w:color="auto"/>
            <w:right w:val="single" w:sz="2" w:space="0" w:color="auto"/>
          </w:divBdr>
          <w:divsChild>
            <w:div w:id="1387409451">
              <w:marLeft w:val="0"/>
              <w:marRight w:val="0"/>
              <w:marTop w:val="0"/>
              <w:marBottom w:val="0"/>
              <w:divBdr>
                <w:top w:val="single" w:sz="2" w:space="0" w:color="auto"/>
                <w:left w:val="single" w:sz="2" w:space="0" w:color="auto"/>
                <w:bottom w:val="single" w:sz="2" w:space="0" w:color="auto"/>
                <w:right w:val="single" w:sz="2" w:space="0" w:color="auto"/>
              </w:divBdr>
              <w:divsChild>
                <w:div w:id="19373995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26394330">
      <w:bodyDiv w:val="1"/>
      <w:marLeft w:val="0"/>
      <w:marRight w:val="0"/>
      <w:marTop w:val="0"/>
      <w:marBottom w:val="0"/>
      <w:divBdr>
        <w:top w:val="none" w:sz="0" w:space="0" w:color="auto"/>
        <w:left w:val="none" w:sz="0" w:space="0" w:color="auto"/>
        <w:bottom w:val="none" w:sz="0" w:space="0" w:color="auto"/>
        <w:right w:val="none" w:sz="0" w:space="0" w:color="auto"/>
      </w:divBdr>
    </w:div>
    <w:div w:id="709721776">
      <w:bodyDiv w:val="1"/>
      <w:marLeft w:val="0"/>
      <w:marRight w:val="0"/>
      <w:marTop w:val="0"/>
      <w:marBottom w:val="0"/>
      <w:divBdr>
        <w:top w:val="none" w:sz="0" w:space="0" w:color="auto"/>
        <w:left w:val="none" w:sz="0" w:space="0" w:color="auto"/>
        <w:bottom w:val="none" w:sz="0" w:space="0" w:color="auto"/>
        <w:right w:val="none" w:sz="0" w:space="0" w:color="auto"/>
      </w:divBdr>
    </w:div>
    <w:div w:id="719984385">
      <w:bodyDiv w:val="1"/>
      <w:marLeft w:val="0"/>
      <w:marRight w:val="0"/>
      <w:marTop w:val="0"/>
      <w:marBottom w:val="0"/>
      <w:divBdr>
        <w:top w:val="none" w:sz="0" w:space="0" w:color="auto"/>
        <w:left w:val="none" w:sz="0" w:space="0" w:color="auto"/>
        <w:bottom w:val="none" w:sz="0" w:space="0" w:color="auto"/>
        <w:right w:val="none" w:sz="0" w:space="0" w:color="auto"/>
      </w:divBdr>
      <w:divsChild>
        <w:div w:id="1683045187">
          <w:marLeft w:val="0"/>
          <w:marRight w:val="0"/>
          <w:marTop w:val="0"/>
          <w:marBottom w:val="0"/>
          <w:divBdr>
            <w:top w:val="single" w:sz="2" w:space="0" w:color="auto"/>
            <w:left w:val="single" w:sz="2" w:space="0" w:color="auto"/>
            <w:bottom w:val="single" w:sz="2" w:space="0" w:color="auto"/>
            <w:right w:val="single" w:sz="2" w:space="0" w:color="auto"/>
          </w:divBdr>
          <w:divsChild>
            <w:div w:id="470024498">
              <w:marLeft w:val="0"/>
              <w:marRight w:val="0"/>
              <w:marTop w:val="0"/>
              <w:marBottom w:val="0"/>
              <w:divBdr>
                <w:top w:val="single" w:sz="2" w:space="0" w:color="auto"/>
                <w:left w:val="single" w:sz="2" w:space="0" w:color="auto"/>
                <w:bottom w:val="single" w:sz="2" w:space="0" w:color="auto"/>
                <w:right w:val="single" w:sz="2" w:space="0" w:color="auto"/>
              </w:divBdr>
              <w:divsChild>
                <w:div w:id="8008821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92046059">
          <w:marLeft w:val="0"/>
          <w:marRight w:val="0"/>
          <w:marTop w:val="0"/>
          <w:marBottom w:val="0"/>
          <w:divBdr>
            <w:top w:val="single" w:sz="2" w:space="0" w:color="auto"/>
            <w:left w:val="single" w:sz="2" w:space="0" w:color="auto"/>
            <w:bottom w:val="single" w:sz="2" w:space="0" w:color="auto"/>
            <w:right w:val="single" w:sz="2" w:space="0" w:color="auto"/>
          </w:divBdr>
          <w:divsChild>
            <w:div w:id="2014792118">
              <w:marLeft w:val="0"/>
              <w:marRight w:val="0"/>
              <w:marTop w:val="0"/>
              <w:marBottom w:val="0"/>
              <w:divBdr>
                <w:top w:val="single" w:sz="2" w:space="0" w:color="auto"/>
                <w:left w:val="single" w:sz="2" w:space="0" w:color="auto"/>
                <w:bottom w:val="single" w:sz="2" w:space="0" w:color="auto"/>
                <w:right w:val="single" w:sz="2" w:space="0" w:color="auto"/>
              </w:divBdr>
              <w:divsChild>
                <w:div w:id="6081272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7922988">
      <w:bodyDiv w:val="1"/>
      <w:marLeft w:val="0"/>
      <w:marRight w:val="0"/>
      <w:marTop w:val="0"/>
      <w:marBottom w:val="0"/>
      <w:divBdr>
        <w:top w:val="none" w:sz="0" w:space="0" w:color="auto"/>
        <w:left w:val="none" w:sz="0" w:space="0" w:color="auto"/>
        <w:bottom w:val="none" w:sz="0" w:space="0" w:color="auto"/>
        <w:right w:val="none" w:sz="0" w:space="0" w:color="auto"/>
      </w:divBdr>
    </w:div>
    <w:div w:id="800147569">
      <w:bodyDiv w:val="1"/>
      <w:marLeft w:val="0"/>
      <w:marRight w:val="0"/>
      <w:marTop w:val="0"/>
      <w:marBottom w:val="0"/>
      <w:divBdr>
        <w:top w:val="none" w:sz="0" w:space="0" w:color="auto"/>
        <w:left w:val="none" w:sz="0" w:space="0" w:color="auto"/>
        <w:bottom w:val="none" w:sz="0" w:space="0" w:color="auto"/>
        <w:right w:val="none" w:sz="0" w:space="0" w:color="auto"/>
      </w:divBdr>
      <w:divsChild>
        <w:div w:id="1332637674">
          <w:marLeft w:val="0"/>
          <w:marRight w:val="0"/>
          <w:marTop w:val="0"/>
          <w:marBottom w:val="0"/>
          <w:divBdr>
            <w:top w:val="single" w:sz="2" w:space="0" w:color="auto"/>
            <w:left w:val="single" w:sz="2" w:space="0" w:color="auto"/>
            <w:bottom w:val="single" w:sz="2" w:space="0" w:color="auto"/>
            <w:right w:val="single" w:sz="2" w:space="0" w:color="auto"/>
          </w:divBdr>
          <w:divsChild>
            <w:div w:id="1904826680">
              <w:marLeft w:val="0"/>
              <w:marRight w:val="0"/>
              <w:marTop w:val="0"/>
              <w:marBottom w:val="0"/>
              <w:divBdr>
                <w:top w:val="single" w:sz="2" w:space="0" w:color="auto"/>
                <w:left w:val="single" w:sz="2" w:space="0" w:color="auto"/>
                <w:bottom w:val="single" w:sz="2" w:space="0" w:color="auto"/>
                <w:right w:val="single" w:sz="2" w:space="0" w:color="auto"/>
              </w:divBdr>
              <w:divsChild>
                <w:div w:id="10505013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29371660">
          <w:marLeft w:val="0"/>
          <w:marRight w:val="0"/>
          <w:marTop w:val="0"/>
          <w:marBottom w:val="0"/>
          <w:divBdr>
            <w:top w:val="single" w:sz="2" w:space="0" w:color="auto"/>
            <w:left w:val="single" w:sz="2" w:space="0" w:color="auto"/>
            <w:bottom w:val="single" w:sz="2" w:space="0" w:color="auto"/>
            <w:right w:val="single" w:sz="2" w:space="0" w:color="auto"/>
          </w:divBdr>
          <w:divsChild>
            <w:div w:id="555093057">
              <w:marLeft w:val="0"/>
              <w:marRight w:val="0"/>
              <w:marTop w:val="0"/>
              <w:marBottom w:val="0"/>
              <w:divBdr>
                <w:top w:val="single" w:sz="2" w:space="0" w:color="auto"/>
                <w:left w:val="single" w:sz="2" w:space="0" w:color="auto"/>
                <w:bottom w:val="single" w:sz="2" w:space="0" w:color="auto"/>
                <w:right w:val="single" w:sz="2" w:space="0" w:color="auto"/>
              </w:divBdr>
              <w:divsChild>
                <w:div w:id="240069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70607292">
      <w:bodyDiv w:val="1"/>
      <w:marLeft w:val="0"/>
      <w:marRight w:val="0"/>
      <w:marTop w:val="0"/>
      <w:marBottom w:val="0"/>
      <w:divBdr>
        <w:top w:val="none" w:sz="0" w:space="0" w:color="auto"/>
        <w:left w:val="none" w:sz="0" w:space="0" w:color="auto"/>
        <w:bottom w:val="none" w:sz="0" w:space="0" w:color="auto"/>
        <w:right w:val="none" w:sz="0" w:space="0" w:color="auto"/>
      </w:divBdr>
    </w:div>
    <w:div w:id="1009254474">
      <w:bodyDiv w:val="1"/>
      <w:marLeft w:val="0"/>
      <w:marRight w:val="0"/>
      <w:marTop w:val="0"/>
      <w:marBottom w:val="0"/>
      <w:divBdr>
        <w:top w:val="none" w:sz="0" w:space="0" w:color="auto"/>
        <w:left w:val="none" w:sz="0" w:space="0" w:color="auto"/>
        <w:bottom w:val="none" w:sz="0" w:space="0" w:color="auto"/>
        <w:right w:val="none" w:sz="0" w:space="0" w:color="auto"/>
      </w:divBdr>
    </w:div>
    <w:div w:id="1178157823">
      <w:bodyDiv w:val="1"/>
      <w:marLeft w:val="0"/>
      <w:marRight w:val="0"/>
      <w:marTop w:val="0"/>
      <w:marBottom w:val="0"/>
      <w:divBdr>
        <w:top w:val="none" w:sz="0" w:space="0" w:color="auto"/>
        <w:left w:val="none" w:sz="0" w:space="0" w:color="auto"/>
        <w:bottom w:val="none" w:sz="0" w:space="0" w:color="auto"/>
        <w:right w:val="none" w:sz="0" w:space="0" w:color="auto"/>
      </w:divBdr>
    </w:div>
    <w:div w:id="1295283810">
      <w:bodyDiv w:val="1"/>
      <w:marLeft w:val="0"/>
      <w:marRight w:val="0"/>
      <w:marTop w:val="0"/>
      <w:marBottom w:val="0"/>
      <w:divBdr>
        <w:top w:val="none" w:sz="0" w:space="0" w:color="auto"/>
        <w:left w:val="none" w:sz="0" w:space="0" w:color="auto"/>
        <w:bottom w:val="none" w:sz="0" w:space="0" w:color="auto"/>
        <w:right w:val="none" w:sz="0" w:space="0" w:color="auto"/>
      </w:divBdr>
    </w:div>
    <w:div w:id="1337226312">
      <w:bodyDiv w:val="1"/>
      <w:marLeft w:val="0"/>
      <w:marRight w:val="0"/>
      <w:marTop w:val="0"/>
      <w:marBottom w:val="0"/>
      <w:divBdr>
        <w:top w:val="none" w:sz="0" w:space="0" w:color="auto"/>
        <w:left w:val="none" w:sz="0" w:space="0" w:color="auto"/>
        <w:bottom w:val="none" w:sz="0" w:space="0" w:color="auto"/>
        <w:right w:val="none" w:sz="0" w:space="0" w:color="auto"/>
      </w:divBdr>
    </w:div>
    <w:div w:id="1460687346">
      <w:bodyDiv w:val="1"/>
      <w:marLeft w:val="0"/>
      <w:marRight w:val="0"/>
      <w:marTop w:val="0"/>
      <w:marBottom w:val="0"/>
      <w:divBdr>
        <w:top w:val="none" w:sz="0" w:space="0" w:color="auto"/>
        <w:left w:val="none" w:sz="0" w:space="0" w:color="auto"/>
        <w:bottom w:val="none" w:sz="0" w:space="0" w:color="auto"/>
        <w:right w:val="none" w:sz="0" w:space="0" w:color="auto"/>
      </w:divBdr>
    </w:div>
    <w:div w:id="1570652300">
      <w:bodyDiv w:val="1"/>
      <w:marLeft w:val="0"/>
      <w:marRight w:val="0"/>
      <w:marTop w:val="0"/>
      <w:marBottom w:val="0"/>
      <w:divBdr>
        <w:top w:val="none" w:sz="0" w:space="0" w:color="auto"/>
        <w:left w:val="none" w:sz="0" w:space="0" w:color="auto"/>
        <w:bottom w:val="none" w:sz="0" w:space="0" w:color="auto"/>
        <w:right w:val="none" w:sz="0" w:space="0" w:color="auto"/>
      </w:divBdr>
      <w:divsChild>
        <w:div w:id="1902523195">
          <w:marLeft w:val="0"/>
          <w:marRight w:val="0"/>
          <w:marTop w:val="0"/>
          <w:marBottom w:val="0"/>
          <w:divBdr>
            <w:top w:val="single" w:sz="2" w:space="0" w:color="auto"/>
            <w:left w:val="single" w:sz="2" w:space="0" w:color="auto"/>
            <w:bottom w:val="single" w:sz="2" w:space="0" w:color="auto"/>
            <w:right w:val="single" w:sz="2" w:space="0" w:color="auto"/>
          </w:divBdr>
          <w:divsChild>
            <w:div w:id="1959140200">
              <w:marLeft w:val="0"/>
              <w:marRight w:val="0"/>
              <w:marTop w:val="0"/>
              <w:marBottom w:val="0"/>
              <w:divBdr>
                <w:top w:val="single" w:sz="2" w:space="0" w:color="auto"/>
                <w:left w:val="single" w:sz="2" w:space="0" w:color="auto"/>
                <w:bottom w:val="single" w:sz="2" w:space="0" w:color="auto"/>
                <w:right w:val="single" w:sz="2" w:space="0" w:color="auto"/>
              </w:divBdr>
              <w:divsChild>
                <w:div w:id="21284309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15701615">
          <w:marLeft w:val="0"/>
          <w:marRight w:val="0"/>
          <w:marTop w:val="0"/>
          <w:marBottom w:val="0"/>
          <w:divBdr>
            <w:top w:val="single" w:sz="2" w:space="0" w:color="auto"/>
            <w:left w:val="single" w:sz="2" w:space="0" w:color="auto"/>
            <w:bottom w:val="single" w:sz="2" w:space="0" w:color="auto"/>
            <w:right w:val="single" w:sz="2" w:space="0" w:color="auto"/>
          </w:divBdr>
          <w:divsChild>
            <w:div w:id="1429617888">
              <w:marLeft w:val="0"/>
              <w:marRight w:val="0"/>
              <w:marTop w:val="0"/>
              <w:marBottom w:val="0"/>
              <w:divBdr>
                <w:top w:val="single" w:sz="2" w:space="0" w:color="auto"/>
                <w:left w:val="single" w:sz="2" w:space="0" w:color="auto"/>
                <w:bottom w:val="single" w:sz="2" w:space="0" w:color="auto"/>
                <w:right w:val="single" w:sz="2" w:space="0" w:color="auto"/>
              </w:divBdr>
              <w:divsChild>
                <w:div w:id="1838961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66359466">
          <w:marLeft w:val="0"/>
          <w:marRight w:val="0"/>
          <w:marTop w:val="0"/>
          <w:marBottom w:val="0"/>
          <w:divBdr>
            <w:top w:val="single" w:sz="2" w:space="0" w:color="auto"/>
            <w:left w:val="single" w:sz="2" w:space="0" w:color="auto"/>
            <w:bottom w:val="single" w:sz="2" w:space="0" w:color="auto"/>
            <w:right w:val="single" w:sz="2" w:space="0" w:color="auto"/>
          </w:divBdr>
          <w:divsChild>
            <w:div w:id="105274759">
              <w:marLeft w:val="0"/>
              <w:marRight w:val="0"/>
              <w:marTop w:val="0"/>
              <w:marBottom w:val="0"/>
              <w:divBdr>
                <w:top w:val="single" w:sz="2" w:space="0" w:color="auto"/>
                <w:left w:val="single" w:sz="2" w:space="0" w:color="auto"/>
                <w:bottom w:val="single" w:sz="2" w:space="0" w:color="auto"/>
                <w:right w:val="single" w:sz="2" w:space="0" w:color="auto"/>
              </w:divBdr>
              <w:divsChild>
                <w:div w:id="13870970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71110430">
      <w:bodyDiv w:val="1"/>
      <w:marLeft w:val="0"/>
      <w:marRight w:val="0"/>
      <w:marTop w:val="0"/>
      <w:marBottom w:val="0"/>
      <w:divBdr>
        <w:top w:val="none" w:sz="0" w:space="0" w:color="auto"/>
        <w:left w:val="none" w:sz="0" w:space="0" w:color="auto"/>
        <w:bottom w:val="none" w:sz="0" w:space="0" w:color="auto"/>
        <w:right w:val="none" w:sz="0" w:space="0" w:color="auto"/>
      </w:divBdr>
    </w:div>
    <w:div w:id="1601836132">
      <w:bodyDiv w:val="1"/>
      <w:marLeft w:val="0"/>
      <w:marRight w:val="0"/>
      <w:marTop w:val="0"/>
      <w:marBottom w:val="0"/>
      <w:divBdr>
        <w:top w:val="none" w:sz="0" w:space="0" w:color="auto"/>
        <w:left w:val="none" w:sz="0" w:space="0" w:color="auto"/>
        <w:bottom w:val="none" w:sz="0" w:space="0" w:color="auto"/>
        <w:right w:val="none" w:sz="0" w:space="0" w:color="auto"/>
      </w:divBdr>
    </w:div>
    <w:div w:id="1607227364">
      <w:bodyDiv w:val="1"/>
      <w:marLeft w:val="0"/>
      <w:marRight w:val="0"/>
      <w:marTop w:val="0"/>
      <w:marBottom w:val="0"/>
      <w:divBdr>
        <w:top w:val="none" w:sz="0" w:space="0" w:color="auto"/>
        <w:left w:val="none" w:sz="0" w:space="0" w:color="auto"/>
        <w:bottom w:val="none" w:sz="0" w:space="0" w:color="auto"/>
        <w:right w:val="none" w:sz="0" w:space="0" w:color="auto"/>
      </w:divBdr>
      <w:divsChild>
        <w:div w:id="1515529832">
          <w:marLeft w:val="0"/>
          <w:marRight w:val="0"/>
          <w:marTop w:val="0"/>
          <w:marBottom w:val="0"/>
          <w:divBdr>
            <w:top w:val="single" w:sz="2" w:space="0" w:color="auto"/>
            <w:left w:val="single" w:sz="2" w:space="0" w:color="auto"/>
            <w:bottom w:val="single" w:sz="2" w:space="0" w:color="auto"/>
            <w:right w:val="single" w:sz="2" w:space="0" w:color="auto"/>
          </w:divBdr>
          <w:divsChild>
            <w:div w:id="329068523">
              <w:marLeft w:val="0"/>
              <w:marRight w:val="0"/>
              <w:marTop w:val="0"/>
              <w:marBottom w:val="0"/>
              <w:divBdr>
                <w:top w:val="single" w:sz="2" w:space="0" w:color="auto"/>
                <w:left w:val="single" w:sz="2" w:space="0" w:color="auto"/>
                <w:bottom w:val="single" w:sz="2" w:space="0" w:color="auto"/>
                <w:right w:val="single" w:sz="2" w:space="0" w:color="auto"/>
              </w:divBdr>
              <w:divsChild>
                <w:div w:id="11167540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35208993">
      <w:bodyDiv w:val="1"/>
      <w:marLeft w:val="0"/>
      <w:marRight w:val="0"/>
      <w:marTop w:val="0"/>
      <w:marBottom w:val="0"/>
      <w:divBdr>
        <w:top w:val="none" w:sz="0" w:space="0" w:color="auto"/>
        <w:left w:val="none" w:sz="0" w:space="0" w:color="auto"/>
        <w:bottom w:val="none" w:sz="0" w:space="0" w:color="auto"/>
        <w:right w:val="none" w:sz="0" w:space="0" w:color="auto"/>
      </w:divBdr>
    </w:div>
    <w:div w:id="1655142696">
      <w:bodyDiv w:val="1"/>
      <w:marLeft w:val="0"/>
      <w:marRight w:val="0"/>
      <w:marTop w:val="0"/>
      <w:marBottom w:val="0"/>
      <w:divBdr>
        <w:top w:val="none" w:sz="0" w:space="0" w:color="auto"/>
        <w:left w:val="none" w:sz="0" w:space="0" w:color="auto"/>
        <w:bottom w:val="none" w:sz="0" w:space="0" w:color="auto"/>
        <w:right w:val="none" w:sz="0" w:space="0" w:color="auto"/>
      </w:divBdr>
    </w:div>
    <w:div w:id="1674070673">
      <w:bodyDiv w:val="1"/>
      <w:marLeft w:val="0"/>
      <w:marRight w:val="0"/>
      <w:marTop w:val="0"/>
      <w:marBottom w:val="0"/>
      <w:divBdr>
        <w:top w:val="none" w:sz="0" w:space="0" w:color="auto"/>
        <w:left w:val="none" w:sz="0" w:space="0" w:color="auto"/>
        <w:bottom w:val="none" w:sz="0" w:space="0" w:color="auto"/>
        <w:right w:val="none" w:sz="0" w:space="0" w:color="auto"/>
      </w:divBdr>
    </w:div>
    <w:div w:id="1848707672">
      <w:bodyDiv w:val="1"/>
      <w:marLeft w:val="0"/>
      <w:marRight w:val="0"/>
      <w:marTop w:val="0"/>
      <w:marBottom w:val="0"/>
      <w:divBdr>
        <w:top w:val="none" w:sz="0" w:space="0" w:color="auto"/>
        <w:left w:val="none" w:sz="0" w:space="0" w:color="auto"/>
        <w:bottom w:val="none" w:sz="0" w:space="0" w:color="auto"/>
        <w:right w:val="none" w:sz="0" w:space="0" w:color="auto"/>
      </w:divBdr>
    </w:div>
    <w:div w:id="1943174759">
      <w:bodyDiv w:val="1"/>
      <w:marLeft w:val="0"/>
      <w:marRight w:val="0"/>
      <w:marTop w:val="0"/>
      <w:marBottom w:val="0"/>
      <w:divBdr>
        <w:top w:val="none" w:sz="0" w:space="0" w:color="auto"/>
        <w:left w:val="none" w:sz="0" w:space="0" w:color="auto"/>
        <w:bottom w:val="none" w:sz="0" w:space="0" w:color="auto"/>
        <w:right w:val="none" w:sz="0" w:space="0" w:color="auto"/>
      </w:divBdr>
      <w:divsChild>
        <w:div w:id="1308826871">
          <w:marLeft w:val="0"/>
          <w:marRight w:val="0"/>
          <w:marTop w:val="0"/>
          <w:marBottom w:val="0"/>
          <w:divBdr>
            <w:top w:val="single" w:sz="2" w:space="0" w:color="auto"/>
            <w:left w:val="single" w:sz="2" w:space="0" w:color="auto"/>
            <w:bottom w:val="single" w:sz="2" w:space="0" w:color="auto"/>
            <w:right w:val="single" w:sz="2" w:space="0" w:color="auto"/>
          </w:divBdr>
          <w:divsChild>
            <w:div w:id="1382941531">
              <w:marLeft w:val="0"/>
              <w:marRight w:val="0"/>
              <w:marTop w:val="0"/>
              <w:marBottom w:val="0"/>
              <w:divBdr>
                <w:top w:val="single" w:sz="2" w:space="0" w:color="auto"/>
                <w:left w:val="single" w:sz="2" w:space="0" w:color="auto"/>
                <w:bottom w:val="single" w:sz="2" w:space="0" w:color="auto"/>
                <w:right w:val="single" w:sz="2" w:space="0" w:color="auto"/>
              </w:divBdr>
              <w:divsChild>
                <w:div w:id="4623841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53310460">
      <w:bodyDiv w:val="1"/>
      <w:marLeft w:val="0"/>
      <w:marRight w:val="0"/>
      <w:marTop w:val="0"/>
      <w:marBottom w:val="0"/>
      <w:divBdr>
        <w:top w:val="none" w:sz="0" w:space="0" w:color="auto"/>
        <w:left w:val="none" w:sz="0" w:space="0" w:color="auto"/>
        <w:bottom w:val="none" w:sz="0" w:space="0" w:color="auto"/>
        <w:right w:val="none" w:sz="0" w:space="0" w:color="auto"/>
      </w:divBdr>
      <w:divsChild>
        <w:div w:id="868763767">
          <w:marLeft w:val="0"/>
          <w:marRight w:val="0"/>
          <w:marTop w:val="0"/>
          <w:marBottom w:val="0"/>
          <w:divBdr>
            <w:top w:val="single" w:sz="2" w:space="0" w:color="auto"/>
            <w:left w:val="single" w:sz="2" w:space="0" w:color="auto"/>
            <w:bottom w:val="single" w:sz="2" w:space="0" w:color="auto"/>
            <w:right w:val="single" w:sz="2" w:space="0" w:color="auto"/>
          </w:divBdr>
          <w:divsChild>
            <w:div w:id="1407916499">
              <w:marLeft w:val="0"/>
              <w:marRight w:val="0"/>
              <w:marTop w:val="0"/>
              <w:marBottom w:val="0"/>
              <w:divBdr>
                <w:top w:val="single" w:sz="2" w:space="0" w:color="auto"/>
                <w:left w:val="single" w:sz="2" w:space="0" w:color="auto"/>
                <w:bottom w:val="single" w:sz="2" w:space="0" w:color="auto"/>
                <w:right w:val="single" w:sz="2" w:space="0" w:color="auto"/>
              </w:divBdr>
              <w:divsChild>
                <w:div w:id="16204090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44275774">
          <w:marLeft w:val="0"/>
          <w:marRight w:val="0"/>
          <w:marTop w:val="0"/>
          <w:marBottom w:val="0"/>
          <w:divBdr>
            <w:top w:val="single" w:sz="2" w:space="0" w:color="auto"/>
            <w:left w:val="single" w:sz="2" w:space="0" w:color="auto"/>
            <w:bottom w:val="single" w:sz="2" w:space="0" w:color="auto"/>
            <w:right w:val="single" w:sz="2" w:space="0" w:color="auto"/>
          </w:divBdr>
          <w:divsChild>
            <w:div w:id="1914773860">
              <w:marLeft w:val="0"/>
              <w:marRight w:val="0"/>
              <w:marTop w:val="0"/>
              <w:marBottom w:val="0"/>
              <w:divBdr>
                <w:top w:val="single" w:sz="2" w:space="0" w:color="auto"/>
                <w:left w:val="single" w:sz="2" w:space="0" w:color="auto"/>
                <w:bottom w:val="single" w:sz="2" w:space="0" w:color="auto"/>
                <w:right w:val="single" w:sz="2" w:space="0" w:color="auto"/>
              </w:divBdr>
              <w:divsChild>
                <w:div w:id="5610667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doi.org/10.1111/j.1467-9957.1965.tb00066.x" TargetMode="External"/><Relationship Id="rId26" Type="http://schemas.openxmlformats.org/officeDocument/2006/relationships/hyperlink" Target="https://unctad.org/system/files/official-document/presspb2021d10_en.pdf" TargetMode="External"/><Relationship Id="rId39" Type="http://schemas.openxmlformats.org/officeDocument/2006/relationships/fontTable" Target="fontTable.xml"/><Relationship Id="rId21" Type="http://schemas.openxmlformats.org/officeDocument/2006/relationships/hyperlink" Target="https://www.elibrary.imf.org/display/book/9789287073600/CH004.xml"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93/qje/qjz041" TargetMode="External"/><Relationship Id="rId25" Type="http://schemas.openxmlformats.org/officeDocument/2006/relationships/hyperlink" Target="https://doi.org/10.1002/978047031669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11/j.1468-0084.1987.mp49004005.x" TargetMode="External"/><Relationship Id="rId20" Type="http://schemas.openxmlformats.org/officeDocument/2006/relationships/hyperlink" Target="https://doi.org/10.1007/s10887-006-9009-0" TargetMode="External"/><Relationship Id="rId29" Type="http://schemas.openxmlformats.org/officeDocument/2006/relationships/hyperlink" Target="https://unctadstat.unctad.org/datacentre/reportInfo/US.DigitallyDeliverable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i.org/10.1093/qje/qjs047" TargetMode="External"/><Relationship Id="rId32" Type="http://schemas.openxmlformats.org/officeDocument/2006/relationships/hyperlink" Target="https://www.wto.org/english/res_e/publications_e/wtr25_e.htm"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www.oxfordinsights.com/ai-readiness" TargetMode="External"/><Relationship Id="rId28" Type="http://schemas.openxmlformats.org/officeDocument/2006/relationships/hyperlink" Target="https://unctad.org/news/digital-economy-new-frontier-trade-sustainability-and-inclusion"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bulletin.bmeb-bi.org/cgi/viewcontent.cgi?article=2483&amp;context=bmeb" TargetMode="External"/><Relationship Id="rId31" Type="http://schemas.openxmlformats.org/officeDocument/2006/relationships/hyperlink" Target="https://databank.worldbank.org/source/world-development-indicato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s://doi.org/10.21098/bmecb.v28i0.2483" TargetMode="External"/><Relationship Id="rId27" Type="http://schemas.openxmlformats.org/officeDocument/2006/relationships/hyperlink" Target="https://unctad.org/press-material/ais-48-trillion-future-un-trade-and-development-alerts-divides-urges-action" TargetMode="External"/><Relationship Id="rId30" Type="http://schemas.openxmlformats.org/officeDocument/2006/relationships/hyperlink" Target="https://papers.ssrn.com/sol3/papers.cfm?abstract_id=5233141"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0078F-5A60-4095-9C48-6E84749E4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6464</Words>
  <Characters>36851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dc:creator>
  <cp:keywords/>
  <dc:description/>
  <cp:lastModifiedBy>SDI 1084</cp:lastModifiedBy>
  <cp:revision>7</cp:revision>
  <dcterms:created xsi:type="dcterms:W3CDTF">2026-01-30T09:53:00Z</dcterms:created>
  <dcterms:modified xsi:type="dcterms:W3CDTF">2026-01-30T12:02:00Z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d9f72cec-8651-485b-a0a3-74548a86a555</vt:lpwstr>
  </property>
</Properties>
</file>