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689D" w14:textId="63444384" w:rsidR="00CD1F47" w:rsidRPr="00BE6013" w:rsidRDefault="00176695" w:rsidP="00DA5ABB">
      <w:pPr>
        <w:pStyle w:val="Heading1"/>
        <w:spacing w:after="0" w:line="360" w:lineRule="auto"/>
        <w:jc w:val="center"/>
        <w:rPr>
          <w:rFonts w:ascii="Times New Roman" w:hAnsi="Times New Roman" w:cs="Times New Roman"/>
          <w:b/>
          <w:bCs/>
          <w:color w:val="auto"/>
          <w:sz w:val="28"/>
          <w:szCs w:val="28"/>
        </w:rPr>
      </w:pPr>
      <w:bookmarkStart w:id="0" w:name="_Toc204673480"/>
      <w:r w:rsidRPr="00BE6013">
        <w:rPr>
          <w:rFonts w:ascii="Times New Roman" w:hAnsi="Times New Roman" w:cs="Times New Roman"/>
          <w:b/>
          <w:bCs/>
          <w:color w:val="auto"/>
          <w:sz w:val="28"/>
          <w:szCs w:val="28"/>
        </w:rPr>
        <w:t xml:space="preserve">EFFECT OF BANK LENDING ON ECONOMIC GROWTH IN NIGERIA </w:t>
      </w:r>
    </w:p>
    <w:p w14:paraId="174B0BBE" w14:textId="77777777" w:rsidR="00264458" w:rsidRPr="00BE6013" w:rsidRDefault="00264458" w:rsidP="00CD1F47">
      <w:pPr>
        <w:jc w:val="center"/>
        <w:rPr>
          <w:color w:val="auto"/>
          <w:sz w:val="28"/>
          <w:szCs w:val="28"/>
        </w:rPr>
      </w:pPr>
    </w:p>
    <w:p w14:paraId="242C575C" w14:textId="77777777" w:rsidR="00176695" w:rsidRPr="00BE6013" w:rsidRDefault="00176695" w:rsidP="00CD1F47">
      <w:pPr>
        <w:jc w:val="center"/>
        <w:rPr>
          <w:color w:val="auto"/>
          <w:sz w:val="28"/>
          <w:szCs w:val="28"/>
        </w:rPr>
      </w:pPr>
    </w:p>
    <w:p w14:paraId="3F401BA1" w14:textId="12F453C3" w:rsidR="00DA5ABB" w:rsidRPr="00BE6013" w:rsidRDefault="00176695" w:rsidP="00202DC6">
      <w:pPr>
        <w:pStyle w:val="Heading1"/>
        <w:spacing w:after="0" w:line="360" w:lineRule="auto"/>
        <w:ind w:left="0" w:firstLine="0"/>
        <w:rPr>
          <w:rFonts w:ascii="Times New Roman" w:hAnsi="Times New Roman" w:cs="Times New Roman"/>
          <w:b/>
          <w:bCs/>
          <w:color w:val="auto"/>
          <w:sz w:val="24"/>
          <w:szCs w:val="24"/>
        </w:rPr>
      </w:pPr>
      <w:bookmarkStart w:id="1" w:name="_GoBack"/>
      <w:bookmarkEnd w:id="1"/>
      <w:r w:rsidRPr="00BE6013">
        <w:rPr>
          <w:rFonts w:ascii="Times New Roman" w:hAnsi="Times New Roman" w:cs="Times New Roman"/>
          <w:b/>
          <w:bCs/>
          <w:color w:val="auto"/>
          <w:sz w:val="24"/>
          <w:szCs w:val="24"/>
        </w:rPr>
        <w:t xml:space="preserve">                               </w:t>
      </w:r>
      <w:r w:rsidR="00DA5ABB" w:rsidRPr="00BE6013">
        <w:rPr>
          <w:rFonts w:ascii="Times New Roman" w:hAnsi="Times New Roman" w:cs="Times New Roman"/>
          <w:b/>
          <w:bCs/>
          <w:color w:val="auto"/>
          <w:sz w:val="24"/>
          <w:szCs w:val="24"/>
        </w:rPr>
        <w:t>ABSTRACT</w:t>
      </w:r>
      <w:bookmarkEnd w:id="0"/>
    </w:p>
    <w:p w14:paraId="1970C18A" w14:textId="77777777" w:rsidR="00DA5ABB" w:rsidRPr="00BE6013" w:rsidRDefault="00DA5ABB" w:rsidP="006C0879">
      <w:pPr>
        <w:spacing w:after="0" w:line="276" w:lineRule="auto"/>
        <w:rPr>
          <w:bCs/>
          <w:color w:val="auto"/>
        </w:rPr>
      </w:pPr>
      <w:r w:rsidRPr="00BE6013">
        <w:rPr>
          <w:bCs/>
          <w:color w:val="auto"/>
        </w:rPr>
        <w:t xml:space="preserve">The study examined the impact of bank lending on economic growth in Nigeria from 1990 to 2023. In exploring the relationship between bank lending and economic growth, the study used annual data series sourced from the National Bureau of Statistics and Central Bank of Nigeria (CBN) Statistical Bulletin. Economic growth was measured using real gross domestic product, and bank lending and bank credit rate was used as independent variables, while controlling for the effect of money supply and inflation. In analyzing the data, the study used econometrics method, which include, unit root test, cointegration, and the autoregressive distributed lag (ARDL) method. The bounds test revealed that there is long run relationship between bank lending and economic growth. The ARDL results revealed that bank lending had positive and significant impact on economic growth in the long run. Bank credit rate had insignificant negative impact on economic growth in the long run. The study found that, money supply is positively related to economic growth, with the impact found to be significant. Additionally, the study found that inflation had negative and significant impact on economic growth. The study concludes that, bank lending is a key determinant of economic growth in Nigeria. The study recommends that, </w:t>
      </w:r>
      <w:r w:rsidRPr="00BE6013">
        <w:rPr>
          <w:color w:val="auto"/>
        </w:rPr>
        <w:t>the regulatory authority, particularly the Central Bank of Nigeria (CBN), should through conventional and macroprudential means, influence the deposit money banks to increase lending to real sectors, most especially, the agriculture, manufacturing and service sectors of the Nigerian economy.</w:t>
      </w:r>
      <w:r w:rsidRPr="00BE6013">
        <w:rPr>
          <w:bCs/>
          <w:color w:val="auto"/>
        </w:rPr>
        <w:t xml:space="preserve"> </w:t>
      </w:r>
    </w:p>
    <w:p w14:paraId="5CE8E940" w14:textId="5118706F" w:rsidR="006C0879" w:rsidRPr="00BE6013" w:rsidRDefault="006C0879" w:rsidP="006C0879">
      <w:pPr>
        <w:spacing w:after="0" w:line="276" w:lineRule="auto"/>
        <w:rPr>
          <w:bCs/>
          <w:color w:val="auto"/>
        </w:rPr>
      </w:pPr>
      <w:r w:rsidRPr="00BE6013">
        <w:rPr>
          <w:b/>
          <w:color w:val="auto"/>
        </w:rPr>
        <w:t>Keywords:</w:t>
      </w:r>
      <w:r w:rsidRPr="00BE6013">
        <w:rPr>
          <w:bCs/>
          <w:color w:val="auto"/>
        </w:rPr>
        <w:t xml:space="preserve"> Bank lending, inflation, money supply, bank credit and economic growth.</w:t>
      </w:r>
    </w:p>
    <w:p w14:paraId="158E0B43" w14:textId="4D47A98A" w:rsidR="008761E1" w:rsidRPr="00BE6013" w:rsidRDefault="00CF5E08" w:rsidP="00CF5E08">
      <w:pPr>
        <w:pStyle w:val="Heading1"/>
        <w:spacing w:after="0" w:line="240" w:lineRule="auto"/>
        <w:rPr>
          <w:rFonts w:ascii="Times New Roman" w:hAnsi="Times New Roman" w:cs="Times New Roman"/>
          <w:b/>
          <w:bCs/>
          <w:color w:val="auto"/>
          <w:sz w:val="24"/>
          <w:szCs w:val="24"/>
        </w:rPr>
      </w:pPr>
      <w:r w:rsidRPr="00BE6013">
        <w:rPr>
          <w:rFonts w:ascii="Times New Roman" w:hAnsi="Times New Roman" w:cs="Times New Roman"/>
          <w:b/>
          <w:bCs/>
          <w:color w:val="auto"/>
          <w:sz w:val="24"/>
          <w:szCs w:val="24"/>
        </w:rPr>
        <w:t xml:space="preserve">1.0 </w:t>
      </w:r>
      <w:r w:rsidRPr="00BE6013">
        <w:rPr>
          <w:rFonts w:ascii="Times New Roman" w:hAnsi="Times New Roman" w:cs="Times New Roman"/>
          <w:b/>
          <w:bCs/>
          <w:color w:val="auto"/>
          <w:sz w:val="24"/>
          <w:szCs w:val="24"/>
        </w:rPr>
        <w:tab/>
        <w:t xml:space="preserve">Introduction </w:t>
      </w:r>
    </w:p>
    <w:p w14:paraId="0552C031" w14:textId="77777777" w:rsidR="008761E1" w:rsidRPr="00BE6013" w:rsidRDefault="008761E1" w:rsidP="00CF5E08">
      <w:pPr>
        <w:spacing w:after="0" w:line="240" w:lineRule="auto"/>
        <w:ind w:left="0" w:firstLine="0"/>
        <w:rPr>
          <w:color w:val="auto"/>
        </w:rPr>
      </w:pPr>
      <w:r w:rsidRPr="00BE6013">
        <w:rPr>
          <w:color w:val="auto"/>
        </w:rPr>
        <w:t>The modern economy is a financial economy which requires financial resources  to promote economic activities, banking sector is known as the bedrock of financial intermediation in every economy hence the importance of financial resource to gross domestic product cannot  be overemphasized due to its  functions,  the availability of this financial resources  has  been a major concerned to government because inability of government to provide financial resources slow down the growth of economy, the more economy  grow, the more it becomes powerful to provide financial resources to firms and individuals. (</w:t>
      </w:r>
      <w:proofErr w:type="spellStart"/>
      <w:r w:rsidRPr="00BE6013">
        <w:rPr>
          <w:color w:val="auto"/>
        </w:rPr>
        <w:t>Apinoko</w:t>
      </w:r>
      <w:proofErr w:type="spellEnd"/>
      <w:r w:rsidRPr="00BE6013">
        <w:rPr>
          <w:color w:val="auto"/>
        </w:rPr>
        <w:t xml:space="preserve"> et al, 2024) </w:t>
      </w:r>
    </w:p>
    <w:p w14:paraId="52A3C9C7" w14:textId="64440D75" w:rsidR="008761E1" w:rsidRPr="00BE6013" w:rsidRDefault="008761E1" w:rsidP="00CF5E08">
      <w:pPr>
        <w:spacing w:after="0" w:line="240" w:lineRule="auto"/>
        <w:ind w:left="0" w:firstLine="0"/>
        <w:rPr>
          <w:color w:val="auto"/>
        </w:rPr>
      </w:pPr>
      <w:r w:rsidRPr="00BE6013">
        <w:rPr>
          <w:color w:val="auto"/>
        </w:rPr>
        <w:t>However, the link between bank lending and economic growth have important policy implications for development strategies. Especially in the field of increasing the rate of economic growth in spite of the limited role of the banking sector to control the money supply and its effects on the economy.  (</w:t>
      </w:r>
      <w:proofErr w:type="spellStart"/>
      <w:r w:rsidRPr="00BE6013">
        <w:rPr>
          <w:color w:val="auto"/>
        </w:rPr>
        <w:t>Kelechukwu</w:t>
      </w:r>
      <w:proofErr w:type="spellEnd"/>
      <w:r w:rsidRPr="00BE6013">
        <w:rPr>
          <w:color w:val="auto"/>
        </w:rPr>
        <w:t xml:space="preserve"> et al., 2023).</w:t>
      </w:r>
    </w:p>
    <w:p w14:paraId="7080B70C" w14:textId="77777777" w:rsidR="008761E1" w:rsidRPr="00BE6013" w:rsidRDefault="008761E1" w:rsidP="00CF5E08">
      <w:pPr>
        <w:spacing w:after="0" w:line="240" w:lineRule="auto"/>
        <w:rPr>
          <w:color w:val="auto"/>
        </w:rPr>
      </w:pPr>
    </w:p>
    <w:p w14:paraId="14FB4CCF" w14:textId="77777777" w:rsidR="008761E1" w:rsidRPr="00BE6013" w:rsidRDefault="008761E1" w:rsidP="00CF5E08">
      <w:pPr>
        <w:spacing w:after="0" w:line="240" w:lineRule="auto"/>
        <w:rPr>
          <w:color w:val="auto"/>
        </w:rPr>
      </w:pPr>
      <w:r w:rsidRPr="00BE6013">
        <w:rPr>
          <w:color w:val="auto"/>
        </w:rPr>
        <w:t xml:space="preserve">The main sources of gross domestic product   in Nigeria are; agriculture, manufacturing, mining and quarrying, real estate and construction, wholesale and retail trade (general commerce) and service sectors. These main sources   interact with one another using the stock of capital and other factors of production within the economy to produce the desired goods and services. In the process of production in these sectors, financial resources play a key role. It enables the producers to procure the necessary inputs require for production and thereby helps to improve production capacities. Therefore, </w:t>
      </w:r>
      <w:r w:rsidRPr="00BE6013">
        <w:rPr>
          <w:color w:val="auto"/>
        </w:rPr>
        <w:lastRenderedPageBreak/>
        <w:t>availability or non-availability of financial resources influence the growth process in the various sectors and the economy in general (</w:t>
      </w:r>
      <w:proofErr w:type="spellStart"/>
      <w:r w:rsidRPr="00BE6013">
        <w:rPr>
          <w:color w:val="auto"/>
        </w:rPr>
        <w:t>Apinoko</w:t>
      </w:r>
      <w:proofErr w:type="spellEnd"/>
      <w:r w:rsidRPr="00BE6013">
        <w:rPr>
          <w:color w:val="auto"/>
        </w:rPr>
        <w:t xml:space="preserve"> et al, 2023).</w:t>
      </w:r>
    </w:p>
    <w:p w14:paraId="07BE6803" w14:textId="77777777" w:rsidR="008761E1" w:rsidRPr="00BE6013" w:rsidRDefault="008761E1" w:rsidP="00CF5E08">
      <w:pPr>
        <w:spacing w:after="0" w:line="240" w:lineRule="auto"/>
        <w:rPr>
          <w:color w:val="auto"/>
        </w:rPr>
      </w:pPr>
    </w:p>
    <w:p w14:paraId="0418C42A" w14:textId="77777777" w:rsidR="008761E1" w:rsidRPr="00BE6013" w:rsidRDefault="008761E1" w:rsidP="00CF5E08">
      <w:pPr>
        <w:spacing w:after="0" w:line="240" w:lineRule="auto"/>
        <w:ind w:left="0" w:firstLine="0"/>
        <w:rPr>
          <w:color w:val="auto"/>
        </w:rPr>
      </w:pPr>
      <w:proofErr w:type="spellStart"/>
      <w:r w:rsidRPr="00BE6013">
        <w:rPr>
          <w:color w:val="auto"/>
        </w:rPr>
        <w:t>Nazum</w:t>
      </w:r>
      <w:proofErr w:type="spellEnd"/>
      <w:r w:rsidRPr="00BE6013">
        <w:rPr>
          <w:color w:val="auto"/>
        </w:rPr>
        <w:t xml:space="preserve"> (2025) noted that the relationship between bank lending and economic factors like inflation, money supply and bank credits is essential for grasping broader economic dynamics, especially in rapidly developing economies like Nigeria. Bank lending drives economic growth and development by supporting investment and providing capital access. However, its effectiveness is closely linked to social conditions influencing borrowing behavior and economic stability. Inflation influences borrowing costs by reducing purchasing power, often prompting banks to raise interest rates. As a result, loans become more expensive and less accessible to consumers. Real wages, adjusted for inflation, reflect purchasing power and influence borrowing capacity. Rising wages typically increase loan demand, whereas stagnant or declining wages tend to limit it. Consumer expenditure patterns also impact credit demand, with economic uncertainties or high inflation potentially reducing spending and credit needs.</w:t>
      </w:r>
    </w:p>
    <w:p w14:paraId="452A2B9E" w14:textId="77777777" w:rsidR="008761E1" w:rsidRPr="00BE6013" w:rsidRDefault="008761E1" w:rsidP="00CF5E08">
      <w:pPr>
        <w:spacing w:after="0" w:line="240" w:lineRule="auto"/>
        <w:ind w:left="0" w:firstLine="0"/>
        <w:rPr>
          <w:color w:val="auto"/>
        </w:rPr>
      </w:pPr>
    </w:p>
    <w:p w14:paraId="7DD81440" w14:textId="77777777" w:rsidR="008761E1" w:rsidRPr="00BE6013" w:rsidRDefault="008761E1" w:rsidP="00CF5E08">
      <w:pPr>
        <w:spacing w:after="0" w:line="240" w:lineRule="auto"/>
        <w:ind w:left="0" w:firstLine="0"/>
        <w:rPr>
          <w:color w:val="auto"/>
        </w:rPr>
      </w:pPr>
      <w:r w:rsidRPr="00BE6013">
        <w:rPr>
          <w:color w:val="auto"/>
        </w:rPr>
        <w:t xml:space="preserve">Taylor and Francis (2022) ascertain that Bank lending is becoming a source of financial support and an indicator of the country’s economic health in conditions of economic instability. Particular attention is given to analyzing economic factors such as inflation, real wages, and consumer spending. Understanding the relationship between these variables and the banking sector makes it possible to assess current economic conditions better and develop effective measures to stimulate economic growth. </w:t>
      </w:r>
    </w:p>
    <w:p w14:paraId="6458F591" w14:textId="54EDEC40" w:rsidR="008761E1" w:rsidRPr="00BE6013" w:rsidRDefault="008761E1" w:rsidP="00CF5E08">
      <w:pPr>
        <w:pStyle w:val="Heading1"/>
        <w:spacing w:after="0" w:line="240" w:lineRule="auto"/>
        <w:rPr>
          <w:rFonts w:ascii="Times New Roman" w:hAnsi="Times New Roman" w:cs="Times New Roman"/>
          <w:b/>
          <w:bCs/>
          <w:color w:val="auto"/>
          <w:sz w:val="24"/>
          <w:szCs w:val="24"/>
        </w:rPr>
      </w:pPr>
      <w:bookmarkStart w:id="2" w:name="_Toc204673484"/>
      <w:r w:rsidRPr="00BE6013">
        <w:rPr>
          <w:rFonts w:ascii="Times New Roman" w:hAnsi="Times New Roman" w:cs="Times New Roman"/>
          <w:b/>
          <w:bCs/>
          <w:color w:val="auto"/>
          <w:sz w:val="24"/>
          <w:szCs w:val="24"/>
        </w:rPr>
        <w:t>Statement of the Problem.</w:t>
      </w:r>
      <w:bookmarkEnd w:id="2"/>
    </w:p>
    <w:p w14:paraId="43D1A9D2" w14:textId="77777777" w:rsidR="008761E1" w:rsidRPr="00BE6013" w:rsidRDefault="008761E1" w:rsidP="00CF5E08">
      <w:pPr>
        <w:spacing w:after="0" w:line="240" w:lineRule="auto"/>
        <w:ind w:left="0" w:firstLine="0"/>
        <w:rPr>
          <w:color w:val="auto"/>
        </w:rPr>
      </w:pPr>
      <w:r w:rsidRPr="00BE6013">
        <w:rPr>
          <w:color w:val="auto"/>
        </w:rPr>
        <w:t>The fact remains that the amount of loanable fund that can be accessible is determine by the supply of credit that is made available by the financial institution sector as directed by government through Central bank monetary policies. Access to loans still remains one of the basic problems faced by most sectors. Despite the loans allocated to various sectors in Nigeria, the procedure of securing a loan facility is cumbersome, and the terms and condition required are stressful and this makes individuals and firms to give up the process along the line (</w:t>
      </w:r>
      <w:proofErr w:type="spellStart"/>
      <w:r w:rsidRPr="00BE6013">
        <w:rPr>
          <w:color w:val="auto"/>
        </w:rPr>
        <w:t>Nzomoi</w:t>
      </w:r>
      <w:proofErr w:type="spellEnd"/>
      <w:r w:rsidRPr="00BE6013">
        <w:rPr>
          <w:color w:val="auto"/>
        </w:rPr>
        <w:t xml:space="preserve"> &amp; </w:t>
      </w:r>
      <w:proofErr w:type="spellStart"/>
      <w:r w:rsidRPr="00BE6013">
        <w:rPr>
          <w:color w:val="auto"/>
        </w:rPr>
        <w:t>Rutto</w:t>
      </w:r>
      <w:proofErr w:type="spellEnd"/>
      <w:r w:rsidRPr="00BE6013">
        <w:rPr>
          <w:color w:val="auto"/>
        </w:rPr>
        <w:t>, 2012).</w:t>
      </w:r>
    </w:p>
    <w:p w14:paraId="5D6CB794" w14:textId="77777777" w:rsidR="008761E1" w:rsidRPr="00BE6013" w:rsidRDefault="008761E1" w:rsidP="00CF5E08">
      <w:pPr>
        <w:spacing w:after="0" w:line="240" w:lineRule="auto"/>
        <w:ind w:left="0" w:firstLine="0"/>
        <w:rPr>
          <w:color w:val="auto"/>
        </w:rPr>
      </w:pPr>
    </w:p>
    <w:p w14:paraId="2ECB7DE3" w14:textId="77777777" w:rsidR="008761E1" w:rsidRPr="00BE6013" w:rsidRDefault="008761E1" w:rsidP="00CF5E08">
      <w:pPr>
        <w:spacing w:after="0" w:line="240" w:lineRule="auto"/>
        <w:ind w:left="0" w:firstLine="0"/>
        <w:rPr>
          <w:color w:val="auto"/>
        </w:rPr>
      </w:pPr>
      <w:r w:rsidRPr="00BE6013">
        <w:rPr>
          <w:color w:val="auto"/>
        </w:rPr>
        <w:t>However, the achievement of desire growth of economic through bank credit to individuals and firms can be traced to the classical monetary policy but the economists of the 20th century such as Schumpeter  in 1911 argued that the creation of credit through bank system was an important source of businesses to experience growth (</w:t>
      </w:r>
      <w:proofErr w:type="spellStart"/>
      <w:r w:rsidRPr="00BE6013">
        <w:rPr>
          <w:color w:val="auto"/>
        </w:rPr>
        <w:t>Nyeche</w:t>
      </w:r>
      <w:proofErr w:type="spellEnd"/>
      <w:r w:rsidRPr="00BE6013">
        <w:rPr>
          <w:color w:val="auto"/>
        </w:rPr>
        <w:t xml:space="preserve"> and Brown,2023) In Nigeria, the financial  system reform as always targeted on reposition the financial intermediation of financial institution because the financial institution has be empowered by constitution to oversee the businesses of lending and borrowing in the economy, the institution play intermediate functions between the deficit and the surplus economic units to bridge the lacuna between Saving-Investment among the economic activities , this involve the inflow of resources mobilization and out flow of resources utilization but if these laws are not properly implemented by financial institution as directed by government through Central bank, it becomes a problem for businesses to experience growth.</w:t>
      </w:r>
    </w:p>
    <w:p w14:paraId="4FA92E21" w14:textId="77777777" w:rsidR="008761E1" w:rsidRPr="00BE6013" w:rsidRDefault="008761E1" w:rsidP="00CF5E08">
      <w:pPr>
        <w:spacing w:after="0" w:line="240" w:lineRule="auto"/>
        <w:ind w:left="0" w:firstLine="0"/>
        <w:rPr>
          <w:color w:val="auto"/>
        </w:rPr>
      </w:pPr>
    </w:p>
    <w:p w14:paraId="285B7877" w14:textId="15FCCF74" w:rsidR="008761E1" w:rsidRPr="00BE6013" w:rsidRDefault="008761E1" w:rsidP="00CF5E08">
      <w:pPr>
        <w:pStyle w:val="Heading1"/>
        <w:spacing w:after="0" w:line="240" w:lineRule="auto"/>
        <w:ind w:left="0" w:firstLine="0"/>
        <w:rPr>
          <w:rFonts w:ascii="Times New Roman" w:hAnsi="Times New Roman" w:cs="Times New Roman"/>
          <w:b/>
          <w:bCs/>
          <w:color w:val="auto"/>
          <w:sz w:val="24"/>
          <w:szCs w:val="24"/>
        </w:rPr>
      </w:pPr>
      <w:bookmarkStart w:id="3" w:name="_Toc204673485"/>
      <w:r w:rsidRPr="00BE6013">
        <w:rPr>
          <w:rFonts w:ascii="Times New Roman" w:hAnsi="Times New Roman" w:cs="Times New Roman"/>
          <w:b/>
          <w:bCs/>
          <w:color w:val="auto"/>
          <w:sz w:val="24"/>
          <w:szCs w:val="24"/>
        </w:rPr>
        <w:t>Objectives of the Study</w:t>
      </w:r>
      <w:bookmarkEnd w:id="3"/>
      <w:r w:rsidRPr="00BE6013">
        <w:rPr>
          <w:rFonts w:ascii="Times New Roman" w:hAnsi="Times New Roman" w:cs="Times New Roman"/>
          <w:b/>
          <w:bCs/>
          <w:color w:val="auto"/>
          <w:sz w:val="24"/>
          <w:szCs w:val="24"/>
        </w:rPr>
        <w:t xml:space="preserve"> </w:t>
      </w:r>
    </w:p>
    <w:p w14:paraId="582923DA" w14:textId="77777777" w:rsidR="008761E1" w:rsidRPr="00BE6013" w:rsidRDefault="008761E1" w:rsidP="00CF5E08">
      <w:pPr>
        <w:spacing w:after="0" w:line="240" w:lineRule="auto"/>
        <w:ind w:left="-15" w:firstLine="0"/>
        <w:rPr>
          <w:color w:val="auto"/>
        </w:rPr>
      </w:pPr>
      <w:r w:rsidRPr="00BE6013">
        <w:rPr>
          <w:color w:val="auto"/>
        </w:rPr>
        <w:t xml:space="preserve">The broad objectives of the study </w:t>
      </w:r>
      <w:proofErr w:type="gramStart"/>
      <w:r w:rsidRPr="00BE6013">
        <w:rPr>
          <w:color w:val="auto"/>
        </w:rPr>
        <w:t>is</w:t>
      </w:r>
      <w:proofErr w:type="gramEnd"/>
      <w:r w:rsidRPr="00BE6013">
        <w:rPr>
          <w:color w:val="auto"/>
        </w:rPr>
        <w:t xml:space="preserve"> to examine the relationship between bank lending and economic growth in Nigeria, while the specific objectives are;</w:t>
      </w:r>
    </w:p>
    <w:p w14:paraId="3D514BFF" w14:textId="77777777" w:rsidR="008761E1" w:rsidRPr="00BE6013" w:rsidRDefault="008761E1" w:rsidP="00CF5E08">
      <w:pPr>
        <w:numPr>
          <w:ilvl w:val="0"/>
          <w:numId w:val="1"/>
        </w:numPr>
        <w:spacing w:after="0" w:line="240" w:lineRule="auto"/>
        <w:ind w:hanging="631"/>
        <w:rPr>
          <w:color w:val="auto"/>
        </w:rPr>
      </w:pPr>
      <w:r w:rsidRPr="00BE6013">
        <w:rPr>
          <w:color w:val="auto"/>
        </w:rPr>
        <w:t>To assess the impact to which the lending rate affects Nigeria’s economic growth.</w:t>
      </w:r>
    </w:p>
    <w:p w14:paraId="72DD3B64" w14:textId="77777777" w:rsidR="008761E1" w:rsidRPr="00BE6013" w:rsidRDefault="008761E1" w:rsidP="00CF5E08">
      <w:pPr>
        <w:numPr>
          <w:ilvl w:val="0"/>
          <w:numId w:val="1"/>
        </w:numPr>
        <w:spacing w:after="0" w:line="240" w:lineRule="auto"/>
        <w:ind w:hanging="631"/>
        <w:rPr>
          <w:color w:val="auto"/>
        </w:rPr>
      </w:pPr>
      <w:r w:rsidRPr="00BE6013">
        <w:rPr>
          <w:color w:val="auto"/>
        </w:rPr>
        <w:t>To estimate the effect of bank credit on economic growth in Nigeria</w:t>
      </w:r>
    </w:p>
    <w:p w14:paraId="2C3C6FA7" w14:textId="77777777" w:rsidR="008761E1" w:rsidRPr="00BE6013" w:rsidRDefault="008761E1" w:rsidP="00CF5E08">
      <w:pPr>
        <w:numPr>
          <w:ilvl w:val="0"/>
          <w:numId w:val="1"/>
        </w:numPr>
        <w:spacing w:after="0" w:line="240" w:lineRule="auto"/>
        <w:ind w:hanging="631"/>
        <w:rPr>
          <w:color w:val="auto"/>
        </w:rPr>
      </w:pPr>
      <w:r w:rsidRPr="00BE6013">
        <w:rPr>
          <w:color w:val="auto"/>
        </w:rPr>
        <w:t>To evaluate the relationship between money supply and economic growth in Nigeria.</w:t>
      </w:r>
    </w:p>
    <w:p w14:paraId="25942B1E" w14:textId="77777777" w:rsidR="008761E1" w:rsidRPr="00BE6013" w:rsidRDefault="008761E1" w:rsidP="00CF5E08">
      <w:pPr>
        <w:numPr>
          <w:ilvl w:val="0"/>
          <w:numId w:val="1"/>
        </w:numPr>
        <w:spacing w:after="0" w:line="240" w:lineRule="auto"/>
        <w:ind w:hanging="631"/>
        <w:rPr>
          <w:color w:val="auto"/>
        </w:rPr>
      </w:pPr>
      <w:r w:rsidRPr="00BE6013">
        <w:rPr>
          <w:color w:val="auto"/>
        </w:rPr>
        <w:lastRenderedPageBreak/>
        <w:t xml:space="preserve">To examine the effect of inflation on economic growth in Nigeria </w:t>
      </w:r>
    </w:p>
    <w:p w14:paraId="4AADE7E4" w14:textId="77777777" w:rsidR="00786EC0" w:rsidRPr="00BE6013" w:rsidRDefault="00786EC0" w:rsidP="00CF5E08">
      <w:pPr>
        <w:spacing w:after="0" w:line="240" w:lineRule="auto"/>
        <w:ind w:left="0" w:firstLine="0"/>
        <w:jc w:val="left"/>
        <w:rPr>
          <w:color w:val="auto"/>
        </w:rPr>
      </w:pPr>
    </w:p>
    <w:p w14:paraId="0CA60088" w14:textId="2DB0322A" w:rsidR="00786EC0" w:rsidRPr="00BE6013" w:rsidRDefault="00786EC0" w:rsidP="00CF5E08">
      <w:pPr>
        <w:pStyle w:val="Heading1"/>
        <w:spacing w:after="0" w:line="240" w:lineRule="auto"/>
        <w:rPr>
          <w:rFonts w:ascii="Times New Roman" w:hAnsi="Times New Roman" w:cs="Times New Roman"/>
          <w:b/>
          <w:bCs/>
          <w:color w:val="auto"/>
          <w:sz w:val="24"/>
          <w:szCs w:val="24"/>
        </w:rPr>
      </w:pPr>
      <w:bookmarkStart w:id="4" w:name="_Toc204673486"/>
      <w:r w:rsidRPr="00BE6013">
        <w:rPr>
          <w:rFonts w:ascii="Times New Roman" w:hAnsi="Times New Roman" w:cs="Times New Roman"/>
          <w:b/>
          <w:bCs/>
          <w:color w:val="auto"/>
          <w:sz w:val="24"/>
          <w:szCs w:val="24"/>
        </w:rPr>
        <w:t>Research Questions</w:t>
      </w:r>
      <w:bookmarkEnd w:id="4"/>
      <w:r w:rsidRPr="00BE6013">
        <w:rPr>
          <w:rFonts w:ascii="Times New Roman" w:hAnsi="Times New Roman" w:cs="Times New Roman"/>
          <w:b/>
          <w:bCs/>
          <w:color w:val="auto"/>
          <w:sz w:val="24"/>
          <w:szCs w:val="24"/>
        </w:rPr>
        <w:t xml:space="preserve"> </w:t>
      </w:r>
    </w:p>
    <w:p w14:paraId="576F07B2" w14:textId="77777777" w:rsidR="00786EC0" w:rsidRPr="00BE6013" w:rsidRDefault="00786EC0" w:rsidP="00CF5E08">
      <w:pPr>
        <w:spacing w:after="0" w:line="240" w:lineRule="auto"/>
        <w:ind w:left="91" w:firstLine="629"/>
        <w:rPr>
          <w:color w:val="auto"/>
        </w:rPr>
      </w:pPr>
      <w:r w:rsidRPr="00BE6013">
        <w:rPr>
          <w:color w:val="auto"/>
        </w:rPr>
        <w:t xml:space="preserve">To achieve the aforementioned objectives, this study </w:t>
      </w:r>
      <w:proofErr w:type="gramStart"/>
      <w:r w:rsidRPr="00BE6013">
        <w:rPr>
          <w:color w:val="auto"/>
        </w:rPr>
        <w:t>will  be</w:t>
      </w:r>
      <w:proofErr w:type="gramEnd"/>
      <w:r w:rsidRPr="00BE6013">
        <w:rPr>
          <w:color w:val="auto"/>
        </w:rPr>
        <w:t xml:space="preserve"> guided by the following research questions.</w:t>
      </w:r>
      <w:r w:rsidRPr="00BE6013">
        <w:rPr>
          <w:b/>
          <w:color w:val="auto"/>
        </w:rPr>
        <w:t xml:space="preserve"> </w:t>
      </w:r>
    </w:p>
    <w:p w14:paraId="59870A89"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Does the lending rate affect Nigeria’s economic growth? </w:t>
      </w:r>
    </w:p>
    <w:p w14:paraId="2CABFF90"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How does bank credit affect economic growth in </w:t>
      </w:r>
      <w:proofErr w:type="gramStart"/>
      <w:r w:rsidRPr="00BE6013">
        <w:rPr>
          <w:color w:val="auto"/>
        </w:rPr>
        <w:t>Nigeria</w:t>
      </w:r>
      <w:proofErr w:type="gramEnd"/>
    </w:p>
    <w:p w14:paraId="5D781053"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What is the relationship between money supply and economic growth in Nigeria? </w:t>
      </w:r>
    </w:p>
    <w:p w14:paraId="62173843" w14:textId="77777777" w:rsidR="00786EC0" w:rsidRPr="00BE6013" w:rsidRDefault="00786EC0" w:rsidP="00CF5E08">
      <w:pPr>
        <w:numPr>
          <w:ilvl w:val="0"/>
          <w:numId w:val="2"/>
        </w:numPr>
        <w:spacing w:after="0" w:line="240" w:lineRule="auto"/>
        <w:ind w:hanging="811"/>
        <w:rPr>
          <w:color w:val="auto"/>
        </w:rPr>
      </w:pPr>
      <w:r w:rsidRPr="00BE6013">
        <w:rPr>
          <w:color w:val="auto"/>
        </w:rPr>
        <w:t xml:space="preserve">To what extent does inflation rate influence Nigeria’s economic growth? </w:t>
      </w:r>
    </w:p>
    <w:p w14:paraId="2FD642B3" w14:textId="7BF5B0BE" w:rsidR="00786EC0" w:rsidRPr="00BE6013" w:rsidRDefault="00786EC0" w:rsidP="00CF5E08">
      <w:pPr>
        <w:pStyle w:val="Heading1"/>
        <w:spacing w:after="0" w:line="240" w:lineRule="auto"/>
        <w:rPr>
          <w:rFonts w:ascii="Times New Roman" w:hAnsi="Times New Roman" w:cs="Times New Roman"/>
          <w:b/>
          <w:bCs/>
          <w:color w:val="auto"/>
          <w:sz w:val="24"/>
          <w:szCs w:val="24"/>
        </w:rPr>
      </w:pPr>
      <w:bookmarkStart w:id="5" w:name="_Toc204673487"/>
      <w:r w:rsidRPr="00BE6013">
        <w:rPr>
          <w:rFonts w:ascii="Times New Roman" w:hAnsi="Times New Roman" w:cs="Times New Roman"/>
          <w:b/>
          <w:bCs/>
          <w:color w:val="auto"/>
          <w:sz w:val="24"/>
          <w:szCs w:val="24"/>
        </w:rPr>
        <w:t>Research Hypotheses</w:t>
      </w:r>
      <w:bookmarkEnd w:id="5"/>
      <w:r w:rsidRPr="00BE6013">
        <w:rPr>
          <w:rFonts w:ascii="Times New Roman" w:hAnsi="Times New Roman" w:cs="Times New Roman"/>
          <w:b/>
          <w:bCs/>
          <w:color w:val="auto"/>
          <w:sz w:val="24"/>
          <w:szCs w:val="24"/>
        </w:rPr>
        <w:t xml:space="preserve"> </w:t>
      </w:r>
    </w:p>
    <w:p w14:paraId="49C99722" w14:textId="77777777" w:rsidR="00786EC0" w:rsidRPr="00BE6013" w:rsidRDefault="00786EC0" w:rsidP="00CF5E08">
      <w:pPr>
        <w:spacing w:after="0" w:line="240" w:lineRule="auto"/>
        <w:ind w:left="730"/>
        <w:rPr>
          <w:color w:val="auto"/>
        </w:rPr>
      </w:pPr>
      <w:r w:rsidRPr="00BE6013">
        <w:rPr>
          <w:color w:val="auto"/>
        </w:rPr>
        <w:t xml:space="preserve">The Hypotheses of this study are stated in a null form as follows: </w:t>
      </w:r>
    </w:p>
    <w:p w14:paraId="55B7BF7A" w14:textId="77777777" w:rsidR="00786EC0" w:rsidRPr="00BE6013" w:rsidRDefault="00786EC0" w:rsidP="00CF5E08">
      <w:pPr>
        <w:spacing w:after="0" w:line="240" w:lineRule="auto"/>
        <w:ind w:left="-5"/>
        <w:rPr>
          <w:color w:val="auto"/>
        </w:rPr>
      </w:pPr>
      <w:r w:rsidRPr="00BE6013">
        <w:rPr>
          <w:b/>
          <w:color w:val="auto"/>
        </w:rPr>
        <w:t>H</w:t>
      </w:r>
      <w:r w:rsidRPr="00BE6013">
        <w:rPr>
          <w:b/>
          <w:color w:val="auto"/>
          <w:vertAlign w:val="subscript"/>
        </w:rPr>
        <w:t>01</w:t>
      </w:r>
      <w:r w:rsidRPr="00BE6013">
        <w:rPr>
          <w:b/>
          <w:color w:val="auto"/>
        </w:rPr>
        <w:t>:</w:t>
      </w:r>
      <w:r w:rsidRPr="00BE6013">
        <w:rPr>
          <w:color w:val="auto"/>
        </w:rPr>
        <w:t xml:space="preserve">  There is no significant relationship between lending rate and economic growth in Nigeria</w:t>
      </w:r>
    </w:p>
    <w:p w14:paraId="05399A25"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02</w:t>
      </w:r>
      <w:r w:rsidRPr="00BE6013">
        <w:rPr>
          <w:b/>
          <w:color w:val="auto"/>
        </w:rPr>
        <w:t>:</w:t>
      </w:r>
      <w:r w:rsidRPr="00BE6013">
        <w:rPr>
          <w:color w:val="auto"/>
        </w:rPr>
        <w:t xml:space="preserve"> There is no significant relationship between bank credit and economic growth in Nigeria.</w:t>
      </w:r>
    </w:p>
    <w:p w14:paraId="0DDB235C"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03</w:t>
      </w:r>
      <w:r w:rsidRPr="00BE6013">
        <w:rPr>
          <w:b/>
          <w:color w:val="auto"/>
        </w:rPr>
        <w:t>:</w:t>
      </w:r>
      <w:r w:rsidRPr="00BE6013">
        <w:rPr>
          <w:color w:val="auto"/>
        </w:rPr>
        <w:t xml:space="preserve"> There is no significant relationship between money supply and Nigeria’s economic growth.</w:t>
      </w:r>
    </w:p>
    <w:p w14:paraId="2AE83074" w14:textId="77777777" w:rsidR="00786EC0" w:rsidRPr="00BE6013" w:rsidRDefault="00786EC0" w:rsidP="00CF5E08">
      <w:pPr>
        <w:spacing w:after="0" w:line="240" w:lineRule="auto"/>
        <w:ind w:left="705" w:hanging="720"/>
        <w:rPr>
          <w:color w:val="auto"/>
        </w:rPr>
      </w:pPr>
      <w:r w:rsidRPr="00BE6013">
        <w:rPr>
          <w:b/>
          <w:color w:val="auto"/>
        </w:rPr>
        <w:t>H</w:t>
      </w:r>
      <w:r w:rsidRPr="00BE6013">
        <w:rPr>
          <w:b/>
          <w:color w:val="auto"/>
          <w:vertAlign w:val="subscript"/>
        </w:rPr>
        <w:t>04</w:t>
      </w:r>
      <w:r w:rsidRPr="00BE6013">
        <w:rPr>
          <w:b/>
          <w:color w:val="auto"/>
        </w:rPr>
        <w:t>:</w:t>
      </w:r>
      <w:r w:rsidRPr="00BE6013">
        <w:rPr>
          <w:color w:val="auto"/>
        </w:rPr>
        <w:t xml:space="preserve">  There is no significant relationship between Inflation rate and economic growth in Nigeria</w:t>
      </w:r>
    </w:p>
    <w:p w14:paraId="5A69137D" w14:textId="1E496F54" w:rsidR="00786EC0" w:rsidRPr="00BE6013" w:rsidRDefault="00786EC0" w:rsidP="00CF5E08">
      <w:pPr>
        <w:pStyle w:val="Heading1"/>
        <w:spacing w:after="0" w:line="240" w:lineRule="auto"/>
        <w:ind w:left="0" w:firstLine="0"/>
        <w:rPr>
          <w:rFonts w:ascii="Times New Roman" w:hAnsi="Times New Roman" w:cs="Times New Roman"/>
          <w:b/>
          <w:bCs/>
          <w:color w:val="auto"/>
          <w:sz w:val="24"/>
          <w:szCs w:val="24"/>
        </w:rPr>
      </w:pPr>
      <w:bookmarkStart w:id="6" w:name="_Toc204673488"/>
      <w:r w:rsidRPr="00BE6013">
        <w:rPr>
          <w:rFonts w:ascii="Times New Roman" w:hAnsi="Times New Roman" w:cs="Times New Roman"/>
          <w:b/>
          <w:bCs/>
          <w:color w:val="auto"/>
          <w:sz w:val="24"/>
          <w:szCs w:val="24"/>
        </w:rPr>
        <w:t>Significance and Justification of this Study</w:t>
      </w:r>
      <w:bookmarkEnd w:id="6"/>
    </w:p>
    <w:p w14:paraId="0C1D85C5" w14:textId="77777777" w:rsidR="00786EC0" w:rsidRPr="00BE6013" w:rsidRDefault="00786EC0" w:rsidP="00CF5E08">
      <w:pPr>
        <w:spacing w:after="0" w:line="240" w:lineRule="auto"/>
        <w:rPr>
          <w:color w:val="auto"/>
        </w:rPr>
      </w:pPr>
      <w:r w:rsidRPr="00BE6013">
        <w:rPr>
          <w:color w:val="auto"/>
        </w:rPr>
        <w:t xml:space="preserve">          Generally, the study will expose the bank lending procedure in Nigeria and play a vital role to bankers, investors, government, researchers among others</w:t>
      </w:r>
    </w:p>
    <w:p w14:paraId="0E79E7E5" w14:textId="77777777" w:rsidR="00786EC0" w:rsidRPr="00BE6013" w:rsidRDefault="00786EC0" w:rsidP="00CF5E08">
      <w:pPr>
        <w:spacing w:after="0" w:line="240" w:lineRule="auto"/>
        <w:ind w:firstLine="0"/>
        <w:rPr>
          <w:color w:val="auto"/>
        </w:rPr>
      </w:pPr>
    </w:p>
    <w:p w14:paraId="5B6683D1" w14:textId="3FC650BF" w:rsidR="00B704D8" w:rsidRPr="00BE6013" w:rsidRDefault="00E1696A" w:rsidP="00E1696A">
      <w:pPr>
        <w:pStyle w:val="Heading1"/>
        <w:spacing w:after="0" w:line="240" w:lineRule="auto"/>
        <w:rPr>
          <w:rFonts w:ascii="Times New Roman" w:hAnsi="Times New Roman" w:cs="Times New Roman"/>
          <w:b/>
          <w:bCs/>
          <w:color w:val="auto"/>
          <w:sz w:val="28"/>
          <w:szCs w:val="28"/>
        </w:rPr>
      </w:pPr>
      <w:bookmarkStart w:id="7" w:name="_Toc204673491"/>
      <w:r w:rsidRPr="00BE6013">
        <w:rPr>
          <w:rFonts w:ascii="Times New Roman" w:hAnsi="Times New Roman" w:cs="Times New Roman"/>
          <w:b/>
          <w:bCs/>
          <w:color w:val="auto"/>
          <w:sz w:val="28"/>
          <w:szCs w:val="28"/>
        </w:rPr>
        <w:t>2.0</w:t>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00B704D8" w:rsidRPr="00BE6013">
        <w:rPr>
          <w:rFonts w:ascii="Times New Roman" w:hAnsi="Times New Roman" w:cs="Times New Roman"/>
          <w:b/>
          <w:bCs/>
          <w:color w:val="auto"/>
          <w:sz w:val="28"/>
          <w:szCs w:val="28"/>
        </w:rPr>
        <w:t xml:space="preserve">REVIEW OF RELATED LITERATURE </w:t>
      </w:r>
      <w:bookmarkEnd w:id="7"/>
    </w:p>
    <w:p w14:paraId="06DBDDF8" w14:textId="74AB90E1"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8" w:name="_Toc204673492"/>
      <w:r w:rsidRPr="00BE6013">
        <w:rPr>
          <w:rFonts w:ascii="Times New Roman" w:hAnsi="Times New Roman" w:cs="Times New Roman"/>
          <w:b/>
          <w:bCs/>
          <w:color w:val="auto"/>
          <w:sz w:val="24"/>
          <w:szCs w:val="24"/>
        </w:rPr>
        <w:t>Conceptual Framework</w:t>
      </w:r>
      <w:bookmarkEnd w:id="8"/>
    </w:p>
    <w:p w14:paraId="0FDE9023" w14:textId="2779247E" w:rsidR="00B704D8" w:rsidRPr="00BE6013" w:rsidRDefault="00B704D8" w:rsidP="00CF5E08">
      <w:pPr>
        <w:spacing w:after="0" w:line="240" w:lineRule="auto"/>
        <w:rPr>
          <w:b/>
          <w:bCs/>
          <w:color w:val="auto"/>
        </w:rPr>
      </w:pPr>
      <w:r w:rsidRPr="00BE6013">
        <w:rPr>
          <w:color w:val="auto"/>
        </w:rPr>
        <w:t xml:space="preserve">According to CBN (2003) bank lending is made up of the amount of loans and advances given by the banking sector to economic agents, bank lending </w:t>
      </w:r>
      <w:proofErr w:type="gramStart"/>
      <w:r w:rsidRPr="00BE6013">
        <w:rPr>
          <w:color w:val="auto"/>
        </w:rPr>
        <w:t>are</w:t>
      </w:r>
      <w:proofErr w:type="gramEnd"/>
      <w:r w:rsidRPr="00BE6013">
        <w:rPr>
          <w:color w:val="auto"/>
        </w:rPr>
        <w:t xml:space="preserve"> channeled into productive investments which help in facilitating output growth in economy this is one of the necessary aspect of financial intermediation that help to channeled them towards productive investment. Actually, the availability of credit or loan allows the role of intermediation to be carried out is effectively in economy which engender output growth in the economy. </w:t>
      </w:r>
      <w:r w:rsidR="00E1696A" w:rsidRPr="00BE6013">
        <w:rPr>
          <w:color w:val="auto"/>
        </w:rPr>
        <w:t xml:space="preserve"> </w:t>
      </w:r>
      <w:r w:rsidRPr="00BE6013">
        <w:rPr>
          <w:b/>
          <w:bCs/>
          <w:color w:val="auto"/>
        </w:rPr>
        <w:t xml:space="preserve">Economic Growth </w:t>
      </w:r>
      <w:proofErr w:type="spellStart"/>
      <w:r w:rsidRPr="00BE6013">
        <w:rPr>
          <w:color w:val="auto"/>
        </w:rPr>
        <w:t>Adewuyi</w:t>
      </w:r>
      <w:proofErr w:type="spellEnd"/>
      <w:r w:rsidRPr="00BE6013">
        <w:rPr>
          <w:color w:val="auto"/>
        </w:rPr>
        <w:t xml:space="preserve"> and </w:t>
      </w:r>
      <w:proofErr w:type="spellStart"/>
      <w:r w:rsidRPr="00BE6013">
        <w:rPr>
          <w:color w:val="auto"/>
        </w:rPr>
        <w:t>Olowookere</w:t>
      </w:r>
      <w:proofErr w:type="spellEnd"/>
      <w:r w:rsidRPr="00BE6013">
        <w:rPr>
          <w:color w:val="auto"/>
        </w:rPr>
        <w:t xml:space="preserve"> (2016) define economic growth as the process at which domestic income increased within a given period of time.”. </w:t>
      </w:r>
      <w:proofErr w:type="spellStart"/>
      <w:r w:rsidRPr="00BE6013">
        <w:rPr>
          <w:color w:val="auto"/>
        </w:rPr>
        <w:t>Okwo</w:t>
      </w:r>
      <w:proofErr w:type="spellEnd"/>
      <w:r w:rsidRPr="00BE6013">
        <w:rPr>
          <w:color w:val="auto"/>
        </w:rPr>
        <w:t xml:space="preserve">, </w:t>
      </w:r>
      <w:proofErr w:type="spellStart"/>
      <w:r w:rsidRPr="00BE6013">
        <w:rPr>
          <w:color w:val="auto"/>
        </w:rPr>
        <w:t>Mbajiaku</w:t>
      </w:r>
      <w:proofErr w:type="spellEnd"/>
      <w:r w:rsidRPr="00BE6013">
        <w:rPr>
          <w:color w:val="auto"/>
        </w:rPr>
        <w:t xml:space="preserve"> and </w:t>
      </w:r>
      <w:proofErr w:type="spellStart"/>
      <w:r w:rsidRPr="00BE6013">
        <w:rPr>
          <w:color w:val="auto"/>
        </w:rPr>
        <w:t>Ugwunta</w:t>
      </w:r>
      <w:proofErr w:type="spellEnd"/>
      <w:r w:rsidRPr="00BE6013">
        <w:rPr>
          <w:color w:val="auto"/>
        </w:rPr>
        <w:t xml:space="preserve"> (2012) view economic growth as the process by which national income or output is increased. Therefore, an economy is said to be growing if there is a sustainable increase in the actual output of goods and services per head. Kira (2013) defines economic growth as total market value of all final goods and services produced within the country in a given period of time (normally one year). </w:t>
      </w:r>
      <w:bookmarkStart w:id="9" w:name="_Hlk193075134"/>
      <w:r w:rsidR="00E1696A" w:rsidRPr="00BE6013">
        <w:rPr>
          <w:color w:val="auto"/>
        </w:rPr>
        <w:t xml:space="preserve"> </w:t>
      </w:r>
      <w:r w:rsidRPr="00BE6013">
        <w:rPr>
          <w:b/>
          <w:bCs/>
          <w:color w:val="auto"/>
        </w:rPr>
        <w:t>Money Supply</w:t>
      </w:r>
      <w:r w:rsidR="00E1696A" w:rsidRPr="00BE6013">
        <w:rPr>
          <w:b/>
          <w:bCs/>
          <w:color w:val="auto"/>
        </w:rPr>
        <w:t xml:space="preserve"> </w:t>
      </w:r>
      <w:r w:rsidRPr="00BE6013">
        <w:rPr>
          <w:color w:val="auto"/>
        </w:rPr>
        <w:t xml:space="preserve">Therefore, money supply can be generally defined as the sum of all the money in the hands of all the members of the economy, it could be M1 or M2 in the economy (Nigeria). Hence </w:t>
      </w:r>
      <w:proofErr w:type="spellStart"/>
      <w:proofErr w:type="gramStart"/>
      <w:r w:rsidRPr="00BE6013">
        <w:rPr>
          <w:color w:val="auto"/>
        </w:rPr>
        <w:t>Omodero</w:t>
      </w:r>
      <w:proofErr w:type="spellEnd"/>
      <w:r w:rsidRPr="00BE6013">
        <w:rPr>
          <w:color w:val="auto"/>
        </w:rPr>
        <w:t>(</w:t>
      </w:r>
      <w:proofErr w:type="gramEnd"/>
      <w:r w:rsidRPr="00BE6013">
        <w:rPr>
          <w:color w:val="auto"/>
        </w:rPr>
        <w:t xml:space="preserve">2019) argued that money supply is an important instrument of monetary policy that can be </w:t>
      </w:r>
      <w:proofErr w:type="spellStart"/>
      <w:r w:rsidRPr="00BE6013">
        <w:rPr>
          <w:color w:val="auto"/>
        </w:rPr>
        <w:t>use</w:t>
      </w:r>
      <w:proofErr w:type="spellEnd"/>
      <w:r w:rsidRPr="00BE6013">
        <w:rPr>
          <w:color w:val="auto"/>
        </w:rPr>
        <w:t xml:space="preserve"> to improve economy.</w:t>
      </w:r>
      <w:r w:rsidR="00E1696A" w:rsidRPr="00BE6013">
        <w:rPr>
          <w:color w:val="auto"/>
        </w:rPr>
        <w:t xml:space="preserve"> </w:t>
      </w:r>
      <w:r w:rsidRPr="00BE6013">
        <w:rPr>
          <w:b/>
          <w:bCs/>
          <w:color w:val="auto"/>
        </w:rPr>
        <w:t xml:space="preserve">Bank credit </w:t>
      </w:r>
      <w:proofErr w:type="spellStart"/>
      <w:r w:rsidRPr="00BE6013">
        <w:rPr>
          <w:color w:val="auto"/>
        </w:rPr>
        <w:t>Onwioduodit</w:t>
      </w:r>
      <w:proofErr w:type="spellEnd"/>
      <w:r w:rsidRPr="00BE6013">
        <w:rPr>
          <w:color w:val="auto"/>
        </w:rPr>
        <w:t xml:space="preserve"> et al (2023) define bank credit as the total amount lend to borrower and that credit expansion on the other hand, involves extending microcredit resources for their businesses</w:t>
      </w:r>
      <w:r w:rsidR="00CF5E08" w:rsidRPr="00BE6013">
        <w:rPr>
          <w:color w:val="auto"/>
        </w:rPr>
        <w:t>.</w:t>
      </w:r>
      <w:r w:rsidR="00E1696A" w:rsidRPr="00BE6013">
        <w:rPr>
          <w:color w:val="auto"/>
        </w:rPr>
        <w:t xml:space="preserve"> </w:t>
      </w:r>
      <w:r w:rsidRPr="00BE6013">
        <w:rPr>
          <w:b/>
          <w:bCs/>
          <w:color w:val="auto"/>
        </w:rPr>
        <w:t xml:space="preserve">Inflation </w:t>
      </w:r>
      <w:r w:rsidR="00E1696A" w:rsidRPr="00BE6013">
        <w:rPr>
          <w:color w:val="auto"/>
        </w:rPr>
        <w:t>it is a continuous increase in general prices of goods and services for a long period of time, (</w:t>
      </w:r>
      <w:proofErr w:type="spellStart"/>
      <w:r w:rsidR="00E1696A" w:rsidRPr="00BE6013">
        <w:rPr>
          <w:b/>
          <w:bCs/>
          <w:color w:val="auto"/>
        </w:rPr>
        <w:t>Jhingan</w:t>
      </w:r>
      <w:proofErr w:type="spellEnd"/>
      <w:r w:rsidR="00E1696A" w:rsidRPr="00BE6013">
        <w:rPr>
          <w:b/>
          <w:bCs/>
          <w:color w:val="auto"/>
        </w:rPr>
        <w:t xml:space="preserve"> 19).</w:t>
      </w:r>
    </w:p>
    <w:p w14:paraId="2802376D" w14:textId="77777777" w:rsidR="00E1696A" w:rsidRPr="00BE6013" w:rsidRDefault="00E1696A" w:rsidP="00CF5E08">
      <w:pPr>
        <w:spacing w:after="0" w:line="240" w:lineRule="auto"/>
        <w:rPr>
          <w:color w:val="auto"/>
        </w:rPr>
      </w:pPr>
    </w:p>
    <w:p w14:paraId="62DA5DF6" w14:textId="4059DF95" w:rsidR="00B704D8" w:rsidRPr="00BE6013" w:rsidRDefault="00B704D8" w:rsidP="00E1696A">
      <w:pPr>
        <w:pStyle w:val="Heading1"/>
        <w:spacing w:before="0" w:after="0" w:line="240" w:lineRule="auto"/>
        <w:rPr>
          <w:rFonts w:ascii="Times New Roman" w:hAnsi="Times New Roman" w:cs="Times New Roman"/>
          <w:b/>
          <w:bCs/>
          <w:color w:val="auto"/>
          <w:sz w:val="24"/>
          <w:szCs w:val="24"/>
        </w:rPr>
      </w:pPr>
      <w:bookmarkStart w:id="10" w:name="_Toc204673493"/>
      <w:r w:rsidRPr="00BE6013">
        <w:rPr>
          <w:rFonts w:ascii="Times New Roman" w:hAnsi="Times New Roman" w:cs="Times New Roman"/>
          <w:b/>
          <w:bCs/>
          <w:color w:val="auto"/>
          <w:sz w:val="24"/>
          <w:szCs w:val="24"/>
        </w:rPr>
        <w:lastRenderedPageBreak/>
        <w:t>Theoretical Framework</w:t>
      </w:r>
      <w:bookmarkEnd w:id="10"/>
    </w:p>
    <w:p w14:paraId="256C5885" w14:textId="33BB52A1" w:rsidR="00B704D8" w:rsidRPr="00BE6013" w:rsidRDefault="00B704D8" w:rsidP="00E1696A">
      <w:pPr>
        <w:pStyle w:val="Heading1"/>
        <w:spacing w:before="0" w:after="0" w:line="240" w:lineRule="auto"/>
        <w:rPr>
          <w:rFonts w:ascii="Times New Roman" w:hAnsi="Times New Roman" w:cs="Times New Roman"/>
          <w:b/>
          <w:bCs/>
          <w:color w:val="auto"/>
          <w:sz w:val="24"/>
          <w:szCs w:val="24"/>
        </w:rPr>
      </w:pPr>
      <w:bookmarkStart w:id="11" w:name="_Toc204673495"/>
      <w:r w:rsidRPr="00BE6013">
        <w:rPr>
          <w:rFonts w:ascii="Times New Roman" w:hAnsi="Times New Roman" w:cs="Times New Roman"/>
          <w:b/>
          <w:bCs/>
          <w:color w:val="auto"/>
          <w:sz w:val="24"/>
          <w:szCs w:val="24"/>
        </w:rPr>
        <w:t>The Balance Sheet Credit Channel Theory</w:t>
      </w:r>
      <w:bookmarkEnd w:id="11"/>
    </w:p>
    <w:p w14:paraId="488C9C6A" w14:textId="77777777" w:rsidR="00B704D8" w:rsidRPr="00BE6013" w:rsidRDefault="00B704D8" w:rsidP="00CF5E08">
      <w:pPr>
        <w:spacing w:after="0" w:line="240" w:lineRule="auto"/>
        <w:ind w:left="0" w:firstLine="0"/>
        <w:rPr>
          <w:color w:val="auto"/>
        </w:rPr>
      </w:pPr>
      <w:r w:rsidRPr="00BE6013">
        <w:rPr>
          <w:color w:val="auto"/>
        </w:rPr>
        <w:t>Bernanke and Gertler (1989</w:t>
      </w:r>
      <w:proofErr w:type="gramStart"/>
      <w:r w:rsidRPr="00BE6013">
        <w:rPr>
          <w:color w:val="auto"/>
        </w:rPr>
        <w:t>) .The</w:t>
      </w:r>
      <w:proofErr w:type="gramEnd"/>
      <w:r w:rsidRPr="00BE6013">
        <w:rPr>
          <w:color w:val="auto"/>
        </w:rPr>
        <w:t xml:space="preserve"> balance sheet credit channel theory also known as the balance sheet channel or the Net worth channel. The theory shows the monetary  transmission mechanism that explain how changes in interest rates influence economy through their impact on borrowers’ balance sheets, the theory emphasizes the importance of borrowers’ net worth in determining their access to credit, the borrowers’ assets serve as collateral for loans and changes in asset values affect their creditworthiness, how changes in interest rates affect borrowers’ balance sheet and how it also influence their ability to borrow and invest in economy.</w:t>
      </w:r>
    </w:p>
    <w:p w14:paraId="55596DE4" w14:textId="7484194C" w:rsidR="00B704D8" w:rsidRPr="00BE6013" w:rsidRDefault="00B704D8" w:rsidP="00CF5E08">
      <w:pPr>
        <w:spacing w:after="0" w:line="240" w:lineRule="auto"/>
        <w:ind w:left="0" w:firstLine="0"/>
        <w:rPr>
          <w:color w:val="auto"/>
        </w:rPr>
      </w:pPr>
      <w:r w:rsidRPr="00BE6013">
        <w:rPr>
          <w:color w:val="auto"/>
        </w:rPr>
        <w:t xml:space="preserve">This theory emphasized that external finance premium facing a borrower is a function of borrowers financial capability, that is the higher the borrower’s net worth, the lower the external finance premium and the sum terms of credit, also the theory further to emphasis that the quality of borrower’s sheet also influence investment and spending decisions, the balance sheet is also influence due to central bank policy, it does not only affect market interest rate only but also the financial positions of borrowers in the economy. </w:t>
      </w:r>
    </w:p>
    <w:p w14:paraId="62D9A66F" w14:textId="0E12FC4F"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12" w:name="_Toc204673496"/>
      <w:r w:rsidRPr="00BE6013">
        <w:rPr>
          <w:rFonts w:ascii="Times New Roman" w:hAnsi="Times New Roman" w:cs="Times New Roman"/>
          <w:b/>
          <w:bCs/>
          <w:color w:val="auto"/>
          <w:sz w:val="24"/>
          <w:szCs w:val="24"/>
        </w:rPr>
        <w:t>The Commercial Loan Theory or Real Bills Doctrine</w:t>
      </w:r>
      <w:bookmarkEnd w:id="12"/>
      <w:r w:rsidRPr="00BE6013">
        <w:rPr>
          <w:rFonts w:ascii="Times New Roman" w:hAnsi="Times New Roman" w:cs="Times New Roman"/>
          <w:b/>
          <w:bCs/>
          <w:color w:val="auto"/>
          <w:sz w:val="24"/>
          <w:szCs w:val="24"/>
        </w:rPr>
        <w:t xml:space="preserve"> </w:t>
      </w:r>
    </w:p>
    <w:p w14:paraId="0221B588" w14:textId="64DDBC58" w:rsidR="00CF5E08" w:rsidRPr="00BE6013" w:rsidRDefault="00B704D8" w:rsidP="00CF5E08">
      <w:pPr>
        <w:spacing w:after="0" w:line="240" w:lineRule="auto"/>
        <w:ind w:left="0" w:firstLine="0"/>
        <w:rPr>
          <w:color w:val="auto"/>
        </w:rPr>
      </w:pPr>
      <w:r w:rsidRPr="00BE6013">
        <w:rPr>
          <w:color w:val="auto"/>
        </w:rPr>
        <w:t xml:space="preserve"> Harold Glenn Moulton (1918).The theory emphasized that commercial bank should make only short-loan self-liquidating productive loan to businesses, which can be </w:t>
      </w:r>
      <w:proofErr w:type="spellStart"/>
      <w:r w:rsidRPr="00BE6013">
        <w:rPr>
          <w:color w:val="auto"/>
        </w:rPr>
        <w:t>use</w:t>
      </w:r>
      <w:proofErr w:type="spellEnd"/>
      <w:r w:rsidRPr="00BE6013">
        <w:rPr>
          <w:color w:val="auto"/>
        </w:rPr>
        <w:t xml:space="preserve"> to fund and improve economy through distribution , the theory explanation therefore means that when  commercial banks issue self-liquidating , productive loans for short-term period, central bank should also lend to the commercial banks on security on short-term loans as well, this will help to ensure that each bank has the right  amount of liquidity and also the entire economy is empower to such right of amount of  money supply for the purpose of eliminating bank reserves by rediscounting sanctioned loans, because as business flourish as trade requirements increased, there is tendency for bank to improve since there is opportunity to obtain additional reserves by discounting bills with central bank, also if business experiencing slow and trade requirements fell, the quantity of bills discounted, bank credit, bank reserve and money will experience declined in the economy</w:t>
      </w:r>
      <w:r w:rsidR="00D34D60" w:rsidRPr="00BE6013">
        <w:rPr>
          <w:color w:val="auto"/>
        </w:rPr>
        <w:t>.</w:t>
      </w:r>
    </w:p>
    <w:p w14:paraId="7BDBFC57" w14:textId="69FB82F1" w:rsidR="00B704D8" w:rsidRPr="00BE6013" w:rsidRDefault="00B704D8" w:rsidP="00D34D60">
      <w:pPr>
        <w:pStyle w:val="Heading1"/>
        <w:spacing w:after="0" w:line="240" w:lineRule="auto"/>
        <w:ind w:left="0" w:firstLine="0"/>
        <w:rPr>
          <w:rFonts w:ascii="Times New Roman" w:hAnsi="Times New Roman" w:cs="Times New Roman"/>
          <w:b/>
          <w:bCs/>
          <w:color w:val="auto"/>
          <w:sz w:val="24"/>
          <w:szCs w:val="24"/>
        </w:rPr>
      </w:pPr>
      <w:bookmarkStart w:id="13" w:name="_Toc204673497"/>
      <w:r w:rsidRPr="00BE6013">
        <w:rPr>
          <w:rFonts w:ascii="Times New Roman" w:hAnsi="Times New Roman" w:cs="Times New Roman"/>
          <w:b/>
          <w:bCs/>
          <w:color w:val="auto"/>
          <w:sz w:val="24"/>
          <w:szCs w:val="24"/>
        </w:rPr>
        <w:t>Empirical related Literature</w:t>
      </w:r>
      <w:bookmarkEnd w:id="13"/>
      <w:r w:rsidRPr="00BE6013">
        <w:rPr>
          <w:rFonts w:ascii="Times New Roman" w:hAnsi="Times New Roman" w:cs="Times New Roman"/>
          <w:b/>
          <w:bCs/>
          <w:color w:val="auto"/>
          <w:sz w:val="24"/>
          <w:szCs w:val="24"/>
        </w:rPr>
        <w:t xml:space="preserve"> review</w:t>
      </w:r>
    </w:p>
    <w:p w14:paraId="416C8FAA" w14:textId="77777777" w:rsidR="00B704D8" w:rsidRPr="00BE6013" w:rsidRDefault="00B704D8" w:rsidP="00CF5E08">
      <w:pPr>
        <w:spacing w:after="0" w:line="240" w:lineRule="auto"/>
        <w:ind w:left="0" w:firstLine="0"/>
        <w:rPr>
          <w:color w:val="auto"/>
        </w:rPr>
      </w:pPr>
      <w:r w:rsidRPr="00BE6013">
        <w:rPr>
          <w:color w:val="auto"/>
        </w:rPr>
        <w:t xml:space="preserve">The relationship between bank lending rate and economic growth has generated lots of contradictions among scholars particularly among economists. Some researchers argued that bank lending rate improve economic growth while others said it hindered economic growth. </w:t>
      </w:r>
      <w:proofErr w:type="spellStart"/>
      <w:r w:rsidRPr="00BE6013">
        <w:rPr>
          <w:color w:val="auto"/>
        </w:rPr>
        <w:t>Tridico</w:t>
      </w:r>
      <w:proofErr w:type="spellEnd"/>
      <w:r w:rsidRPr="00BE6013">
        <w:rPr>
          <w:color w:val="auto"/>
        </w:rPr>
        <w:t xml:space="preserve"> (2007) argued that low bank lending rate stimulate economic growth as a complex issue which needs significant interaction of several socio-economic and institutional factors. While </w:t>
      </w:r>
      <w:proofErr w:type="spellStart"/>
      <w:r w:rsidRPr="00BE6013">
        <w:rPr>
          <w:color w:val="auto"/>
        </w:rPr>
        <w:t>Gruseh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 argued that bank lending rate has significant effect </w:t>
      </w:r>
      <w:proofErr w:type="gramStart"/>
      <w:r w:rsidRPr="00BE6013">
        <w:rPr>
          <w:color w:val="auto"/>
        </w:rPr>
        <w:t>on  economic</w:t>
      </w:r>
      <w:proofErr w:type="gramEnd"/>
      <w:r w:rsidRPr="00BE6013">
        <w:rPr>
          <w:color w:val="auto"/>
        </w:rPr>
        <w:t xml:space="preserve"> growth in Nigeria. But many research in Nigeria found significant and positive relationship between bank lending rate and economic growth, for instance (Nicholas, </w:t>
      </w:r>
      <w:proofErr w:type="gramStart"/>
      <w:r w:rsidRPr="00BE6013">
        <w:rPr>
          <w:color w:val="auto"/>
        </w:rPr>
        <w:t xml:space="preserve">2010;  </w:t>
      </w:r>
      <w:proofErr w:type="spellStart"/>
      <w:r w:rsidRPr="00BE6013">
        <w:rPr>
          <w:color w:val="auto"/>
        </w:rPr>
        <w:t>Obamuyi</w:t>
      </w:r>
      <w:proofErr w:type="spellEnd"/>
      <w:proofErr w:type="gramEnd"/>
      <w:r w:rsidRPr="00BE6013">
        <w:rPr>
          <w:color w:val="auto"/>
        </w:rPr>
        <w:t xml:space="preserve">, 2009; </w:t>
      </w:r>
      <w:proofErr w:type="spellStart"/>
      <w:r w:rsidRPr="00BE6013">
        <w:rPr>
          <w:color w:val="auto"/>
        </w:rPr>
        <w:t>Noula</w:t>
      </w:r>
      <w:proofErr w:type="spellEnd"/>
      <w:r w:rsidRPr="00BE6013">
        <w:rPr>
          <w:color w:val="auto"/>
        </w:rPr>
        <w:t xml:space="preserve">, 2012; </w:t>
      </w:r>
      <w:proofErr w:type="spellStart"/>
      <w:r w:rsidRPr="00BE6013">
        <w:rPr>
          <w:color w:val="auto"/>
        </w:rPr>
        <w:t>Bouga</w:t>
      </w:r>
      <w:proofErr w:type="spellEnd"/>
      <w:r w:rsidRPr="00BE6013">
        <w:rPr>
          <w:color w:val="auto"/>
        </w:rPr>
        <w:t xml:space="preserve"> &amp; </w:t>
      </w:r>
      <w:proofErr w:type="spellStart"/>
      <w:r w:rsidRPr="00BE6013">
        <w:rPr>
          <w:color w:val="auto"/>
        </w:rPr>
        <w:t>Bouga</w:t>
      </w:r>
      <w:proofErr w:type="spellEnd"/>
      <w:r w:rsidRPr="00BE6013">
        <w:rPr>
          <w:color w:val="auto"/>
        </w:rPr>
        <w:t xml:space="preserve">, 2011) affirmed the result after studied  fifteen European Union economies, using panel estimation technique. Habibullah and </w:t>
      </w:r>
      <w:proofErr w:type="spellStart"/>
      <w:r w:rsidRPr="00BE6013">
        <w:rPr>
          <w:color w:val="auto"/>
        </w:rPr>
        <w:t>Eng</w:t>
      </w:r>
      <w:proofErr w:type="spellEnd"/>
      <w:r w:rsidRPr="00BE6013">
        <w:rPr>
          <w:color w:val="auto"/>
        </w:rPr>
        <w:t xml:space="preserve"> (2006) investigated causality testing analysis on 13 Asian developing economies and also found that bank lending promotes economic growth. Though, Giovanni and </w:t>
      </w:r>
      <w:proofErr w:type="spellStart"/>
      <w:r w:rsidRPr="00BE6013">
        <w:rPr>
          <w:color w:val="auto"/>
        </w:rPr>
        <w:t>Shambaugh</w:t>
      </w:r>
      <w:proofErr w:type="spellEnd"/>
      <w:r w:rsidRPr="00BE6013">
        <w:rPr>
          <w:color w:val="auto"/>
        </w:rPr>
        <w:t xml:space="preserve"> (2007), </w:t>
      </w:r>
      <w:proofErr w:type="spellStart"/>
      <w:r w:rsidRPr="00BE6013">
        <w:rPr>
          <w:color w:val="auto"/>
        </w:rPr>
        <w:t>Gouseh</w:t>
      </w:r>
      <w:proofErr w:type="spellEnd"/>
      <w:r w:rsidRPr="00BE6013">
        <w:rPr>
          <w:color w:val="auto"/>
        </w:rPr>
        <w:t xml:space="preserve"> and </w:t>
      </w:r>
      <w:proofErr w:type="spellStart"/>
      <w:r w:rsidRPr="00BE6013">
        <w:rPr>
          <w:color w:val="auto"/>
        </w:rPr>
        <w:t>Oritsejafor</w:t>
      </w:r>
      <w:proofErr w:type="spellEnd"/>
      <w:r w:rsidRPr="00BE6013">
        <w:rPr>
          <w:color w:val="auto"/>
        </w:rPr>
        <w:t xml:space="preserve"> (2007), studies found inverse relationship between bank lending rate and economic growth. Using least square and Granger causality methods, </w:t>
      </w:r>
      <w:proofErr w:type="spellStart"/>
      <w:r w:rsidRPr="00BE6013">
        <w:rPr>
          <w:color w:val="auto"/>
        </w:rPr>
        <w:t>Akinboade</w:t>
      </w:r>
      <w:proofErr w:type="spellEnd"/>
      <w:r w:rsidRPr="00BE6013">
        <w:rPr>
          <w:color w:val="auto"/>
        </w:rPr>
        <w:t xml:space="preserve"> (2004) found no consensus on the relationship between bank lending rate and economic growth in Nigeria. The findings ranged from positive to negative and unidirectional to bi-directional or no directional between the variables. </w:t>
      </w:r>
      <w:proofErr w:type="spellStart"/>
      <w:r w:rsidRPr="00BE6013">
        <w:rPr>
          <w:color w:val="auto"/>
        </w:rPr>
        <w:t>Eregha</w:t>
      </w:r>
      <w:proofErr w:type="spellEnd"/>
      <w:r w:rsidRPr="00BE6013">
        <w:rPr>
          <w:color w:val="auto"/>
        </w:rPr>
        <w:t xml:space="preserve"> (2010) explored variations in interest rate and investment determination in Nigeria for the period 1970-2002 using dynamic model of two equations and found that inverse relationship exists between interest rate and investment. In Romanian, </w:t>
      </w:r>
      <w:proofErr w:type="spellStart"/>
      <w:r w:rsidRPr="00BE6013">
        <w:rPr>
          <w:color w:val="auto"/>
        </w:rPr>
        <w:t>Albu</w:t>
      </w:r>
      <w:proofErr w:type="spellEnd"/>
      <w:r w:rsidRPr="00BE6013">
        <w:rPr>
          <w:color w:val="auto"/>
        </w:rPr>
        <w:t xml:space="preserve"> (2006) found positive and significant relationship between interest rate and economic growth using tow partial models. In support, using ECM, Nwachukwu and </w:t>
      </w:r>
      <w:proofErr w:type="spellStart"/>
      <w:r w:rsidRPr="00BE6013">
        <w:rPr>
          <w:color w:val="auto"/>
        </w:rPr>
        <w:lastRenderedPageBreak/>
        <w:t>Odigie</w:t>
      </w:r>
      <w:proofErr w:type="spellEnd"/>
      <w:r w:rsidRPr="00BE6013">
        <w:rPr>
          <w:color w:val="auto"/>
        </w:rPr>
        <w:t xml:space="preserve"> (2009), Rasheed (2010) found the existence of positive and significant relationship between real interest rate and economic growth and statistically significant within the estimated model. Though, the findings of </w:t>
      </w:r>
      <w:proofErr w:type="spellStart"/>
      <w:r w:rsidRPr="00BE6013">
        <w:rPr>
          <w:color w:val="auto"/>
        </w:rPr>
        <w:t>Obute</w:t>
      </w:r>
      <w:proofErr w:type="spellEnd"/>
      <w:r w:rsidRPr="00BE6013">
        <w:rPr>
          <w:color w:val="auto"/>
        </w:rPr>
        <w:t xml:space="preserve">, </w:t>
      </w:r>
      <w:proofErr w:type="spellStart"/>
      <w:r w:rsidRPr="00BE6013">
        <w:rPr>
          <w:color w:val="auto"/>
        </w:rPr>
        <w:t>Asor</w:t>
      </w:r>
      <w:proofErr w:type="spellEnd"/>
      <w:r w:rsidRPr="00BE6013">
        <w:rPr>
          <w:color w:val="auto"/>
        </w:rPr>
        <w:t xml:space="preserve"> and </w:t>
      </w:r>
      <w:proofErr w:type="spellStart"/>
      <w:r w:rsidRPr="00BE6013">
        <w:rPr>
          <w:color w:val="auto"/>
        </w:rPr>
        <w:t>Itodo</w:t>
      </w:r>
      <w:proofErr w:type="spellEnd"/>
      <w:r w:rsidRPr="00BE6013">
        <w:rPr>
          <w:color w:val="auto"/>
        </w:rPr>
        <w:t xml:space="preserve"> (2012) revealed that there is no positive and significant relationship between the real bank lending rate and economic growth. But other related studies, the study of </w:t>
      </w:r>
      <w:proofErr w:type="spellStart"/>
      <w:r w:rsidRPr="00BE6013">
        <w:rPr>
          <w:color w:val="auto"/>
        </w:rPr>
        <w:t>Onyishi</w:t>
      </w:r>
      <w:proofErr w:type="spellEnd"/>
      <w:r w:rsidRPr="00BE6013">
        <w:rPr>
          <w:color w:val="auto"/>
        </w:rPr>
        <w:t xml:space="preserve"> and </w:t>
      </w:r>
      <w:proofErr w:type="spellStart"/>
      <w:r w:rsidRPr="00BE6013">
        <w:rPr>
          <w:color w:val="auto"/>
        </w:rPr>
        <w:t>Ifiorah</w:t>
      </w:r>
      <w:proofErr w:type="spellEnd"/>
      <w:r w:rsidRPr="00BE6013">
        <w:rPr>
          <w:color w:val="auto"/>
        </w:rPr>
        <w:t xml:space="preserve"> (2015) who studied the effect of interest rate reform on agricultural finance and growth in Nigeria which </w:t>
      </w:r>
      <w:proofErr w:type="spellStart"/>
      <w:r w:rsidRPr="00BE6013">
        <w:rPr>
          <w:color w:val="auto"/>
        </w:rPr>
        <w:t>emploed</w:t>
      </w:r>
      <w:proofErr w:type="spellEnd"/>
      <w:r w:rsidRPr="00BE6013">
        <w:rPr>
          <w:color w:val="auto"/>
        </w:rPr>
        <w:t xml:space="preserve"> OLS and ARDL methods. They found that interest rate has significant effect on agricultural sector and economic growth. But </w:t>
      </w:r>
      <w:proofErr w:type="spellStart"/>
      <w:r w:rsidRPr="00BE6013">
        <w:rPr>
          <w:color w:val="auto"/>
        </w:rPr>
        <w:t>Onwumere</w:t>
      </w:r>
      <w:proofErr w:type="spellEnd"/>
      <w:r w:rsidRPr="00BE6013">
        <w:rPr>
          <w:color w:val="auto"/>
        </w:rPr>
        <w:t xml:space="preserve">, </w:t>
      </w:r>
      <w:proofErr w:type="spellStart"/>
      <w:r w:rsidRPr="00BE6013">
        <w:rPr>
          <w:color w:val="auto"/>
        </w:rPr>
        <w:t>Okore</w:t>
      </w:r>
      <w:proofErr w:type="spellEnd"/>
      <w:r w:rsidRPr="00BE6013">
        <w:rPr>
          <w:color w:val="auto"/>
        </w:rPr>
        <w:t xml:space="preserve"> and </w:t>
      </w:r>
      <w:proofErr w:type="spellStart"/>
      <w:r w:rsidRPr="00BE6013">
        <w:rPr>
          <w:color w:val="auto"/>
        </w:rPr>
        <w:t>Ibe</w:t>
      </w:r>
      <w:proofErr w:type="spellEnd"/>
      <w:r w:rsidRPr="00BE6013">
        <w:rPr>
          <w:color w:val="auto"/>
        </w:rPr>
        <w:t xml:space="preserve"> (2012) study revealed that there is no relationship between interest rate, savings mobilization and economic growth. Many of the studies covered from 1980 and 2012. However, results from previous studies on the relationship between bank lending rate and economic growth are still debatable in literature due to divergent views.</w:t>
      </w:r>
    </w:p>
    <w:p w14:paraId="7CD0428C" w14:textId="77777777" w:rsidR="00B704D8" w:rsidRPr="00BE6013" w:rsidRDefault="00B704D8" w:rsidP="00CF5E08">
      <w:pPr>
        <w:spacing w:after="0" w:line="240" w:lineRule="auto"/>
        <w:ind w:left="0" w:firstLine="0"/>
        <w:rPr>
          <w:color w:val="auto"/>
        </w:rPr>
      </w:pPr>
      <w:r w:rsidRPr="00BE6013">
        <w:rPr>
          <w:color w:val="auto"/>
        </w:rPr>
        <w:t xml:space="preserve">For instance, </w:t>
      </w:r>
      <w:proofErr w:type="spellStart"/>
      <w:r w:rsidRPr="00BE6013">
        <w:rPr>
          <w:color w:val="auto"/>
        </w:rPr>
        <w:t>Abina</w:t>
      </w:r>
      <w:proofErr w:type="spellEnd"/>
      <w:r w:rsidRPr="00BE6013">
        <w:rPr>
          <w:color w:val="auto"/>
        </w:rPr>
        <w:t xml:space="preserve"> (2020) investigated sectorial allocation of bank credits impact on economic development in Nigeria. The study utilized human development index as proxy for dependent variable measuring economic development while bank credits to public sector, manufacturing, agricultural, mining general commerce sector, real estate and construction, were utilized in the study as independent variables. The variables were sourced from Central Bank of Nigeria statistical bulletin which spanned from 1985 to 2019. Data stationarity was ensured using the Augmented Dickey Fuller statistics, while the error correction model was applied as the statistical tool for acceptance of hypothesis. The study revealed that there is a negative relationship between bank credits, manufacturing, mining and human development. </w:t>
      </w:r>
    </w:p>
    <w:p w14:paraId="062B177D" w14:textId="420821E7" w:rsidR="00B704D8" w:rsidRPr="00BE6013" w:rsidRDefault="00B704D8" w:rsidP="00CF5E08">
      <w:pPr>
        <w:pStyle w:val="Heading1"/>
        <w:spacing w:after="0" w:line="240" w:lineRule="auto"/>
        <w:rPr>
          <w:rFonts w:ascii="Times New Roman" w:hAnsi="Times New Roman" w:cs="Times New Roman"/>
          <w:b/>
          <w:bCs/>
          <w:color w:val="auto"/>
          <w:sz w:val="24"/>
          <w:szCs w:val="24"/>
        </w:rPr>
      </w:pPr>
      <w:bookmarkStart w:id="14" w:name="_Toc204673498"/>
      <w:r w:rsidRPr="00BE6013">
        <w:rPr>
          <w:rFonts w:ascii="Times New Roman" w:hAnsi="Times New Roman" w:cs="Times New Roman"/>
          <w:b/>
          <w:bCs/>
          <w:color w:val="auto"/>
          <w:sz w:val="24"/>
          <w:szCs w:val="24"/>
        </w:rPr>
        <w:t>Research Gap</w:t>
      </w:r>
      <w:bookmarkEnd w:id="14"/>
      <w:r w:rsidRPr="00BE6013">
        <w:rPr>
          <w:rFonts w:ascii="Times New Roman" w:hAnsi="Times New Roman" w:cs="Times New Roman"/>
          <w:b/>
          <w:bCs/>
          <w:color w:val="auto"/>
          <w:sz w:val="24"/>
          <w:szCs w:val="24"/>
        </w:rPr>
        <w:t xml:space="preserve"> </w:t>
      </w:r>
    </w:p>
    <w:p w14:paraId="3E30C398" w14:textId="77777777" w:rsidR="00B704D8" w:rsidRPr="00BE6013" w:rsidRDefault="00B704D8" w:rsidP="00CF5E08">
      <w:pPr>
        <w:spacing w:after="0" w:line="240" w:lineRule="auto"/>
        <w:ind w:left="0" w:firstLine="0"/>
        <w:rPr>
          <w:color w:val="auto"/>
        </w:rPr>
      </w:pPr>
      <w:r w:rsidRPr="00BE6013">
        <w:rPr>
          <w:color w:val="auto"/>
        </w:rPr>
        <w:t xml:space="preserve">Although evidence from empirical studies support the fact that bank credits has impact on economic growth, the degree and magnitude of this impact vary from country to country, the direction of casual relationship between bank credits and economic growth is one area of contention among researchers. </w:t>
      </w:r>
    </w:p>
    <w:p w14:paraId="6FCC65FF" w14:textId="77777777" w:rsidR="00B704D8" w:rsidRPr="00BE6013" w:rsidRDefault="00B704D8" w:rsidP="00CF5E08">
      <w:pPr>
        <w:spacing w:after="0" w:line="240" w:lineRule="auto"/>
        <w:ind w:left="0" w:firstLine="0"/>
        <w:rPr>
          <w:color w:val="auto"/>
        </w:rPr>
      </w:pPr>
      <w:r w:rsidRPr="00BE6013">
        <w:rPr>
          <w:color w:val="auto"/>
        </w:rPr>
        <w:t xml:space="preserve">Previous studies as well as economic literature is replete with possible qualitative and quantitative variables that influence the growth in real output. However, there is no consensus on the effect of explanatory variables on economic growth. </w:t>
      </w:r>
    </w:p>
    <w:p w14:paraId="3439E3DB" w14:textId="68A3C16E" w:rsidR="00B704D8" w:rsidRPr="00BE6013" w:rsidRDefault="00B704D8" w:rsidP="00CF5E08">
      <w:pPr>
        <w:spacing w:after="0" w:line="240" w:lineRule="auto"/>
        <w:ind w:left="0" w:firstLine="0"/>
        <w:rPr>
          <w:color w:val="auto"/>
        </w:rPr>
      </w:pPr>
      <w:r w:rsidRPr="00BE6013">
        <w:rPr>
          <w:color w:val="auto"/>
        </w:rPr>
        <w:t xml:space="preserve">This gap is what the present study intend to fill by using money </w:t>
      </w:r>
      <w:proofErr w:type="gramStart"/>
      <w:r w:rsidRPr="00BE6013">
        <w:rPr>
          <w:color w:val="auto"/>
        </w:rPr>
        <w:t>supply  as</w:t>
      </w:r>
      <w:proofErr w:type="gramEnd"/>
      <w:r w:rsidRPr="00BE6013">
        <w:rPr>
          <w:color w:val="auto"/>
        </w:rPr>
        <w:t xml:space="preserve"> a determinant of bank credit. Descriptive statistics, correlation analysis and regression analysis were the statistical techniques this present study employed.</w:t>
      </w:r>
      <w:bookmarkEnd w:id="9"/>
    </w:p>
    <w:p w14:paraId="459AB6E0" w14:textId="77777777" w:rsidR="00B704D8" w:rsidRPr="00BE6013" w:rsidRDefault="00B704D8" w:rsidP="00CF5E08">
      <w:pPr>
        <w:spacing w:after="0" w:line="240" w:lineRule="auto"/>
        <w:ind w:left="0" w:firstLine="0"/>
        <w:rPr>
          <w:color w:val="auto"/>
        </w:rPr>
      </w:pPr>
    </w:p>
    <w:p w14:paraId="3FC81E82" w14:textId="77777777" w:rsidR="00387D69" w:rsidRPr="00BE6013" w:rsidRDefault="00387D69" w:rsidP="00CF5E08">
      <w:pPr>
        <w:spacing w:after="0" w:line="240" w:lineRule="auto"/>
        <w:ind w:left="0" w:firstLine="0"/>
        <w:rPr>
          <w:color w:val="auto"/>
        </w:rPr>
      </w:pPr>
    </w:p>
    <w:p w14:paraId="7C9F4F3F" w14:textId="2F2FD51F" w:rsidR="00387D69" w:rsidRPr="00BE6013" w:rsidRDefault="00D34D60" w:rsidP="00D34D60">
      <w:pPr>
        <w:pStyle w:val="Heading1"/>
        <w:spacing w:after="0" w:line="240" w:lineRule="auto"/>
        <w:rPr>
          <w:rFonts w:ascii="Times New Roman" w:hAnsi="Times New Roman" w:cs="Times New Roman"/>
          <w:b/>
          <w:bCs/>
          <w:color w:val="auto"/>
          <w:sz w:val="28"/>
          <w:szCs w:val="28"/>
        </w:rPr>
      </w:pPr>
      <w:bookmarkStart w:id="15" w:name="_Toc204673500"/>
      <w:r w:rsidRPr="00BE6013">
        <w:rPr>
          <w:rFonts w:ascii="Times New Roman" w:hAnsi="Times New Roman" w:cs="Times New Roman"/>
          <w:b/>
          <w:bCs/>
          <w:color w:val="auto"/>
          <w:sz w:val="28"/>
          <w:szCs w:val="28"/>
        </w:rPr>
        <w:t>3.0</w:t>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00387D69" w:rsidRPr="00BE6013">
        <w:rPr>
          <w:rFonts w:ascii="Times New Roman" w:hAnsi="Times New Roman" w:cs="Times New Roman"/>
          <w:b/>
          <w:bCs/>
          <w:color w:val="auto"/>
          <w:sz w:val="28"/>
          <w:szCs w:val="28"/>
        </w:rPr>
        <w:t>METHODOLOGY</w:t>
      </w:r>
      <w:bookmarkEnd w:id="15"/>
    </w:p>
    <w:p w14:paraId="4E9DEA32" w14:textId="629FD912"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6" w:name="_Toc204673502"/>
      <w:r w:rsidRPr="00BE6013">
        <w:rPr>
          <w:rFonts w:ascii="Times New Roman" w:hAnsi="Times New Roman" w:cs="Times New Roman"/>
          <w:b/>
          <w:bCs/>
          <w:color w:val="auto"/>
          <w:sz w:val="24"/>
          <w:szCs w:val="24"/>
        </w:rPr>
        <w:t>Model Specification</w:t>
      </w:r>
      <w:bookmarkEnd w:id="16"/>
    </w:p>
    <w:p w14:paraId="1B2E725B" w14:textId="77777777" w:rsidR="00387D69" w:rsidRPr="00BE6013" w:rsidRDefault="00387D69" w:rsidP="00CF5E08">
      <w:pPr>
        <w:spacing w:after="0" w:line="240" w:lineRule="auto"/>
        <w:rPr>
          <w:color w:val="auto"/>
        </w:rPr>
      </w:pPr>
      <w:r w:rsidRPr="00BE6013">
        <w:rPr>
          <w:color w:val="auto"/>
        </w:rPr>
        <w:t xml:space="preserve">With certain structural modification made to the model adopted by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the study formulated a functional model to help investigate the relationship between bank lending and economic growth in Nigeria. </w:t>
      </w:r>
    </w:p>
    <w:p w14:paraId="5FE5E001" w14:textId="77777777" w:rsidR="00387D69" w:rsidRPr="00BE6013" w:rsidRDefault="00387D69" w:rsidP="00CF5E08">
      <w:pPr>
        <w:spacing w:after="0" w:line="240" w:lineRule="auto"/>
        <w:rPr>
          <w:color w:val="auto"/>
        </w:rPr>
      </w:pPr>
      <w:bookmarkStart w:id="17" w:name="_Hlk200934149"/>
      <w:r w:rsidRPr="00BE6013">
        <w:rPr>
          <w:color w:val="auto"/>
        </w:rPr>
        <w:t>The model for this study is given as;</w:t>
      </w:r>
    </w:p>
    <w:p w14:paraId="10CF6321" w14:textId="77777777" w:rsidR="00387D69" w:rsidRPr="00BE6013" w:rsidRDefault="00387D69" w:rsidP="00CF5E08">
      <w:pPr>
        <w:spacing w:before="240" w:after="0" w:line="240" w:lineRule="auto"/>
        <w:ind w:left="360"/>
        <w:rPr>
          <w:color w:val="auto"/>
        </w:rPr>
      </w:pPr>
      <m:oMathPara>
        <m:oMath>
          <m:r>
            <w:rPr>
              <w:rFonts w:ascii="Cambria Math" w:hAnsi="Cambria Math"/>
              <w:color w:val="auto"/>
            </w:rPr>
            <m:t>RGDP=f</m:t>
          </m:r>
          <m:d>
            <m:dPr>
              <m:ctrlPr>
                <w:rPr>
                  <w:rFonts w:ascii="Cambria Math" w:hAnsi="Cambria Math"/>
                  <w:i/>
                  <w:color w:val="auto"/>
                </w:rPr>
              </m:ctrlPr>
            </m:dPr>
            <m:e>
              <m:r>
                <w:rPr>
                  <w:rFonts w:ascii="Cambria Math" w:hAnsi="Cambria Math"/>
                  <w:color w:val="auto"/>
                </w:rPr>
                <m:t>BL, BC, MS, IN</m:t>
              </m:r>
            </m:e>
          </m:d>
          <m:r>
            <w:rPr>
              <w:rFonts w:ascii="Cambria Math" w:hAnsi="Cambria Math"/>
              <w:color w:val="auto"/>
            </w:rPr>
            <m:t xml:space="preserve">                                                                                               (3.1)</m:t>
          </m:r>
        </m:oMath>
      </m:oMathPara>
    </w:p>
    <w:p w14:paraId="7F1A9784" w14:textId="77777777" w:rsidR="00387D69" w:rsidRPr="00BE6013" w:rsidRDefault="00387D69" w:rsidP="00CF5E08">
      <w:pPr>
        <w:spacing w:after="0" w:line="240" w:lineRule="auto"/>
        <w:rPr>
          <w:color w:val="auto"/>
        </w:rPr>
      </w:pPr>
      <w:r w:rsidRPr="00BE6013">
        <w:rPr>
          <w:color w:val="auto"/>
        </w:rPr>
        <w:t xml:space="preserve"> In econometric form, equation (1) is specified as:</w:t>
      </w:r>
    </w:p>
    <w:p w14:paraId="3A339B70" w14:textId="77777777" w:rsidR="00387D69" w:rsidRPr="00BE6013" w:rsidRDefault="009317F1" w:rsidP="00CF5E08">
      <w:pPr>
        <w:spacing w:after="0" w:line="240" w:lineRule="auto"/>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0</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r>
            <w:rPr>
              <w:rFonts w:ascii="Cambria Math" w:eastAsiaTheme="minorEastAsia" w:hAnsi="Cambria Math"/>
              <w:color w:val="auto"/>
            </w:rPr>
            <m:t>+</m:t>
          </m:r>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(3.2)</m:t>
          </m:r>
        </m:oMath>
      </m:oMathPara>
    </w:p>
    <w:p w14:paraId="68DEF486" w14:textId="77777777" w:rsidR="00387D69" w:rsidRPr="00BE6013" w:rsidRDefault="00387D69" w:rsidP="00CF5E08">
      <w:pPr>
        <w:spacing w:after="0" w:line="240" w:lineRule="auto"/>
        <w:rPr>
          <w:color w:val="auto"/>
        </w:rPr>
      </w:pPr>
      <w:r w:rsidRPr="00BE6013">
        <w:rPr>
          <w:color w:val="auto"/>
        </w:rPr>
        <w:t>Where;</w:t>
      </w:r>
    </w:p>
    <w:p w14:paraId="4C57948B"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RGDP</m:t>
        </m:r>
      </m:oMath>
      <w:r w:rsidRPr="00BE6013">
        <w:rPr>
          <w:rFonts w:eastAsiaTheme="minorEastAsia"/>
          <w:color w:val="auto"/>
        </w:rPr>
        <w:t xml:space="preserve"> = Real gross domestic product (a proxy for economic growth);</w:t>
      </w:r>
    </w:p>
    <w:p w14:paraId="56EA667F"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BL</m:t>
        </m:r>
      </m:oMath>
      <w:r w:rsidRPr="00BE6013">
        <w:rPr>
          <w:rFonts w:eastAsiaTheme="minorEastAsia"/>
          <w:color w:val="auto"/>
        </w:rPr>
        <w:t xml:space="preserve"> = Bank lending;</w:t>
      </w:r>
    </w:p>
    <w:p w14:paraId="796AF358"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BC</m:t>
        </m:r>
      </m:oMath>
      <w:r w:rsidRPr="00BE6013">
        <w:rPr>
          <w:rFonts w:eastAsiaTheme="minorEastAsia"/>
          <w:color w:val="auto"/>
        </w:rPr>
        <w:t xml:space="preserve"> = Bank credit rate;</w:t>
      </w:r>
    </w:p>
    <w:p w14:paraId="170675AD"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w:lastRenderedPageBreak/>
          <m:t>MS</m:t>
        </m:r>
      </m:oMath>
      <w:r w:rsidRPr="00BE6013">
        <w:rPr>
          <w:rFonts w:eastAsiaTheme="minorEastAsia"/>
          <w:color w:val="auto"/>
        </w:rPr>
        <w:t xml:space="preserve"> = Money supply; and</w:t>
      </w:r>
    </w:p>
    <w:p w14:paraId="6DDD2751"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IN</m:t>
        </m:r>
      </m:oMath>
      <w:r w:rsidRPr="00BE6013">
        <w:rPr>
          <w:rFonts w:eastAsiaTheme="minorEastAsia"/>
          <w:color w:val="auto"/>
        </w:rPr>
        <w:t xml:space="preserve"> = Inflation.</w:t>
      </w:r>
      <w:bookmarkEnd w:id="17"/>
    </w:p>
    <w:p w14:paraId="583A347A" w14:textId="77777777" w:rsidR="00387D69" w:rsidRPr="00BE6013" w:rsidRDefault="009317F1"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m:t>
        </m:r>
      </m:oMath>
      <w:r w:rsidR="00387D69" w:rsidRPr="00BE6013">
        <w:rPr>
          <w:rFonts w:eastAsiaTheme="minorEastAsia"/>
          <w:color w:val="auto"/>
        </w:rPr>
        <w:t xml:space="preserve"> Error term</w:t>
      </w:r>
    </w:p>
    <w:p w14:paraId="4BFC1572" w14:textId="040DE5BE"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8" w:name="_Toc204673503"/>
      <w:r w:rsidRPr="00BE6013">
        <w:rPr>
          <w:rFonts w:ascii="Times New Roman" w:hAnsi="Times New Roman" w:cs="Times New Roman"/>
          <w:b/>
          <w:bCs/>
          <w:color w:val="auto"/>
          <w:sz w:val="24"/>
          <w:szCs w:val="24"/>
        </w:rPr>
        <w:t>Method of Data Analysis</w:t>
      </w:r>
      <w:bookmarkEnd w:id="18"/>
    </w:p>
    <w:p w14:paraId="20CF8A30" w14:textId="5D2A7D2A" w:rsidR="00387D69" w:rsidRPr="00BE6013" w:rsidRDefault="00387D69" w:rsidP="00CF5E08">
      <w:pPr>
        <w:spacing w:after="0" w:line="240" w:lineRule="auto"/>
        <w:rPr>
          <w:color w:val="auto"/>
        </w:rPr>
      </w:pPr>
      <w:r w:rsidRPr="00BE6013">
        <w:rPr>
          <w:color w:val="auto"/>
        </w:rPr>
        <w:t xml:space="preserve">The procedure for data analysis for this study were in three-fold. First, the study began with the pre-estimation phase which involves summary statistics for the employed variables. The summary statistics covered areas such as mean, range, standard deviation, skewness, kurtosis and normality of the data employed. Following this was the estimation stage. The method that the study employed in estimating the baseline model was dependent on the test of stationary of the series. If the outcome of the unit root test suggest that, the employed variables are integrated of mixed orders of </w:t>
      </w:r>
      <w:proofErr w:type="gramStart"/>
      <w:r w:rsidRPr="00BE6013">
        <w:rPr>
          <w:color w:val="auto"/>
        </w:rPr>
        <w:t>I(</w:t>
      </w:r>
      <w:proofErr w:type="gramEnd"/>
      <w:r w:rsidRPr="00BE6013">
        <w:rPr>
          <w:color w:val="auto"/>
        </w:rPr>
        <w:t xml:space="preserve">0) and I(1), then the estimation method that employed will be the autoregressive distributed lag (ARDL) method proposed by </w:t>
      </w:r>
      <w:proofErr w:type="spellStart"/>
      <w:r w:rsidRPr="00BE6013">
        <w:rPr>
          <w:color w:val="auto"/>
        </w:rPr>
        <w:t>Pesaran</w:t>
      </w:r>
      <w:proofErr w:type="spellEnd"/>
      <w:r w:rsidRPr="00BE6013">
        <w:rPr>
          <w:color w:val="auto"/>
        </w:rPr>
        <w:t xml:space="preserve">, Shin and Smith (2001). The autoregressive distributed lag (ARDL) method has the advantage of simultaneously estimating both the long and short run relationship between the employed variables and it is appropriate for small sample. In the scenario where all the series are non-stationary, but stationary after first difference and cointegrated, the study will resort to using the single equation estimation technique of fully modified ordinary least squares (FMOLS) proposed by Phillips and Hansen (1990).  The fully modified ordinary least squares (OLS) method modifies the classical ordinary least square (OLS) method as it addresses the autocorrelation and endogeneity problem that might exist in the specified regression model. Furthermore, the FMOLS method provides efficient and consistent estimates even when the samples are large. From the outcome of the unit root test as given in Table 2 and Table 3, the employed series were either </w:t>
      </w:r>
      <w:proofErr w:type="gramStart"/>
      <w:r w:rsidRPr="00BE6013">
        <w:rPr>
          <w:color w:val="auto"/>
        </w:rPr>
        <w:t>I(</w:t>
      </w:r>
      <w:proofErr w:type="gramEnd"/>
      <w:r w:rsidRPr="00BE6013">
        <w:rPr>
          <w:color w:val="auto"/>
        </w:rPr>
        <w:t xml:space="preserve">0) or I(1), as none of the focus variables were stationary after second difference. In view of this, the ARDL framework of </w:t>
      </w:r>
      <w:proofErr w:type="spellStart"/>
      <w:r w:rsidRPr="00BE6013">
        <w:rPr>
          <w:color w:val="auto"/>
        </w:rPr>
        <w:t>Pesaran</w:t>
      </w:r>
      <w:proofErr w:type="spellEnd"/>
      <w:r w:rsidRPr="00BE6013">
        <w:rPr>
          <w:color w:val="auto"/>
        </w:rPr>
        <w:t xml:space="preserve">, et al (2001) was employed in estimating the model for this study. </w:t>
      </w:r>
    </w:p>
    <w:p w14:paraId="54F509C2" w14:textId="77777777" w:rsidR="00387D69" w:rsidRPr="00BE6013" w:rsidRDefault="00387D69" w:rsidP="00CF5E08">
      <w:pPr>
        <w:spacing w:after="0" w:line="240" w:lineRule="auto"/>
        <w:rPr>
          <w:color w:val="auto"/>
        </w:rPr>
      </w:pPr>
      <w:r w:rsidRPr="00BE6013">
        <w:rPr>
          <w:color w:val="auto"/>
        </w:rPr>
        <w:t>Specifying equation 3.2 in the autoregressive distributed lag (ARDL) framework gives the model below:</w:t>
      </w:r>
    </w:p>
    <w:p w14:paraId="57844BC4" w14:textId="77777777" w:rsidR="00387D69" w:rsidRPr="00BE6013" w:rsidRDefault="00387D69" w:rsidP="00CF5E08">
      <w:pPr>
        <w:spacing w:after="0" w:line="240" w:lineRule="auto"/>
        <w:rPr>
          <w:b/>
          <w:color w:val="auto"/>
        </w:rPr>
      </w:pPr>
      <m:oMathPara>
        <m:oMath>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0</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i=1</m:t>
              </m:r>
            </m:sub>
            <m:sup>
              <m:r>
                <w:rPr>
                  <w:rFonts w:ascii="Cambria Math" w:eastAsiaTheme="minorEastAsia" w:hAnsi="Cambria Math"/>
                  <w:color w:val="auto"/>
                </w:rPr>
                <m:t>m</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q</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2</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r</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3</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s</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4</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t</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t-i</m:t>
              </m:r>
            </m:sub>
          </m:sSub>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1</m:t>
              </m:r>
            </m:sub>
          </m:sSub>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2</m:t>
              </m:r>
            </m:sub>
          </m:sSub>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3</m:t>
              </m:r>
            </m:sub>
          </m:sSub>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t-1</m:t>
              </m:r>
            </m:sub>
          </m:sSub>
          <m:r>
            <w:rPr>
              <w:rFonts w:ascii="Cambria Math" w:eastAsiaTheme="minorEastAsia" w:hAnsi="Cambria Math"/>
              <w:color w:val="auto"/>
            </w:rPr>
            <m:t>+</m:t>
          </m:r>
          <m:sSub>
            <m:sSubPr>
              <m:ctrlPr>
                <w:rPr>
                  <w:rFonts w:ascii="Cambria Math" w:eastAsiaTheme="minorEastAsia" w:hAnsi="Cambria Math"/>
                  <w:i/>
                  <w:color w:val="auto"/>
                </w:rPr>
              </m:ctrlPr>
            </m:sSubPr>
            <m:e>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4</m:t>
                  </m:r>
                </m:sub>
              </m:sSub>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t-1</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5</m:t>
                  </m:r>
                </m:sub>
              </m:sSub>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t-1</m:t>
                  </m:r>
                </m:sub>
              </m:sSub>
              <m:r>
                <w:rPr>
                  <w:rFonts w:ascii="Cambria Math" w:eastAsiaTheme="minorEastAsia" w:hAnsi="Cambria Math"/>
                  <w:color w:val="auto"/>
                </w:rPr>
                <m:t>+μ</m:t>
              </m:r>
            </m:e>
            <m:sub>
              <m:r>
                <w:rPr>
                  <w:rFonts w:ascii="Cambria Math" w:eastAsiaTheme="minorEastAsia" w:hAnsi="Cambria Math"/>
                  <w:color w:val="auto"/>
                </w:rPr>
                <m:t>t</m:t>
              </m:r>
            </m:sub>
          </m:sSub>
          <m:r>
            <w:rPr>
              <w:rFonts w:ascii="Cambria Math" w:eastAsiaTheme="minorEastAsia" w:hAnsi="Cambria Math"/>
              <w:color w:val="auto"/>
            </w:rPr>
            <m:t xml:space="preserve">                                                                                  (3.3)</m:t>
          </m:r>
        </m:oMath>
      </m:oMathPara>
    </w:p>
    <w:p w14:paraId="095B7473" w14:textId="77777777" w:rsidR="00387D69" w:rsidRPr="00BE6013" w:rsidRDefault="00387D69" w:rsidP="00CF5E08">
      <w:pPr>
        <w:spacing w:after="0" w:line="240" w:lineRule="auto"/>
        <w:rPr>
          <w:color w:val="auto"/>
        </w:rPr>
      </w:pPr>
    </w:p>
    <w:p w14:paraId="148F15E1" w14:textId="77777777" w:rsidR="00387D69" w:rsidRPr="00BE6013" w:rsidRDefault="00387D69" w:rsidP="00CF5E08">
      <w:pPr>
        <w:spacing w:after="0" w:line="240" w:lineRule="auto"/>
        <w:rPr>
          <w:color w:val="auto"/>
        </w:rPr>
      </w:pPr>
      <w:r w:rsidRPr="00BE6013">
        <w:rPr>
          <w:color w:val="auto"/>
        </w:rPr>
        <w:t>The error correction specification for the ARDL model is expressed as;</w:t>
      </w:r>
    </w:p>
    <w:p w14:paraId="504711C2" w14:textId="77777777" w:rsidR="00387D69" w:rsidRPr="00BE6013" w:rsidRDefault="00387D69" w:rsidP="00CF5E08">
      <w:pPr>
        <w:spacing w:after="0" w:line="240" w:lineRule="auto"/>
        <w:rPr>
          <w:b/>
          <w:color w:val="auto"/>
        </w:rPr>
      </w:pPr>
      <m:oMathPara>
        <m:oMath>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m:t>
              </m:r>
            </m:sub>
          </m:sSub>
          <m:r>
            <w:rPr>
              <w:rFonts w:ascii="Cambria Math" w:eastAsiaTheme="minorEastAsia" w:hAnsi="Cambria Math"/>
              <w:color w:val="auto"/>
            </w:rPr>
            <m:t xml:space="preserve">= </m:t>
          </m:r>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0</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i=1</m:t>
              </m:r>
            </m:sub>
            <m:sup>
              <m:r>
                <w:rPr>
                  <w:rFonts w:ascii="Cambria Math" w:eastAsiaTheme="minorEastAsia" w:hAnsi="Cambria Math"/>
                  <w:color w:val="auto"/>
                </w:rPr>
                <m:t>m</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lnRGDP</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q</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2</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lnBL</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r</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3</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BC</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s</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4</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lnMS</m:t>
              </m:r>
            </m:e>
            <m:sub>
              <m:r>
                <w:rPr>
                  <w:rFonts w:ascii="Cambria Math" w:eastAsiaTheme="minorEastAsia" w:hAnsi="Cambria Math"/>
                  <w:color w:val="auto"/>
                </w:rPr>
                <m:t>t-i</m:t>
              </m:r>
            </m:sub>
          </m:sSub>
          <m:r>
            <w:rPr>
              <w:rFonts w:ascii="Cambria Math" w:eastAsiaTheme="minorEastAsia" w:hAnsi="Cambria Math"/>
              <w:color w:val="auto"/>
            </w:rPr>
            <m:t xml:space="preserve">+  </m:t>
          </m:r>
          <m:nary>
            <m:naryPr>
              <m:chr m:val="∑"/>
              <m:limLoc m:val="undOvr"/>
              <m:ctrlPr>
                <w:rPr>
                  <w:rFonts w:ascii="Cambria Math" w:eastAsiaTheme="minorEastAsia" w:hAnsi="Cambria Math"/>
                  <w:i/>
                  <w:color w:val="auto"/>
                </w:rPr>
              </m:ctrlPr>
            </m:naryPr>
            <m:sub>
              <m:r>
                <w:rPr>
                  <w:rFonts w:ascii="Cambria Math" w:eastAsiaTheme="minorEastAsia" w:hAnsi="Cambria Math"/>
                  <w:color w:val="auto"/>
                </w:rPr>
                <m:t>i=0</m:t>
              </m:r>
            </m:sub>
            <m:sup>
              <m:r>
                <w:rPr>
                  <w:rFonts w:ascii="Cambria Math" w:eastAsiaTheme="minorEastAsia" w:hAnsi="Cambria Math"/>
                  <w:color w:val="auto"/>
                </w:rPr>
                <m:t>t</m:t>
              </m:r>
            </m:sup>
            <m:e>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e>
          </m:nary>
          <m:r>
            <w:rPr>
              <w:rFonts w:ascii="Cambria Math" w:eastAsiaTheme="minorEastAsia" w:hAnsi="Cambria Math"/>
              <w:color w:val="auto"/>
            </w:rPr>
            <m:t>∆</m:t>
          </m:r>
          <m:sSub>
            <m:sSubPr>
              <m:ctrlPr>
                <w:rPr>
                  <w:rFonts w:ascii="Cambria Math" w:eastAsiaTheme="minorEastAsia" w:hAnsi="Cambria Math"/>
                  <w:i/>
                  <w:color w:val="auto"/>
                </w:rPr>
              </m:ctrlPr>
            </m:sSubPr>
            <m:e>
              <m:r>
                <w:rPr>
                  <w:rFonts w:ascii="Cambria Math" w:eastAsiaTheme="minorEastAsia" w:hAnsi="Cambria Math"/>
                  <w:color w:val="auto"/>
                </w:rPr>
                <m:t>IN</m:t>
              </m:r>
            </m:e>
            <m:sub>
              <m:r>
                <w:rPr>
                  <w:rFonts w:ascii="Cambria Math" w:eastAsiaTheme="minorEastAsia" w:hAnsi="Cambria Math"/>
                  <w:color w:val="auto"/>
                </w:rPr>
                <m:t>t-i</m:t>
              </m:r>
            </m:sub>
          </m:sSub>
          <m:r>
            <w:rPr>
              <w:rFonts w:ascii="Cambria Math" w:eastAsiaTheme="minorEastAsia" w:hAnsi="Cambria Math"/>
              <w:color w:val="auto"/>
            </w:rPr>
            <m:t>+φ</m:t>
          </m:r>
          <m:sSub>
            <m:sSubPr>
              <m:ctrlPr>
                <w:rPr>
                  <w:rFonts w:ascii="Cambria Math" w:eastAsiaTheme="minorEastAsia" w:hAnsi="Cambria Math"/>
                  <w:i/>
                  <w:color w:val="auto"/>
                </w:rPr>
              </m:ctrlPr>
            </m:sSubPr>
            <m:e>
              <m:r>
                <w:rPr>
                  <w:rFonts w:ascii="Cambria Math" w:eastAsiaTheme="minorEastAsia" w:hAnsi="Cambria Math"/>
                  <w:color w:val="auto"/>
                </w:rPr>
                <m:t>ECT</m:t>
              </m:r>
            </m:e>
            <m:sub>
              <m:r>
                <w:rPr>
                  <w:rFonts w:ascii="Cambria Math" w:eastAsiaTheme="minorEastAsia" w:hAnsi="Cambria Math"/>
                  <w:color w:val="auto"/>
                </w:rPr>
                <m:t>t-1</m:t>
              </m:r>
            </m:sub>
          </m:sSub>
          <m:r>
            <w:rPr>
              <w:rFonts w:ascii="Cambria Math" w:eastAsiaTheme="minorEastAsia" w:hAnsi="Cambria Math"/>
              <w:color w:val="auto"/>
            </w:rPr>
            <m:t xml:space="preserve">                                              (3.4)</m:t>
          </m:r>
        </m:oMath>
      </m:oMathPara>
    </w:p>
    <w:p w14:paraId="51812215" w14:textId="77777777" w:rsidR="00387D69" w:rsidRPr="00BE6013" w:rsidRDefault="00387D69" w:rsidP="00CF5E08">
      <w:pPr>
        <w:spacing w:after="0" w:line="240" w:lineRule="auto"/>
        <w:rPr>
          <w:color w:val="auto"/>
        </w:rPr>
      </w:pPr>
    </w:p>
    <w:p w14:paraId="62055AF7" w14:textId="77777777" w:rsidR="00387D69" w:rsidRPr="00BE6013" w:rsidRDefault="00387D69" w:rsidP="00CF5E08">
      <w:pPr>
        <w:spacing w:after="0" w:line="240" w:lineRule="auto"/>
        <w:rPr>
          <w:color w:val="auto"/>
        </w:rPr>
      </w:pPr>
      <w:r w:rsidRPr="00BE6013">
        <w:rPr>
          <w:color w:val="auto"/>
        </w:rPr>
        <w:t>Where;</w:t>
      </w:r>
    </w:p>
    <w:p w14:paraId="027F9FAF" w14:textId="77777777" w:rsidR="00387D69" w:rsidRPr="00BE6013" w:rsidRDefault="009317F1"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1</m:t>
            </m:r>
          </m:sub>
        </m:sSub>
      </m:oMath>
      <w:r w:rsidR="00387D69" w:rsidRPr="00BE6013">
        <w:rPr>
          <w:rFonts w:eastAsiaTheme="minorEastAsia"/>
          <w:color w:val="auto"/>
        </w:rPr>
        <w:t xml:space="preserve"> - </w:t>
      </w:r>
      <m:oMath>
        <m:sSub>
          <m:sSubPr>
            <m:ctrlPr>
              <w:rPr>
                <w:rFonts w:ascii="Cambria Math" w:eastAsiaTheme="minorEastAsia" w:hAnsi="Cambria Math"/>
                <w:i/>
                <w:color w:val="auto"/>
              </w:rPr>
            </m:ctrlPr>
          </m:sSubPr>
          <m:e>
            <m:r>
              <w:rPr>
                <w:rFonts w:ascii="Cambria Math" w:eastAsiaTheme="minorEastAsia" w:hAnsi="Cambria Math"/>
                <w:color w:val="auto"/>
              </w:rPr>
              <m:t>α</m:t>
            </m:r>
          </m:e>
          <m:sub>
            <m:r>
              <w:rPr>
                <w:rFonts w:ascii="Cambria Math" w:eastAsiaTheme="minorEastAsia" w:hAnsi="Cambria Math"/>
                <w:color w:val="auto"/>
              </w:rPr>
              <m:t>5</m:t>
            </m:r>
          </m:sub>
        </m:sSub>
      </m:oMath>
      <w:r w:rsidR="00387D69" w:rsidRPr="00BE6013">
        <w:rPr>
          <w:rFonts w:eastAsiaTheme="minorEastAsia"/>
          <w:color w:val="auto"/>
        </w:rPr>
        <w:t xml:space="preserve"> = short run coefficients</w:t>
      </w:r>
    </w:p>
    <w:p w14:paraId="751DA9E7" w14:textId="77777777" w:rsidR="00387D69" w:rsidRPr="00BE6013" w:rsidRDefault="009317F1" w:rsidP="00CF5E08">
      <w:pPr>
        <w:spacing w:after="0" w:line="240" w:lineRule="auto"/>
        <w:rPr>
          <w:rFonts w:eastAsiaTheme="minorEastAsia"/>
          <w:color w:val="auto"/>
        </w:rPr>
      </w:pPr>
      <m:oMath>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1</m:t>
            </m:r>
          </m:sub>
        </m:sSub>
      </m:oMath>
      <w:r w:rsidR="00387D69" w:rsidRPr="00BE6013">
        <w:rPr>
          <w:rFonts w:eastAsiaTheme="minorEastAsia"/>
          <w:color w:val="auto"/>
        </w:rPr>
        <w:t xml:space="preserve"> - </w:t>
      </w:r>
      <m:oMath>
        <m:sSub>
          <m:sSubPr>
            <m:ctrlPr>
              <w:rPr>
                <w:rFonts w:ascii="Cambria Math" w:eastAsiaTheme="minorEastAsia" w:hAnsi="Cambria Math"/>
                <w:i/>
                <w:color w:val="auto"/>
              </w:rPr>
            </m:ctrlPr>
          </m:sSubPr>
          <m:e>
            <m:r>
              <w:rPr>
                <w:rFonts w:ascii="Cambria Math" w:eastAsiaTheme="minorEastAsia" w:hAnsi="Cambria Math"/>
                <w:color w:val="auto"/>
              </w:rPr>
              <m:t>δ</m:t>
            </m:r>
          </m:e>
          <m:sub>
            <m:r>
              <w:rPr>
                <w:rFonts w:ascii="Cambria Math" w:eastAsiaTheme="minorEastAsia" w:hAnsi="Cambria Math"/>
                <w:color w:val="auto"/>
              </w:rPr>
              <m:t>5</m:t>
            </m:r>
          </m:sub>
        </m:sSub>
      </m:oMath>
      <w:r w:rsidR="00387D69" w:rsidRPr="00BE6013">
        <w:rPr>
          <w:rFonts w:eastAsiaTheme="minorEastAsia"/>
          <w:color w:val="auto"/>
        </w:rPr>
        <w:t xml:space="preserve"> = long run coefficients</w:t>
      </w:r>
    </w:p>
    <w:p w14:paraId="0E0BFF01" w14:textId="77777777" w:rsidR="00387D69" w:rsidRPr="00BE6013" w:rsidRDefault="00387D69" w:rsidP="00CF5E08">
      <w:pPr>
        <w:spacing w:after="0" w:line="240" w:lineRule="auto"/>
        <w:rPr>
          <w:rFonts w:eastAsiaTheme="minorEastAsia"/>
          <w:color w:val="auto"/>
        </w:rPr>
      </w:pPr>
      <m:oMath>
        <m:r>
          <w:rPr>
            <w:rFonts w:ascii="Cambria Math" w:eastAsiaTheme="minorEastAsia" w:hAnsi="Cambria Math"/>
            <w:color w:val="auto"/>
          </w:rPr>
          <m:t>φ</m:t>
        </m:r>
      </m:oMath>
      <w:r w:rsidRPr="00BE6013">
        <w:rPr>
          <w:rFonts w:eastAsiaTheme="minorEastAsia"/>
          <w:color w:val="auto"/>
        </w:rPr>
        <w:t xml:space="preserve"> = speed of adjustment</w:t>
      </w:r>
    </w:p>
    <w:p w14:paraId="7D428C1F" w14:textId="77777777" w:rsidR="00387D69" w:rsidRPr="00BE6013" w:rsidRDefault="00387D69" w:rsidP="00CF5E08">
      <w:pPr>
        <w:spacing w:after="0" w:line="240" w:lineRule="auto"/>
        <w:rPr>
          <w:rFonts w:eastAsiaTheme="minorEastAsia"/>
          <w:color w:val="auto"/>
        </w:rPr>
      </w:pPr>
      <m:oMath>
        <m:r>
          <w:rPr>
            <w:rFonts w:ascii="Cambria Math" w:hAnsi="Cambria Math"/>
            <w:color w:val="auto"/>
          </w:rPr>
          <m:t>m, q, r, s,and t</m:t>
        </m:r>
      </m:oMath>
      <w:r w:rsidRPr="00BE6013">
        <w:rPr>
          <w:rFonts w:eastAsiaTheme="minorEastAsia"/>
          <w:color w:val="auto"/>
        </w:rPr>
        <w:t xml:space="preserve"> = lag length for series of interest.</w:t>
      </w:r>
    </w:p>
    <w:p w14:paraId="7D067B64" w14:textId="77777777" w:rsidR="00387D69" w:rsidRPr="00BE6013" w:rsidRDefault="00387D69" w:rsidP="00CF5E08">
      <w:pPr>
        <w:spacing w:after="0" w:line="240" w:lineRule="auto"/>
        <w:rPr>
          <w:color w:val="auto"/>
        </w:rPr>
      </w:pPr>
    </w:p>
    <w:p w14:paraId="7CB8AE86" w14:textId="77777777" w:rsidR="00387D69" w:rsidRPr="00BE6013" w:rsidRDefault="00387D69" w:rsidP="00CF5E08">
      <w:pPr>
        <w:spacing w:after="0" w:line="240" w:lineRule="auto"/>
        <w:rPr>
          <w:color w:val="auto"/>
        </w:rPr>
      </w:pPr>
      <w:r w:rsidRPr="00BE6013">
        <w:rPr>
          <w:color w:val="auto"/>
        </w:rPr>
        <w:t>According to Odhiambo (2010) and Al-</w:t>
      </w:r>
      <w:proofErr w:type="spellStart"/>
      <w:r w:rsidRPr="00BE6013">
        <w:rPr>
          <w:color w:val="auto"/>
        </w:rPr>
        <w:t>Malkawiet</w:t>
      </w:r>
      <w:proofErr w:type="spellEnd"/>
      <w:r w:rsidRPr="00BE6013">
        <w:rPr>
          <w:color w:val="auto"/>
        </w:rPr>
        <w:t xml:space="preserve"> et al (2012), ARDL approach is more reliable and preferable in estimating the co-integration relationship to other methods like Engle and Granger </w:t>
      </w:r>
      <w:r w:rsidRPr="00BE6013">
        <w:rPr>
          <w:color w:val="auto"/>
        </w:rPr>
        <w:lastRenderedPageBreak/>
        <w:t xml:space="preserve">(1987), Johansen (1988) and Gregory Hansen (1996). The model yields consistent estimates of the long-run coefficients that are asymptotically normal, irrespective of whether the underlying regressors are </w:t>
      </w:r>
      <w:proofErr w:type="gramStart"/>
      <w:r w:rsidRPr="00BE6013">
        <w:rPr>
          <w:color w:val="auto"/>
        </w:rPr>
        <w:t>I(</w:t>
      </w:r>
      <w:proofErr w:type="gramEnd"/>
      <w:r w:rsidRPr="00BE6013">
        <w:rPr>
          <w:color w:val="auto"/>
        </w:rPr>
        <w:t>0) or I(1). More so, it gives the opportunity to explore correct dynamic structure. Finally, it allows for the inferences on impact estimates.</w:t>
      </w:r>
    </w:p>
    <w:p w14:paraId="228BDFF4" w14:textId="1DBAB463"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19" w:name="_Toc204673504"/>
      <w:r w:rsidRPr="00BE6013">
        <w:rPr>
          <w:rFonts w:ascii="Times New Roman" w:hAnsi="Times New Roman" w:cs="Times New Roman"/>
          <w:b/>
          <w:bCs/>
          <w:color w:val="auto"/>
          <w:sz w:val="24"/>
          <w:szCs w:val="24"/>
        </w:rPr>
        <w:t>Pre-Estimation Test</w:t>
      </w:r>
      <w:bookmarkEnd w:id="19"/>
    </w:p>
    <w:p w14:paraId="6B1B68AF" w14:textId="77777777" w:rsidR="00387D69" w:rsidRPr="00BE6013" w:rsidRDefault="00387D69" w:rsidP="00CF5E08">
      <w:pPr>
        <w:spacing w:after="0" w:line="240" w:lineRule="auto"/>
        <w:rPr>
          <w:color w:val="auto"/>
        </w:rPr>
      </w:pPr>
      <w:r w:rsidRPr="00BE6013">
        <w:rPr>
          <w:color w:val="auto"/>
        </w:rPr>
        <w:t>The pre-estimation tests that conducted before estimation of the regression models are as follows:</w:t>
      </w:r>
    </w:p>
    <w:p w14:paraId="158BE1A3"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Unit Root Test</w:t>
      </w:r>
    </w:p>
    <w:p w14:paraId="089129C5" w14:textId="3A51B085" w:rsidR="00387D69" w:rsidRPr="00BE6013" w:rsidRDefault="00387D69" w:rsidP="0003093B">
      <w:pPr>
        <w:spacing w:after="0" w:line="240" w:lineRule="auto"/>
        <w:rPr>
          <w:color w:val="auto"/>
        </w:rPr>
      </w:pPr>
      <w:bookmarkStart w:id="20" w:name="_Hlk200935351"/>
      <w:r w:rsidRPr="00BE6013">
        <w:rPr>
          <w:color w:val="auto"/>
        </w:rPr>
        <w:t xml:space="preserve">The economic relationship established between two variables of interest is usually based on the assumption of stationarity. The use of time series and movement in macroeconomic and financial variables has shown that, the assumption of stationarity is not always upheld, as the data usually fail to revert to the expected mean value of zero. Where this is the case, an estimation of economic relationship will result in a spurious relationship when the variables used are non-stationary, as the parameters estimated will be misleading and prediction made will be at best faulty (Gujarati, 2009). </w:t>
      </w:r>
    </w:p>
    <w:p w14:paraId="6F26C95C" w14:textId="77777777" w:rsidR="0003093B" w:rsidRPr="00BE6013" w:rsidRDefault="0003093B" w:rsidP="0003093B">
      <w:pPr>
        <w:spacing w:after="0" w:line="240" w:lineRule="auto"/>
        <w:rPr>
          <w:color w:val="auto"/>
        </w:rPr>
      </w:pPr>
    </w:p>
    <w:p w14:paraId="43FC2948" w14:textId="77777777" w:rsidR="00387D69" w:rsidRPr="00BE6013" w:rsidRDefault="009317F1" w:rsidP="00CF5E08">
      <w:pPr>
        <w:spacing w:after="0" w:line="240" w:lineRule="auto"/>
        <w:rPr>
          <w:rFonts w:eastAsiaTheme="minorEastAsia"/>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m:t>
              </m:r>
              <m:r>
                <w:rPr>
                  <w:rFonts w:ascii="Cambria Math" w:hAnsi="Cambria Math"/>
                  <w:color w:val="auto"/>
                  <w:sz w:val="28"/>
                  <w:szCs w:val="28"/>
                </w:rPr>
                <m:t>X</m:t>
              </m:r>
            </m:e>
            <m:sub>
              <m:r>
                <w:rPr>
                  <w:rFonts w:ascii="Cambria Math" w:hAnsi="Cambria Math"/>
                  <w:color w:val="auto"/>
                  <w:sz w:val="28"/>
                  <w:szCs w:val="28"/>
                </w:rPr>
                <m:t>t</m:t>
              </m:r>
            </m:sub>
          </m:sSub>
          <m:r>
            <w:rPr>
              <w:rFonts w:ascii="Cambria Math" w:hAnsi="Cambria Math"/>
              <w:color w:val="auto"/>
              <w:sz w:val="28"/>
              <w:szCs w:val="28"/>
            </w:rPr>
            <m:t>=</m:t>
          </m:r>
          <m:r>
            <w:rPr>
              <w:rFonts w:ascii="Cambria Math" w:hAnsi="Cambria Math"/>
              <w:color w:val="auto"/>
              <w:sz w:val="28"/>
              <w:szCs w:val="28"/>
            </w:rPr>
            <m:t>c</m:t>
          </m:r>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δ</m:t>
              </m:r>
              <m:r>
                <w:rPr>
                  <w:rFonts w:ascii="Cambria Math" w:hAnsi="Cambria Math"/>
                  <w:color w:val="auto"/>
                  <w:sz w:val="28"/>
                  <w:szCs w:val="28"/>
                </w:rPr>
                <m:t>-1</m:t>
              </m:r>
            </m:e>
          </m:d>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m:t>
              </m:r>
              <m:r>
                <w:rPr>
                  <w:rFonts w:ascii="Cambria Math" w:hAnsi="Cambria Math"/>
                  <w:color w:val="auto"/>
                  <w:sz w:val="28"/>
                  <w:szCs w:val="28"/>
                </w:rPr>
                <m:t>-1</m:t>
              </m:r>
            </m:sub>
          </m:sSub>
          <m:r>
            <w:rPr>
              <w:rFonts w:ascii="Cambria Math" w:hAnsi="Cambria Math"/>
              <w:color w:val="auto"/>
              <w:sz w:val="28"/>
              <w:szCs w:val="28"/>
            </w:rPr>
            <m:t xml:space="preserve">+ </m:t>
          </m:r>
          <m:nary>
            <m:naryPr>
              <m:chr m:val="∑"/>
              <m:limLoc m:val="undOvr"/>
              <m:ctrlPr>
                <w:rPr>
                  <w:rFonts w:ascii="Cambria Math" w:hAnsi="Cambria Math"/>
                  <w:i/>
                  <w:color w:val="auto"/>
                  <w:sz w:val="28"/>
                  <w:szCs w:val="28"/>
                </w:rPr>
              </m:ctrlPr>
            </m:naryPr>
            <m:sub>
              <m:r>
                <w:rPr>
                  <w:rFonts w:ascii="Cambria Math" w:hAnsi="Cambria Math"/>
                  <w:color w:val="auto"/>
                  <w:sz w:val="28"/>
                  <w:szCs w:val="28"/>
                </w:rPr>
                <m:t>i</m:t>
              </m:r>
              <m:r>
                <w:rPr>
                  <w:rFonts w:ascii="Cambria Math" w:hAnsi="Cambria Math"/>
                  <w:color w:val="auto"/>
                  <w:sz w:val="28"/>
                  <w:szCs w:val="28"/>
                </w:rPr>
                <m:t>=1</m:t>
              </m:r>
            </m:sub>
            <m:sup>
              <m:r>
                <w:rPr>
                  <w:rFonts w:ascii="Cambria Math" w:hAnsi="Cambria Math"/>
                  <w:color w:val="auto"/>
                  <w:sz w:val="28"/>
                  <w:szCs w:val="28"/>
                </w:rPr>
                <m:t>P</m:t>
              </m:r>
            </m:sup>
            <m:e>
              <m:sSub>
                <m:sSubPr>
                  <m:ctrlPr>
                    <w:rPr>
                      <w:rFonts w:ascii="Cambria Math" w:hAnsi="Cambria Math"/>
                      <w:i/>
                      <w:color w:val="auto"/>
                      <w:sz w:val="28"/>
                      <w:szCs w:val="28"/>
                    </w:rPr>
                  </m:ctrlPr>
                </m:sSubPr>
                <m:e>
                  <m:r>
                    <w:rPr>
                      <w:rFonts w:ascii="Cambria Math" w:hAnsi="Cambria Math"/>
                      <w:color w:val="auto"/>
                      <w:sz w:val="28"/>
                      <w:szCs w:val="28"/>
                    </w:rPr>
                    <m:t>δ</m:t>
                  </m:r>
                </m:e>
                <m:sub>
                  <m:r>
                    <w:rPr>
                      <w:rFonts w:ascii="Cambria Math" w:hAnsi="Cambria Math"/>
                      <w:color w:val="auto"/>
                      <w:sz w:val="28"/>
                      <w:szCs w:val="28"/>
                    </w:rPr>
                    <m:t>i</m:t>
                  </m:r>
                </m:sub>
              </m:sSub>
            </m:e>
          </m:nary>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X</m:t>
              </m:r>
            </m:e>
            <m:sub>
              <m:r>
                <w:rPr>
                  <w:rFonts w:ascii="Cambria Math" w:hAnsi="Cambria Math"/>
                  <w:color w:val="auto"/>
                  <w:sz w:val="28"/>
                  <w:szCs w:val="28"/>
                </w:rPr>
                <m:t>t</m:t>
              </m:r>
              <m:r>
                <w:rPr>
                  <w:rFonts w:ascii="Cambria Math" w:hAnsi="Cambria Math"/>
                  <w:color w:val="auto"/>
                  <w:sz w:val="28"/>
                  <w:szCs w:val="28"/>
                </w:rPr>
                <m:t>-</m:t>
              </m:r>
              <m:r>
                <w:rPr>
                  <w:rFonts w:ascii="Cambria Math" w:hAnsi="Cambria Math"/>
                  <w:color w:val="auto"/>
                  <w:sz w:val="28"/>
                  <w:szCs w:val="28"/>
                </w:rPr>
                <m:t>i</m:t>
              </m:r>
            </m:sub>
          </m:sSub>
          <m:r>
            <w:rPr>
              <w:rFonts w:ascii="Cambria Math" w:hAnsi="Cambria Math"/>
              <w:color w:val="auto"/>
              <w:sz w:val="28"/>
              <w:szCs w:val="28"/>
            </w:rPr>
            <m:t xml:space="preserve">+ </m:t>
          </m:r>
          <m:sSub>
            <m:sSubPr>
              <m:ctrlPr>
                <w:rPr>
                  <w:rFonts w:ascii="Cambria Math" w:hAnsi="Cambria Math"/>
                  <w:i/>
                  <w:color w:val="auto"/>
                  <w:sz w:val="28"/>
                  <w:szCs w:val="28"/>
                </w:rPr>
              </m:ctrlPr>
            </m:sSubPr>
            <m:e>
              <m:r>
                <w:rPr>
                  <w:rFonts w:ascii="Cambria Math" w:hAnsi="Cambria Math"/>
                  <w:color w:val="auto"/>
                  <w:sz w:val="28"/>
                  <w:szCs w:val="28"/>
                </w:rPr>
                <m:t>ϵ</m:t>
              </m:r>
            </m:e>
            <m:sub>
              <m:r>
                <w:rPr>
                  <w:rFonts w:ascii="Cambria Math" w:hAnsi="Cambria Math"/>
                  <w:color w:val="auto"/>
                  <w:sz w:val="28"/>
                  <w:szCs w:val="28"/>
                </w:rPr>
                <m:t>t</m:t>
              </m:r>
            </m:sub>
          </m:sSub>
          <m:r>
            <w:rPr>
              <w:rFonts w:ascii="Cambria Math" w:hAnsi="Cambria Math"/>
              <w:color w:val="auto"/>
              <w:sz w:val="28"/>
              <w:szCs w:val="28"/>
            </w:rPr>
            <m:t xml:space="preserve">            (3.5)</m:t>
          </m:r>
        </m:oMath>
      </m:oMathPara>
    </w:p>
    <w:p w14:paraId="3BC88A45" w14:textId="77777777" w:rsidR="00387D69" w:rsidRPr="00BE6013" w:rsidRDefault="00387D69" w:rsidP="00CF5E08">
      <w:pPr>
        <w:spacing w:after="0" w:line="240" w:lineRule="auto"/>
        <w:rPr>
          <w:rFonts w:eastAsia="Calibri"/>
          <w:color w:val="auto"/>
        </w:rPr>
      </w:pPr>
      <w:r w:rsidRPr="00BE6013">
        <w:rPr>
          <w:rFonts w:eastAsia="Calibri"/>
          <w:color w:val="auto"/>
        </w:rPr>
        <w:t xml:space="preserve">Where:  </w:t>
      </w:r>
    </w:p>
    <w:p w14:paraId="176D4E1D" w14:textId="77777777" w:rsidR="00387D69" w:rsidRPr="00BE6013" w:rsidRDefault="00387D69" w:rsidP="00CF5E08">
      <w:pPr>
        <w:pStyle w:val="ListParagraph"/>
        <w:spacing w:after="0" w:line="240" w:lineRule="auto"/>
        <w:rPr>
          <w:rFonts w:eastAsia="Calibri"/>
          <w:color w:val="auto"/>
        </w:rPr>
      </w:pPr>
      <w:proofErr w:type="spellStart"/>
      <w:r w:rsidRPr="00BE6013">
        <w:rPr>
          <w:rFonts w:eastAsia="Calibri"/>
          <w:color w:val="auto"/>
        </w:rPr>
        <w:t>X</w:t>
      </w:r>
      <w:r w:rsidRPr="00BE6013">
        <w:rPr>
          <w:rFonts w:eastAsia="Calibri"/>
          <w:color w:val="auto"/>
          <w:vertAlign w:val="subscript"/>
        </w:rPr>
        <w:t>t</w:t>
      </w:r>
      <w:proofErr w:type="spellEnd"/>
      <w:r w:rsidRPr="00BE6013">
        <w:rPr>
          <w:rFonts w:eastAsia="Calibri"/>
          <w:color w:val="auto"/>
          <w:vertAlign w:val="subscript"/>
        </w:rPr>
        <w:t xml:space="preserve"> </w:t>
      </w:r>
      <w:r w:rsidRPr="00BE6013">
        <w:rPr>
          <w:rFonts w:eastAsia="Calibri"/>
          <w:color w:val="auto"/>
        </w:rPr>
        <w:t xml:space="preserve">= underlying variables </w:t>
      </w:r>
    </w:p>
    <w:p w14:paraId="575A683B" w14:textId="77777777" w:rsidR="00387D69" w:rsidRPr="00BE6013" w:rsidRDefault="00387D69" w:rsidP="00CF5E08">
      <w:pPr>
        <w:pStyle w:val="ListParagraph"/>
        <w:spacing w:after="0" w:line="240" w:lineRule="auto"/>
        <w:rPr>
          <w:rFonts w:eastAsia="Calibri"/>
          <w:color w:val="auto"/>
        </w:rPr>
      </w:pPr>
      <m:oMath>
        <m:r>
          <w:rPr>
            <w:rFonts w:ascii="Cambria Math" w:hAnsi="Cambria Math"/>
            <w:color w:val="auto"/>
          </w:rPr>
          <m:t>t</m:t>
        </m:r>
      </m:oMath>
      <w:r w:rsidRPr="00BE6013">
        <w:rPr>
          <w:rFonts w:eastAsia="Calibri"/>
          <w:color w:val="auto"/>
        </w:rPr>
        <w:t xml:space="preserve"> = time trend</w:t>
      </w:r>
    </w:p>
    <w:p w14:paraId="425D7407" w14:textId="77777777" w:rsidR="00387D69" w:rsidRPr="00BE6013" w:rsidRDefault="009317F1"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δ</m:t>
            </m:r>
          </m:e>
          <m:sub>
            <m:r>
              <w:rPr>
                <w:rFonts w:ascii="Cambria Math" w:hAnsi="Cambria Math"/>
                <w:color w:val="auto"/>
              </w:rPr>
              <m:t>i</m:t>
            </m:r>
          </m:sub>
        </m:sSub>
      </m:oMath>
      <w:r w:rsidR="00387D69" w:rsidRPr="00BE6013">
        <w:rPr>
          <w:rFonts w:eastAsia="Calibri"/>
          <w:color w:val="auto"/>
        </w:rPr>
        <w:t xml:space="preserve">, c and </w:t>
      </w:r>
      <m:oMath>
        <m:r>
          <w:rPr>
            <w:rFonts w:ascii="Cambria Math" w:hAnsi="Cambria Math"/>
            <w:color w:val="auto"/>
          </w:rPr>
          <m:t>ω</m:t>
        </m:r>
      </m:oMath>
      <w:r w:rsidR="00387D69" w:rsidRPr="00BE6013">
        <w:rPr>
          <w:rFonts w:eastAsia="Calibri"/>
          <w:color w:val="auto"/>
        </w:rPr>
        <w:t xml:space="preserve"> = coefficients to be estimated </w:t>
      </w:r>
    </w:p>
    <w:p w14:paraId="16390D28"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xml:space="preserve">p = lag length </w:t>
      </w:r>
    </w:p>
    <w:p w14:paraId="25BA7E7E" w14:textId="77777777" w:rsidR="00387D69" w:rsidRPr="00BE6013" w:rsidRDefault="00387D69" w:rsidP="00CF5E08">
      <w:pPr>
        <w:pStyle w:val="ListParagraph"/>
        <w:spacing w:after="0" w:line="240" w:lineRule="auto"/>
        <w:rPr>
          <w:rFonts w:eastAsia="Calibri"/>
          <w:color w:val="auto"/>
        </w:rPr>
      </w:pPr>
      <w:r w:rsidRPr="00BE6013">
        <w:rPr>
          <w:rFonts w:eastAsia="Calibri"/>
          <w:color w:val="auto"/>
        </w:rPr>
        <w:t>∆ = First difference notation</w:t>
      </w:r>
    </w:p>
    <w:p w14:paraId="7E935BC5" w14:textId="77777777" w:rsidR="00387D69" w:rsidRPr="00BE6013" w:rsidRDefault="009317F1" w:rsidP="00CF5E08">
      <w:pPr>
        <w:pStyle w:val="ListParagraph"/>
        <w:spacing w:after="0" w:line="240" w:lineRule="auto"/>
        <w:rPr>
          <w:rFonts w:eastAsia="Calibri"/>
          <w:color w:val="auto"/>
        </w:rPr>
      </w:pPr>
      <m:oMath>
        <m:sSub>
          <m:sSubPr>
            <m:ctrlPr>
              <w:rPr>
                <w:rFonts w:ascii="Cambria Math" w:hAnsi="Cambria Math"/>
                <w:i/>
                <w:color w:val="auto"/>
              </w:rPr>
            </m:ctrlPr>
          </m:sSubPr>
          <m:e>
            <m:r>
              <w:rPr>
                <w:rFonts w:ascii="Cambria Math" w:hAnsi="Cambria Math"/>
                <w:color w:val="auto"/>
              </w:rPr>
              <m:t>ϵ</m:t>
            </m:r>
          </m:e>
          <m:sub>
            <m:r>
              <w:rPr>
                <w:rFonts w:ascii="Cambria Math" w:hAnsi="Cambria Math"/>
                <w:color w:val="auto"/>
              </w:rPr>
              <m:t>t</m:t>
            </m:r>
          </m:sub>
        </m:sSub>
      </m:oMath>
      <w:r w:rsidR="00387D69" w:rsidRPr="00BE6013">
        <w:rPr>
          <w:rFonts w:eastAsia="Calibri"/>
          <w:color w:val="auto"/>
        </w:rPr>
        <w:t xml:space="preserve"> = error term</w:t>
      </w:r>
    </w:p>
    <w:p w14:paraId="76349703" w14:textId="77777777" w:rsidR="00387D69" w:rsidRPr="00BE6013" w:rsidRDefault="00387D69" w:rsidP="00CF5E08">
      <w:pPr>
        <w:pStyle w:val="ListParagraph"/>
        <w:spacing w:after="0" w:line="240" w:lineRule="auto"/>
        <w:rPr>
          <w:color w:val="auto"/>
        </w:rPr>
      </w:pPr>
      <w:r w:rsidRPr="00BE6013">
        <w:rPr>
          <w:color w:val="auto"/>
        </w:rPr>
        <w:t xml:space="preserve">If  </w:t>
      </w:r>
      <m:oMath>
        <m:r>
          <w:rPr>
            <w:rFonts w:ascii="Cambria Math" w:hAnsi="Cambria Math"/>
            <w:color w:val="auto"/>
          </w:rPr>
          <m:t>δ</m:t>
        </m:r>
      </m:oMath>
      <w:r w:rsidRPr="00BE6013">
        <w:rPr>
          <w:color w:val="auto"/>
        </w:rPr>
        <w:t xml:space="preserve"> = 0, then the series is a non-stationary series.</w:t>
      </w:r>
    </w:p>
    <w:p w14:paraId="5A92576F" w14:textId="77777777" w:rsidR="00387D69" w:rsidRPr="00BE6013" w:rsidRDefault="00387D69" w:rsidP="00CF5E08">
      <w:pPr>
        <w:pStyle w:val="ListParagraph"/>
        <w:spacing w:after="0" w:line="240" w:lineRule="auto"/>
        <w:rPr>
          <w:color w:val="auto"/>
        </w:rPr>
      </w:pPr>
    </w:p>
    <w:p w14:paraId="3B311537" w14:textId="77777777" w:rsidR="00387D69" w:rsidRPr="00BE6013" w:rsidRDefault="00387D69" w:rsidP="00CF5E08">
      <w:pPr>
        <w:pStyle w:val="ListParagraph"/>
        <w:spacing w:after="0" w:line="240" w:lineRule="auto"/>
        <w:rPr>
          <w:color w:val="auto"/>
        </w:rPr>
      </w:pPr>
    </w:p>
    <w:bookmarkEnd w:id="20"/>
    <w:p w14:paraId="6507BB4A" w14:textId="77777777" w:rsidR="00387D69" w:rsidRPr="00BE6013" w:rsidRDefault="00387D69" w:rsidP="00CF5E08">
      <w:pPr>
        <w:pStyle w:val="ListParagraph"/>
        <w:numPr>
          <w:ilvl w:val="0"/>
          <w:numId w:val="4"/>
        </w:numPr>
        <w:spacing w:after="0" w:line="240" w:lineRule="auto"/>
        <w:rPr>
          <w:b/>
          <w:color w:val="auto"/>
        </w:rPr>
      </w:pPr>
      <w:r w:rsidRPr="00BE6013">
        <w:rPr>
          <w:b/>
          <w:color w:val="auto"/>
        </w:rPr>
        <w:t>Cointegration Test</w:t>
      </w:r>
    </w:p>
    <w:p w14:paraId="74A8FDB1" w14:textId="63848827" w:rsidR="00387D69" w:rsidRPr="00BE6013" w:rsidRDefault="00387D69" w:rsidP="00CF5E08">
      <w:pPr>
        <w:spacing w:after="0" w:line="240" w:lineRule="auto"/>
        <w:rPr>
          <w:rFonts w:eastAsiaTheme="minorEastAsia"/>
          <w:color w:val="auto"/>
        </w:rPr>
      </w:pPr>
      <w:bookmarkStart w:id="21" w:name="_Hlk200935477"/>
      <w:r w:rsidRPr="00BE6013">
        <w:rPr>
          <w:color w:val="auto"/>
        </w:rPr>
        <w:t xml:space="preserve">The study conducted a co-integration test to ascertain if there is a long run equilibrium relationship between the employed variables. The cointegration test, which is seen as a pre-estimation test, enables the estimation of a regression model even the series to be employed are non-stationary. The test is based on the thinking that, if the linear combination of two series say,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BE6013">
        <w:rPr>
          <w:rFonts w:eastAsiaTheme="minorEastAsia"/>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BE6013">
        <w:rPr>
          <w:rFonts w:eastAsiaTheme="minorEastAsia"/>
          <w:color w:val="auto"/>
        </w:rPr>
        <w:t xml:space="preserve">, which individual are non-stationary, produce residuals that are stationary or mean reverting, then the regression of </w:t>
      </w:r>
      <m:oMath>
        <m:sSub>
          <m:sSubPr>
            <m:ctrlPr>
              <w:rPr>
                <w:rFonts w:ascii="Cambria Math" w:hAnsi="Cambria Math"/>
                <w:i/>
                <w:color w:val="auto"/>
              </w:rPr>
            </m:ctrlPr>
          </m:sSubPr>
          <m:e>
            <m:r>
              <w:rPr>
                <w:rFonts w:ascii="Cambria Math" w:hAnsi="Cambria Math"/>
                <w:color w:val="auto"/>
              </w:rPr>
              <m:t>Y</m:t>
            </m:r>
          </m:e>
          <m:sub>
            <m:r>
              <w:rPr>
                <w:rFonts w:ascii="Cambria Math" w:hAnsi="Cambria Math"/>
                <w:color w:val="auto"/>
              </w:rPr>
              <m:t>t</m:t>
            </m:r>
          </m:sub>
        </m:sSub>
      </m:oMath>
      <w:r w:rsidRPr="00BE6013">
        <w:rPr>
          <w:rFonts w:eastAsiaTheme="minorEastAsia"/>
          <w:color w:val="auto"/>
        </w:rPr>
        <w:t xml:space="preserve"> and </w:t>
      </w:r>
      <m:oMath>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t</m:t>
            </m:r>
          </m:sub>
        </m:sSub>
      </m:oMath>
      <w:r w:rsidRPr="00BE6013">
        <w:rPr>
          <w:rFonts w:eastAsiaTheme="minorEastAsia"/>
          <w:color w:val="auto"/>
        </w:rPr>
        <w:t xml:space="preserve"> will not give spurious results. A variety of approaches to determining this exists in the literature, though all are considered residual-based test. </w:t>
      </w:r>
    </w:p>
    <w:p w14:paraId="12195A27" w14:textId="1D620FC6"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22" w:name="_Toc204673505"/>
      <w:bookmarkEnd w:id="21"/>
      <w:r w:rsidRPr="00BE6013">
        <w:rPr>
          <w:rFonts w:ascii="Times New Roman" w:hAnsi="Times New Roman" w:cs="Times New Roman"/>
          <w:b/>
          <w:bCs/>
          <w:color w:val="auto"/>
          <w:sz w:val="24"/>
          <w:szCs w:val="24"/>
        </w:rPr>
        <w:t>Post-Estimation Tests</w:t>
      </w:r>
      <w:bookmarkEnd w:id="22"/>
    </w:p>
    <w:p w14:paraId="71A43E8A" w14:textId="77777777" w:rsidR="00387D69" w:rsidRPr="00BE6013" w:rsidRDefault="00387D69" w:rsidP="00CF5E08">
      <w:pPr>
        <w:spacing w:after="0" w:line="240" w:lineRule="auto"/>
        <w:rPr>
          <w:color w:val="auto"/>
        </w:rPr>
      </w:pPr>
      <w:r w:rsidRPr="00BE6013">
        <w:rPr>
          <w:color w:val="auto"/>
        </w:rPr>
        <w:t xml:space="preserve">The study conducted post-estimation test to ensure the estimates are valid for prediction. These tests include normality test, serial correlation test, heteroscedasticity test and stability test. For normality test, the study deployed the </w:t>
      </w:r>
      <w:proofErr w:type="spellStart"/>
      <w:r w:rsidRPr="00BE6013">
        <w:rPr>
          <w:color w:val="auto"/>
        </w:rPr>
        <w:t>Jarque-Bera</w:t>
      </w:r>
      <w:proofErr w:type="spellEnd"/>
      <w:r w:rsidRPr="00BE6013">
        <w:rPr>
          <w:color w:val="auto"/>
        </w:rPr>
        <w:t xml:space="preserve"> normality test, Breusch-Godfrey and ARCH tests were employed for serial correlation and heteroscedasticity test respectively. The Ramsey RESET test and cumulative sum of recursive residuals and cumulative sum of squares of recursive residuals test was used to test for stability of the regression model.</w:t>
      </w:r>
    </w:p>
    <w:p w14:paraId="6373F3B4" w14:textId="77777777" w:rsidR="00387D69" w:rsidRPr="00BE6013" w:rsidRDefault="00387D69" w:rsidP="00CF5E08">
      <w:pPr>
        <w:spacing w:after="0" w:line="240" w:lineRule="auto"/>
        <w:ind w:left="0" w:firstLine="0"/>
        <w:rPr>
          <w:color w:val="auto"/>
        </w:rPr>
      </w:pPr>
    </w:p>
    <w:p w14:paraId="16786B21" w14:textId="2E117A32" w:rsidR="00387D69" w:rsidRPr="00BE6013" w:rsidRDefault="00D34D60" w:rsidP="00D34D60">
      <w:pPr>
        <w:pStyle w:val="Heading1"/>
        <w:spacing w:after="0" w:line="240" w:lineRule="auto"/>
        <w:rPr>
          <w:rFonts w:ascii="Times New Roman" w:hAnsi="Times New Roman" w:cs="Times New Roman"/>
          <w:b/>
          <w:bCs/>
          <w:color w:val="auto"/>
          <w:sz w:val="28"/>
          <w:szCs w:val="28"/>
        </w:rPr>
      </w:pPr>
      <w:bookmarkStart w:id="23" w:name="_Toc204673507"/>
      <w:r w:rsidRPr="00BE6013">
        <w:rPr>
          <w:rFonts w:ascii="Times New Roman" w:hAnsi="Times New Roman" w:cs="Times New Roman"/>
          <w:b/>
          <w:bCs/>
          <w:color w:val="auto"/>
          <w:sz w:val="28"/>
          <w:szCs w:val="28"/>
        </w:rPr>
        <w:lastRenderedPageBreak/>
        <w:t xml:space="preserve">4.0 </w:t>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00387D69" w:rsidRPr="00BE6013">
        <w:rPr>
          <w:rFonts w:ascii="Times New Roman" w:hAnsi="Times New Roman" w:cs="Times New Roman"/>
          <w:b/>
          <w:bCs/>
          <w:color w:val="auto"/>
          <w:sz w:val="28"/>
          <w:szCs w:val="28"/>
        </w:rPr>
        <w:t>DATA PRESENTATION AND ANALYSIS OF RESULT</w:t>
      </w:r>
      <w:bookmarkEnd w:id="23"/>
    </w:p>
    <w:p w14:paraId="5A65733B" w14:textId="2DA7762A"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24" w:name="_Toc204673509"/>
      <w:r w:rsidRPr="00BE6013">
        <w:rPr>
          <w:rFonts w:ascii="Times New Roman" w:hAnsi="Times New Roman" w:cs="Times New Roman"/>
          <w:b/>
          <w:bCs/>
          <w:color w:val="auto"/>
          <w:sz w:val="24"/>
          <w:szCs w:val="24"/>
        </w:rPr>
        <w:t>Descriptive Statistics</w:t>
      </w:r>
      <w:bookmarkEnd w:id="24"/>
    </w:p>
    <w:p w14:paraId="5A9B5B42" w14:textId="77777777" w:rsidR="00387D69" w:rsidRPr="00BE6013" w:rsidRDefault="00387D69" w:rsidP="00CF5E08">
      <w:pPr>
        <w:spacing w:after="0" w:line="240" w:lineRule="auto"/>
        <w:rPr>
          <w:b/>
          <w:bCs/>
          <w:color w:val="auto"/>
        </w:rPr>
      </w:pPr>
    </w:p>
    <w:p w14:paraId="1508E2C6" w14:textId="3776215D" w:rsidR="00387D69" w:rsidRPr="00BE6013" w:rsidRDefault="00387D69" w:rsidP="00CF5E08">
      <w:pPr>
        <w:pStyle w:val="Caption"/>
        <w:spacing w:after="0"/>
        <w:rPr>
          <w:b w:val="0"/>
          <w:bCs/>
        </w:rPr>
      </w:pPr>
      <w:bookmarkStart w:id="25" w:name="_Toc203967821"/>
      <w:r w:rsidRPr="00BE6013">
        <w:t xml:space="preserve">Table </w:t>
      </w:r>
      <w:r w:rsidR="009317F1">
        <w:fldChar w:fldCharType="begin"/>
      </w:r>
      <w:r w:rsidR="009317F1">
        <w:instrText xml:space="preserve"> SEQ Table_4. \* ARABIC </w:instrText>
      </w:r>
      <w:r w:rsidR="009317F1">
        <w:fldChar w:fldCharType="separate"/>
      </w:r>
      <w:r w:rsidRPr="00BE6013">
        <w:rPr>
          <w:noProof/>
        </w:rPr>
        <w:t>1</w:t>
      </w:r>
      <w:r w:rsidR="009317F1">
        <w:rPr>
          <w:noProof/>
        </w:rPr>
        <w:fldChar w:fldCharType="end"/>
      </w:r>
      <w:r w:rsidRPr="00BE6013">
        <w:rPr>
          <w:bCs/>
        </w:rPr>
        <w:t>: Summary statistics</w:t>
      </w:r>
      <w:bookmarkEnd w:id="25"/>
    </w:p>
    <w:tbl>
      <w:tblPr>
        <w:tblStyle w:val="PlainTable2"/>
        <w:tblW w:w="8851" w:type="dxa"/>
        <w:tblInd w:w="5" w:type="dxa"/>
        <w:tblLook w:val="0620" w:firstRow="1" w:lastRow="0" w:firstColumn="0" w:lastColumn="0" w:noHBand="1" w:noVBand="1"/>
      </w:tblPr>
      <w:tblGrid>
        <w:gridCol w:w="1856"/>
        <w:gridCol w:w="1399"/>
        <w:gridCol w:w="1399"/>
        <w:gridCol w:w="1399"/>
        <w:gridCol w:w="1399"/>
        <w:gridCol w:w="1399"/>
      </w:tblGrid>
      <w:tr w:rsidR="00BE6013" w:rsidRPr="00BE6013" w14:paraId="2B4DEA72" w14:textId="77777777" w:rsidTr="00067054">
        <w:trPr>
          <w:cnfStyle w:val="100000000000" w:firstRow="1" w:lastRow="0" w:firstColumn="0" w:lastColumn="0" w:oddVBand="0" w:evenVBand="0" w:oddHBand="0" w:evenHBand="0" w:firstRowFirstColumn="0" w:firstRowLastColumn="0" w:lastRowFirstColumn="0" w:lastRowLastColumn="0"/>
          <w:trHeight w:val="319"/>
        </w:trPr>
        <w:tc>
          <w:tcPr>
            <w:tcW w:w="1856" w:type="dxa"/>
            <w:tcBorders>
              <w:top w:val="single" w:sz="18" w:space="0" w:color="auto"/>
              <w:bottom w:val="single" w:sz="18" w:space="0" w:color="auto"/>
            </w:tcBorders>
            <w:noWrap/>
            <w:hideMark/>
          </w:tcPr>
          <w:p w14:paraId="10F0852C" w14:textId="77777777" w:rsidR="00387D69" w:rsidRPr="00BE6013" w:rsidRDefault="00387D69" w:rsidP="00CF5E08">
            <w:pPr>
              <w:spacing w:after="0" w:line="240" w:lineRule="auto"/>
              <w:rPr>
                <w:color w:val="auto"/>
              </w:rPr>
            </w:pPr>
            <w:r w:rsidRPr="00BE6013">
              <w:rPr>
                <w:color w:val="auto"/>
              </w:rPr>
              <w:t> </w:t>
            </w:r>
          </w:p>
        </w:tc>
        <w:tc>
          <w:tcPr>
            <w:tcW w:w="1399" w:type="dxa"/>
            <w:tcBorders>
              <w:top w:val="single" w:sz="18" w:space="0" w:color="auto"/>
              <w:bottom w:val="single" w:sz="18" w:space="0" w:color="auto"/>
            </w:tcBorders>
            <w:noWrap/>
            <w:hideMark/>
          </w:tcPr>
          <w:p w14:paraId="7631A825" w14:textId="77777777" w:rsidR="00387D69" w:rsidRPr="00BE6013" w:rsidRDefault="00387D69" w:rsidP="00CF5E08">
            <w:pPr>
              <w:spacing w:after="0" w:line="240" w:lineRule="auto"/>
              <w:jc w:val="center"/>
              <w:rPr>
                <w:color w:val="auto"/>
              </w:rPr>
            </w:pPr>
            <w:r w:rsidRPr="00BE6013">
              <w:rPr>
                <w:color w:val="auto"/>
              </w:rPr>
              <w:t>RGDP</w:t>
            </w:r>
          </w:p>
        </w:tc>
        <w:tc>
          <w:tcPr>
            <w:tcW w:w="1399" w:type="dxa"/>
            <w:tcBorders>
              <w:top w:val="single" w:sz="18" w:space="0" w:color="auto"/>
              <w:bottom w:val="single" w:sz="18" w:space="0" w:color="auto"/>
            </w:tcBorders>
            <w:noWrap/>
            <w:hideMark/>
          </w:tcPr>
          <w:p w14:paraId="6A0C985D" w14:textId="77777777" w:rsidR="00387D69" w:rsidRPr="00BE6013" w:rsidRDefault="00387D69" w:rsidP="00CF5E08">
            <w:pPr>
              <w:spacing w:after="0" w:line="240" w:lineRule="auto"/>
              <w:jc w:val="center"/>
              <w:rPr>
                <w:color w:val="auto"/>
              </w:rPr>
            </w:pPr>
            <w:r w:rsidRPr="00BE6013">
              <w:rPr>
                <w:color w:val="auto"/>
              </w:rPr>
              <w:t>BL</w:t>
            </w:r>
          </w:p>
        </w:tc>
        <w:tc>
          <w:tcPr>
            <w:tcW w:w="1399" w:type="dxa"/>
            <w:tcBorders>
              <w:top w:val="single" w:sz="18" w:space="0" w:color="auto"/>
              <w:bottom w:val="single" w:sz="18" w:space="0" w:color="auto"/>
            </w:tcBorders>
            <w:noWrap/>
            <w:hideMark/>
          </w:tcPr>
          <w:p w14:paraId="003E0A9F" w14:textId="77777777" w:rsidR="00387D69" w:rsidRPr="00BE6013" w:rsidRDefault="00387D69" w:rsidP="00CF5E08">
            <w:pPr>
              <w:spacing w:after="0" w:line="240" w:lineRule="auto"/>
              <w:jc w:val="center"/>
              <w:rPr>
                <w:color w:val="auto"/>
              </w:rPr>
            </w:pPr>
            <w:r w:rsidRPr="00BE6013">
              <w:rPr>
                <w:color w:val="auto"/>
              </w:rPr>
              <w:t>BC</w:t>
            </w:r>
          </w:p>
        </w:tc>
        <w:tc>
          <w:tcPr>
            <w:tcW w:w="1399" w:type="dxa"/>
            <w:tcBorders>
              <w:top w:val="single" w:sz="18" w:space="0" w:color="auto"/>
              <w:bottom w:val="single" w:sz="18" w:space="0" w:color="auto"/>
            </w:tcBorders>
            <w:noWrap/>
            <w:hideMark/>
          </w:tcPr>
          <w:p w14:paraId="672A1947" w14:textId="77777777" w:rsidR="00387D69" w:rsidRPr="00BE6013" w:rsidRDefault="00387D69" w:rsidP="00CF5E08">
            <w:pPr>
              <w:spacing w:after="0" w:line="240" w:lineRule="auto"/>
              <w:jc w:val="center"/>
              <w:rPr>
                <w:color w:val="auto"/>
              </w:rPr>
            </w:pPr>
            <w:r w:rsidRPr="00BE6013">
              <w:rPr>
                <w:color w:val="auto"/>
              </w:rPr>
              <w:t>MS</w:t>
            </w:r>
          </w:p>
        </w:tc>
        <w:tc>
          <w:tcPr>
            <w:tcW w:w="1399" w:type="dxa"/>
            <w:tcBorders>
              <w:top w:val="single" w:sz="18" w:space="0" w:color="auto"/>
              <w:bottom w:val="single" w:sz="18" w:space="0" w:color="auto"/>
            </w:tcBorders>
            <w:noWrap/>
            <w:hideMark/>
          </w:tcPr>
          <w:p w14:paraId="55189661" w14:textId="77777777" w:rsidR="00387D69" w:rsidRPr="00BE6013" w:rsidRDefault="00387D69" w:rsidP="00CF5E08">
            <w:pPr>
              <w:spacing w:after="0" w:line="240" w:lineRule="auto"/>
              <w:jc w:val="center"/>
              <w:rPr>
                <w:color w:val="auto"/>
              </w:rPr>
            </w:pPr>
            <w:r w:rsidRPr="00BE6013">
              <w:rPr>
                <w:color w:val="auto"/>
              </w:rPr>
              <w:t>IN</w:t>
            </w:r>
          </w:p>
        </w:tc>
      </w:tr>
      <w:tr w:rsidR="00BE6013" w:rsidRPr="00BE6013" w14:paraId="57BC8FA3" w14:textId="77777777" w:rsidTr="00067054">
        <w:trPr>
          <w:trHeight w:val="319"/>
        </w:trPr>
        <w:tc>
          <w:tcPr>
            <w:tcW w:w="1856" w:type="dxa"/>
            <w:tcBorders>
              <w:top w:val="single" w:sz="18" w:space="0" w:color="auto"/>
            </w:tcBorders>
            <w:noWrap/>
            <w:hideMark/>
          </w:tcPr>
          <w:p w14:paraId="6727DDC5" w14:textId="77777777" w:rsidR="00387D69" w:rsidRPr="00BE6013" w:rsidRDefault="00387D69" w:rsidP="00CF5E08">
            <w:pPr>
              <w:spacing w:after="0" w:line="240" w:lineRule="auto"/>
              <w:rPr>
                <w:color w:val="auto"/>
              </w:rPr>
            </w:pPr>
            <w:r w:rsidRPr="00BE6013">
              <w:rPr>
                <w:color w:val="auto"/>
              </w:rPr>
              <w:t xml:space="preserve"> Mean</w:t>
            </w:r>
          </w:p>
        </w:tc>
        <w:tc>
          <w:tcPr>
            <w:tcW w:w="1399" w:type="dxa"/>
            <w:tcBorders>
              <w:top w:val="single" w:sz="18" w:space="0" w:color="auto"/>
            </w:tcBorders>
            <w:noWrap/>
            <w:hideMark/>
          </w:tcPr>
          <w:p w14:paraId="7F73BDE8" w14:textId="77777777" w:rsidR="00387D69" w:rsidRPr="00BE6013" w:rsidRDefault="00387D69" w:rsidP="00CF5E08">
            <w:pPr>
              <w:spacing w:after="0" w:line="240" w:lineRule="auto"/>
              <w:jc w:val="center"/>
              <w:rPr>
                <w:color w:val="auto"/>
              </w:rPr>
            </w:pPr>
            <w:r w:rsidRPr="00BE6013">
              <w:rPr>
                <w:color w:val="auto"/>
              </w:rPr>
              <w:t>45229.7</w:t>
            </w:r>
          </w:p>
        </w:tc>
        <w:tc>
          <w:tcPr>
            <w:tcW w:w="1399" w:type="dxa"/>
            <w:tcBorders>
              <w:top w:val="single" w:sz="18" w:space="0" w:color="auto"/>
            </w:tcBorders>
            <w:noWrap/>
            <w:hideMark/>
          </w:tcPr>
          <w:p w14:paraId="16496A57" w14:textId="77777777" w:rsidR="00387D69" w:rsidRPr="00BE6013" w:rsidRDefault="00387D69" w:rsidP="00CF5E08">
            <w:pPr>
              <w:spacing w:after="0" w:line="240" w:lineRule="auto"/>
              <w:jc w:val="center"/>
              <w:rPr>
                <w:color w:val="auto"/>
              </w:rPr>
            </w:pPr>
            <w:r w:rsidRPr="00BE6013">
              <w:rPr>
                <w:color w:val="auto"/>
              </w:rPr>
              <w:t>8077.455</w:t>
            </w:r>
          </w:p>
        </w:tc>
        <w:tc>
          <w:tcPr>
            <w:tcW w:w="1399" w:type="dxa"/>
            <w:tcBorders>
              <w:top w:val="single" w:sz="18" w:space="0" w:color="auto"/>
            </w:tcBorders>
            <w:noWrap/>
            <w:hideMark/>
          </w:tcPr>
          <w:p w14:paraId="1981453A" w14:textId="77777777" w:rsidR="00387D69" w:rsidRPr="00BE6013" w:rsidRDefault="00387D69" w:rsidP="00CF5E08">
            <w:pPr>
              <w:spacing w:after="0" w:line="240" w:lineRule="auto"/>
              <w:jc w:val="center"/>
              <w:rPr>
                <w:color w:val="auto"/>
              </w:rPr>
            </w:pPr>
            <w:r w:rsidRPr="00BE6013">
              <w:rPr>
                <w:color w:val="auto"/>
              </w:rPr>
              <w:t>18.0861</w:t>
            </w:r>
          </w:p>
        </w:tc>
        <w:tc>
          <w:tcPr>
            <w:tcW w:w="1399" w:type="dxa"/>
            <w:tcBorders>
              <w:top w:val="single" w:sz="18" w:space="0" w:color="auto"/>
            </w:tcBorders>
            <w:noWrap/>
            <w:hideMark/>
          </w:tcPr>
          <w:p w14:paraId="0F498FB3" w14:textId="77777777" w:rsidR="00387D69" w:rsidRPr="00BE6013" w:rsidRDefault="00387D69" w:rsidP="00CF5E08">
            <w:pPr>
              <w:spacing w:after="0" w:line="240" w:lineRule="auto"/>
              <w:jc w:val="center"/>
              <w:rPr>
                <w:color w:val="auto"/>
              </w:rPr>
            </w:pPr>
            <w:r w:rsidRPr="00BE6013">
              <w:rPr>
                <w:color w:val="auto"/>
              </w:rPr>
              <w:t>13087.73</w:t>
            </w:r>
          </w:p>
        </w:tc>
        <w:tc>
          <w:tcPr>
            <w:tcW w:w="1399" w:type="dxa"/>
            <w:tcBorders>
              <w:top w:val="single" w:sz="18" w:space="0" w:color="auto"/>
            </w:tcBorders>
            <w:noWrap/>
            <w:hideMark/>
          </w:tcPr>
          <w:p w14:paraId="141A8066" w14:textId="77777777" w:rsidR="00387D69" w:rsidRPr="00BE6013" w:rsidRDefault="00387D69" w:rsidP="00CF5E08">
            <w:pPr>
              <w:spacing w:after="0" w:line="240" w:lineRule="auto"/>
              <w:jc w:val="center"/>
              <w:rPr>
                <w:color w:val="auto"/>
              </w:rPr>
            </w:pPr>
            <w:r w:rsidRPr="00BE6013">
              <w:rPr>
                <w:color w:val="auto"/>
              </w:rPr>
              <w:t>18.2667</w:t>
            </w:r>
          </w:p>
        </w:tc>
      </w:tr>
      <w:tr w:rsidR="00BE6013" w:rsidRPr="00BE6013" w14:paraId="07719BF5" w14:textId="77777777" w:rsidTr="00067054">
        <w:trPr>
          <w:trHeight w:val="319"/>
        </w:trPr>
        <w:tc>
          <w:tcPr>
            <w:tcW w:w="1856" w:type="dxa"/>
            <w:noWrap/>
            <w:hideMark/>
          </w:tcPr>
          <w:p w14:paraId="77DF3E19" w14:textId="77777777" w:rsidR="00387D69" w:rsidRPr="00BE6013" w:rsidRDefault="00387D69" w:rsidP="00CF5E08">
            <w:pPr>
              <w:spacing w:after="0" w:line="240" w:lineRule="auto"/>
              <w:rPr>
                <w:color w:val="auto"/>
              </w:rPr>
            </w:pPr>
            <w:r w:rsidRPr="00BE6013">
              <w:rPr>
                <w:color w:val="auto"/>
              </w:rPr>
              <w:t xml:space="preserve"> Median</w:t>
            </w:r>
          </w:p>
        </w:tc>
        <w:tc>
          <w:tcPr>
            <w:tcW w:w="1399" w:type="dxa"/>
            <w:noWrap/>
            <w:hideMark/>
          </w:tcPr>
          <w:p w14:paraId="4A5E35C6" w14:textId="77777777" w:rsidR="00387D69" w:rsidRPr="00BE6013" w:rsidRDefault="00387D69" w:rsidP="00CF5E08">
            <w:pPr>
              <w:spacing w:after="0" w:line="240" w:lineRule="auto"/>
              <w:jc w:val="center"/>
              <w:rPr>
                <w:color w:val="auto"/>
              </w:rPr>
            </w:pPr>
            <w:r w:rsidRPr="00BE6013">
              <w:rPr>
                <w:color w:val="auto"/>
              </w:rPr>
              <w:t>42044.78</w:t>
            </w:r>
          </w:p>
        </w:tc>
        <w:tc>
          <w:tcPr>
            <w:tcW w:w="1399" w:type="dxa"/>
            <w:noWrap/>
            <w:hideMark/>
          </w:tcPr>
          <w:p w14:paraId="1B41CDF7" w14:textId="77777777" w:rsidR="00387D69" w:rsidRPr="00BE6013" w:rsidRDefault="00387D69" w:rsidP="00CF5E08">
            <w:pPr>
              <w:spacing w:after="0" w:line="240" w:lineRule="auto"/>
              <w:jc w:val="center"/>
              <w:rPr>
                <w:color w:val="auto"/>
              </w:rPr>
            </w:pPr>
            <w:r w:rsidRPr="00BE6013">
              <w:rPr>
                <w:color w:val="auto"/>
              </w:rPr>
              <w:t>3668.893</w:t>
            </w:r>
          </w:p>
        </w:tc>
        <w:tc>
          <w:tcPr>
            <w:tcW w:w="1399" w:type="dxa"/>
            <w:noWrap/>
            <w:hideMark/>
          </w:tcPr>
          <w:p w14:paraId="468738D3" w14:textId="77777777" w:rsidR="00387D69" w:rsidRPr="00BE6013" w:rsidRDefault="00387D69" w:rsidP="00CF5E08">
            <w:pPr>
              <w:spacing w:after="0" w:line="240" w:lineRule="auto"/>
              <w:jc w:val="center"/>
              <w:rPr>
                <w:color w:val="auto"/>
              </w:rPr>
            </w:pPr>
            <w:r w:rsidRPr="00BE6013">
              <w:rPr>
                <w:color w:val="auto"/>
              </w:rPr>
              <w:t>17.7678</w:t>
            </w:r>
          </w:p>
        </w:tc>
        <w:tc>
          <w:tcPr>
            <w:tcW w:w="1399" w:type="dxa"/>
            <w:noWrap/>
            <w:hideMark/>
          </w:tcPr>
          <w:p w14:paraId="4C9BC40E" w14:textId="77777777" w:rsidR="00387D69" w:rsidRPr="00BE6013" w:rsidRDefault="00387D69" w:rsidP="00CF5E08">
            <w:pPr>
              <w:spacing w:after="0" w:line="240" w:lineRule="auto"/>
              <w:jc w:val="center"/>
              <w:rPr>
                <w:color w:val="auto"/>
              </w:rPr>
            </w:pPr>
            <w:r w:rsidRPr="00BE6013">
              <w:rPr>
                <w:color w:val="auto"/>
              </w:rPr>
              <w:t>4462.655</w:t>
            </w:r>
          </w:p>
        </w:tc>
        <w:tc>
          <w:tcPr>
            <w:tcW w:w="1399" w:type="dxa"/>
            <w:noWrap/>
            <w:hideMark/>
          </w:tcPr>
          <w:p w14:paraId="0EBD18EB" w14:textId="77777777" w:rsidR="00387D69" w:rsidRPr="00BE6013" w:rsidRDefault="00387D69" w:rsidP="00CF5E08">
            <w:pPr>
              <w:spacing w:after="0" w:line="240" w:lineRule="auto"/>
              <w:jc w:val="center"/>
              <w:rPr>
                <w:color w:val="auto"/>
              </w:rPr>
            </w:pPr>
            <w:r w:rsidRPr="00BE6013">
              <w:rPr>
                <w:color w:val="auto"/>
              </w:rPr>
              <w:t>12.71</w:t>
            </w:r>
          </w:p>
        </w:tc>
      </w:tr>
      <w:tr w:rsidR="00BE6013" w:rsidRPr="00BE6013" w14:paraId="29A7C553" w14:textId="77777777" w:rsidTr="00067054">
        <w:trPr>
          <w:trHeight w:val="319"/>
        </w:trPr>
        <w:tc>
          <w:tcPr>
            <w:tcW w:w="1856" w:type="dxa"/>
            <w:noWrap/>
            <w:hideMark/>
          </w:tcPr>
          <w:p w14:paraId="2C78BC67" w14:textId="77777777" w:rsidR="00387D69" w:rsidRPr="00BE6013" w:rsidRDefault="00387D69" w:rsidP="00CF5E08">
            <w:pPr>
              <w:spacing w:after="0" w:line="240" w:lineRule="auto"/>
              <w:rPr>
                <w:color w:val="auto"/>
              </w:rPr>
            </w:pPr>
            <w:r w:rsidRPr="00BE6013">
              <w:rPr>
                <w:color w:val="auto"/>
              </w:rPr>
              <w:t xml:space="preserve"> Maximum</w:t>
            </w:r>
          </w:p>
        </w:tc>
        <w:tc>
          <w:tcPr>
            <w:tcW w:w="1399" w:type="dxa"/>
            <w:noWrap/>
            <w:hideMark/>
          </w:tcPr>
          <w:p w14:paraId="2EE09050" w14:textId="77777777" w:rsidR="00387D69" w:rsidRPr="00BE6013" w:rsidRDefault="00387D69" w:rsidP="00CF5E08">
            <w:pPr>
              <w:spacing w:after="0" w:line="240" w:lineRule="auto"/>
              <w:jc w:val="center"/>
              <w:rPr>
                <w:color w:val="auto"/>
              </w:rPr>
            </w:pPr>
            <w:r w:rsidRPr="00BE6013">
              <w:rPr>
                <w:color w:val="auto"/>
              </w:rPr>
              <w:t>76684.94</w:t>
            </w:r>
          </w:p>
        </w:tc>
        <w:tc>
          <w:tcPr>
            <w:tcW w:w="1399" w:type="dxa"/>
            <w:noWrap/>
            <w:hideMark/>
          </w:tcPr>
          <w:p w14:paraId="780D1F2E" w14:textId="77777777" w:rsidR="00387D69" w:rsidRPr="00BE6013" w:rsidRDefault="00387D69" w:rsidP="00CF5E08">
            <w:pPr>
              <w:spacing w:after="0" w:line="240" w:lineRule="auto"/>
              <w:jc w:val="center"/>
              <w:rPr>
                <w:color w:val="auto"/>
              </w:rPr>
            </w:pPr>
            <w:r w:rsidRPr="00BE6013">
              <w:rPr>
                <w:color w:val="auto"/>
              </w:rPr>
              <w:t>44536.13</w:t>
            </w:r>
          </w:p>
        </w:tc>
        <w:tc>
          <w:tcPr>
            <w:tcW w:w="1399" w:type="dxa"/>
            <w:noWrap/>
            <w:hideMark/>
          </w:tcPr>
          <w:p w14:paraId="2A722AE9" w14:textId="77777777" w:rsidR="00387D69" w:rsidRPr="00BE6013" w:rsidRDefault="00387D69" w:rsidP="00CF5E08">
            <w:pPr>
              <w:spacing w:after="0" w:line="240" w:lineRule="auto"/>
              <w:jc w:val="center"/>
              <w:rPr>
                <w:color w:val="auto"/>
              </w:rPr>
            </w:pPr>
            <w:r w:rsidRPr="00BE6013">
              <w:rPr>
                <w:color w:val="auto"/>
              </w:rPr>
              <w:t>29.8</w:t>
            </w:r>
          </w:p>
        </w:tc>
        <w:tc>
          <w:tcPr>
            <w:tcW w:w="1399" w:type="dxa"/>
            <w:noWrap/>
            <w:hideMark/>
          </w:tcPr>
          <w:p w14:paraId="78E50894" w14:textId="77777777" w:rsidR="00387D69" w:rsidRPr="00BE6013" w:rsidRDefault="00387D69" w:rsidP="00CF5E08">
            <w:pPr>
              <w:spacing w:after="0" w:line="240" w:lineRule="auto"/>
              <w:jc w:val="center"/>
              <w:rPr>
                <w:color w:val="auto"/>
              </w:rPr>
            </w:pPr>
            <w:r w:rsidRPr="00BE6013">
              <w:rPr>
                <w:color w:val="auto"/>
              </w:rPr>
              <w:t>63512.4</w:t>
            </w:r>
          </w:p>
        </w:tc>
        <w:tc>
          <w:tcPr>
            <w:tcW w:w="1399" w:type="dxa"/>
            <w:noWrap/>
            <w:hideMark/>
          </w:tcPr>
          <w:p w14:paraId="0587111A" w14:textId="77777777" w:rsidR="00387D69" w:rsidRPr="00BE6013" w:rsidRDefault="00387D69" w:rsidP="00CF5E08">
            <w:pPr>
              <w:spacing w:after="0" w:line="240" w:lineRule="auto"/>
              <w:jc w:val="center"/>
              <w:rPr>
                <w:color w:val="auto"/>
              </w:rPr>
            </w:pPr>
            <w:r w:rsidRPr="00BE6013">
              <w:rPr>
                <w:color w:val="auto"/>
              </w:rPr>
              <w:t>72.98</w:t>
            </w:r>
          </w:p>
        </w:tc>
      </w:tr>
      <w:tr w:rsidR="00BE6013" w:rsidRPr="00BE6013" w14:paraId="7449D661" w14:textId="77777777" w:rsidTr="00067054">
        <w:trPr>
          <w:trHeight w:val="319"/>
        </w:trPr>
        <w:tc>
          <w:tcPr>
            <w:tcW w:w="1856" w:type="dxa"/>
            <w:noWrap/>
            <w:hideMark/>
          </w:tcPr>
          <w:p w14:paraId="2449C171" w14:textId="77777777" w:rsidR="00387D69" w:rsidRPr="00BE6013" w:rsidRDefault="00387D69" w:rsidP="00CF5E08">
            <w:pPr>
              <w:spacing w:after="0" w:line="240" w:lineRule="auto"/>
              <w:rPr>
                <w:color w:val="auto"/>
              </w:rPr>
            </w:pPr>
            <w:r w:rsidRPr="00BE6013">
              <w:rPr>
                <w:color w:val="auto"/>
              </w:rPr>
              <w:t xml:space="preserve"> Minimum</w:t>
            </w:r>
          </w:p>
        </w:tc>
        <w:tc>
          <w:tcPr>
            <w:tcW w:w="1399" w:type="dxa"/>
            <w:noWrap/>
            <w:hideMark/>
          </w:tcPr>
          <w:p w14:paraId="3C8EE00C" w14:textId="77777777" w:rsidR="00387D69" w:rsidRPr="00BE6013" w:rsidRDefault="00387D69" w:rsidP="00CF5E08">
            <w:pPr>
              <w:spacing w:after="0" w:line="240" w:lineRule="auto"/>
              <w:jc w:val="center"/>
              <w:rPr>
                <w:color w:val="auto"/>
              </w:rPr>
            </w:pPr>
            <w:r w:rsidRPr="00BE6013">
              <w:rPr>
                <w:color w:val="auto"/>
              </w:rPr>
              <w:t>21462.73</w:t>
            </w:r>
          </w:p>
        </w:tc>
        <w:tc>
          <w:tcPr>
            <w:tcW w:w="1399" w:type="dxa"/>
            <w:noWrap/>
            <w:hideMark/>
          </w:tcPr>
          <w:p w14:paraId="5035F796" w14:textId="77777777" w:rsidR="00387D69" w:rsidRPr="00BE6013" w:rsidRDefault="00387D69" w:rsidP="00CF5E08">
            <w:pPr>
              <w:spacing w:after="0" w:line="240" w:lineRule="auto"/>
              <w:jc w:val="center"/>
              <w:rPr>
                <w:color w:val="auto"/>
              </w:rPr>
            </w:pPr>
            <w:r w:rsidRPr="00BE6013">
              <w:rPr>
                <w:color w:val="auto"/>
              </w:rPr>
              <w:t>26.0001</w:t>
            </w:r>
          </w:p>
        </w:tc>
        <w:tc>
          <w:tcPr>
            <w:tcW w:w="1399" w:type="dxa"/>
            <w:noWrap/>
            <w:hideMark/>
          </w:tcPr>
          <w:p w14:paraId="41681D6B" w14:textId="77777777" w:rsidR="00387D69" w:rsidRPr="00BE6013" w:rsidRDefault="00387D69" w:rsidP="00CF5E08">
            <w:pPr>
              <w:spacing w:after="0" w:line="240" w:lineRule="auto"/>
              <w:jc w:val="center"/>
              <w:rPr>
                <w:color w:val="auto"/>
              </w:rPr>
            </w:pPr>
            <w:r w:rsidRPr="00BE6013">
              <w:rPr>
                <w:color w:val="auto"/>
              </w:rPr>
              <w:t>11.4831</w:t>
            </w:r>
          </w:p>
        </w:tc>
        <w:tc>
          <w:tcPr>
            <w:tcW w:w="1399" w:type="dxa"/>
            <w:noWrap/>
            <w:hideMark/>
          </w:tcPr>
          <w:p w14:paraId="523D693D" w14:textId="77777777" w:rsidR="00387D69" w:rsidRPr="00BE6013" w:rsidRDefault="00387D69" w:rsidP="00CF5E08">
            <w:pPr>
              <w:spacing w:after="0" w:line="240" w:lineRule="auto"/>
              <w:jc w:val="center"/>
              <w:rPr>
                <w:color w:val="auto"/>
              </w:rPr>
            </w:pPr>
            <w:r w:rsidRPr="00BE6013">
              <w:rPr>
                <w:color w:val="auto"/>
              </w:rPr>
              <w:t>47.4232</w:t>
            </w:r>
          </w:p>
        </w:tc>
        <w:tc>
          <w:tcPr>
            <w:tcW w:w="1399" w:type="dxa"/>
            <w:noWrap/>
            <w:hideMark/>
          </w:tcPr>
          <w:p w14:paraId="18FB1B0F" w14:textId="77777777" w:rsidR="00387D69" w:rsidRPr="00BE6013" w:rsidRDefault="00387D69" w:rsidP="00CF5E08">
            <w:pPr>
              <w:spacing w:after="0" w:line="240" w:lineRule="auto"/>
              <w:jc w:val="center"/>
              <w:rPr>
                <w:color w:val="auto"/>
              </w:rPr>
            </w:pPr>
            <w:r w:rsidRPr="00BE6013">
              <w:rPr>
                <w:color w:val="auto"/>
              </w:rPr>
              <w:t>5.39</w:t>
            </w:r>
          </w:p>
        </w:tc>
      </w:tr>
      <w:tr w:rsidR="00BE6013" w:rsidRPr="00BE6013" w14:paraId="24E3E032" w14:textId="77777777" w:rsidTr="00067054">
        <w:trPr>
          <w:trHeight w:val="319"/>
        </w:trPr>
        <w:tc>
          <w:tcPr>
            <w:tcW w:w="1856" w:type="dxa"/>
            <w:noWrap/>
            <w:hideMark/>
          </w:tcPr>
          <w:p w14:paraId="4FB22F77" w14:textId="77777777" w:rsidR="00387D69" w:rsidRPr="00BE6013" w:rsidRDefault="00387D69" w:rsidP="00CF5E08">
            <w:pPr>
              <w:spacing w:after="0" w:line="240" w:lineRule="auto"/>
              <w:rPr>
                <w:color w:val="auto"/>
              </w:rPr>
            </w:pPr>
            <w:r w:rsidRPr="00BE6013">
              <w:rPr>
                <w:color w:val="auto"/>
              </w:rPr>
              <w:t xml:space="preserve"> Std. Dev.</w:t>
            </w:r>
          </w:p>
        </w:tc>
        <w:tc>
          <w:tcPr>
            <w:tcW w:w="1399" w:type="dxa"/>
            <w:noWrap/>
            <w:hideMark/>
          </w:tcPr>
          <w:p w14:paraId="01D3B530" w14:textId="77777777" w:rsidR="00387D69" w:rsidRPr="00BE6013" w:rsidRDefault="00387D69" w:rsidP="00CF5E08">
            <w:pPr>
              <w:spacing w:after="0" w:line="240" w:lineRule="auto"/>
              <w:jc w:val="center"/>
              <w:rPr>
                <w:color w:val="auto"/>
              </w:rPr>
            </w:pPr>
            <w:r w:rsidRPr="00BE6013">
              <w:rPr>
                <w:color w:val="auto"/>
              </w:rPr>
              <w:t>20491.6</w:t>
            </w:r>
          </w:p>
        </w:tc>
        <w:tc>
          <w:tcPr>
            <w:tcW w:w="1399" w:type="dxa"/>
            <w:noWrap/>
            <w:hideMark/>
          </w:tcPr>
          <w:p w14:paraId="31DA9475" w14:textId="77777777" w:rsidR="00387D69" w:rsidRPr="00BE6013" w:rsidRDefault="00387D69" w:rsidP="00CF5E08">
            <w:pPr>
              <w:spacing w:after="0" w:line="240" w:lineRule="auto"/>
              <w:jc w:val="center"/>
              <w:rPr>
                <w:color w:val="auto"/>
              </w:rPr>
            </w:pPr>
            <w:r w:rsidRPr="00BE6013">
              <w:rPr>
                <w:color w:val="auto"/>
              </w:rPr>
              <w:t>10254.37</w:t>
            </w:r>
          </w:p>
        </w:tc>
        <w:tc>
          <w:tcPr>
            <w:tcW w:w="1399" w:type="dxa"/>
            <w:noWrap/>
            <w:hideMark/>
          </w:tcPr>
          <w:p w14:paraId="297E11D1" w14:textId="77777777" w:rsidR="00387D69" w:rsidRPr="00BE6013" w:rsidRDefault="00387D69" w:rsidP="00CF5E08">
            <w:pPr>
              <w:spacing w:after="0" w:line="240" w:lineRule="auto"/>
              <w:jc w:val="center"/>
              <w:rPr>
                <w:color w:val="auto"/>
              </w:rPr>
            </w:pPr>
            <w:r w:rsidRPr="00BE6013">
              <w:rPr>
                <w:color w:val="auto"/>
              </w:rPr>
              <w:t>3.7191</w:t>
            </w:r>
          </w:p>
        </w:tc>
        <w:tc>
          <w:tcPr>
            <w:tcW w:w="1399" w:type="dxa"/>
            <w:noWrap/>
            <w:hideMark/>
          </w:tcPr>
          <w:p w14:paraId="647E4A14" w14:textId="77777777" w:rsidR="00387D69" w:rsidRPr="00BE6013" w:rsidRDefault="00387D69" w:rsidP="00CF5E08">
            <w:pPr>
              <w:spacing w:after="0" w:line="240" w:lineRule="auto"/>
              <w:jc w:val="center"/>
              <w:rPr>
                <w:color w:val="auto"/>
              </w:rPr>
            </w:pPr>
            <w:r w:rsidRPr="00BE6013">
              <w:rPr>
                <w:color w:val="auto"/>
              </w:rPr>
              <w:t>16433.14</w:t>
            </w:r>
          </w:p>
        </w:tc>
        <w:tc>
          <w:tcPr>
            <w:tcW w:w="1399" w:type="dxa"/>
            <w:noWrap/>
            <w:hideMark/>
          </w:tcPr>
          <w:p w14:paraId="5BECC239" w14:textId="77777777" w:rsidR="00387D69" w:rsidRPr="00BE6013" w:rsidRDefault="00387D69" w:rsidP="00CF5E08">
            <w:pPr>
              <w:spacing w:after="0" w:line="240" w:lineRule="auto"/>
              <w:jc w:val="center"/>
              <w:rPr>
                <w:color w:val="auto"/>
              </w:rPr>
            </w:pPr>
            <w:r w:rsidRPr="00BE6013">
              <w:rPr>
                <w:color w:val="auto"/>
              </w:rPr>
              <w:t>15.9214</w:t>
            </w:r>
          </w:p>
        </w:tc>
      </w:tr>
      <w:tr w:rsidR="00BE6013" w:rsidRPr="00BE6013" w14:paraId="57A77F33" w14:textId="77777777" w:rsidTr="00067054">
        <w:trPr>
          <w:trHeight w:val="319"/>
        </w:trPr>
        <w:tc>
          <w:tcPr>
            <w:tcW w:w="1856" w:type="dxa"/>
            <w:noWrap/>
            <w:hideMark/>
          </w:tcPr>
          <w:p w14:paraId="551CAFAF" w14:textId="77777777" w:rsidR="00387D69" w:rsidRPr="00BE6013" w:rsidRDefault="00387D69" w:rsidP="00CF5E08">
            <w:pPr>
              <w:spacing w:after="0" w:line="240" w:lineRule="auto"/>
              <w:rPr>
                <w:color w:val="auto"/>
              </w:rPr>
            </w:pPr>
            <w:r w:rsidRPr="00BE6013">
              <w:rPr>
                <w:color w:val="auto"/>
              </w:rPr>
              <w:t xml:space="preserve"> Skewness</w:t>
            </w:r>
          </w:p>
        </w:tc>
        <w:tc>
          <w:tcPr>
            <w:tcW w:w="1399" w:type="dxa"/>
            <w:noWrap/>
            <w:hideMark/>
          </w:tcPr>
          <w:p w14:paraId="488CBE64" w14:textId="77777777" w:rsidR="00387D69" w:rsidRPr="00BE6013" w:rsidRDefault="00387D69" w:rsidP="00CF5E08">
            <w:pPr>
              <w:spacing w:after="0" w:line="240" w:lineRule="auto"/>
              <w:jc w:val="center"/>
              <w:rPr>
                <w:color w:val="auto"/>
              </w:rPr>
            </w:pPr>
            <w:r w:rsidRPr="00BE6013">
              <w:rPr>
                <w:color w:val="auto"/>
              </w:rPr>
              <w:t>0.1624</w:t>
            </w:r>
          </w:p>
        </w:tc>
        <w:tc>
          <w:tcPr>
            <w:tcW w:w="1399" w:type="dxa"/>
            <w:noWrap/>
            <w:hideMark/>
          </w:tcPr>
          <w:p w14:paraId="5A70D8CB" w14:textId="77777777" w:rsidR="00387D69" w:rsidRPr="00BE6013" w:rsidRDefault="00387D69" w:rsidP="00CF5E08">
            <w:pPr>
              <w:spacing w:after="0" w:line="240" w:lineRule="auto"/>
              <w:jc w:val="center"/>
              <w:rPr>
                <w:color w:val="auto"/>
              </w:rPr>
            </w:pPr>
            <w:r w:rsidRPr="00BE6013">
              <w:rPr>
                <w:color w:val="auto"/>
              </w:rPr>
              <w:t>1.6983</w:t>
            </w:r>
          </w:p>
        </w:tc>
        <w:tc>
          <w:tcPr>
            <w:tcW w:w="1399" w:type="dxa"/>
            <w:noWrap/>
            <w:hideMark/>
          </w:tcPr>
          <w:p w14:paraId="3639D51D" w14:textId="77777777" w:rsidR="00387D69" w:rsidRPr="00BE6013" w:rsidRDefault="00387D69" w:rsidP="00CF5E08">
            <w:pPr>
              <w:spacing w:after="0" w:line="240" w:lineRule="auto"/>
              <w:jc w:val="center"/>
              <w:rPr>
                <w:color w:val="auto"/>
              </w:rPr>
            </w:pPr>
            <w:r w:rsidRPr="00BE6013">
              <w:rPr>
                <w:color w:val="auto"/>
              </w:rPr>
              <w:t>0.9139</w:t>
            </w:r>
          </w:p>
        </w:tc>
        <w:tc>
          <w:tcPr>
            <w:tcW w:w="1399" w:type="dxa"/>
            <w:noWrap/>
            <w:hideMark/>
          </w:tcPr>
          <w:p w14:paraId="63B18C8E" w14:textId="77777777" w:rsidR="00387D69" w:rsidRPr="00BE6013" w:rsidRDefault="00387D69" w:rsidP="00CF5E08">
            <w:pPr>
              <w:spacing w:after="0" w:line="240" w:lineRule="auto"/>
              <w:jc w:val="center"/>
              <w:rPr>
                <w:color w:val="auto"/>
              </w:rPr>
            </w:pPr>
            <w:r w:rsidRPr="00BE6013">
              <w:rPr>
                <w:color w:val="auto"/>
              </w:rPr>
              <w:t>1.3437</w:t>
            </w:r>
          </w:p>
        </w:tc>
        <w:tc>
          <w:tcPr>
            <w:tcW w:w="1399" w:type="dxa"/>
            <w:noWrap/>
            <w:hideMark/>
          </w:tcPr>
          <w:p w14:paraId="2D6A0751" w14:textId="77777777" w:rsidR="00387D69" w:rsidRPr="00BE6013" w:rsidRDefault="00387D69" w:rsidP="00CF5E08">
            <w:pPr>
              <w:spacing w:after="0" w:line="240" w:lineRule="auto"/>
              <w:jc w:val="center"/>
              <w:rPr>
                <w:color w:val="auto"/>
              </w:rPr>
            </w:pPr>
            <w:r w:rsidRPr="00BE6013">
              <w:rPr>
                <w:color w:val="auto"/>
              </w:rPr>
              <w:t>2.1931</w:t>
            </w:r>
          </w:p>
        </w:tc>
      </w:tr>
      <w:tr w:rsidR="00BE6013" w:rsidRPr="00BE6013" w14:paraId="4952A9AD" w14:textId="77777777" w:rsidTr="00067054">
        <w:trPr>
          <w:trHeight w:val="319"/>
        </w:trPr>
        <w:tc>
          <w:tcPr>
            <w:tcW w:w="1856" w:type="dxa"/>
            <w:noWrap/>
            <w:hideMark/>
          </w:tcPr>
          <w:p w14:paraId="4FC79A06" w14:textId="77777777" w:rsidR="00387D69" w:rsidRPr="00BE6013" w:rsidRDefault="00387D69" w:rsidP="00CF5E08">
            <w:pPr>
              <w:spacing w:after="0" w:line="240" w:lineRule="auto"/>
              <w:rPr>
                <w:color w:val="auto"/>
              </w:rPr>
            </w:pPr>
            <w:r w:rsidRPr="00BE6013">
              <w:rPr>
                <w:color w:val="auto"/>
              </w:rPr>
              <w:t xml:space="preserve"> Kurtosis</w:t>
            </w:r>
          </w:p>
        </w:tc>
        <w:tc>
          <w:tcPr>
            <w:tcW w:w="1399" w:type="dxa"/>
            <w:noWrap/>
            <w:hideMark/>
          </w:tcPr>
          <w:p w14:paraId="376CB17F" w14:textId="77777777" w:rsidR="00387D69" w:rsidRPr="00BE6013" w:rsidRDefault="00387D69" w:rsidP="00CF5E08">
            <w:pPr>
              <w:spacing w:after="0" w:line="240" w:lineRule="auto"/>
              <w:jc w:val="center"/>
              <w:rPr>
                <w:color w:val="auto"/>
              </w:rPr>
            </w:pPr>
            <w:r w:rsidRPr="00BE6013">
              <w:rPr>
                <w:color w:val="auto"/>
              </w:rPr>
              <w:t>1.3892</w:t>
            </w:r>
          </w:p>
        </w:tc>
        <w:tc>
          <w:tcPr>
            <w:tcW w:w="1399" w:type="dxa"/>
            <w:noWrap/>
            <w:hideMark/>
          </w:tcPr>
          <w:p w14:paraId="5FE21C64" w14:textId="77777777" w:rsidR="00387D69" w:rsidRPr="00BE6013" w:rsidRDefault="00387D69" w:rsidP="00CF5E08">
            <w:pPr>
              <w:spacing w:after="0" w:line="240" w:lineRule="auto"/>
              <w:jc w:val="center"/>
              <w:rPr>
                <w:color w:val="auto"/>
              </w:rPr>
            </w:pPr>
            <w:r w:rsidRPr="00BE6013">
              <w:rPr>
                <w:color w:val="auto"/>
              </w:rPr>
              <w:t>6.0472</w:t>
            </w:r>
          </w:p>
        </w:tc>
        <w:tc>
          <w:tcPr>
            <w:tcW w:w="1399" w:type="dxa"/>
            <w:noWrap/>
            <w:hideMark/>
          </w:tcPr>
          <w:p w14:paraId="00681E92" w14:textId="77777777" w:rsidR="00387D69" w:rsidRPr="00BE6013" w:rsidRDefault="00387D69" w:rsidP="00CF5E08">
            <w:pPr>
              <w:spacing w:after="0" w:line="240" w:lineRule="auto"/>
              <w:jc w:val="center"/>
              <w:rPr>
                <w:color w:val="auto"/>
              </w:rPr>
            </w:pPr>
            <w:r w:rsidRPr="00BE6013">
              <w:rPr>
                <w:color w:val="auto"/>
              </w:rPr>
              <w:t>4.7610</w:t>
            </w:r>
          </w:p>
        </w:tc>
        <w:tc>
          <w:tcPr>
            <w:tcW w:w="1399" w:type="dxa"/>
            <w:noWrap/>
            <w:hideMark/>
          </w:tcPr>
          <w:p w14:paraId="35696C48" w14:textId="77777777" w:rsidR="00387D69" w:rsidRPr="00BE6013" w:rsidRDefault="00387D69" w:rsidP="00CF5E08">
            <w:pPr>
              <w:spacing w:after="0" w:line="240" w:lineRule="auto"/>
              <w:jc w:val="center"/>
              <w:rPr>
                <w:color w:val="auto"/>
              </w:rPr>
            </w:pPr>
            <w:r w:rsidRPr="00BE6013">
              <w:rPr>
                <w:color w:val="auto"/>
              </w:rPr>
              <w:t>4.1120</w:t>
            </w:r>
          </w:p>
        </w:tc>
        <w:tc>
          <w:tcPr>
            <w:tcW w:w="1399" w:type="dxa"/>
            <w:noWrap/>
            <w:hideMark/>
          </w:tcPr>
          <w:p w14:paraId="286BC433" w14:textId="77777777" w:rsidR="00387D69" w:rsidRPr="00BE6013" w:rsidRDefault="00387D69" w:rsidP="00CF5E08">
            <w:pPr>
              <w:spacing w:after="0" w:line="240" w:lineRule="auto"/>
              <w:jc w:val="center"/>
              <w:rPr>
                <w:color w:val="auto"/>
              </w:rPr>
            </w:pPr>
            <w:r w:rsidRPr="00BE6013">
              <w:rPr>
                <w:color w:val="auto"/>
              </w:rPr>
              <w:t>6.9184</w:t>
            </w:r>
          </w:p>
        </w:tc>
      </w:tr>
      <w:tr w:rsidR="00BE6013" w:rsidRPr="00BE6013" w14:paraId="112DA44A" w14:textId="77777777" w:rsidTr="00067054">
        <w:trPr>
          <w:trHeight w:val="319"/>
        </w:trPr>
        <w:tc>
          <w:tcPr>
            <w:tcW w:w="1856" w:type="dxa"/>
            <w:noWrap/>
            <w:hideMark/>
          </w:tcPr>
          <w:p w14:paraId="034420D3" w14:textId="77777777" w:rsidR="00387D69" w:rsidRPr="00BE6013" w:rsidRDefault="00387D69" w:rsidP="00CF5E08">
            <w:pPr>
              <w:spacing w:after="0" w:line="240" w:lineRule="auto"/>
              <w:rPr>
                <w:color w:val="auto"/>
              </w:rPr>
            </w:pPr>
            <w:r w:rsidRPr="00BE6013">
              <w:rPr>
                <w:color w:val="auto"/>
              </w:rPr>
              <w:t xml:space="preserve"> </w:t>
            </w:r>
            <w:proofErr w:type="spellStart"/>
            <w:r w:rsidRPr="00BE6013">
              <w:rPr>
                <w:color w:val="auto"/>
              </w:rPr>
              <w:t>Jarque-Bera</w:t>
            </w:r>
            <w:proofErr w:type="spellEnd"/>
          </w:p>
        </w:tc>
        <w:tc>
          <w:tcPr>
            <w:tcW w:w="1399" w:type="dxa"/>
            <w:noWrap/>
            <w:hideMark/>
          </w:tcPr>
          <w:p w14:paraId="67AC035C" w14:textId="77777777" w:rsidR="00387D69" w:rsidRPr="00BE6013" w:rsidRDefault="00387D69" w:rsidP="00CF5E08">
            <w:pPr>
              <w:spacing w:after="0" w:line="240" w:lineRule="auto"/>
              <w:jc w:val="center"/>
              <w:rPr>
                <w:color w:val="auto"/>
              </w:rPr>
            </w:pPr>
            <w:r w:rsidRPr="00BE6013">
              <w:rPr>
                <w:color w:val="auto"/>
              </w:rPr>
              <w:t>3.8251</w:t>
            </w:r>
          </w:p>
        </w:tc>
        <w:tc>
          <w:tcPr>
            <w:tcW w:w="1399" w:type="dxa"/>
            <w:noWrap/>
            <w:hideMark/>
          </w:tcPr>
          <w:p w14:paraId="4D09CFEB" w14:textId="77777777" w:rsidR="00387D69" w:rsidRPr="00BE6013" w:rsidRDefault="00387D69" w:rsidP="00CF5E08">
            <w:pPr>
              <w:spacing w:after="0" w:line="240" w:lineRule="auto"/>
              <w:jc w:val="center"/>
              <w:rPr>
                <w:color w:val="auto"/>
              </w:rPr>
            </w:pPr>
            <w:r w:rsidRPr="00BE6013">
              <w:rPr>
                <w:color w:val="auto"/>
              </w:rPr>
              <w:t>29.4992</w:t>
            </w:r>
          </w:p>
        </w:tc>
        <w:tc>
          <w:tcPr>
            <w:tcW w:w="1399" w:type="dxa"/>
            <w:noWrap/>
            <w:hideMark/>
          </w:tcPr>
          <w:p w14:paraId="0C7A3FA5" w14:textId="77777777" w:rsidR="00387D69" w:rsidRPr="00BE6013" w:rsidRDefault="00387D69" w:rsidP="00CF5E08">
            <w:pPr>
              <w:spacing w:after="0" w:line="240" w:lineRule="auto"/>
              <w:jc w:val="center"/>
              <w:rPr>
                <w:color w:val="auto"/>
              </w:rPr>
            </w:pPr>
            <w:r w:rsidRPr="00BE6013">
              <w:rPr>
                <w:color w:val="auto"/>
              </w:rPr>
              <w:t>9.1272</w:t>
            </w:r>
          </w:p>
        </w:tc>
        <w:tc>
          <w:tcPr>
            <w:tcW w:w="1399" w:type="dxa"/>
            <w:noWrap/>
            <w:hideMark/>
          </w:tcPr>
          <w:p w14:paraId="48E8452D" w14:textId="77777777" w:rsidR="00387D69" w:rsidRPr="00BE6013" w:rsidRDefault="00387D69" w:rsidP="00CF5E08">
            <w:pPr>
              <w:spacing w:after="0" w:line="240" w:lineRule="auto"/>
              <w:jc w:val="center"/>
              <w:rPr>
                <w:color w:val="auto"/>
              </w:rPr>
            </w:pPr>
            <w:r w:rsidRPr="00BE6013">
              <w:rPr>
                <w:color w:val="auto"/>
              </w:rPr>
              <w:t>11.9840</w:t>
            </w:r>
          </w:p>
        </w:tc>
        <w:tc>
          <w:tcPr>
            <w:tcW w:w="1399" w:type="dxa"/>
            <w:noWrap/>
            <w:hideMark/>
          </w:tcPr>
          <w:p w14:paraId="11B2BDF2" w14:textId="77777777" w:rsidR="00387D69" w:rsidRPr="00BE6013" w:rsidRDefault="00387D69" w:rsidP="00CF5E08">
            <w:pPr>
              <w:spacing w:after="0" w:line="240" w:lineRule="auto"/>
              <w:jc w:val="center"/>
              <w:rPr>
                <w:color w:val="auto"/>
              </w:rPr>
            </w:pPr>
            <w:r w:rsidRPr="00BE6013">
              <w:rPr>
                <w:color w:val="auto"/>
              </w:rPr>
              <w:t>49.0071</w:t>
            </w:r>
          </w:p>
        </w:tc>
      </w:tr>
      <w:tr w:rsidR="00BE6013" w:rsidRPr="00BE6013" w14:paraId="4C62115A" w14:textId="77777777" w:rsidTr="00067054">
        <w:trPr>
          <w:trHeight w:val="319"/>
        </w:trPr>
        <w:tc>
          <w:tcPr>
            <w:tcW w:w="1856" w:type="dxa"/>
            <w:noWrap/>
            <w:hideMark/>
          </w:tcPr>
          <w:p w14:paraId="1F046747" w14:textId="77777777" w:rsidR="00387D69" w:rsidRPr="00BE6013" w:rsidRDefault="00387D69" w:rsidP="00CF5E08">
            <w:pPr>
              <w:spacing w:after="0" w:line="240" w:lineRule="auto"/>
              <w:rPr>
                <w:color w:val="auto"/>
              </w:rPr>
            </w:pPr>
            <w:r w:rsidRPr="00BE6013">
              <w:rPr>
                <w:color w:val="auto"/>
              </w:rPr>
              <w:t xml:space="preserve"> Probability</w:t>
            </w:r>
          </w:p>
        </w:tc>
        <w:tc>
          <w:tcPr>
            <w:tcW w:w="1399" w:type="dxa"/>
            <w:noWrap/>
            <w:hideMark/>
          </w:tcPr>
          <w:p w14:paraId="06FAD1B5" w14:textId="77777777" w:rsidR="00387D69" w:rsidRPr="00BE6013" w:rsidRDefault="00387D69" w:rsidP="00CF5E08">
            <w:pPr>
              <w:spacing w:after="0" w:line="240" w:lineRule="auto"/>
              <w:jc w:val="center"/>
              <w:rPr>
                <w:color w:val="auto"/>
              </w:rPr>
            </w:pPr>
            <w:r w:rsidRPr="00BE6013">
              <w:rPr>
                <w:color w:val="auto"/>
              </w:rPr>
              <w:t>0.1477</w:t>
            </w:r>
          </w:p>
        </w:tc>
        <w:tc>
          <w:tcPr>
            <w:tcW w:w="1399" w:type="dxa"/>
            <w:noWrap/>
            <w:hideMark/>
          </w:tcPr>
          <w:p w14:paraId="5F4BC818" w14:textId="77777777" w:rsidR="00387D69" w:rsidRPr="00BE6013" w:rsidRDefault="00387D69" w:rsidP="00CF5E08">
            <w:pPr>
              <w:spacing w:after="0" w:line="240" w:lineRule="auto"/>
              <w:jc w:val="center"/>
              <w:rPr>
                <w:color w:val="auto"/>
              </w:rPr>
            </w:pPr>
            <w:r w:rsidRPr="00BE6013">
              <w:rPr>
                <w:color w:val="auto"/>
              </w:rPr>
              <w:t>0.0000</w:t>
            </w:r>
          </w:p>
        </w:tc>
        <w:tc>
          <w:tcPr>
            <w:tcW w:w="1399" w:type="dxa"/>
            <w:noWrap/>
            <w:hideMark/>
          </w:tcPr>
          <w:p w14:paraId="79483B86" w14:textId="77777777" w:rsidR="00387D69" w:rsidRPr="00BE6013" w:rsidRDefault="00387D69" w:rsidP="00CF5E08">
            <w:pPr>
              <w:spacing w:after="0" w:line="240" w:lineRule="auto"/>
              <w:jc w:val="center"/>
              <w:rPr>
                <w:color w:val="auto"/>
              </w:rPr>
            </w:pPr>
            <w:r w:rsidRPr="00BE6013">
              <w:rPr>
                <w:color w:val="auto"/>
              </w:rPr>
              <w:t>0.0104</w:t>
            </w:r>
          </w:p>
        </w:tc>
        <w:tc>
          <w:tcPr>
            <w:tcW w:w="1399" w:type="dxa"/>
            <w:noWrap/>
            <w:hideMark/>
          </w:tcPr>
          <w:p w14:paraId="632078B7" w14:textId="77777777" w:rsidR="00387D69" w:rsidRPr="00BE6013" w:rsidRDefault="00387D69" w:rsidP="00CF5E08">
            <w:pPr>
              <w:spacing w:after="0" w:line="240" w:lineRule="auto"/>
              <w:jc w:val="center"/>
              <w:rPr>
                <w:color w:val="auto"/>
              </w:rPr>
            </w:pPr>
            <w:r w:rsidRPr="00BE6013">
              <w:rPr>
                <w:color w:val="auto"/>
              </w:rPr>
              <w:t>0.0024</w:t>
            </w:r>
          </w:p>
        </w:tc>
        <w:tc>
          <w:tcPr>
            <w:tcW w:w="1399" w:type="dxa"/>
            <w:noWrap/>
            <w:hideMark/>
          </w:tcPr>
          <w:p w14:paraId="6FC3FA31"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14C48360" w14:textId="77777777" w:rsidTr="00067054">
        <w:trPr>
          <w:trHeight w:val="319"/>
        </w:trPr>
        <w:tc>
          <w:tcPr>
            <w:tcW w:w="1856" w:type="dxa"/>
            <w:tcBorders>
              <w:bottom w:val="single" w:sz="18" w:space="0" w:color="auto"/>
            </w:tcBorders>
            <w:noWrap/>
            <w:hideMark/>
          </w:tcPr>
          <w:p w14:paraId="694084BB" w14:textId="77777777" w:rsidR="00387D69" w:rsidRPr="00BE6013" w:rsidRDefault="00387D69" w:rsidP="00CF5E08">
            <w:pPr>
              <w:spacing w:after="0" w:line="240" w:lineRule="auto"/>
              <w:rPr>
                <w:color w:val="auto"/>
              </w:rPr>
            </w:pPr>
            <w:r w:rsidRPr="00BE6013">
              <w:rPr>
                <w:color w:val="auto"/>
              </w:rPr>
              <w:t>Observations</w:t>
            </w:r>
          </w:p>
        </w:tc>
        <w:tc>
          <w:tcPr>
            <w:tcW w:w="1399" w:type="dxa"/>
            <w:tcBorders>
              <w:bottom w:val="single" w:sz="18" w:space="0" w:color="auto"/>
            </w:tcBorders>
            <w:noWrap/>
            <w:hideMark/>
          </w:tcPr>
          <w:p w14:paraId="6B30EE5F"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4F3596B1"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55E2D898"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7A9C2651" w14:textId="77777777" w:rsidR="00387D69" w:rsidRPr="00BE6013" w:rsidRDefault="00387D69" w:rsidP="00CF5E08">
            <w:pPr>
              <w:spacing w:after="0" w:line="240" w:lineRule="auto"/>
              <w:jc w:val="center"/>
              <w:rPr>
                <w:color w:val="auto"/>
              </w:rPr>
            </w:pPr>
            <w:r w:rsidRPr="00BE6013">
              <w:rPr>
                <w:color w:val="auto"/>
              </w:rPr>
              <w:t>34</w:t>
            </w:r>
          </w:p>
        </w:tc>
        <w:tc>
          <w:tcPr>
            <w:tcW w:w="1399" w:type="dxa"/>
            <w:tcBorders>
              <w:bottom w:val="single" w:sz="18" w:space="0" w:color="auto"/>
            </w:tcBorders>
            <w:noWrap/>
            <w:hideMark/>
          </w:tcPr>
          <w:p w14:paraId="5376EF3B" w14:textId="77777777" w:rsidR="00387D69" w:rsidRPr="00BE6013" w:rsidRDefault="00387D69" w:rsidP="00CF5E08">
            <w:pPr>
              <w:spacing w:after="0" w:line="240" w:lineRule="auto"/>
              <w:jc w:val="center"/>
              <w:rPr>
                <w:color w:val="auto"/>
              </w:rPr>
            </w:pPr>
            <w:r w:rsidRPr="00BE6013">
              <w:rPr>
                <w:color w:val="auto"/>
              </w:rPr>
              <w:t>34</w:t>
            </w:r>
          </w:p>
        </w:tc>
      </w:tr>
    </w:tbl>
    <w:p w14:paraId="51F0C4A7" w14:textId="77777777" w:rsidR="00387D69" w:rsidRPr="00BE6013" w:rsidRDefault="00387D69" w:rsidP="00CF5E08">
      <w:pPr>
        <w:spacing w:after="0" w:line="240" w:lineRule="auto"/>
        <w:rPr>
          <w:color w:val="auto"/>
        </w:rPr>
      </w:pPr>
      <w:r w:rsidRPr="00BE6013">
        <w:rPr>
          <w:color w:val="auto"/>
        </w:rPr>
        <w:t>Note: RGDP = real gross domestic product, BL = bank lending, BC = bank credit rate, MS = money supply, IN = inflation</w:t>
      </w:r>
    </w:p>
    <w:p w14:paraId="1CB51F26" w14:textId="77777777" w:rsidR="00387D69" w:rsidRPr="00BE6013" w:rsidRDefault="00387D69" w:rsidP="00CF5E08">
      <w:pPr>
        <w:spacing w:after="0" w:line="240" w:lineRule="auto"/>
        <w:rPr>
          <w:color w:val="auto"/>
        </w:rPr>
      </w:pPr>
    </w:p>
    <w:p w14:paraId="6B78BE88" w14:textId="2A7C9A15" w:rsidR="00387D69" w:rsidRPr="00BE6013" w:rsidRDefault="00387D69" w:rsidP="00CF5E08">
      <w:pPr>
        <w:spacing w:after="0" w:line="240" w:lineRule="auto"/>
        <w:ind w:left="58" w:firstLine="0"/>
        <w:rPr>
          <w:color w:val="auto"/>
        </w:rPr>
      </w:pPr>
      <w:r w:rsidRPr="00BE6013">
        <w:rPr>
          <w:color w:val="auto"/>
        </w:rPr>
        <w:t xml:space="preserve">Table .1 presents the results of the descriptive analysis for real gross domestic product, bank lending, bank credit rate, money supply, and inflation for the period considered, ranging from 1990 to 2023. Table 1 showed that the averaged real gross domestic product level was N45,229.7 billion and the level of real gross domestic product fluctuated during the period, as the level of total output increased from N21,462.73 billion to N76,684.94 billion. During the period investigation, banking lending in Nigeria averaged N8,077.455 billion. The minimum level of bank lending was N26.0001 billion and this rose to the maximum level of N44,536.13 billion during the period of investigation. During the period from 1990 to 2023, the descriptive results of Table 1 revealed that bank credit rate averaged 18.0861%, the minimum bank credit rate being 11.4831% and the maximum interest rate charged on bank credit was 29.8%. This statistic shows increased cost of capital which has implication for economic growth, as it reduces borrowing for consumption purpose and investment activities, thereby reducing total output level and may exacerbate the unemployment level in Nigeria. These results revealed fluctuation in real gross domestic product, bank lending and a high interest rate environment in Nigeria during the period of investigation. </w:t>
      </w:r>
    </w:p>
    <w:p w14:paraId="12325D6C" w14:textId="77777777" w:rsidR="00387D69" w:rsidRPr="00BE6013" w:rsidRDefault="00387D69" w:rsidP="00CF5E08">
      <w:pPr>
        <w:spacing w:after="0" w:line="240" w:lineRule="auto"/>
        <w:ind w:left="58" w:firstLine="0"/>
        <w:rPr>
          <w:color w:val="auto"/>
        </w:rPr>
      </w:pPr>
      <w:r w:rsidRPr="00BE6013">
        <w:rPr>
          <w:color w:val="auto"/>
        </w:rPr>
        <w:t xml:space="preserve">Within the studied period which spanned a period of 34 years, money supply averaged N13,087.73 billion, and the minimum volume of money in circulation during the period was N47.4232 billion and this reached a maximum of N63,512.4 billion. Inflation rate during the period averaged 18.2667 percent. The lowest inflation rate during the period was 5.39 percent and the maximum level of inflation during the period of investigation was 72.98 percent. The increased level of inflation which could be attributed to significant growth in money supply has far-reaching consequences, especially on economic growth, as an environment of high inflation tend to reduce consumption expenditure and investment spending due to the uncertainty it creates and the low purchasing power arising from eroding value of money, thereby undermining growth of the Nigerian economy. </w:t>
      </w:r>
    </w:p>
    <w:p w14:paraId="3136AF02" w14:textId="77777777" w:rsidR="00387D69" w:rsidRPr="00BE6013" w:rsidRDefault="00387D69" w:rsidP="00CF5E08">
      <w:pPr>
        <w:spacing w:after="0" w:line="240" w:lineRule="auto"/>
        <w:ind w:left="58" w:firstLine="0"/>
        <w:rPr>
          <w:color w:val="auto"/>
        </w:rPr>
      </w:pPr>
      <w:r w:rsidRPr="00BE6013">
        <w:rPr>
          <w:color w:val="auto"/>
        </w:rPr>
        <w:t xml:space="preserve">From the standard deviation values for the data series, the study observed strong fluctuation in real gross domestic product, bank lending, money supply and inflation, given the standard deviation values of N20,491.6 billion, N10,254.37 billion, N16,433.14 billion and 15.9214 percent, respectively. Less fluctuation was observed in bank credit rate given the standard deviation value of 3.7191 percent. The skewness statistics revealed that real gross domestic product, bank lending, bank credit rate, money </w:t>
      </w:r>
      <w:r w:rsidRPr="00BE6013">
        <w:rPr>
          <w:color w:val="auto"/>
        </w:rPr>
        <w:lastRenderedPageBreak/>
        <w:t xml:space="preserve">supply and inflation are positively skewed. From the Kurtosis statistics, it was observed that bank lending, bank credit rate, money supply and inflation are leptokurtic as their respective kurtosis values of 6.0472, 4.7610, 4.1120 and 6.9184 are greater than 3, whereas real gross domestic product is platykurtic, as kurtosis statistics of 1.3892 is less than 3. The study observed that real gross domestic product is normally distributed, as results show that bank lending, bank credit rate, money supply and inflation are not normally distributed.  </w:t>
      </w:r>
    </w:p>
    <w:p w14:paraId="19E4B11A" w14:textId="67E6CBAD" w:rsidR="00387D69" w:rsidRPr="00BE6013" w:rsidRDefault="00D34D60" w:rsidP="00CF5E08">
      <w:pPr>
        <w:pStyle w:val="Heading1"/>
        <w:spacing w:after="0" w:line="240" w:lineRule="auto"/>
        <w:rPr>
          <w:rFonts w:ascii="Times New Roman" w:hAnsi="Times New Roman" w:cs="Times New Roman"/>
          <w:b/>
          <w:bCs/>
          <w:color w:val="auto"/>
          <w:sz w:val="24"/>
          <w:szCs w:val="24"/>
        </w:rPr>
      </w:pPr>
      <w:bookmarkStart w:id="26" w:name="_Toc204673510"/>
      <w:r w:rsidRPr="00BE6013">
        <w:rPr>
          <w:rFonts w:ascii="Times New Roman" w:hAnsi="Times New Roman" w:cs="Times New Roman"/>
          <w:b/>
          <w:bCs/>
          <w:color w:val="auto"/>
          <w:sz w:val="24"/>
          <w:szCs w:val="24"/>
        </w:rPr>
        <w:t xml:space="preserve"> </w:t>
      </w:r>
      <w:r w:rsidR="00387D69" w:rsidRPr="00BE6013">
        <w:rPr>
          <w:rFonts w:ascii="Times New Roman" w:hAnsi="Times New Roman" w:cs="Times New Roman"/>
          <w:b/>
          <w:bCs/>
          <w:color w:val="auto"/>
          <w:sz w:val="24"/>
          <w:szCs w:val="24"/>
        </w:rPr>
        <w:t>Unit Root Test</w:t>
      </w:r>
      <w:bookmarkEnd w:id="26"/>
    </w:p>
    <w:p w14:paraId="756AEFF5" w14:textId="0DFF0966" w:rsidR="00387D69" w:rsidRPr="00BE6013" w:rsidRDefault="00387D69" w:rsidP="00CF5E08">
      <w:pPr>
        <w:spacing w:after="0" w:line="240" w:lineRule="auto"/>
        <w:ind w:left="58" w:firstLine="0"/>
        <w:rPr>
          <w:color w:val="auto"/>
        </w:rPr>
      </w:pPr>
      <w:r w:rsidRPr="00BE6013">
        <w:rPr>
          <w:color w:val="auto"/>
        </w:rPr>
        <w:t>The stationarity of the employed series is important if the results emanating from applying an appropriate method is to be reliable. This is because the estimation of a model with nonstationary variables not properly accounted for will result in misleading inference about the impact of independent variables on the dependent, in this case, the effect of bank lending (BL), bank credit rate (BC), money supply (MS) and inflation (IN) on real gross domestic product (RGDP). Testing for unit root in the series has several advantages. One of these advantages is that, unit root testing aids in the choice of the appropriate framework to use in examining the impact of bank lending (BL), bank credit rate (BC), money supply (MS) and inflation (IN) on real gross domestic product (RGDP). Also, by testing for unit root, the study can address certain statistical properties of the data series, thus, enabling the researcher reach reliable conclusion on the impact of bank lending (BL), bank credit rate (BC), money supply (MS) and inflation (IN) on real gross domestic product (RGDP). In order to avoid having spurious relationship and misleading results, the study conducted unit root test on the series using the Augmented Dickey-Fuller test approach.  The results of the ADF test are presented in Table 2.</w:t>
      </w:r>
    </w:p>
    <w:p w14:paraId="22848F14" w14:textId="77777777" w:rsidR="00387D69" w:rsidRPr="00BE6013" w:rsidRDefault="00387D69" w:rsidP="00CF5E08">
      <w:pPr>
        <w:spacing w:after="0" w:line="240" w:lineRule="auto"/>
        <w:ind w:left="58" w:firstLine="0"/>
        <w:rPr>
          <w:color w:val="auto"/>
        </w:rPr>
      </w:pPr>
    </w:p>
    <w:p w14:paraId="0BDC219D" w14:textId="77777777" w:rsidR="00D34D60" w:rsidRPr="00BE6013" w:rsidRDefault="00D34D60" w:rsidP="00CF5E08">
      <w:pPr>
        <w:spacing w:after="0" w:line="240" w:lineRule="auto"/>
        <w:ind w:left="58" w:firstLine="0"/>
        <w:rPr>
          <w:color w:val="auto"/>
        </w:rPr>
      </w:pPr>
    </w:p>
    <w:p w14:paraId="4A497793" w14:textId="77777777" w:rsidR="00D34D60" w:rsidRPr="00BE6013" w:rsidRDefault="00D34D60" w:rsidP="00CF5E08">
      <w:pPr>
        <w:spacing w:after="0" w:line="240" w:lineRule="auto"/>
        <w:ind w:left="58" w:firstLine="0"/>
        <w:rPr>
          <w:color w:val="auto"/>
        </w:rPr>
      </w:pPr>
    </w:p>
    <w:p w14:paraId="5560B8CA" w14:textId="77777777" w:rsidR="00D34D60" w:rsidRPr="00BE6013" w:rsidRDefault="00D34D60" w:rsidP="00CF5E08">
      <w:pPr>
        <w:spacing w:after="0" w:line="240" w:lineRule="auto"/>
        <w:ind w:left="58" w:firstLine="0"/>
        <w:rPr>
          <w:color w:val="auto"/>
        </w:rPr>
      </w:pPr>
    </w:p>
    <w:p w14:paraId="6B1BC61D" w14:textId="77777777" w:rsidR="00D34D60" w:rsidRPr="00BE6013" w:rsidRDefault="00D34D60" w:rsidP="00CF5E08">
      <w:pPr>
        <w:spacing w:after="0" w:line="240" w:lineRule="auto"/>
        <w:ind w:left="58" w:firstLine="0"/>
        <w:rPr>
          <w:color w:val="auto"/>
        </w:rPr>
      </w:pPr>
    </w:p>
    <w:p w14:paraId="4ACCB3D1" w14:textId="1CCA0B39" w:rsidR="00387D69" w:rsidRPr="00BE6013" w:rsidRDefault="00387D69" w:rsidP="00CF5E08">
      <w:pPr>
        <w:pStyle w:val="Caption"/>
        <w:spacing w:after="0"/>
        <w:rPr>
          <w:b w:val="0"/>
          <w:bCs/>
        </w:rPr>
      </w:pPr>
      <w:bookmarkStart w:id="27" w:name="_Toc203967822"/>
      <w:bookmarkStart w:id="28" w:name="_Hlk203030857"/>
      <w:r w:rsidRPr="00BE6013">
        <w:t xml:space="preserve">Table  </w:t>
      </w:r>
      <w:r w:rsidR="009317F1">
        <w:fldChar w:fldCharType="begin"/>
      </w:r>
      <w:r w:rsidR="009317F1">
        <w:instrText xml:space="preserve"> SEQ Table_</w:instrText>
      </w:r>
      <w:r w:rsidR="009317F1">
        <w:instrText xml:space="preserve">4. \* ARABIC </w:instrText>
      </w:r>
      <w:r w:rsidR="009317F1">
        <w:fldChar w:fldCharType="separate"/>
      </w:r>
      <w:r w:rsidRPr="00BE6013">
        <w:rPr>
          <w:noProof/>
        </w:rPr>
        <w:t>2</w:t>
      </w:r>
      <w:r w:rsidR="009317F1">
        <w:rPr>
          <w:noProof/>
        </w:rPr>
        <w:fldChar w:fldCharType="end"/>
      </w:r>
      <w:r w:rsidRPr="00BE6013">
        <w:rPr>
          <w:bCs/>
        </w:rPr>
        <w:t>: Stationarity test at level</w:t>
      </w:r>
      <w:bookmarkEnd w:id="27"/>
    </w:p>
    <w:tbl>
      <w:tblPr>
        <w:tblStyle w:val="PlainTable2"/>
        <w:tblW w:w="0" w:type="auto"/>
        <w:tblInd w:w="0" w:type="dxa"/>
        <w:tblLook w:val="0620" w:firstRow="1" w:lastRow="0" w:firstColumn="0" w:lastColumn="0" w:noHBand="1" w:noVBand="1"/>
      </w:tblPr>
      <w:tblGrid>
        <w:gridCol w:w="1870"/>
        <w:gridCol w:w="1870"/>
        <w:gridCol w:w="1870"/>
        <w:gridCol w:w="1870"/>
        <w:gridCol w:w="1870"/>
      </w:tblGrid>
      <w:tr w:rsidR="00BE6013" w:rsidRPr="00BE6013" w14:paraId="716AC01F" w14:textId="77777777" w:rsidTr="00067054">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2" w:space="0" w:color="auto"/>
              <w:bottom w:val="single" w:sz="12" w:space="0" w:color="auto"/>
            </w:tcBorders>
          </w:tcPr>
          <w:p w14:paraId="2A1B2607" w14:textId="77777777" w:rsidR="00387D69" w:rsidRPr="00BE6013" w:rsidRDefault="00387D69" w:rsidP="00CF5E08">
            <w:pPr>
              <w:spacing w:after="0" w:line="240" w:lineRule="auto"/>
              <w:jc w:val="center"/>
              <w:rPr>
                <w:color w:val="auto"/>
              </w:rPr>
            </w:pPr>
            <w:r w:rsidRPr="00BE6013">
              <w:rPr>
                <w:color w:val="auto"/>
              </w:rPr>
              <w:t>Variable</w:t>
            </w:r>
          </w:p>
        </w:tc>
        <w:tc>
          <w:tcPr>
            <w:tcW w:w="1870" w:type="dxa"/>
            <w:tcBorders>
              <w:top w:val="single" w:sz="12" w:space="0" w:color="auto"/>
              <w:bottom w:val="single" w:sz="12" w:space="0" w:color="auto"/>
            </w:tcBorders>
          </w:tcPr>
          <w:p w14:paraId="6E8EB0DC" w14:textId="77777777" w:rsidR="00387D69" w:rsidRPr="00BE6013" w:rsidRDefault="00387D69" w:rsidP="00CF5E08">
            <w:pPr>
              <w:spacing w:after="0" w:line="240" w:lineRule="auto"/>
              <w:jc w:val="center"/>
              <w:rPr>
                <w:color w:val="auto"/>
              </w:rPr>
            </w:pPr>
            <w:r w:rsidRPr="00BE6013">
              <w:rPr>
                <w:color w:val="auto"/>
              </w:rPr>
              <w:t>ADF Stat.</w:t>
            </w:r>
          </w:p>
        </w:tc>
        <w:tc>
          <w:tcPr>
            <w:tcW w:w="1870" w:type="dxa"/>
            <w:tcBorders>
              <w:top w:val="single" w:sz="12" w:space="0" w:color="auto"/>
              <w:bottom w:val="single" w:sz="12" w:space="0" w:color="auto"/>
            </w:tcBorders>
          </w:tcPr>
          <w:p w14:paraId="7323CB59" w14:textId="77777777" w:rsidR="00387D69" w:rsidRPr="00BE6013" w:rsidRDefault="00387D69" w:rsidP="00CF5E08">
            <w:pPr>
              <w:spacing w:after="0" w:line="240" w:lineRule="auto"/>
              <w:jc w:val="center"/>
              <w:rPr>
                <w:color w:val="auto"/>
              </w:rPr>
            </w:pPr>
            <w:r w:rsidRPr="00BE6013">
              <w:rPr>
                <w:color w:val="auto"/>
              </w:rPr>
              <w:t>C.V</w:t>
            </w:r>
          </w:p>
        </w:tc>
        <w:tc>
          <w:tcPr>
            <w:tcW w:w="1870" w:type="dxa"/>
            <w:tcBorders>
              <w:top w:val="single" w:sz="12" w:space="0" w:color="auto"/>
              <w:bottom w:val="single" w:sz="12" w:space="0" w:color="auto"/>
            </w:tcBorders>
          </w:tcPr>
          <w:p w14:paraId="3F3D1709" w14:textId="77777777" w:rsidR="00387D69" w:rsidRPr="00BE6013" w:rsidRDefault="00387D69" w:rsidP="00CF5E08">
            <w:pPr>
              <w:spacing w:after="0" w:line="240" w:lineRule="auto"/>
              <w:jc w:val="center"/>
              <w:rPr>
                <w:color w:val="auto"/>
              </w:rPr>
            </w:pPr>
            <w:r w:rsidRPr="00BE6013">
              <w:rPr>
                <w:color w:val="auto"/>
              </w:rPr>
              <w:t>Prob.</w:t>
            </w:r>
          </w:p>
        </w:tc>
        <w:tc>
          <w:tcPr>
            <w:tcW w:w="1870" w:type="dxa"/>
            <w:tcBorders>
              <w:top w:val="single" w:sz="12" w:space="0" w:color="auto"/>
              <w:bottom w:val="single" w:sz="12" w:space="0" w:color="auto"/>
            </w:tcBorders>
          </w:tcPr>
          <w:p w14:paraId="25A977EF" w14:textId="77777777" w:rsidR="00387D69" w:rsidRPr="00BE6013" w:rsidRDefault="00387D69" w:rsidP="00CF5E08">
            <w:pPr>
              <w:spacing w:after="0" w:line="240" w:lineRule="auto"/>
              <w:jc w:val="center"/>
              <w:rPr>
                <w:color w:val="auto"/>
              </w:rPr>
            </w:pPr>
            <w:r w:rsidRPr="00BE6013">
              <w:rPr>
                <w:color w:val="auto"/>
              </w:rPr>
              <w:t>Decision</w:t>
            </w:r>
          </w:p>
        </w:tc>
      </w:tr>
      <w:tr w:rsidR="00BE6013" w:rsidRPr="00BE6013" w14:paraId="0A345FD6" w14:textId="77777777" w:rsidTr="00067054">
        <w:trPr>
          <w:trHeight w:val="143"/>
        </w:trPr>
        <w:tc>
          <w:tcPr>
            <w:tcW w:w="1870" w:type="dxa"/>
            <w:tcBorders>
              <w:top w:val="single" w:sz="12" w:space="0" w:color="auto"/>
            </w:tcBorders>
          </w:tcPr>
          <w:p w14:paraId="27595D39"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tcPr>
          <w:p w14:paraId="2A5A2634" w14:textId="77777777" w:rsidR="00387D69" w:rsidRPr="00BE6013" w:rsidRDefault="00387D69" w:rsidP="00CF5E08">
            <w:pPr>
              <w:spacing w:after="0" w:line="240" w:lineRule="auto"/>
              <w:jc w:val="center"/>
              <w:rPr>
                <w:color w:val="auto"/>
              </w:rPr>
            </w:pPr>
            <w:r w:rsidRPr="00BE6013">
              <w:rPr>
                <w:color w:val="auto"/>
              </w:rPr>
              <w:t>-0.7361</w:t>
            </w:r>
          </w:p>
        </w:tc>
        <w:tc>
          <w:tcPr>
            <w:tcW w:w="1870" w:type="dxa"/>
            <w:tcBorders>
              <w:top w:val="single" w:sz="12" w:space="0" w:color="auto"/>
            </w:tcBorders>
          </w:tcPr>
          <w:p w14:paraId="5F787234" w14:textId="77777777" w:rsidR="00387D69" w:rsidRPr="00BE6013" w:rsidRDefault="00387D69" w:rsidP="00CF5E08">
            <w:pPr>
              <w:spacing w:after="0" w:line="240" w:lineRule="auto"/>
              <w:jc w:val="center"/>
              <w:rPr>
                <w:color w:val="auto"/>
              </w:rPr>
            </w:pPr>
            <w:r w:rsidRPr="00BE6013">
              <w:rPr>
                <w:color w:val="auto"/>
              </w:rPr>
              <w:t>-2.9571</w:t>
            </w:r>
          </w:p>
        </w:tc>
        <w:tc>
          <w:tcPr>
            <w:tcW w:w="1870" w:type="dxa"/>
            <w:tcBorders>
              <w:top w:val="single" w:sz="12" w:space="0" w:color="auto"/>
            </w:tcBorders>
          </w:tcPr>
          <w:p w14:paraId="2AC22283" w14:textId="77777777" w:rsidR="00387D69" w:rsidRPr="00BE6013" w:rsidRDefault="00387D69" w:rsidP="00CF5E08">
            <w:pPr>
              <w:spacing w:after="0" w:line="240" w:lineRule="auto"/>
              <w:jc w:val="center"/>
              <w:rPr>
                <w:color w:val="auto"/>
              </w:rPr>
            </w:pPr>
            <w:r w:rsidRPr="00BE6013">
              <w:rPr>
                <w:color w:val="auto"/>
              </w:rPr>
              <w:t>0.8233</w:t>
            </w:r>
          </w:p>
        </w:tc>
        <w:tc>
          <w:tcPr>
            <w:tcW w:w="1870" w:type="dxa"/>
            <w:tcBorders>
              <w:top w:val="single" w:sz="12" w:space="0" w:color="auto"/>
            </w:tcBorders>
          </w:tcPr>
          <w:p w14:paraId="74B2CB76" w14:textId="77777777" w:rsidR="00387D69" w:rsidRPr="00BE6013" w:rsidRDefault="00387D69" w:rsidP="00CF5E08">
            <w:pPr>
              <w:spacing w:after="0" w:line="240" w:lineRule="auto"/>
              <w:jc w:val="center"/>
              <w:rPr>
                <w:color w:val="auto"/>
              </w:rPr>
            </w:pPr>
            <w:r w:rsidRPr="00BE6013">
              <w:rPr>
                <w:color w:val="auto"/>
              </w:rPr>
              <w:t>Accepted</w:t>
            </w:r>
          </w:p>
        </w:tc>
      </w:tr>
      <w:tr w:rsidR="00BE6013" w:rsidRPr="00BE6013" w14:paraId="3ABA0D90" w14:textId="77777777" w:rsidTr="00067054">
        <w:tc>
          <w:tcPr>
            <w:tcW w:w="1870" w:type="dxa"/>
          </w:tcPr>
          <w:p w14:paraId="164D52DC"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tcPr>
          <w:p w14:paraId="2F708BA7" w14:textId="77777777" w:rsidR="00387D69" w:rsidRPr="00BE6013" w:rsidRDefault="00387D69" w:rsidP="00CF5E08">
            <w:pPr>
              <w:spacing w:after="0" w:line="240" w:lineRule="auto"/>
              <w:jc w:val="center"/>
              <w:rPr>
                <w:color w:val="auto"/>
              </w:rPr>
            </w:pPr>
            <w:r w:rsidRPr="00BE6013">
              <w:rPr>
                <w:color w:val="auto"/>
              </w:rPr>
              <w:t>-2.1667</w:t>
            </w:r>
          </w:p>
        </w:tc>
        <w:tc>
          <w:tcPr>
            <w:tcW w:w="1870" w:type="dxa"/>
          </w:tcPr>
          <w:p w14:paraId="0BAA5552" w14:textId="77777777" w:rsidR="00387D69" w:rsidRPr="00BE6013" w:rsidRDefault="00387D69" w:rsidP="00CF5E08">
            <w:pPr>
              <w:spacing w:after="0" w:line="240" w:lineRule="auto"/>
              <w:jc w:val="center"/>
              <w:rPr>
                <w:color w:val="auto"/>
              </w:rPr>
            </w:pPr>
            <w:r w:rsidRPr="00BE6013">
              <w:rPr>
                <w:color w:val="auto"/>
              </w:rPr>
              <w:t>-2.9571</w:t>
            </w:r>
          </w:p>
        </w:tc>
        <w:tc>
          <w:tcPr>
            <w:tcW w:w="1870" w:type="dxa"/>
          </w:tcPr>
          <w:p w14:paraId="2097E17D" w14:textId="77777777" w:rsidR="00387D69" w:rsidRPr="00BE6013" w:rsidRDefault="00387D69" w:rsidP="00CF5E08">
            <w:pPr>
              <w:spacing w:after="0" w:line="240" w:lineRule="auto"/>
              <w:jc w:val="center"/>
              <w:rPr>
                <w:color w:val="auto"/>
              </w:rPr>
            </w:pPr>
            <w:r w:rsidRPr="00BE6013">
              <w:rPr>
                <w:color w:val="auto"/>
              </w:rPr>
              <w:t>0.2217</w:t>
            </w:r>
          </w:p>
        </w:tc>
        <w:tc>
          <w:tcPr>
            <w:tcW w:w="1870" w:type="dxa"/>
          </w:tcPr>
          <w:p w14:paraId="7DB242CF" w14:textId="77777777" w:rsidR="00387D69" w:rsidRPr="00BE6013" w:rsidRDefault="00387D69" w:rsidP="00CF5E08">
            <w:pPr>
              <w:spacing w:after="0" w:line="240" w:lineRule="auto"/>
              <w:jc w:val="center"/>
              <w:rPr>
                <w:color w:val="auto"/>
              </w:rPr>
            </w:pPr>
            <w:r w:rsidRPr="00BE6013">
              <w:rPr>
                <w:color w:val="auto"/>
              </w:rPr>
              <w:t>Accepted</w:t>
            </w:r>
          </w:p>
        </w:tc>
      </w:tr>
      <w:tr w:rsidR="00BE6013" w:rsidRPr="00BE6013" w14:paraId="2A558680" w14:textId="77777777" w:rsidTr="00067054">
        <w:tc>
          <w:tcPr>
            <w:tcW w:w="1870" w:type="dxa"/>
          </w:tcPr>
          <w:p w14:paraId="0EA72BA7"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tcPr>
          <w:p w14:paraId="3E424D15" w14:textId="77777777" w:rsidR="00387D69" w:rsidRPr="00BE6013" w:rsidRDefault="00387D69" w:rsidP="00CF5E08">
            <w:pPr>
              <w:spacing w:after="0" w:line="240" w:lineRule="auto"/>
              <w:jc w:val="center"/>
              <w:rPr>
                <w:color w:val="auto"/>
              </w:rPr>
            </w:pPr>
            <w:r w:rsidRPr="00BE6013">
              <w:rPr>
                <w:color w:val="auto"/>
              </w:rPr>
              <w:t>-3.7378</w:t>
            </w:r>
          </w:p>
        </w:tc>
        <w:tc>
          <w:tcPr>
            <w:tcW w:w="1870" w:type="dxa"/>
          </w:tcPr>
          <w:p w14:paraId="1093E6F0" w14:textId="77777777" w:rsidR="00387D69" w:rsidRPr="00BE6013" w:rsidRDefault="00387D69" w:rsidP="00CF5E08">
            <w:pPr>
              <w:spacing w:after="0" w:line="240" w:lineRule="auto"/>
              <w:jc w:val="center"/>
              <w:rPr>
                <w:color w:val="auto"/>
              </w:rPr>
            </w:pPr>
            <w:r w:rsidRPr="00BE6013">
              <w:rPr>
                <w:color w:val="auto"/>
              </w:rPr>
              <w:t>-2.9540</w:t>
            </w:r>
          </w:p>
        </w:tc>
        <w:tc>
          <w:tcPr>
            <w:tcW w:w="1870" w:type="dxa"/>
          </w:tcPr>
          <w:p w14:paraId="150F4388" w14:textId="77777777" w:rsidR="00387D69" w:rsidRPr="00BE6013" w:rsidRDefault="00387D69" w:rsidP="00CF5E08">
            <w:pPr>
              <w:spacing w:after="0" w:line="240" w:lineRule="auto"/>
              <w:jc w:val="center"/>
              <w:rPr>
                <w:color w:val="auto"/>
              </w:rPr>
            </w:pPr>
            <w:r w:rsidRPr="00BE6013">
              <w:rPr>
                <w:color w:val="auto"/>
              </w:rPr>
              <w:t>0.0080</w:t>
            </w:r>
          </w:p>
        </w:tc>
        <w:tc>
          <w:tcPr>
            <w:tcW w:w="1870" w:type="dxa"/>
          </w:tcPr>
          <w:p w14:paraId="059E70AE"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1A250007" w14:textId="77777777" w:rsidTr="00067054">
        <w:tc>
          <w:tcPr>
            <w:tcW w:w="1870" w:type="dxa"/>
          </w:tcPr>
          <w:p w14:paraId="2E159453"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tcPr>
          <w:p w14:paraId="0CE7F3FF" w14:textId="77777777" w:rsidR="00387D69" w:rsidRPr="00BE6013" w:rsidRDefault="00387D69" w:rsidP="00CF5E08">
            <w:pPr>
              <w:spacing w:after="0" w:line="240" w:lineRule="auto"/>
              <w:jc w:val="center"/>
              <w:rPr>
                <w:color w:val="auto"/>
              </w:rPr>
            </w:pPr>
            <w:r w:rsidRPr="00BE6013">
              <w:rPr>
                <w:color w:val="auto"/>
              </w:rPr>
              <w:t>-4.1313</w:t>
            </w:r>
          </w:p>
        </w:tc>
        <w:tc>
          <w:tcPr>
            <w:tcW w:w="1870" w:type="dxa"/>
          </w:tcPr>
          <w:p w14:paraId="398827D2" w14:textId="77777777" w:rsidR="00387D69" w:rsidRPr="00BE6013" w:rsidRDefault="00387D69" w:rsidP="00CF5E08">
            <w:pPr>
              <w:spacing w:after="0" w:line="240" w:lineRule="auto"/>
              <w:jc w:val="center"/>
              <w:rPr>
                <w:color w:val="auto"/>
              </w:rPr>
            </w:pPr>
            <w:r w:rsidRPr="00BE6013">
              <w:rPr>
                <w:color w:val="auto"/>
              </w:rPr>
              <w:t>-2.9540</w:t>
            </w:r>
          </w:p>
        </w:tc>
        <w:tc>
          <w:tcPr>
            <w:tcW w:w="1870" w:type="dxa"/>
          </w:tcPr>
          <w:p w14:paraId="376C873F" w14:textId="77777777" w:rsidR="00387D69" w:rsidRPr="00BE6013" w:rsidRDefault="00387D69" w:rsidP="00CF5E08">
            <w:pPr>
              <w:spacing w:after="0" w:line="240" w:lineRule="auto"/>
              <w:jc w:val="center"/>
              <w:rPr>
                <w:color w:val="auto"/>
              </w:rPr>
            </w:pPr>
            <w:r w:rsidRPr="00BE6013">
              <w:rPr>
                <w:color w:val="auto"/>
              </w:rPr>
              <w:t>0.0029</w:t>
            </w:r>
          </w:p>
        </w:tc>
        <w:tc>
          <w:tcPr>
            <w:tcW w:w="1870" w:type="dxa"/>
          </w:tcPr>
          <w:p w14:paraId="598D3B33"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2B4F7CF6" w14:textId="77777777" w:rsidTr="00067054">
        <w:tc>
          <w:tcPr>
            <w:tcW w:w="1870" w:type="dxa"/>
            <w:tcBorders>
              <w:bottom w:val="single" w:sz="12" w:space="0" w:color="auto"/>
            </w:tcBorders>
          </w:tcPr>
          <w:p w14:paraId="187EC09F"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tcPr>
          <w:p w14:paraId="51B05074" w14:textId="77777777" w:rsidR="00387D69" w:rsidRPr="00BE6013" w:rsidRDefault="00387D69" w:rsidP="00CF5E08">
            <w:pPr>
              <w:spacing w:after="0" w:line="240" w:lineRule="auto"/>
              <w:jc w:val="center"/>
              <w:rPr>
                <w:color w:val="auto"/>
              </w:rPr>
            </w:pPr>
            <w:r w:rsidRPr="00BE6013">
              <w:rPr>
                <w:color w:val="auto"/>
              </w:rPr>
              <w:t>-2.1599</w:t>
            </w:r>
          </w:p>
        </w:tc>
        <w:tc>
          <w:tcPr>
            <w:tcW w:w="1870" w:type="dxa"/>
            <w:tcBorders>
              <w:bottom w:val="single" w:sz="12" w:space="0" w:color="auto"/>
            </w:tcBorders>
          </w:tcPr>
          <w:p w14:paraId="740B50EC" w14:textId="77777777" w:rsidR="00387D69" w:rsidRPr="00BE6013" w:rsidRDefault="00387D69" w:rsidP="00CF5E08">
            <w:pPr>
              <w:spacing w:after="0" w:line="240" w:lineRule="auto"/>
              <w:jc w:val="center"/>
              <w:rPr>
                <w:color w:val="auto"/>
              </w:rPr>
            </w:pPr>
            <w:r w:rsidRPr="00BE6013">
              <w:rPr>
                <w:color w:val="auto"/>
              </w:rPr>
              <w:t>-2.9540</w:t>
            </w:r>
          </w:p>
        </w:tc>
        <w:tc>
          <w:tcPr>
            <w:tcW w:w="1870" w:type="dxa"/>
            <w:tcBorders>
              <w:bottom w:val="single" w:sz="12" w:space="0" w:color="auto"/>
            </w:tcBorders>
          </w:tcPr>
          <w:p w14:paraId="712C6551" w14:textId="77777777" w:rsidR="00387D69" w:rsidRPr="00BE6013" w:rsidRDefault="00387D69" w:rsidP="00CF5E08">
            <w:pPr>
              <w:spacing w:after="0" w:line="240" w:lineRule="auto"/>
              <w:jc w:val="center"/>
              <w:rPr>
                <w:color w:val="auto"/>
              </w:rPr>
            </w:pPr>
            <w:r w:rsidRPr="00BE6013">
              <w:rPr>
                <w:color w:val="auto"/>
              </w:rPr>
              <w:t>0.2240</w:t>
            </w:r>
          </w:p>
        </w:tc>
        <w:tc>
          <w:tcPr>
            <w:tcW w:w="1870" w:type="dxa"/>
            <w:tcBorders>
              <w:bottom w:val="single" w:sz="12" w:space="0" w:color="auto"/>
            </w:tcBorders>
          </w:tcPr>
          <w:p w14:paraId="4F37D0BB" w14:textId="77777777" w:rsidR="00387D69" w:rsidRPr="00BE6013" w:rsidRDefault="00387D69" w:rsidP="00CF5E08">
            <w:pPr>
              <w:spacing w:after="0" w:line="240" w:lineRule="auto"/>
              <w:jc w:val="center"/>
              <w:rPr>
                <w:color w:val="auto"/>
              </w:rPr>
            </w:pPr>
            <w:r w:rsidRPr="00BE6013">
              <w:rPr>
                <w:color w:val="auto"/>
              </w:rPr>
              <w:t>Accepted</w:t>
            </w:r>
          </w:p>
        </w:tc>
      </w:tr>
    </w:tbl>
    <w:p w14:paraId="2379B9D8" w14:textId="77777777" w:rsidR="00387D69" w:rsidRPr="00BE6013" w:rsidRDefault="00387D69" w:rsidP="00CF5E08">
      <w:pPr>
        <w:spacing w:after="0" w:line="240" w:lineRule="auto"/>
        <w:rPr>
          <w:color w:val="auto"/>
        </w:rPr>
      </w:pPr>
      <w:r w:rsidRPr="00BE6013">
        <w:rPr>
          <w:color w:val="auto"/>
        </w:rPr>
        <w:t>Source: Author’s computation (2025)</w:t>
      </w:r>
    </w:p>
    <w:bookmarkEnd w:id="28"/>
    <w:p w14:paraId="0FDB4A18" w14:textId="77777777" w:rsidR="00387D69" w:rsidRPr="00BE6013" w:rsidRDefault="00387D69" w:rsidP="00CF5E08">
      <w:pPr>
        <w:spacing w:after="0" w:line="240" w:lineRule="auto"/>
        <w:rPr>
          <w:color w:val="auto"/>
        </w:rPr>
      </w:pPr>
    </w:p>
    <w:p w14:paraId="6AB63E27" w14:textId="14E60D0C" w:rsidR="00387D69" w:rsidRPr="00BE6013" w:rsidRDefault="00387D69" w:rsidP="00CF5E08">
      <w:pPr>
        <w:spacing w:after="0" w:line="240" w:lineRule="auto"/>
        <w:rPr>
          <w:color w:val="auto"/>
        </w:rPr>
      </w:pPr>
      <w:r w:rsidRPr="00BE6013">
        <w:rPr>
          <w:color w:val="auto"/>
        </w:rPr>
        <w:t>The unit root test on the level series of bank lending (BL), bank credit rate (BC), money supply (MS) and inflation (IN) on real gross domestic product (RGDP) based on the augmented Dickey-Fuller approach is presented in Table 2. The null hypothesis of the ADF test is that, the series has unit root. The results show that the probability value of the ADF statistics for real gross domestic product, bank lending, and inflation are higher than 0.05, lead to the study failing to reject the hypothesis of non-stationarity of the series, which implies that real gross domestic product, bank lending, and inflation are non-stationary in level form. In contrast, the study found that p-value of the ADF statistics of -3.7378 for bank credit rate and -4.1313 for money supply is less than 0.05, thus, the study rejected the null hypothesis of non-stationarity. This result indicates that bank credit rate and money supply are stationary in level form. The non-stationarity of real gross domestic product, bank lending, and inflation in level form provide the ground to conducted the ADF test on the first difference transformation of real gross domestic product, bank lending, and inflation.</w:t>
      </w:r>
    </w:p>
    <w:p w14:paraId="6C7B4A49" w14:textId="0131DA8D" w:rsidR="00387D69" w:rsidRPr="00BE6013" w:rsidRDefault="00387D69" w:rsidP="00CF5E08">
      <w:pPr>
        <w:pStyle w:val="Caption"/>
        <w:spacing w:after="0"/>
        <w:rPr>
          <w:b w:val="0"/>
          <w:bCs/>
        </w:rPr>
      </w:pPr>
      <w:bookmarkStart w:id="29" w:name="_Toc203967823"/>
      <w:bookmarkStart w:id="30" w:name="_Hlk203031073"/>
      <w:r w:rsidRPr="00BE6013">
        <w:t xml:space="preserve">Table </w:t>
      </w:r>
      <w:r w:rsidR="009317F1">
        <w:fldChar w:fldCharType="begin"/>
      </w:r>
      <w:r w:rsidR="009317F1">
        <w:instrText xml:space="preserve"> SEQ Table_4. \* ARABIC </w:instrText>
      </w:r>
      <w:r w:rsidR="009317F1">
        <w:fldChar w:fldCharType="separate"/>
      </w:r>
      <w:r w:rsidRPr="00BE6013">
        <w:rPr>
          <w:noProof/>
        </w:rPr>
        <w:t>3</w:t>
      </w:r>
      <w:r w:rsidR="009317F1">
        <w:rPr>
          <w:noProof/>
        </w:rPr>
        <w:fldChar w:fldCharType="end"/>
      </w:r>
      <w:r w:rsidRPr="00BE6013">
        <w:rPr>
          <w:bCs/>
        </w:rPr>
        <w:t>: Stationarity test at first difference</w:t>
      </w:r>
      <w:bookmarkEnd w:id="29"/>
    </w:p>
    <w:tbl>
      <w:tblPr>
        <w:tblStyle w:val="PlainTable2"/>
        <w:tblW w:w="0" w:type="auto"/>
        <w:tblInd w:w="0" w:type="dxa"/>
        <w:tblLook w:val="0620" w:firstRow="1" w:lastRow="0" w:firstColumn="0" w:lastColumn="0" w:noHBand="1" w:noVBand="1"/>
      </w:tblPr>
      <w:tblGrid>
        <w:gridCol w:w="1870"/>
        <w:gridCol w:w="1870"/>
        <w:gridCol w:w="1870"/>
        <w:gridCol w:w="1870"/>
        <w:gridCol w:w="1870"/>
      </w:tblGrid>
      <w:tr w:rsidR="00BE6013" w:rsidRPr="00BE6013" w14:paraId="6F6FF4DD" w14:textId="77777777" w:rsidTr="00067054">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2" w:space="0" w:color="auto"/>
              <w:bottom w:val="single" w:sz="12" w:space="0" w:color="auto"/>
            </w:tcBorders>
          </w:tcPr>
          <w:p w14:paraId="50DDD6D8" w14:textId="77777777" w:rsidR="00387D69" w:rsidRPr="00BE6013" w:rsidRDefault="00387D69" w:rsidP="00CF5E08">
            <w:pPr>
              <w:spacing w:after="0" w:line="240" w:lineRule="auto"/>
              <w:jc w:val="center"/>
              <w:rPr>
                <w:color w:val="auto"/>
              </w:rPr>
            </w:pPr>
            <w:r w:rsidRPr="00BE6013">
              <w:rPr>
                <w:color w:val="auto"/>
              </w:rPr>
              <w:lastRenderedPageBreak/>
              <w:t>Variable</w:t>
            </w:r>
          </w:p>
        </w:tc>
        <w:tc>
          <w:tcPr>
            <w:tcW w:w="1870" w:type="dxa"/>
            <w:tcBorders>
              <w:top w:val="single" w:sz="12" w:space="0" w:color="auto"/>
              <w:bottom w:val="single" w:sz="12" w:space="0" w:color="auto"/>
            </w:tcBorders>
          </w:tcPr>
          <w:p w14:paraId="6987EDEA" w14:textId="77777777" w:rsidR="00387D69" w:rsidRPr="00BE6013" w:rsidRDefault="00387D69" w:rsidP="00CF5E08">
            <w:pPr>
              <w:spacing w:after="0" w:line="240" w:lineRule="auto"/>
              <w:jc w:val="center"/>
              <w:rPr>
                <w:color w:val="auto"/>
              </w:rPr>
            </w:pPr>
            <w:r w:rsidRPr="00BE6013">
              <w:rPr>
                <w:color w:val="auto"/>
              </w:rPr>
              <w:t>ADF Stat.</w:t>
            </w:r>
          </w:p>
        </w:tc>
        <w:tc>
          <w:tcPr>
            <w:tcW w:w="1870" w:type="dxa"/>
            <w:tcBorders>
              <w:top w:val="single" w:sz="12" w:space="0" w:color="auto"/>
              <w:bottom w:val="single" w:sz="12" w:space="0" w:color="auto"/>
            </w:tcBorders>
          </w:tcPr>
          <w:p w14:paraId="1EBF14DC" w14:textId="77777777" w:rsidR="00387D69" w:rsidRPr="00BE6013" w:rsidRDefault="00387D69" w:rsidP="00CF5E08">
            <w:pPr>
              <w:spacing w:after="0" w:line="240" w:lineRule="auto"/>
              <w:jc w:val="center"/>
              <w:rPr>
                <w:color w:val="auto"/>
              </w:rPr>
            </w:pPr>
            <w:r w:rsidRPr="00BE6013">
              <w:rPr>
                <w:color w:val="auto"/>
              </w:rPr>
              <w:t>C.V</w:t>
            </w:r>
          </w:p>
        </w:tc>
        <w:tc>
          <w:tcPr>
            <w:tcW w:w="1870" w:type="dxa"/>
            <w:tcBorders>
              <w:top w:val="single" w:sz="12" w:space="0" w:color="auto"/>
              <w:bottom w:val="single" w:sz="12" w:space="0" w:color="auto"/>
            </w:tcBorders>
          </w:tcPr>
          <w:p w14:paraId="238FF026" w14:textId="77777777" w:rsidR="00387D69" w:rsidRPr="00BE6013" w:rsidRDefault="00387D69" w:rsidP="00CF5E08">
            <w:pPr>
              <w:spacing w:after="0" w:line="240" w:lineRule="auto"/>
              <w:jc w:val="center"/>
              <w:rPr>
                <w:color w:val="auto"/>
              </w:rPr>
            </w:pPr>
            <w:r w:rsidRPr="00BE6013">
              <w:rPr>
                <w:color w:val="auto"/>
              </w:rPr>
              <w:t>Prob.</w:t>
            </w:r>
          </w:p>
        </w:tc>
        <w:tc>
          <w:tcPr>
            <w:tcW w:w="1870" w:type="dxa"/>
            <w:tcBorders>
              <w:top w:val="single" w:sz="12" w:space="0" w:color="auto"/>
              <w:bottom w:val="single" w:sz="12" w:space="0" w:color="auto"/>
            </w:tcBorders>
          </w:tcPr>
          <w:p w14:paraId="63FCAC6E" w14:textId="77777777" w:rsidR="00387D69" w:rsidRPr="00BE6013" w:rsidRDefault="00387D69" w:rsidP="00CF5E08">
            <w:pPr>
              <w:spacing w:after="0" w:line="240" w:lineRule="auto"/>
              <w:jc w:val="center"/>
              <w:rPr>
                <w:color w:val="auto"/>
              </w:rPr>
            </w:pPr>
            <w:r w:rsidRPr="00BE6013">
              <w:rPr>
                <w:color w:val="auto"/>
              </w:rPr>
              <w:t>Decision</w:t>
            </w:r>
          </w:p>
        </w:tc>
      </w:tr>
      <w:tr w:rsidR="00BE6013" w:rsidRPr="00BE6013" w14:paraId="52E9EC29" w14:textId="77777777" w:rsidTr="00067054">
        <w:trPr>
          <w:trHeight w:val="143"/>
        </w:trPr>
        <w:tc>
          <w:tcPr>
            <w:tcW w:w="1870" w:type="dxa"/>
            <w:tcBorders>
              <w:top w:val="single" w:sz="12" w:space="0" w:color="auto"/>
            </w:tcBorders>
          </w:tcPr>
          <w:p w14:paraId="3511BA9F"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m:t>
                    </m:r>
                  </m:sub>
                </m:sSub>
              </m:oMath>
            </m:oMathPara>
          </w:p>
        </w:tc>
        <w:tc>
          <w:tcPr>
            <w:tcW w:w="1870" w:type="dxa"/>
            <w:tcBorders>
              <w:top w:val="single" w:sz="12" w:space="0" w:color="auto"/>
            </w:tcBorders>
          </w:tcPr>
          <w:p w14:paraId="043134D1" w14:textId="77777777" w:rsidR="00387D69" w:rsidRPr="00BE6013" w:rsidRDefault="00387D69" w:rsidP="00CF5E08">
            <w:pPr>
              <w:spacing w:after="0" w:line="240" w:lineRule="auto"/>
              <w:jc w:val="center"/>
              <w:rPr>
                <w:color w:val="auto"/>
              </w:rPr>
            </w:pPr>
            <w:r w:rsidRPr="00BE6013">
              <w:rPr>
                <w:color w:val="auto"/>
              </w:rPr>
              <w:t>-2.9746</w:t>
            </w:r>
          </w:p>
        </w:tc>
        <w:tc>
          <w:tcPr>
            <w:tcW w:w="1870" w:type="dxa"/>
            <w:tcBorders>
              <w:top w:val="single" w:sz="12" w:space="0" w:color="auto"/>
            </w:tcBorders>
          </w:tcPr>
          <w:p w14:paraId="6EC3DB3D" w14:textId="77777777" w:rsidR="00387D69" w:rsidRPr="00BE6013" w:rsidRDefault="00387D69" w:rsidP="00CF5E08">
            <w:pPr>
              <w:spacing w:after="0" w:line="240" w:lineRule="auto"/>
              <w:jc w:val="center"/>
              <w:rPr>
                <w:color w:val="auto"/>
              </w:rPr>
            </w:pPr>
            <w:r w:rsidRPr="00BE6013">
              <w:rPr>
                <w:color w:val="auto"/>
              </w:rPr>
              <w:t>-2.9571</w:t>
            </w:r>
          </w:p>
        </w:tc>
        <w:tc>
          <w:tcPr>
            <w:tcW w:w="1870" w:type="dxa"/>
            <w:tcBorders>
              <w:top w:val="single" w:sz="12" w:space="0" w:color="auto"/>
            </w:tcBorders>
          </w:tcPr>
          <w:p w14:paraId="6ABE9E88" w14:textId="77777777" w:rsidR="00387D69" w:rsidRPr="00BE6013" w:rsidRDefault="00387D69" w:rsidP="00CF5E08">
            <w:pPr>
              <w:spacing w:after="0" w:line="240" w:lineRule="auto"/>
              <w:jc w:val="center"/>
              <w:rPr>
                <w:color w:val="auto"/>
              </w:rPr>
            </w:pPr>
            <w:r w:rsidRPr="00BE6013">
              <w:rPr>
                <w:color w:val="auto"/>
              </w:rPr>
              <w:t>0.0493</w:t>
            </w:r>
          </w:p>
        </w:tc>
        <w:tc>
          <w:tcPr>
            <w:tcW w:w="1870" w:type="dxa"/>
            <w:tcBorders>
              <w:top w:val="single" w:sz="12" w:space="0" w:color="auto"/>
            </w:tcBorders>
          </w:tcPr>
          <w:p w14:paraId="2DD4AC7C"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726BCB84" w14:textId="77777777" w:rsidTr="00067054">
        <w:tc>
          <w:tcPr>
            <w:tcW w:w="1870" w:type="dxa"/>
          </w:tcPr>
          <w:p w14:paraId="7315B5EF"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70" w:type="dxa"/>
          </w:tcPr>
          <w:p w14:paraId="22F1983F" w14:textId="77777777" w:rsidR="00387D69" w:rsidRPr="00BE6013" w:rsidRDefault="00387D69" w:rsidP="00CF5E08">
            <w:pPr>
              <w:spacing w:after="0" w:line="240" w:lineRule="auto"/>
              <w:jc w:val="center"/>
              <w:rPr>
                <w:color w:val="auto"/>
              </w:rPr>
            </w:pPr>
            <w:r w:rsidRPr="00BE6013">
              <w:rPr>
                <w:color w:val="auto"/>
              </w:rPr>
              <w:t>-3.4584</w:t>
            </w:r>
          </w:p>
        </w:tc>
        <w:tc>
          <w:tcPr>
            <w:tcW w:w="1870" w:type="dxa"/>
          </w:tcPr>
          <w:p w14:paraId="296A7DA2" w14:textId="77777777" w:rsidR="00387D69" w:rsidRPr="00BE6013" w:rsidRDefault="00387D69" w:rsidP="00CF5E08">
            <w:pPr>
              <w:spacing w:after="0" w:line="240" w:lineRule="auto"/>
              <w:jc w:val="center"/>
              <w:rPr>
                <w:color w:val="auto"/>
              </w:rPr>
            </w:pPr>
            <w:r w:rsidRPr="00BE6013">
              <w:rPr>
                <w:color w:val="auto"/>
              </w:rPr>
              <w:t>-2.9571</w:t>
            </w:r>
          </w:p>
        </w:tc>
        <w:tc>
          <w:tcPr>
            <w:tcW w:w="1870" w:type="dxa"/>
          </w:tcPr>
          <w:p w14:paraId="75627409" w14:textId="77777777" w:rsidR="00387D69" w:rsidRPr="00BE6013" w:rsidRDefault="00387D69" w:rsidP="00CF5E08">
            <w:pPr>
              <w:spacing w:after="0" w:line="240" w:lineRule="auto"/>
              <w:jc w:val="center"/>
              <w:rPr>
                <w:color w:val="auto"/>
              </w:rPr>
            </w:pPr>
            <w:r w:rsidRPr="00BE6013">
              <w:rPr>
                <w:color w:val="auto"/>
              </w:rPr>
              <w:t>0.0163</w:t>
            </w:r>
          </w:p>
        </w:tc>
        <w:tc>
          <w:tcPr>
            <w:tcW w:w="1870" w:type="dxa"/>
          </w:tcPr>
          <w:p w14:paraId="5D0A6259" w14:textId="77777777" w:rsidR="00387D69" w:rsidRPr="00BE6013" w:rsidRDefault="00387D69" w:rsidP="00CF5E08">
            <w:pPr>
              <w:spacing w:after="0" w:line="240" w:lineRule="auto"/>
              <w:jc w:val="center"/>
              <w:rPr>
                <w:color w:val="auto"/>
              </w:rPr>
            </w:pPr>
            <w:r w:rsidRPr="00BE6013">
              <w:rPr>
                <w:color w:val="auto"/>
              </w:rPr>
              <w:t>Rejected</w:t>
            </w:r>
          </w:p>
        </w:tc>
      </w:tr>
      <w:tr w:rsidR="00BE6013" w:rsidRPr="00BE6013" w14:paraId="2CEF0953" w14:textId="77777777" w:rsidTr="00067054">
        <w:tc>
          <w:tcPr>
            <w:tcW w:w="1870" w:type="dxa"/>
          </w:tcPr>
          <w:p w14:paraId="2C6B8954"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70" w:type="dxa"/>
          </w:tcPr>
          <w:p w14:paraId="34803774"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35DC321C"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5B7B3543" w14:textId="77777777" w:rsidR="00387D69" w:rsidRPr="00BE6013" w:rsidRDefault="00387D69" w:rsidP="00CF5E08">
            <w:pPr>
              <w:spacing w:after="0" w:line="240" w:lineRule="auto"/>
              <w:jc w:val="center"/>
              <w:rPr>
                <w:color w:val="auto"/>
              </w:rPr>
            </w:pPr>
          </w:p>
        </w:tc>
        <w:tc>
          <w:tcPr>
            <w:tcW w:w="1870" w:type="dxa"/>
          </w:tcPr>
          <w:p w14:paraId="20B7240F" w14:textId="77777777" w:rsidR="00387D69" w:rsidRPr="00BE6013" w:rsidRDefault="00387D69" w:rsidP="00CF5E08">
            <w:pPr>
              <w:spacing w:after="0" w:line="240" w:lineRule="auto"/>
              <w:jc w:val="center"/>
              <w:rPr>
                <w:color w:val="auto"/>
              </w:rPr>
            </w:pPr>
          </w:p>
        </w:tc>
      </w:tr>
      <w:tr w:rsidR="00BE6013" w:rsidRPr="00BE6013" w14:paraId="1C844A56" w14:textId="77777777" w:rsidTr="00067054">
        <w:tc>
          <w:tcPr>
            <w:tcW w:w="1870" w:type="dxa"/>
          </w:tcPr>
          <w:p w14:paraId="69457FA1"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70" w:type="dxa"/>
          </w:tcPr>
          <w:p w14:paraId="2A3E3275"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2F228CB8" w14:textId="77777777" w:rsidR="00387D69" w:rsidRPr="00BE6013" w:rsidRDefault="00387D69" w:rsidP="00CF5E08">
            <w:pPr>
              <w:spacing w:after="0" w:line="240" w:lineRule="auto"/>
              <w:jc w:val="center"/>
              <w:rPr>
                <w:color w:val="auto"/>
              </w:rPr>
            </w:pPr>
            <w:r w:rsidRPr="00BE6013">
              <w:rPr>
                <w:color w:val="auto"/>
              </w:rPr>
              <w:t>-</w:t>
            </w:r>
          </w:p>
        </w:tc>
        <w:tc>
          <w:tcPr>
            <w:tcW w:w="1870" w:type="dxa"/>
          </w:tcPr>
          <w:p w14:paraId="5B7D3CFE" w14:textId="77777777" w:rsidR="00387D69" w:rsidRPr="00BE6013" w:rsidRDefault="00387D69" w:rsidP="00CF5E08">
            <w:pPr>
              <w:spacing w:after="0" w:line="240" w:lineRule="auto"/>
              <w:jc w:val="center"/>
              <w:rPr>
                <w:color w:val="auto"/>
              </w:rPr>
            </w:pPr>
          </w:p>
        </w:tc>
        <w:tc>
          <w:tcPr>
            <w:tcW w:w="1870" w:type="dxa"/>
          </w:tcPr>
          <w:p w14:paraId="6E99C76B" w14:textId="77777777" w:rsidR="00387D69" w:rsidRPr="00BE6013" w:rsidRDefault="00387D69" w:rsidP="00CF5E08">
            <w:pPr>
              <w:spacing w:after="0" w:line="240" w:lineRule="auto"/>
              <w:jc w:val="center"/>
              <w:rPr>
                <w:color w:val="auto"/>
              </w:rPr>
            </w:pPr>
          </w:p>
        </w:tc>
      </w:tr>
      <w:tr w:rsidR="00BE6013" w:rsidRPr="00BE6013" w14:paraId="12CA5CEE" w14:textId="77777777" w:rsidTr="00067054">
        <w:tc>
          <w:tcPr>
            <w:tcW w:w="1870" w:type="dxa"/>
            <w:tcBorders>
              <w:bottom w:val="single" w:sz="12" w:space="0" w:color="auto"/>
            </w:tcBorders>
          </w:tcPr>
          <w:p w14:paraId="1A247F77"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70" w:type="dxa"/>
            <w:tcBorders>
              <w:bottom w:val="single" w:sz="12" w:space="0" w:color="auto"/>
            </w:tcBorders>
          </w:tcPr>
          <w:p w14:paraId="053AB0E1" w14:textId="77777777" w:rsidR="00387D69" w:rsidRPr="00BE6013" w:rsidRDefault="00387D69" w:rsidP="00CF5E08">
            <w:pPr>
              <w:spacing w:after="0" w:line="240" w:lineRule="auto"/>
              <w:jc w:val="center"/>
              <w:rPr>
                <w:color w:val="auto"/>
              </w:rPr>
            </w:pPr>
            <w:r w:rsidRPr="00BE6013">
              <w:rPr>
                <w:color w:val="auto"/>
              </w:rPr>
              <w:t>-4.6784</w:t>
            </w:r>
          </w:p>
        </w:tc>
        <w:tc>
          <w:tcPr>
            <w:tcW w:w="1870" w:type="dxa"/>
            <w:tcBorders>
              <w:bottom w:val="single" w:sz="12" w:space="0" w:color="auto"/>
            </w:tcBorders>
          </w:tcPr>
          <w:p w14:paraId="37A06781" w14:textId="77777777" w:rsidR="00387D69" w:rsidRPr="00BE6013" w:rsidRDefault="00387D69" w:rsidP="00CF5E08">
            <w:pPr>
              <w:spacing w:after="0" w:line="240" w:lineRule="auto"/>
              <w:jc w:val="center"/>
              <w:rPr>
                <w:color w:val="auto"/>
              </w:rPr>
            </w:pPr>
            <w:r w:rsidRPr="00BE6013">
              <w:rPr>
                <w:color w:val="auto"/>
              </w:rPr>
              <w:t>-2.9540</w:t>
            </w:r>
          </w:p>
        </w:tc>
        <w:tc>
          <w:tcPr>
            <w:tcW w:w="1870" w:type="dxa"/>
            <w:tcBorders>
              <w:bottom w:val="single" w:sz="12" w:space="0" w:color="auto"/>
            </w:tcBorders>
          </w:tcPr>
          <w:p w14:paraId="1FAF8972" w14:textId="77777777" w:rsidR="00387D69" w:rsidRPr="00BE6013" w:rsidRDefault="00387D69" w:rsidP="00CF5E08">
            <w:pPr>
              <w:spacing w:after="0" w:line="240" w:lineRule="auto"/>
              <w:jc w:val="center"/>
              <w:rPr>
                <w:color w:val="auto"/>
              </w:rPr>
            </w:pPr>
            <w:r w:rsidRPr="00BE6013">
              <w:rPr>
                <w:color w:val="auto"/>
              </w:rPr>
              <w:t>0.0007</w:t>
            </w:r>
          </w:p>
        </w:tc>
        <w:tc>
          <w:tcPr>
            <w:tcW w:w="1870" w:type="dxa"/>
            <w:tcBorders>
              <w:bottom w:val="single" w:sz="12" w:space="0" w:color="auto"/>
            </w:tcBorders>
          </w:tcPr>
          <w:p w14:paraId="2C389C21" w14:textId="77777777" w:rsidR="00387D69" w:rsidRPr="00BE6013" w:rsidRDefault="00387D69" w:rsidP="00CF5E08">
            <w:pPr>
              <w:spacing w:after="0" w:line="240" w:lineRule="auto"/>
              <w:jc w:val="center"/>
              <w:rPr>
                <w:color w:val="auto"/>
              </w:rPr>
            </w:pPr>
            <w:r w:rsidRPr="00BE6013">
              <w:rPr>
                <w:color w:val="auto"/>
              </w:rPr>
              <w:t>Rejected</w:t>
            </w:r>
          </w:p>
        </w:tc>
      </w:tr>
    </w:tbl>
    <w:p w14:paraId="785BE01D" w14:textId="77777777" w:rsidR="00387D69" w:rsidRPr="00BE6013" w:rsidRDefault="00387D69" w:rsidP="00CF5E08">
      <w:pPr>
        <w:spacing w:after="0" w:line="240" w:lineRule="auto"/>
        <w:rPr>
          <w:color w:val="auto"/>
        </w:rPr>
      </w:pPr>
      <w:r w:rsidRPr="00BE6013">
        <w:rPr>
          <w:color w:val="auto"/>
        </w:rPr>
        <w:t>Source: Author’s computation (2025)</w:t>
      </w:r>
    </w:p>
    <w:bookmarkEnd w:id="30"/>
    <w:p w14:paraId="77B1A793" w14:textId="77777777" w:rsidR="00387D69" w:rsidRPr="00BE6013" w:rsidRDefault="00387D69" w:rsidP="00CF5E08">
      <w:pPr>
        <w:spacing w:after="0" w:line="240" w:lineRule="auto"/>
        <w:rPr>
          <w:color w:val="auto"/>
        </w:rPr>
      </w:pPr>
    </w:p>
    <w:p w14:paraId="7576BA18" w14:textId="1F6F0674" w:rsidR="00387D69" w:rsidRPr="00BE6013" w:rsidRDefault="00387D69" w:rsidP="00CF5E08">
      <w:pPr>
        <w:spacing w:after="0" w:line="240" w:lineRule="auto"/>
        <w:rPr>
          <w:color w:val="auto"/>
        </w:rPr>
      </w:pPr>
      <w:r w:rsidRPr="00BE6013">
        <w:rPr>
          <w:color w:val="auto"/>
        </w:rPr>
        <w:t xml:space="preserve">An issue in time series analysis is the problem of non-stationarity of the series which creates spurious relationship between regressors and explained variable. Therefore, it is imperative to test whether unit root is present in the data series in order to avoid having misleading relationship. The study applied the augmented Dickey-Fuller test to establish the stationarity characteristics of employed variable. The test results of Table 2 reveal presence of unit root in real gross domestic product, bank lending, and inflation, which necessitated first difference transformation of the series. The results exhibited in Table 3 show that the ADF statistics of -2.9746, -3.4584 and -4.6784 for the first difference of real gross domestic product, bank lending, and inflation, respectively, are higher than the ADF critical values at 5% level. Therefore, the study rejected the null hypothesis of unit root in real gross domestic product, bank lending, and inflation. Based on the ADF test, the study concludes that real gross domestic product, bank lending, and inflation are integrated at order one, </w:t>
      </w:r>
      <w:proofErr w:type="gramStart"/>
      <w:r w:rsidRPr="00BE6013">
        <w:rPr>
          <w:color w:val="auto"/>
        </w:rPr>
        <w:t>I(</w:t>
      </w:r>
      <w:proofErr w:type="gramEnd"/>
      <w:r w:rsidRPr="00BE6013">
        <w:rPr>
          <w:color w:val="auto"/>
        </w:rPr>
        <w:t xml:space="preserve">1).   </w:t>
      </w:r>
    </w:p>
    <w:p w14:paraId="66CE291F" w14:textId="533962E9"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1" w:name="_Toc204673511"/>
      <w:r w:rsidRPr="00BE6013">
        <w:rPr>
          <w:rFonts w:ascii="Times New Roman" w:hAnsi="Times New Roman" w:cs="Times New Roman"/>
          <w:b/>
          <w:bCs/>
          <w:color w:val="auto"/>
          <w:sz w:val="24"/>
          <w:szCs w:val="24"/>
        </w:rPr>
        <w:t>Co-integration Test</w:t>
      </w:r>
      <w:bookmarkEnd w:id="31"/>
    </w:p>
    <w:p w14:paraId="0E0C7497" w14:textId="0FD4A784" w:rsidR="00387D69" w:rsidRPr="00BE6013" w:rsidRDefault="00387D69" w:rsidP="00CF5E08">
      <w:pPr>
        <w:spacing w:after="0" w:line="240" w:lineRule="auto"/>
        <w:ind w:left="58" w:firstLine="0"/>
        <w:rPr>
          <w:color w:val="auto"/>
        </w:rPr>
      </w:pPr>
      <w:r w:rsidRPr="00BE6013">
        <w:rPr>
          <w:color w:val="auto"/>
        </w:rPr>
        <w:t xml:space="preserve">The study conducted cointegration test to ascertain if there is long run relationship among the variables. The method used to test for cointegration was the bound test developed by </w:t>
      </w:r>
      <w:proofErr w:type="spellStart"/>
      <w:r w:rsidRPr="00BE6013">
        <w:rPr>
          <w:color w:val="auto"/>
        </w:rPr>
        <w:t>Pesaran</w:t>
      </w:r>
      <w:proofErr w:type="spellEnd"/>
      <w:r w:rsidRPr="00BE6013">
        <w:rPr>
          <w:color w:val="auto"/>
        </w:rPr>
        <w:t xml:space="preserve">, et al. (2001). The study relied on the bound test as the unit root test results revealed that the variables used were mixed orders of </w:t>
      </w:r>
      <w:proofErr w:type="gramStart"/>
      <w:r w:rsidRPr="00BE6013">
        <w:rPr>
          <w:color w:val="auto"/>
        </w:rPr>
        <w:t>I(</w:t>
      </w:r>
      <w:proofErr w:type="gramEnd"/>
      <w:r w:rsidRPr="00BE6013">
        <w:rPr>
          <w:color w:val="auto"/>
        </w:rPr>
        <w:t>0) and I(1). The results of the test are reported in Table 4.</w:t>
      </w:r>
    </w:p>
    <w:p w14:paraId="6580D226" w14:textId="77777777" w:rsidR="00883ADA" w:rsidRPr="00BE6013" w:rsidRDefault="00883ADA" w:rsidP="00CF5E08">
      <w:pPr>
        <w:spacing w:after="0" w:line="240" w:lineRule="auto"/>
        <w:ind w:left="58" w:firstLine="0"/>
        <w:rPr>
          <w:color w:val="auto"/>
        </w:rPr>
      </w:pPr>
    </w:p>
    <w:p w14:paraId="0EE16EAB" w14:textId="3B6F2DB7" w:rsidR="00387D69" w:rsidRPr="00BE6013" w:rsidRDefault="00387D69" w:rsidP="00CF5E08">
      <w:pPr>
        <w:pStyle w:val="Caption"/>
        <w:spacing w:after="0"/>
        <w:rPr>
          <w:b w:val="0"/>
        </w:rPr>
      </w:pPr>
      <w:bookmarkStart w:id="32" w:name="_Toc203967824"/>
      <w:bookmarkStart w:id="33" w:name="_Hlk201121522"/>
      <w:r w:rsidRPr="00BE6013">
        <w:t xml:space="preserve">Table </w:t>
      </w:r>
      <w:r w:rsidR="009317F1">
        <w:fldChar w:fldCharType="begin"/>
      </w:r>
      <w:r w:rsidR="009317F1">
        <w:instrText xml:space="preserve"> SEQ Table_4. \* ARABIC </w:instrText>
      </w:r>
      <w:r w:rsidR="009317F1">
        <w:fldChar w:fldCharType="separate"/>
      </w:r>
      <w:r w:rsidRPr="00BE6013">
        <w:rPr>
          <w:noProof/>
        </w:rPr>
        <w:t>4</w:t>
      </w:r>
      <w:r w:rsidR="009317F1">
        <w:rPr>
          <w:noProof/>
        </w:rPr>
        <w:fldChar w:fldCharType="end"/>
      </w:r>
      <w:r w:rsidRPr="00BE6013">
        <w:t>: Bound Test Result</w:t>
      </w:r>
      <w:bookmarkEnd w:id="32"/>
      <w:r w:rsidRPr="00BE6013">
        <w:t xml:space="preserve"> </w:t>
      </w:r>
    </w:p>
    <w:tbl>
      <w:tblPr>
        <w:tblStyle w:val="PlainTable2"/>
        <w:tblW w:w="0" w:type="auto"/>
        <w:tblInd w:w="0" w:type="dxa"/>
        <w:tblLook w:val="0620" w:firstRow="1" w:lastRow="0" w:firstColumn="0" w:lastColumn="0" w:noHBand="1" w:noVBand="1"/>
      </w:tblPr>
      <w:tblGrid>
        <w:gridCol w:w="3404"/>
        <w:gridCol w:w="3115"/>
        <w:gridCol w:w="3115"/>
      </w:tblGrid>
      <w:tr w:rsidR="00BE6013" w:rsidRPr="00BE6013" w14:paraId="53E5387E" w14:textId="77777777" w:rsidTr="00067054">
        <w:trPr>
          <w:cnfStyle w:val="100000000000" w:firstRow="1" w:lastRow="0" w:firstColumn="0" w:lastColumn="0" w:oddVBand="0" w:evenVBand="0" w:oddHBand="0" w:evenHBand="0" w:firstRowFirstColumn="0" w:firstRowLastColumn="0" w:lastRowFirstColumn="0" w:lastRowLastColumn="0"/>
        </w:trPr>
        <w:tc>
          <w:tcPr>
            <w:tcW w:w="3114" w:type="dxa"/>
            <w:tcBorders>
              <w:top w:val="single" w:sz="18" w:space="0" w:color="auto"/>
              <w:bottom w:val="single" w:sz="12" w:space="0" w:color="auto"/>
            </w:tcBorders>
          </w:tcPr>
          <w:p w14:paraId="795F573B" w14:textId="77777777" w:rsidR="00387D69" w:rsidRPr="00BE6013" w:rsidRDefault="00387D69" w:rsidP="00CF5E08">
            <w:pPr>
              <w:spacing w:after="0" w:line="240" w:lineRule="auto"/>
              <w:ind w:right="174"/>
              <w:rPr>
                <w:color w:val="auto"/>
              </w:rPr>
            </w:pPr>
            <w:r w:rsidRPr="00BE6013">
              <w:rPr>
                <w:color w:val="auto"/>
              </w:rPr>
              <w:t>Estimated Model</w:t>
            </w:r>
          </w:p>
        </w:tc>
        <w:tc>
          <w:tcPr>
            <w:tcW w:w="3115" w:type="dxa"/>
            <w:tcBorders>
              <w:top w:val="single" w:sz="18" w:space="0" w:color="auto"/>
              <w:bottom w:val="single" w:sz="12" w:space="0" w:color="auto"/>
            </w:tcBorders>
          </w:tcPr>
          <w:p w14:paraId="59A26CB7" w14:textId="77777777" w:rsidR="00387D69" w:rsidRPr="00BE6013" w:rsidRDefault="00387D69" w:rsidP="00CF5E08">
            <w:pPr>
              <w:spacing w:after="0" w:line="240" w:lineRule="auto"/>
              <w:ind w:right="174"/>
              <w:rPr>
                <w:color w:val="auto"/>
              </w:rPr>
            </w:pPr>
          </w:p>
        </w:tc>
        <w:tc>
          <w:tcPr>
            <w:tcW w:w="3115" w:type="dxa"/>
            <w:tcBorders>
              <w:top w:val="single" w:sz="18" w:space="0" w:color="auto"/>
              <w:bottom w:val="single" w:sz="12" w:space="0" w:color="auto"/>
            </w:tcBorders>
          </w:tcPr>
          <w:p w14:paraId="4731931A" w14:textId="77777777" w:rsidR="00387D69" w:rsidRPr="00BE6013" w:rsidRDefault="00387D69" w:rsidP="00CF5E08">
            <w:pPr>
              <w:spacing w:after="0" w:line="240" w:lineRule="auto"/>
              <w:ind w:right="174"/>
              <w:rPr>
                <w:color w:val="auto"/>
              </w:rPr>
            </w:pPr>
            <w:r w:rsidRPr="00BE6013">
              <w:rPr>
                <w:color w:val="auto"/>
              </w:rPr>
              <w:t>F-statistics</w:t>
            </w:r>
          </w:p>
        </w:tc>
      </w:tr>
      <w:tr w:rsidR="00BE6013" w:rsidRPr="00BE6013" w14:paraId="611C5DF6" w14:textId="77777777" w:rsidTr="00067054">
        <w:tc>
          <w:tcPr>
            <w:tcW w:w="3114" w:type="dxa"/>
            <w:tcBorders>
              <w:top w:val="single" w:sz="18" w:space="0" w:color="auto"/>
            </w:tcBorders>
          </w:tcPr>
          <w:p w14:paraId="1BB510C5" w14:textId="77777777" w:rsidR="00387D69" w:rsidRPr="00BE6013" w:rsidRDefault="009317F1" w:rsidP="00CF5E08">
            <w:pPr>
              <w:spacing w:after="0" w:line="240" w:lineRule="auto"/>
              <w:ind w:right="174"/>
              <w:rPr>
                <w:color w:val="auto"/>
              </w:rPr>
            </w:pPr>
            <m:oMathPara>
              <m:oMath>
                <m:sSub>
                  <m:sSubPr>
                    <m:ctrlPr>
                      <w:rPr>
                        <w:rFonts w:ascii="Cambria Math" w:hAnsi="Cambria Math"/>
                        <w:i/>
                        <w:color w:val="auto"/>
                      </w:rPr>
                    </m:ctrlPr>
                  </m:sSubPr>
                  <m:e>
                    <m:r>
                      <w:rPr>
                        <w:rFonts w:ascii="Cambria Math" w:hAnsi="Cambria Math"/>
                        <w:color w:val="auto"/>
                      </w:rPr>
                      <m:t>F</m:t>
                    </m:r>
                  </m:e>
                  <m:sub>
                    <m:r>
                      <w:rPr>
                        <w:rFonts w:ascii="Cambria Math" w:hAnsi="Cambria Math"/>
                        <w:color w:val="auto"/>
                      </w:rPr>
                      <m:t>RGDP</m:t>
                    </m:r>
                  </m:sub>
                </m:sSub>
                <m:r>
                  <w:rPr>
                    <w:rFonts w:ascii="Cambria Math" w:hAnsi="Cambria Math"/>
                    <w:color w:val="auto"/>
                  </w:rPr>
                  <m:t>(</m:t>
                </m:r>
                <m:f>
                  <m:fPr>
                    <m:type m:val="lin"/>
                    <m:ctrlPr>
                      <w:rPr>
                        <w:rFonts w:ascii="Cambria Math" w:hAnsi="Cambria Math"/>
                        <w:i/>
                        <w:color w:val="auto"/>
                      </w:rPr>
                    </m:ctrlPr>
                  </m:fPr>
                  <m:num>
                    <m:r>
                      <w:rPr>
                        <w:rFonts w:ascii="Cambria Math" w:hAnsi="Cambria Math"/>
                        <w:color w:val="auto"/>
                      </w:rPr>
                      <m:t>rgdp</m:t>
                    </m:r>
                  </m:num>
                  <m:den>
                    <m:r>
                      <w:rPr>
                        <w:rFonts w:ascii="Cambria Math" w:hAnsi="Cambria Math"/>
                        <w:color w:val="auto"/>
                      </w:rPr>
                      <m:t>lnbl</m:t>
                    </m:r>
                  </m:den>
                </m:f>
                <m:r>
                  <w:rPr>
                    <w:rFonts w:ascii="Cambria Math" w:hAnsi="Cambria Math"/>
                    <w:color w:val="auto"/>
                  </w:rPr>
                  <m:t xml:space="preserve">, </m:t>
                </m:r>
                <m:r>
                  <w:rPr>
                    <w:rFonts w:ascii="Cambria Math" w:hAnsi="Cambria Math"/>
                    <w:color w:val="auto"/>
                  </w:rPr>
                  <m:t>bc</m:t>
                </m:r>
                <m:r>
                  <w:rPr>
                    <w:rFonts w:ascii="Cambria Math" w:hAnsi="Cambria Math"/>
                    <w:color w:val="auto"/>
                  </w:rPr>
                  <m:t xml:space="preserve">, </m:t>
                </m:r>
                <m:r>
                  <w:rPr>
                    <w:rFonts w:ascii="Cambria Math" w:hAnsi="Cambria Math"/>
                    <w:color w:val="auto"/>
                  </w:rPr>
                  <m:t>lnms</m:t>
                </m:r>
                <m:r>
                  <w:rPr>
                    <w:rFonts w:ascii="Cambria Math" w:hAnsi="Cambria Math"/>
                    <w:color w:val="auto"/>
                  </w:rPr>
                  <m:t xml:space="preserve">, </m:t>
                </m:r>
                <m:r>
                  <w:rPr>
                    <w:rFonts w:ascii="Cambria Math" w:hAnsi="Cambria Math"/>
                    <w:color w:val="auto"/>
                  </w:rPr>
                  <m:t>in</m:t>
                </m:r>
                <m:r>
                  <w:rPr>
                    <w:rFonts w:ascii="Cambria Math" w:hAnsi="Cambria Math"/>
                    <w:color w:val="auto"/>
                  </w:rPr>
                  <m:t>)</m:t>
                </m:r>
              </m:oMath>
            </m:oMathPara>
          </w:p>
        </w:tc>
        <w:tc>
          <w:tcPr>
            <w:tcW w:w="3115" w:type="dxa"/>
            <w:tcBorders>
              <w:top w:val="single" w:sz="18" w:space="0" w:color="auto"/>
            </w:tcBorders>
          </w:tcPr>
          <w:p w14:paraId="0C5104A0" w14:textId="77777777" w:rsidR="00387D69" w:rsidRPr="00BE6013" w:rsidRDefault="00387D69" w:rsidP="00CF5E08">
            <w:pPr>
              <w:spacing w:after="0" w:line="240" w:lineRule="auto"/>
              <w:ind w:right="174"/>
              <w:rPr>
                <w:color w:val="auto"/>
              </w:rPr>
            </w:pPr>
          </w:p>
        </w:tc>
        <w:tc>
          <w:tcPr>
            <w:tcW w:w="3115" w:type="dxa"/>
            <w:tcBorders>
              <w:top w:val="single" w:sz="18" w:space="0" w:color="auto"/>
            </w:tcBorders>
          </w:tcPr>
          <w:p w14:paraId="1B2B244D" w14:textId="77777777" w:rsidR="00387D69" w:rsidRPr="00BE6013" w:rsidRDefault="00387D69" w:rsidP="00CF5E08">
            <w:pPr>
              <w:spacing w:after="0" w:line="240" w:lineRule="auto"/>
              <w:ind w:right="174"/>
              <w:rPr>
                <w:color w:val="auto"/>
              </w:rPr>
            </w:pPr>
            <w:r w:rsidRPr="00BE6013">
              <w:rPr>
                <w:color w:val="auto"/>
              </w:rPr>
              <w:t>10.45191***</w:t>
            </w:r>
          </w:p>
        </w:tc>
      </w:tr>
      <w:tr w:rsidR="00BE6013" w:rsidRPr="00BE6013" w14:paraId="70EE7AE8" w14:textId="77777777" w:rsidTr="00067054">
        <w:tc>
          <w:tcPr>
            <w:tcW w:w="9344" w:type="dxa"/>
            <w:gridSpan w:val="3"/>
            <w:tcBorders>
              <w:bottom w:val="single" w:sz="12" w:space="0" w:color="auto"/>
            </w:tcBorders>
          </w:tcPr>
          <w:p w14:paraId="184D84DB" w14:textId="77777777" w:rsidR="00387D69" w:rsidRPr="00BE6013" w:rsidRDefault="00387D69" w:rsidP="00CF5E08">
            <w:pPr>
              <w:spacing w:after="0" w:line="240" w:lineRule="auto"/>
              <w:ind w:right="174"/>
              <w:jc w:val="center"/>
              <w:rPr>
                <w:color w:val="auto"/>
              </w:rPr>
            </w:pPr>
            <w:r w:rsidRPr="00BE6013">
              <w:rPr>
                <w:color w:val="auto"/>
              </w:rPr>
              <w:t>K = 4</w:t>
            </w:r>
          </w:p>
        </w:tc>
      </w:tr>
      <w:tr w:rsidR="00BE6013" w:rsidRPr="00BE6013" w14:paraId="57533029" w14:textId="77777777" w:rsidTr="00067054">
        <w:tc>
          <w:tcPr>
            <w:tcW w:w="3114" w:type="dxa"/>
            <w:tcBorders>
              <w:top w:val="single" w:sz="12" w:space="0" w:color="auto"/>
              <w:bottom w:val="single" w:sz="12" w:space="0" w:color="auto"/>
            </w:tcBorders>
          </w:tcPr>
          <w:p w14:paraId="07EDFCB6" w14:textId="77777777" w:rsidR="00387D69" w:rsidRPr="00BE6013" w:rsidRDefault="00387D69" w:rsidP="00CF5E08">
            <w:pPr>
              <w:spacing w:after="0" w:line="240" w:lineRule="auto"/>
              <w:ind w:right="174"/>
              <w:rPr>
                <w:color w:val="auto"/>
              </w:rPr>
            </w:pPr>
            <w:r w:rsidRPr="00BE6013">
              <w:rPr>
                <w:color w:val="auto"/>
              </w:rPr>
              <w:t>Critical Value</w:t>
            </w:r>
          </w:p>
        </w:tc>
        <w:tc>
          <w:tcPr>
            <w:tcW w:w="3115" w:type="dxa"/>
            <w:tcBorders>
              <w:top w:val="single" w:sz="12" w:space="0" w:color="auto"/>
              <w:bottom w:val="single" w:sz="12" w:space="0" w:color="auto"/>
            </w:tcBorders>
          </w:tcPr>
          <w:p w14:paraId="50049148" w14:textId="77777777" w:rsidR="00387D69" w:rsidRPr="00BE6013" w:rsidRDefault="00387D69" w:rsidP="00CF5E08">
            <w:pPr>
              <w:spacing w:after="0" w:line="240" w:lineRule="auto"/>
              <w:ind w:right="174"/>
              <w:rPr>
                <w:color w:val="auto"/>
              </w:rPr>
            </w:pPr>
            <w:proofErr w:type="gramStart"/>
            <w:r w:rsidRPr="00BE6013">
              <w:rPr>
                <w:color w:val="auto"/>
              </w:rPr>
              <w:t>I(</w:t>
            </w:r>
            <w:proofErr w:type="gramEnd"/>
            <w:r w:rsidRPr="00BE6013">
              <w:rPr>
                <w:color w:val="auto"/>
              </w:rPr>
              <w:t>0)</w:t>
            </w:r>
          </w:p>
        </w:tc>
        <w:tc>
          <w:tcPr>
            <w:tcW w:w="3115" w:type="dxa"/>
            <w:tcBorders>
              <w:top w:val="single" w:sz="12" w:space="0" w:color="auto"/>
              <w:bottom w:val="single" w:sz="12" w:space="0" w:color="auto"/>
            </w:tcBorders>
          </w:tcPr>
          <w:p w14:paraId="5A4655B7" w14:textId="77777777" w:rsidR="00387D69" w:rsidRPr="00BE6013" w:rsidRDefault="00387D69" w:rsidP="00CF5E08">
            <w:pPr>
              <w:spacing w:after="0" w:line="240" w:lineRule="auto"/>
              <w:ind w:right="174"/>
              <w:rPr>
                <w:color w:val="auto"/>
              </w:rPr>
            </w:pPr>
            <w:proofErr w:type="gramStart"/>
            <w:r w:rsidRPr="00BE6013">
              <w:rPr>
                <w:color w:val="auto"/>
              </w:rPr>
              <w:t>I(</w:t>
            </w:r>
            <w:proofErr w:type="gramEnd"/>
            <w:r w:rsidRPr="00BE6013">
              <w:rPr>
                <w:color w:val="auto"/>
              </w:rPr>
              <w:t>1)</w:t>
            </w:r>
          </w:p>
        </w:tc>
      </w:tr>
      <w:tr w:rsidR="00BE6013" w:rsidRPr="00BE6013" w14:paraId="316CAC30" w14:textId="77777777" w:rsidTr="00067054">
        <w:tc>
          <w:tcPr>
            <w:tcW w:w="3114" w:type="dxa"/>
            <w:tcBorders>
              <w:top w:val="single" w:sz="12" w:space="0" w:color="auto"/>
            </w:tcBorders>
          </w:tcPr>
          <w:p w14:paraId="2D6B7734" w14:textId="77777777" w:rsidR="00387D69" w:rsidRPr="00BE6013" w:rsidRDefault="00387D69" w:rsidP="00CF5E08">
            <w:pPr>
              <w:spacing w:after="0" w:line="240" w:lineRule="auto"/>
              <w:ind w:right="174"/>
              <w:rPr>
                <w:color w:val="auto"/>
              </w:rPr>
            </w:pPr>
            <w:r w:rsidRPr="00BE6013">
              <w:rPr>
                <w:color w:val="auto"/>
              </w:rPr>
              <w:t>1%</w:t>
            </w:r>
          </w:p>
        </w:tc>
        <w:tc>
          <w:tcPr>
            <w:tcW w:w="3115" w:type="dxa"/>
            <w:tcBorders>
              <w:top w:val="single" w:sz="12" w:space="0" w:color="auto"/>
            </w:tcBorders>
          </w:tcPr>
          <w:p w14:paraId="0EC8C55C" w14:textId="77777777" w:rsidR="00387D69" w:rsidRPr="00BE6013" w:rsidRDefault="00387D69" w:rsidP="00CF5E08">
            <w:pPr>
              <w:spacing w:after="0" w:line="240" w:lineRule="auto"/>
              <w:ind w:right="174"/>
              <w:rPr>
                <w:color w:val="auto"/>
              </w:rPr>
            </w:pPr>
            <w:r w:rsidRPr="00BE6013">
              <w:rPr>
                <w:color w:val="auto"/>
              </w:rPr>
              <w:t>3.29</w:t>
            </w:r>
          </w:p>
        </w:tc>
        <w:tc>
          <w:tcPr>
            <w:tcW w:w="3115" w:type="dxa"/>
            <w:tcBorders>
              <w:top w:val="single" w:sz="12" w:space="0" w:color="auto"/>
            </w:tcBorders>
          </w:tcPr>
          <w:p w14:paraId="47480821" w14:textId="77777777" w:rsidR="00387D69" w:rsidRPr="00BE6013" w:rsidRDefault="00387D69" w:rsidP="00CF5E08">
            <w:pPr>
              <w:spacing w:after="0" w:line="240" w:lineRule="auto"/>
              <w:ind w:right="174"/>
              <w:rPr>
                <w:color w:val="auto"/>
              </w:rPr>
            </w:pPr>
            <w:r w:rsidRPr="00BE6013">
              <w:rPr>
                <w:color w:val="auto"/>
              </w:rPr>
              <w:t>4.37</w:t>
            </w:r>
          </w:p>
        </w:tc>
      </w:tr>
      <w:tr w:rsidR="00BE6013" w:rsidRPr="00BE6013" w14:paraId="56D79B23" w14:textId="77777777" w:rsidTr="00067054">
        <w:tc>
          <w:tcPr>
            <w:tcW w:w="3114" w:type="dxa"/>
          </w:tcPr>
          <w:p w14:paraId="31166AE1" w14:textId="77777777" w:rsidR="00387D69" w:rsidRPr="00BE6013" w:rsidRDefault="00387D69" w:rsidP="00CF5E08">
            <w:pPr>
              <w:spacing w:after="0" w:line="240" w:lineRule="auto"/>
              <w:ind w:right="174"/>
              <w:rPr>
                <w:color w:val="auto"/>
              </w:rPr>
            </w:pPr>
            <w:r w:rsidRPr="00BE6013">
              <w:rPr>
                <w:color w:val="auto"/>
              </w:rPr>
              <w:t>5%</w:t>
            </w:r>
          </w:p>
        </w:tc>
        <w:tc>
          <w:tcPr>
            <w:tcW w:w="3115" w:type="dxa"/>
          </w:tcPr>
          <w:p w14:paraId="440F117B" w14:textId="77777777" w:rsidR="00387D69" w:rsidRPr="00BE6013" w:rsidRDefault="00387D69" w:rsidP="00CF5E08">
            <w:pPr>
              <w:spacing w:after="0" w:line="240" w:lineRule="auto"/>
              <w:ind w:right="174"/>
              <w:rPr>
                <w:color w:val="auto"/>
              </w:rPr>
            </w:pPr>
            <w:r w:rsidRPr="00BE6013">
              <w:rPr>
                <w:color w:val="auto"/>
              </w:rPr>
              <w:t>2.56</w:t>
            </w:r>
          </w:p>
        </w:tc>
        <w:tc>
          <w:tcPr>
            <w:tcW w:w="3115" w:type="dxa"/>
          </w:tcPr>
          <w:p w14:paraId="111E6A10" w14:textId="77777777" w:rsidR="00387D69" w:rsidRPr="00BE6013" w:rsidRDefault="00387D69" w:rsidP="00CF5E08">
            <w:pPr>
              <w:spacing w:after="0" w:line="240" w:lineRule="auto"/>
              <w:ind w:right="174"/>
              <w:rPr>
                <w:color w:val="auto"/>
              </w:rPr>
            </w:pPr>
            <w:r w:rsidRPr="00BE6013">
              <w:rPr>
                <w:color w:val="auto"/>
              </w:rPr>
              <w:t>3.49</w:t>
            </w:r>
          </w:p>
        </w:tc>
      </w:tr>
      <w:tr w:rsidR="00BE6013" w:rsidRPr="00BE6013" w14:paraId="36D32D60" w14:textId="77777777" w:rsidTr="00067054">
        <w:tc>
          <w:tcPr>
            <w:tcW w:w="3114" w:type="dxa"/>
          </w:tcPr>
          <w:p w14:paraId="286777D1" w14:textId="77777777" w:rsidR="00387D69" w:rsidRPr="00BE6013" w:rsidRDefault="00387D69" w:rsidP="00CF5E08">
            <w:pPr>
              <w:spacing w:after="0" w:line="240" w:lineRule="auto"/>
              <w:ind w:right="174"/>
              <w:rPr>
                <w:color w:val="auto"/>
              </w:rPr>
            </w:pPr>
            <w:r w:rsidRPr="00BE6013">
              <w:rPr>
                <w:color w:val="auto"/>
              </w:rPr>
              <w:t>2.5%</w:t>
            </w:r>
          </w:p>
        </w:tc>
        <w:tc>
          <w:tcPr>
            <w:tcW w:w="3115" w:type="dxa"/>
          </w:tcPr>
          <w:p w14:paraId="246C4832" w14:textId="77777777" w:rsidR="00387D69" w:rsidRPr="00BE6013" w:rsidRDefault="00387D69" w:rsidP="00CF5E08">
            <w:pPr>
              <w:spacing w:after="0" w:line="240" w:lineRule="auto"/>
              <w:ind w:right="174"/>
              <w:rPr>
                <w:color w:val="auto"/>
              </w:rPr>
            </w:pPr>
            <w:r w:rsidRPr="00BE6013">
              <w:rPr>
                <w:color w:val="auto"/>
              </w:rPr>
              <w:t>2.88</w:t>
            </w:r>
          </w:p>
        </w:tc>
        <w:tc>
          <w:tcPr>
            <w:tcW w:w="3115" w:type="dxa"/>
          </w:tcPr>
          <w:p w14:paraId="691A73A3" w14:textId="77777777" w:rsidR="00387D69" w:rsidRPr="00BE6013" w:rsidRDefault="00387D69" w:rsidP="00CF5E08">
            <w:pPr>
              <w:spacing w:after="0" w:line="240" w:lineRule="auto"/>
              <w:ind w:right="174"/>
              <w:rPr>
                <w:color w:val="auto"/>
              </w:rPr>
            </w:pPr>
            <w:r w:rsidRPr="00BE6013">
              <w:rPr>
                <w:color w:val="auto"/>
              </w:rPr>
              <w:t>3.87</w:t>
            </w:r>
          </w:p>
        </w:tc>
      </w:tr>
      <w:tr w:rsidR="00BE6013" w:rsidRPr="00BE6013" w14:paraId="38AA125E" w14:textId="77777777" w:rsidTr="00067054">
        <w:tc>
          <w:tcPr>
            <w:tcW w:w="3114" w:type="dxa"/>
            <w:tcBorders>
              <w:bottom w:val="single" w:sz="18" w:space="0" w:color="auto"/>
            </w:tcBorders>
          </w:tcPr>
          <w:p w14:paraId="5E808AB3" w14:textId="77777777" w:rsidR="00387D69" w:rsidRPr="00BE6013" w:rsidRDefault="00387D69" w:rsidP="00CF5E08">
            <w:pPr>
              <w:spacing w:after="0" w:line="240" w:lineRule="auto"/>
              <w:ind w:right="174"/>
              <w:rPr>
                <w:color w:val="auto"/>
              </w:rPr>
            </w:pPr>
            <w:r w:rsidRPr="00BE6013">
              <w:rPr>
                <w:color w:val="auto"/>
              </w:rPr>
              <w:t>10%</w:t>
            </w:r>
          </w:p>
        </w:tc>
        <w:tc>
          <w:tcPr>
            <w:tcW w:w="3115" w:type="dxa"/>
            <w:tcBorders>
              <w:bottom w:val="single" w:sz="18" w:space="0" w:color="auto"/>
            </w:tcBorders>
          </w:tcPr>
          <w:p w14:paraId="0455D22B" w14:textId="77777777" w:rsidR="00387D69" w:rsidRPr="00BE6013" w:rsidRDefault="00387D69" w:rsidP="00CF5E08">
            <w:pPr>
              <w:spacing w:after="0" w:line="240" w:lineRule="auto"/>
              <w:ind w:right="174"/>
              <w:rPr>
                <w:color w:val="auto"/>
              </w:rPr>
            </w:pPr>
            <w:r w:rsidRPr="00BE6013">
              <w:rPr>
                <w:color w:val="auto"/>
              </w:rPr>
              <w:t>2.2</w:t>
            </w:r>
          </w:p>
        </w:tc>
        <w:tc>
          <w:tcPr>
            <w:tcW w:w="3115" w:type="dxa"/>
            <w:tcBorders>
              <w:bottom w:val="single" w:sz="18" w:space="0" w:color="auto"/>
            </w:tcBorders>
          </w:tcPr>
          <w:p w14:paraId="6B6C66A1" w14:textId="77777777" w:rsidR="00387D69" w:rsidRPr="00BE6013" w:rsidRDefault="00387D69" w:rsidP="00CF5E08">
            <w:pPr>
              <w:spacing w:after="0" w:line="240" w:lineRule="auto"/>
              <w:ind w:right="174"/>
              <w:rPr>
                <w:color w:val="auto"/>
              </w:rPr>
            </w:pPr>
            <w:r w:rsidRPr="00BE6013">
              <w:rPr>
                <w:color w:val="auto"/>
              </w:rPr>
              <w:t>3.09</w:t>
            </w:r>
          </w:p>
        </w:tc>
      </w:tr>
    </w:tbl>
    <w:p w14:paraId="6F8F7EEE" w14:textId="77777777" w:rsidR="00387D69" w:rsidRPr="00BE6013" w:rsidRDefault="00387D69" w:rsidP="00CF5E08">
      <w:pPr>
        <w:autoSpaceDE w:val="0"/>
        <w:autoSpaceDN w:val="0"/>
        <w:adjustRightInd w:val="0"/>
        <w:spacing w:after="0" w:line="240" w:lineRule="auto"/>
        <w:rPr>
          <w:color w:val="auto"/>
        </w:rPr>
      </w:pPr>
      <w:r w:rsidRPr="00BE6013">
        <w:rPr>
          <w:b/>
          <w:bCs/>
          <w:color w:val="auto"/>
        </w:rPr>
        <w:t>Note:</w:t>
      </w:r>
      <w:r w:rsidRPr="00BE6013">
        <w:rPr>
          <w:bCs/>
          <w:color w:val="auto"/>
        </w:rPr>
        <w:t xml:space="preserve"> </w:t>
      </w:r>
      <w:r w:rsidRPr="00BE6013">
        <w:rPr>
          <w:i/>
          <w:iCs/>
          <w:color w:val="auto"/>
        </w:rPr>
        <w:t>K</w:t>
      </w:r>
      <w:r w:rsidRPr="00BE6013">
        <w:rPr>
          <w:color w:val="auto"/>
        </w:rPr>
        <w:t xml:space="preserve"> = number of regressors; *, ** and *** denote significance at 10%, 5% and 1% level, respectively.</w:t>
      </w:r>
    </w:p>
    <w:bookmarkEnd w:id="33"/>
    <w:p w14:paraId="6F05680B" w14:textId="77777777" w:rsidR="00387D69" w:rsidRPr="00BE6013" w:rsidRDefault="00387D69" w:rsidP="00CF5E08">
      <w:pPr>
        <w:spacing w:after="0" w:line="240" w:lineRule="auto"/>
        <w:ind w:left="58" w:firstLine="0"/>
        <w:rPr>
          <w:color w:val="auto"/>
        </w:rPr>
      </w:pPr>
      <w:r w:rsidRPr="00BE6013">
        <w:rPr>
          <w:color w:val="auto"/>
        </w:rPr>
        <w:t>Source: Author’s computation (2025)</w:t>
      </w:r>
    </w:p>
    <w:p w14:paraId="3D756A4D" w14:textId="77777777" w:rsidR="00387D69" w:rsidRPr="00BE6013" w:rsidRDefault="00387D69" w:rsidP="00CF5E08">
      <w:pPr>
        <w:spacing w:after="0" w:line="240" w:lineRule="auto"/>
        <w:ind w:left="58" w:firstLine="0"/>
        <w:rPr>
          <w:color w:val="auto"/>
        </w:rPr>
      </w:pPr>
    </w:p>
    <w:p w14:paraId="5C7BF2FF" w14:textId="77777777" w:rsidR="00387D69" w:rsidRPr="00BE6013" w:rsidRDefault="00387D69" w:rsidP="00CF5E08">
      <w:pPr>
        <w:spacing w:after="0" w:line="240" w:lineRule="auto"/>
        <w:ind w:left="58" w:firstLine="0"/>
        <w:rPr>
          <w:color w:val="auto"/>
        </w:rPr>
      </w:pPr>
      <w:r w:rsidRPr="00BE6013">
        <w:rPr>
          <w:color w:val="auto"/>
        </w:rPr>
        <w:t xml:space="preserve">Based on the outcome of the unit root test carried out using the augmented Dickey-Fuller (ADF) test, indicating that variables used in estimating the real gross domestic product model are mixed orders of </w:t>
      </w:r>
      <w:proofErr w:type="gramStart"/>
      <w:r w:rsidRPr="00BE6013">
        <w:rPr>
          <w:color w:val="auto"/>
        </w:rPr>
        <w:t>I(</w:t>
      </w:r>
      <w:proofErr w:type="gramEnd"/>
      <w:r w:rsidRPr="00BE6013">
        <w:rPr>
          <w:color w:val="auto"/>
        </w:rPr>
        <w:t xml:space="preserve">1) and I(0), the study employed the bounds test in determining whether the variables have long run relationship. </w:t>
      </w:r>
    </w:p>
    <w:p w14:paraId="5F0A5C59" w14:textId="6FB1D2E1"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4" w:name="_Toc204673512"/>
      <w:r w:rsidRPr="00BE6013">
        <w:rPr>
          <w:rFonts w:ascii="Times New Roman" w:hAnsi="Times New Roman" w:cs="Times New Roman"/>
          <w:b/>
          <w:bCs/>
          <w:color w:val="auto"/>
          <w:sz w:val="24"/>
          <w:szCs w:val="24"/>
        </w:rPr>
        <w:t>Long Run Result</w:t>
      </w:r>
      <w:bookmarkEnd w:id="34"/>
    </w:p>
    <w:p w14:paraId="4282761A" w14:textId="4A18F2ED" w:rsidR="00387D69" w:rsidRPr="00BE6013" w:rsidRDefault="00387D69" w:rsidP="00CF5E08">
      <w:pPr>
        <w:pStyle w:val="Caption"/>
        <w:spacing w:after="0"/>
        <w:rPr>
          <w:b w:val="0"/>
          <w:bCs/>
        </w:rPr>
      </w:pPr>
      <w:bookmarkStart w:id="35" w:name="_Toc203967825"/>
      <w:r w:rsidRPr="00BE6013">
        <w:t xml:space="preserve">Table </w:t>
      </w:r>
      <w:r w:rsidR="009317F1">
        <w:fldChar w:fldCharType="begin"/>
      </w:r>
      <w:r w:rsidR="009317F1">
        <w:instrText xml:space="preserve"> SEQ Table_4. \* ARABIC </w:instrText>
      </w:r>
      <w:r w:rsidR="009317F1">
        <w:fldChar w:fldCharType="separate"/>
      </w:r>
      <w:r w:rsidRPr="00BE6013">
        <w:rPr>
          <w:noProof/>
        </w:rPr>
        <w:t>5</w:t>
      </w:r>
      <w:r w:rsidR="009317F1">
        <w:rPr>
          <w:noProof/>
        </w:rPr>
        <w:fldChar w:fldCharType="end"/>
      </w:r>
      <w:r w:rsidRPr="00BE6013">
        <w:rPr>
          <w:bCs/>
        </w:rPr>
        <w:t>: ARDL Long- and short-run results</w:t>
      </w:r>
      <w:bookmarkEnd w:id="35"/>
    </w:p>
    <w:tbl>
      <w:tblPr>
        <w:tblStyle w:val="PlainTable2"/>
        <w:tblW w:w="9194" w:type="dxa"/>
        <w:tblInd w:w="5" w:type="dxa"/>
        <w:tblLook w:val="0620" w:firstRow="1" w:lastRow="0" w:firstColumn="0" w:lastColumn="0" w:noHBand="1" w:noVBand="1"/>
      </w:tblPr>
      <w:tblGrid>
        <w:gridCol w:w="2325"/>
        <w:gridCol w:w="1888"/>
        <w:gridCol w:w="1625"/>
        <w:gridCol w:w="1955"/>
        <w:gridCol w:w="1401"/>
      </w:tblGrid>
      <w:tr w:rsidR="00BE6013" w:rsidRPr="00BE6013" w14:paraId="7ECC19EE" w14:textId="77777777" w:rsidTr="00067054">
        <w:trPr>
          <w:cnfStyle w:val="100000000000" w:firstRow="1" w:lastRow="0" w:firstColumn="0" w:lastColumn="0" w:oddVBand="0" w:evenVBand="0" w:oddHBand="0" w:evenHBand="0" w:firstRowFirstColumn="0" w:firstRowLastColumn="0" w:lastRowFirstColumn="0" w:lastRowLastColumn="0"/>
          <w:trHeight w:val="264"/>
        </w:trPr>
        <w:tc>
          <w:tcPr>
            <w:tcW w:w="9194" w:type="dxa"/>
            <w:gridSpan w:val="5"/>
            <w:tcBorders>
              <w:top w:val="single" w:sz="18" w:space="0" w:color="auto"/>
              <w:bottom w:val="single" w:sz="12" w:space="0" w:color="auto"/>
            </w:tcBorders>
            <w:noWrap/>
            <w:hideMark/>
          </w:tcPr>
          <w:p w14:paraId="21F994BF" w14:textId="77777777" w:rsidR="00387D69" w:rsidRPr="00BE6013" w:rsidRDefault="00387D69" w:rsidP="00CF5E08">
            <w:pPr>
              <w:spacing w:after="0" w:line="240" w:lineRule="auto"/>
              <w:jc w:val="center"/>
              <w:rPr>
                <w:color w:val="auto"/>
              </w:rPr>
            </w:pPr>
            <w:bookmarkStart w:id="36" w:name="_Hlk203110921"/>
            <w:r w:rsidRPr="00BE6013">
              <w:rPr>
                <w:color w:val="auto"/>
              </w:rPr>
              <w:t xml:space="preserve">Dependent Variable: </w:t>
            </w:r>
            <m:oMath>
              <m:sSub>
                <m:sSubPr>
                  <m:ctrlPr>
                    <w:rPr>
                      <w:rFonts w:ascii="Cambria Math" w:hAnsi="Cambria Math"/>
                      <w:i/>
                      <w:color w:val="auto"/>
                    </w:rPr>
                  </m:ctrlPr>
                </m:sSubPr>
                <m:e>
                  <m:r>
                    <m:rPr>
                      <m:sty m:val="bi"/>
                    </m:rPr>
                    <w:rPr>
                      <w:rFonts w:ascii="Cambria Math" w:hAnsi="Cambria Math"/>
                      <w:color w:val="auto"/>
                    </w:rPr>
                    <m:t>lnRGDP</m:t>
                  </m:r>
                </m:e>
                <m:sub>
                  <m:r>
                    <m:rPr>
                      <m:sty m:val="bi"/>
                    </m:rPr>
                    <w:rPr>
                      <w:rFonts w:ascii="Cambria Math" w:hAnsi="Cambria Math"/>
                      <w:color w:val="auto"/>
                    </w:rPr>
                    <m:t>t</m:t>
                  </m:r>
                </m:sub>
              </m:sSub>
            </m:oMath>
          </w:p>
        </w:tc>
      </w:tr>
      <w:tr w:rsidR="00BE6013" w:rsidRPr="00BE6013" w14:paraId="1A1D9EFD" w14:textId="77777777" w:rsidTr="00067054">
        <w:trPr>
          <w:trHeight w:val="264"/>
        </w:trPr>
        <w:tc>
          <w:tcPr>
            <w:tcW w:w="9194" w:type="dxa"/>
            <w:gridSpan w:val="5"/>
            <w:tcBorders>
              <w:top w:val="single" w:sz="12" w:space="0" w:color="auto"/>
              <w:bottom w:val="single" w:sz="12" w:space="0" w:color="auto"/>
            </w:tcBorders>
            <w:noWrap/>
            <w:hideMark/>
          </w:tcPr>
          <w:p w14:paraId="770BC8A7" w14:textId="77777777" w:rsidR="00387D69" w:rsidRPr="00BE6013" w:rsidRDefault="00387D69" w:rsidP="00CF5E08">
            <w:pPr>
              <w:spacing w:after="0" w:line="240" w:lineRule="auto"/>
              <w:jc w:val="center"/>
              <w:rPr>
                <w:color w:val="auto"/>
              </w:rPr>
            </w:pPr>
            <w:r w:rsidRPr="00BE6013">
              <w:rPr>
                <w:color w:val="auto"/>
              </w:rPr>
              <w:t>Panel A: Long run</w:t>
            </w:r>
          </w:p>
        </w:tc>
      </w:tr>
      <w:tr w:rsidR="00BE6013" w:rsidRPr="00BE6013" w14:paraId="46790E97" w14:textId="77777777" w:rsidTr="00067054">
        <w:trPr>
          <w:trHeight w:val="264"/>
        </w:trPr>
        <w:tc>
          <w:tcPr>
            <w:tcW w:w="2325" w:type="dxa"/>
            <w:tcBorders>
              <w:top w:val="single" w:sz="12" w:space="0" w:color="auto"/>
              <w:bottom w:val="single" w:sz="18" w:space="0" w:color="auto"/>
            </w:tcBorders>
            <w:noWrap/>
            <w:hideMark/>
          </w:tcPr>
          <w:p w14:paraId="7D690E2C" w14:textId="77777777" w:rsidR="00387D69" w:rsidRPr="00BE6013" w:rsidRDefault="00387D69" w:rsidP="00CF5E08">
            <w:pPr>
              <w:spacing w:after="0" w:line="240" w:lineRule="auto"/>
              <w:jc w:val="center"/>
              <w:rPr>
                <w:color w:val="auto"/>
              </w:rPr>
            </w:pPr>
            <w:r w:rsidRPr="00BE6013">
              <w:rPr>
                <w:color w:val="auto"/>
              </w:rPr>
              <w:lastRenderedPageBreak/>
              <w:t>Variable</w:t>
            </w:r>
          </w:p>
        </w:tc>
        <w:tc>
          <w:tcPr>
            <w:tcW w:w="1888" w:type="dxa"/>
            <w:tcBorders>
              <w:top w:val="single" w:sz="12" w:space="0" w:color="auto"/>
              <w:bottom w:val="single" w:sz="18" w:space="0" w:color="auto"/>
            </w:tcBorders>
            <w:noWrap/>
            <w:hideMark/>
          </w:tcPr>
          <w:p w14:paraId="4251AC04" w14:textId="77777777" w:rsidR="00387D69" w:rsidRPr="00BE6013" w:rsidRDefault="00387D69" w:rsidP="00CF5E08">
            <w:pPr>
              <w:spacing w:after="0" w:line="240" w:lineRule="auto"/>
              <w:jc w:val="center"/>
              <w:rPr>
                <w:color w:val="auto"/>
              </w:rPr>
            </w:pPr>
            <w:r w:rsidRPr="00BE6013">
              <w:rPr>
                <w:color w:val="auto"/>
              </w:rPr>
              <w:t>Coefficient</w:t>
            </w:r>
          </w:p>
        </w:tc>
        <w:tc>
          <w:tcPr>
            <w:tcW w:w="1625" w:type="dxa"/>
            <w:tcBorders>
              <w:top w:val="single" w:sz="12" w:space="0" w:color="auto"/>
              <w:bottom w:val="single" w:sz="18" w:space="0" w:color="auto"/>
            </w:tcBorders>
            <w:noWrap/>
            <w:hideMark/>
          </w:tcPr>
          <w:p w14:paraId="5240DD02" w14:textId="77777777" w:rsidR="00387D69" w:rsidRPr="00BE6013" w:rsidRDefault="00387D69" w:rsidP="00CF5E08">
            <w:pPr>
              <w:spacing w:after="0" w:line="240" w:lineRule="auto"/>
              <w:jc w:val="center"/>
              <w:rPr>
                <w:color w:val="auto"/>
              </w:rPr>
            </w:pPr>
            <w:r w:rsidRPr="00BE6013">
              <w:rPr>
                <w:color w:val="auto"/>
              </w:rPr>
              <w:t>Std. Error</w:t>
            </w:r>
          </w:p>
        </w:tc>
        <w:tc>
          <w:tcPr>
            <w:tcW w:w="1955" w:type="dxa"/>
            <w:tcBorders>
              <w:top w:val="single" w:sz="12" w:space="0" w:color="auto"/>
              <w:bottom w:val="single" w:sz="18" w:space="0" w:color="auto"/>
            </w:tcBorders>
            <w:noWrap/>
            <w:hideMark/>
          </w:tcPr>
          <w:p w14:paraId="1D6B817A" w14:textId="77777777" w:rsidR="00387D69" w:rsidRPr="00BE6013" w:rsidRDefault="00387D69" w:rsidP="00CF5E08">
            <w:pPr>
              <w:spacing w:after="0" w:line="240" w:lineRule="auto"/>
              <w:jc w:val="center"/>
              <w:rPr>
                <w:color w:val="auto"/>
              </w:rPr>
            </w:pPr>
            <w:r w:rsidRPr="00BE6013">
              <w:rPr>
                <w:color w:val="auto"/>
              </w:rPr>
              <w:t>t-Stats.</w:t>
            </w:r>
          </w:p>
        </w:tc>
        <w:tc>
          <w:tcPr>
            <w:tcW w:w="1398" w:type="dxa"/>
            <w:tcBorders>
              <w:top w:val="single" w:sz="12" w:space="0" w:color="auto"/>
              <w:bottom w:val="single" w:sz="18" w:space="0" w:color="auto"/>
            </w:tcBorders>
            <w:noWrap/>
            <w:hideMark/>
          </w:tcPr>
          <w:p w14:paraId="4052E070" w14:textId="77777777" w:rsidR="00387D69" w:rsidRPr="00BE6013" w:rsidRDefault="00387D69" w:rsidP="00CF5E08">
            <w:pPr>
              <w:spacing w:after="0" w:line="240" w:lineRule="auto"/>
              <w:jc w:val="center"/>
              <w:rPr>
                <w:color w:val="auto"/>
              </w:rPr>
            </w:pPr>
            <w:r w:rsidRPr="00BE6013">
              <w:rPr>
                <w:color w:val="auto"/>
              </w:rPr>
              <w:t>Prob.</w:t>
            </w:r>
          </w:p>
        </w:tc>
      </w:tr>
      <w:tr w:rsidR="00BE6013" w:rsidRPr="00BE6013" w14:paraId="2BE1D04C" w14:textId="77777777" w:rsidTr="00067054">
        <w:trPr>
          <w:trHeight w:val="264"/>
        </w:trPr>
        <w:tc>
          <w:tcPr>
            <w:tcW w:w="2325" w:type="dxa"/>
            <w:tcBorders>
              <w:top w:val="single" w:sz="18" w:space="0" w:color="auto"/>
            </w:tcBorders>
            <w:hideMark/>
          </w:tcPr>
          <w:p w14:paraId="2D3191E5"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lnBL</m:t>
                    </m:r>
                  </m:e>
                  <m:sub>
                    <m:r>
                      <w:rPr>
                        <w:rFonts w:ascii="Cambria Math" w:hAnsi="Cambria Math"/>
                        <w:color w:val="auto"/>
                      </w:rPr>
                      <m:t>t</m:t>
                    </m:r>
                  </m:sub>
                </m:sSub>
              </m:oMath>
            </m:oMathPara>
          </w:p>
        </w:tc>
        <w:tc>
          <w:tcPr>
            <w:tcW w:w="1888" w:type="dxa"/>
            <w:tcBorders>
              <w:top w:val="single" w:sz="18" w:space="0" w:color="auto"/>
            </w:tcBorders>
            <w:hideMark/>
          </w:tcPr>
          <w:p w14:paraId="61B6CC44" w14:textId="77777777" w:rsidR="00387D69" w:rsidRPr="00BE6013" w:rsidRDefault="00387D69" w:rsidP="00CF5E08">
            <w:pPr>
              <w:spacing w:after="0" w:line="240" w:lineRule="auto"/>
              <w:jc w:val="center"/>
              <w:rPr>
                <w:color w:val="auto"/>
              </w:rPr>
            </w:pPr>
            <w:r w:rsidRPr="00BE6013">
              <w:rPr>
                <w:color w:val="auto"/>
              </w:rPr>
              <w:t>0.1649**</w:t>
            </w:r>
          </w:p>
        </w:tc>
        <w:tc>
          <w:tcPr>
            <w:tcW w:w="1625" w:type="dxa"/>
            <w:tcBorders>
              <w:top w:val="single" w:sz="18" w:space="0" w:color="auto"/>
            </w:tcBorders>
            <w:hideMark/>
          </w:tcPr>
          <w:p w14:paraId="3CC730E2" w14:textId="77777777" w:rsidR="00387D69" w:rsidRPr="00BE6013" w:rsidRDefault="00387D69" w:rsidP="00CF5E08">
            <w:pPr>
              <w:spacing w:after="0" w:line="240" w:lineRule="auto"/>
              <w:jc w:val="center"/>
              <w:rPr>
                <w:color w:val="auto"/>
              </w:rPr>
            </w:pPr>
            <w:r w:rsidRPr="00BE6013">
              <w:rPr>
                <w:color w:val="auto"/>
              </w:rPr>
              <w:t>0.0711</w:t>
            </w:r>
          </w:p>
        </w:tc>
        <w:tc>
          <w:tcPr>
            <w:tcW w:w="1955" w:type="dxa"/>
            <w:tcBorders>
              <w:top w:val="single" w:sz="18" w:space="0" w:color="auto"/>
            </w:tcBorders>
            <w:hideMark/>
          </w:tcPr>
          <w:p w14:paraId="40AB2252" w14:textId="77777777" w:rsidR="00387D69" w:rsidRPr="00BE6013" w:rsidRDefault="00387D69" w:rsidP="00CF5E08">
            <w:pPr>
              <w:spacing w:after="0" w:line="240" w:lineRule="auto"/>
              <w:jc w:val="center"/>
              <w:rPr>
                <w:color w:val="auto"/>
              </w:rPr>
            </w:pPr>
            <w:r w:rsidRPr="00BE6013">
              <w:rPr>
                <w:color w:val="auto"/>
              </w:rPr>
              <w:t>2.3193</w:t>
            </w:r>
          </w:p>
        </w:tc>
        <w:tc>
          <w:tcPr>
            <w:tcW w:w="1398" w:type="dxa"/>
            <w:tcBorders>
              <w:top w:val="single" w:sz="18" w:space="0" w:color="auto"/>
            </w:tcBorders>
            <w:hideMark/>
          </w:tcPr>
          <w:p w14:paraId="005083ED" w14:textId="77777777" w:rsidR="00387D69" w:rsidRPr="00BE6013" w:rsidRDefault="00387D69" w:rsidP="00CF5E08">
            <w:pPr>
              <w:spacing w:after="0" w:line="240" w:lineRule="auto"/>
              <w:jc w:val="center"/>
              <w:rPr>
                <w:color w:val="auto"/>
              </w:rPr>
            </w:pPr>
            <w:r w:rsidRPr="00BE6013">
              <w:rPr>
                <w:color w:val="auto"/>
              </w:rPr>
              <w:t>0.0455</w:t>
            </w:r>
          </w:p>
        </w:tc>
      </w:tr>
      <w:tr w:rsidR="00BE6013" w:rsidRPr="00BE6013" w14:paraId="6A956F13" w14:textId="77777777" w:rsidTr="00067054">
        <w:trPr>
          <w:trHeight w:val="264"/>
        </w:trPr>
        <w:tc>
          <w:tcPr>
            <w:tcW w:w="2325" w:type="dxa"/>
            <w:hideMark/>
          </w:tcPr>
          <w:p w14:paraId="1100CC1B"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BC</m:t>
                    </m:r>
                  </m:e>
                  <m:sub>
                    <m:r>
                      <w:rPr>
                        <w:rFonts w:ascii="Cambria Math" w:hAnsi="Cambria Math"/>
                        <w:color w:val="auto"/>
                      </w:rPr>
                      <m:t>t</m:t>
                    </m:r>
                  </m:sub>
                </m:sSub>
              </m:oMath>
            </m:oMathPara>
          </w:p>
        </w:tc>
        <w:tc>
          <w:tcPr>
            <w:tcW w:w="1888" w:type="dxa"/>
            <w:hideMark/>
          </w:tcPr>
          <w:p w14:paraId="66A2D729" w14:textId="77777777" w:rsidR="00387D69" w:rsidRPr="00BE6013" w:rsidRDefault="00387D69" w:rsidP="00CF5E08">
            <w:pPr>
              <w:spacing w:after="0" w:line="240" w:lineRule="auto"/>
              <w:jc w:val="center"/>
              <w:rPr>
                <w:color w:val="auto"/>
              </w:rPr>
            </w:pPr>
            <w:r w:rsidRPr="00BE6013">
              <w:rPr>
                <w:color w:val="auto"/>
              </w:rPr>
              <w:t>-0.0045</w:t>
            </w:r>
          </w:p>
        </w:tc>
        <w:tc>
          <w:tcPr>
            <w:tcW w:w="1625" w:type="dxa"/>
            <w:hideMark/>
          </w:tcPr>
          <w:p w14:paraId="1025384F" w14:textId="77777777" w:rsidR="00387D69" w:rsidRPr="00BE6013" w:rsidRDefault="00387D69" w:rsidP="00CF5E08">
            <w:pPr>
              <w:spacing w:after="0" w:line="240" w:lineRule="auto"/>
              <w:jc w:val="center"/>
              <w:rPr>
                <w:color w:val="auto"/>
              </w:rPr>
            </w:pPr>
            <w:r w:rsidRPr="00BE6013">
              <w:rPr>
                <w:color w:val="auto"/>
              </w:rPr>
              <w:t>0.0086</w:t>
            </w:r>
          </w:p>
        </w:tc>
        <w:tc>
          <w:tcPr>
            <w:tcW w:w="1955" w:type="dxa"/>
            <w:hideMark/>
          </w:tcPr>
          <w:p w14:paraId="7EEDDE33" w14:textId="77777777" w:rsidR="00387D69" w:rsidRPr="00BE6013" w:rsidRDefault="00387D69" w:rsidP="00CF5E08">
            <w:pPr>
              <w:spacing w:after="0" w:line="240" w:lineRule="auto"/>
              <w:jc w:val="center"/>
              <w:rPr>
                <w:color w:val="auto"/>
              </w:rPr>
            </w:pPr>
            <w:r w:rsidRPr="00BE6013">
              <w:rPr>
                <w:color w:val="auto"/>
              </w:rPr>
              <w:t>-0.5297</w:t>
            </w:r>
          </w:p>
        </w:tc>
        <w:tc>
          <w:tcPr>
            <w:tcW w:w="1398" w:type="dxa"/>
            <w:hideMark/>
          </w:tcPr>
          <w:p w14:paraId="067250E1" w14:textId="77777777" w:rsidR="00387D69" w:rsidRPr="00BE6013" w:rsidRDefault="00387D69" w:rsidP="00CF5E08">
            <w:pPr>
              <w:spacing w:after="0" w:line="240" w:lineRule="auto"/>
              <w:jc w:val="center"/>
              <w:rPr>
                <w:color w:val="auto"/>
              </w:rPr>
            </w:pPr>
            <w:r w:rsidRPr="00BE6013">
              <w:rPr>
                <w:color w:val="auto"/>
              </w:rPr>
              <w:t>0.6091</w:t>
            </w:r>
          </w:p>
        </w:tc>
      </w:tr>
      <w:tr w:rsidR="00BE6013" w:rsidRPr="00BE6013" w14:paraId="3B6B2407" w14:textId="77777777" w:rsidTr="00067054">
        <w:trPr>
          <w:trHeight w:val="264"/>
        </w:trPr>
        <w:tc>
          <w:tcPr>
            <w:tcW w:w="2325" w:type="dxa"/>
            <w:hideMark/>
          </w:tcPr>
          <w:p w14:paraId="01D3139B"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lnMS</m:t>
                    </m:r>
                  </m:e>
                  <m:sub>
                    <m:r>
                      <w:rPr>
                        <w:rFonts w:ascii="Cambria Math" w:hAnsi="Cambria Math"/>
                        <w:color w:val="auto"/>
                      </w:rPr>
                      <m:t>t</m:t>
                    </m:r>
                  </m:sub>
                </m:sSub>
              </m:oMath>
            </m:oMathPara>
          </w:p>
        </w:tc>
        <w:tc>
          <w:tcPr>
            <w:tcW w:w="1888" w:type="dxa"/>
            <w:hideMark/>
          </w:tcPr>
          <w:p w14:paraId="19A3E3C6" w14:textId="77777777" w:rsidR="00387D69" w:rsidRPr="00BE6013" w:rsidRDefault="00387D69" w:rsidP="00CF5E08">
            <w:pPr>
              <w:spacing w:after="0" w:line="240" w:lineRule="auto"/>
              <w:jc w:val="center"/>
              <w:rPr>
                <w:color w:val="auto"/>
              </w:rPr>
            </w:pPr>
            <w:r w:rsidRPr="00BE6013">
              <w:rPr>
                <w:color w:val="auto"/>
              </w:rPr>
              <w:t>0.4218***</w:t>
            </w:r>
          </w:p>
        </w:tc>
        <w:tc>
          <w:tcPr>
            <w:tcW w:w="1625" w:type="dxa"/>
            <w:hideMark/>
          </w:tcPr>
          <w:p w14:paraId="3F65DAD4" w14:textId="77777777" w:rsidR="00387D69" w:rsidRPr="00BE6013" w:rsidRDefault="00387D69" w:rsidP="00CF5E08">
            <w:pPr>
              <w:spacing w:after="0" w:line="240" w:lineRule="auto"/>
              <w:jc w:val="center"/>
              <w:rPr>
                <w:color w:val="auto"/>
              </w:rPr>
            </w:pPr>
            <w:r w:rsidRPr="00BE6013">
              <w:rPr>
                <w:color w:val="auto"/>
              </w:rPr>
              <w:t>0.0795</w:t>
            </w:r>
          </w:p>
        </w:tc>
        <w:tc>
          <w:tcPr>
            <w:tcW w:w="1955" w:type="dxa"/>
            <w:hideMark/>
          </w:tcPr>
          <w:p w14:paraId="4188D4D3" w14:textId="77777777" w:rsidR="00387D69" w:rsidRPr="00BE6013" w:rsidRDefault="00387D69" w:rsidP="00CF5E08">
            <w:pPr>
              <w:spacing w:after="0" w:line="240" w:lineRule="auto"/>
              <w:jc w:val="center"/>
              <w:rPr>
                <w:color w:val="auto"/>
              </w:rPr>
            </w:pPr>
            <w:r w:rsidRPr="00BE6013">
              <w:rPr>
                <w:color w:val="auto"/>
              </w:rPr>
              <w:t>5.3031</w:t>
            </w:r>
          </w:p>
        </w:tc>
        <w:tc>
          <w:tcPr>
            <w:tcW w:w="1398" w:type="dxa"/>
            <w:hideMark/>
          </w:tcPr>
          <w:p w14:paraId="39598C60" w14:textId="77777777" w:rsidR="00387D69" w:rsidRPr="00BE6013" w:rsidRDefault="00387D69" w:rsidP="00CF5E08">
            <w:pPr>
              <w:spacing w:after="0" w:line="240" w:lineRule="auto"/>
              <w:jc w:val="center"/>
              <w:rPr>
                <w:color w:val="auto"/>
              </w:rPr>
            </w:pPr>
            <w:r w:rsidRPr="00BE6013">
              <w:rPr>
                <w:color w:val="auto"/>
              </w:rPr>
              <w:t>0.0005</w:t>
            </w:r>
          </w:p>
        </w:tc>
      </w:tr>
      <w:tr w:rsidR="00BE6013" w:rsidRPr="00BE6013" w14:paraId="41AD7971" w14:textId="77777777" w:rsidTr="00067054">
        <w:trPr>
          <w:trHeight w:val="264"/>
        </w:trPr>
        <w:tc>
          <w:tcPr>
            <w:tcW w:w="2325" w:type="dxa"/>
            <w:hideMark/>
          </w:tcPr>
          <w:p w14:paraId="185202A0"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IN</m:t>
                    </m:r>
                  </m:e>
                  <m:sub>
                    <m:r>
                      <w:rPr>
                        <w:rFonts w:ascii="Cambria Math" w:hAnsi="Cambria Math"/>
                        <w:color w:val="auto"/>
                      </w:rPr>
                      <m:t>t</m:t>
                    </m:r>
                  </m:sub>
                </m:sSub>
              </m:oMath>
            </m:oMathPara>
          </w:p>
        </w:tc>
        <w:tc>
          <w:tcPr>
            <w:tcW w:w="1888" w:type="dxa"/>
            <w:hideMark/>
          </w:tcPr>
          <w:p w14:paraId="1D3B850D" w14:textId="77777777" w:rsidR="00387D69" w:rsidRPr="00BE6013" w:rsidRDefault="00387D69" w:rsidP="00CF5E08">
            <w:pPr>
              <w:spacing w:after="0" w:line="240" w:lineRule="auto"/>
              <w:jc w:val="center"/>
              <w:rPr>
                <w:color w:val="auto"/>
              </w:rPr>
            </w:pPr>
            <w:r w:rsidRPr="00BE6013">
              <w:rPr>
                <w:color w:val="auto"/>
              </w:rPr>
              <w:t>-0.0973***</w:t>
            </w:r>
          </w:p>
        </w:tc>
        <w:tc>
          <w:tcPr>
            <w:tcW w:w="1625" w:type="dxa"/>
            <w:hideMark/>
          </w:tcPr>
          <w:p w14:paraId="0F6BFDCC" w14:textId="77777777" w:rsidR="00387D69" w:rsidRPr="00BE6013" w:rsidRDefault="00387D69" w:rsidP="00CF5E08">
            <w:pPr>
              <w:spacing w:after="0" w:line="240" w:lineRule="auto"/>
              <w:jc w:val="center"/>
              <w:rPr>
                <w:color w:val="auto"/>
              </w:rPr>
            </w:pPr>
            <w:r w:rsidRPr="00BE6013">
              <w:rPr>
                <w:color w:val="auto"/>
              </w:rPr>
              <w:t>0.0416</w:t>
            </w:r>
          </w:p>
        </w:tc>
        <w:tc>
          <w:tcPr>
            <w:tcW w:w="1955" w:type="dxa"/>
            <w:hideMark/>
          </w:tcPr>
          <w:p w14:paraId="3CF425D2" w14:textId="77777777" w:rsidR="00387D69" w:rsidRPr="00BE6013" w:rsidRDefault="00387D69" w:rsidP="00CF5E08">
            <w:pPr>
              <w:spacing w:after="0" w:line="240" w:lineRule="auto"/>
              <w:jc w:val="center"/>
              <w:rPr>
                <w:color w:val="auto"/>
              </w:rPr>
            </w:pPr>
            <w:r w:rsidRPr="00BE6013">
              <w:rPr>
                <w:color w:val="auto"/>
              </w:rPr>
              <w:t>-2.3365</w:t>
            </w:r>
          </w:p>
        </w:tc>
        <w:tc>
          <w:tcPr>
            <w:tcW w:w="1398" w:type="dxa"/>
            <w:hideMark/>
          </w:tcPr>
          <w:p w14:paraId="7D5BB14B" w14:textId="77777777" w:rsidR="00387D69" w:rsidRPr="00BE6013" w:rsidRDefault="00387D69" w:rsidP="00CF5E08">
            <w:pPr>
              <w:spacing w:after="0" w:line="240" w:lineRule="auto"/>
              <w:jc w:val="center"/>
              <w:rPr>
                <w:color w:val="auto"/>
              </w:rPr>
            </w:pPr>
            <w:r w:rsidRPr="00BE6013">
              <w:rPr>
                <w:color w:val="auto"/>
              </w:rPr>
              <w:t>0.0300</w:t>
            </w:r>
          </w:p>
        </w:tc>
      </w:tr>
      <w:tr w:rsidR="00BE6013" w:rsidRPr="00BE6013" w14:paraId="049B9A6B" w14:textId="77777777" w:rsidTr="00067054">
        <w:trPr>
          <w:trHeight w:val="264"/>
        </w:trPr>
        <w:tc>
          <w:tcPr>
            <w:tcW w:w="2325" w:type="dxa"/>
            <w:hideMark/>
          </w:tcPr>
          <w:p w14:paraId="3718ACCF" w14:textId="77777777" w:rsidR="00387D69" w:rsidRPr="00BE6013" w:rsidRDefault="00387D69" w:rsidP="00CF5E08">
            <w:pPr>
              <w:spacing w:after="0" w:line="240" w:lineRule="auto"/>
              <w:jc w:val="center"/>
              <w:rPr>
                <w:color w:val="auto"/>
              </w:rPr>
            </w:pPr>
            <w:r w:rsidRPr="00BE6013">
              <w:rPr>
                <w:color w:val="auto"/>
              </w:rPr>
              <w:t>C</w:t>
            </w:r>
          </w:p>
        </w:tc>
        <w:tc>
          <w:tcPr>
            <w:tcW w:w="1888" w:type="dxa"/>
            <w:hideMark/>
          </w:tcPr>
          <w:p w14:paraId="48AA42FC" w14:textId="77777777" w:rsidR="00387D69" w:rsidRPr="00BE6013" w:rsidRDefault="00387D69" w:rsidP="00CF5E08">
            <w:pPr>
              <w:spacing w:after="0" w:line="240" w:lineRule="auto"/>
              <w:jc w:val="center"/>
              <w:rPr>
                <w:color w:val="auto"/>
              </w:rPr>
            </w:pPr>
            <w:r w:rsidRPr="00BE6013">
              <w:rPr>
                <w:color w:val="auto"/>
              </w:rPr>
              <w:t>8.5051</w:t>
            </w:r>
          </w:p>
        </w:tc>
        <w:tc>
          <w:tcPr>
            <w:tcW w:w="1625" w:type="dxa"/>
            <w:hideMark/>
          </w:tcPr>
          <w:p w14:paraId="46D8A9D1" w14:textId="77777777" w:rsidR="00387D69" w:rsidRPr="00BE6013" w:rsidRDefault="00387D69" w:rsidP="00CF5E08">
            <w:pPr>
              <w:spacing w:after="0" w:line="240" w:lineRule="auto"/>
              <w:jc w:val="center"/>
              <w:rPr>
                <w:color w:val="auto"/>
              </w:rPr>
            </w:pPr>
            <w:r w:rsidRPr="00BE6013">
              <w:rPr>
                <w:color w:val="auto"/>
              </w:rPr>
              <w:t>0.3815</w:t>
            </w:r>
          </w:p>
        </w:tc>
        <w:tc>
          <w:tcPr>
            <w:tcW w:w="1955" w:type="dxa"/>
            <w:hideMark/>
          </w:tcPr>
          <w:p w14:paraId="00F7A2D4" w14:textId="77777777" w:rsidR="00387D69" w:rsidRPr="00BE6013" w:rsidRDefault="00387D69" w:rsidP="00CF5E08">
            <w:pPr>
              <w:spacing w:after="0" w:line="240" w:lineRule="auto"/>
              <w:jc w:val="center"/>
              <w:rPr>
                <w:color w:val="auto"/>
              </w:rPr>
            </w:pPr>
            <w:r w:rsidRPr="00BE6013">
              <w:rPr>
                <w:color w:val="auto"/>
              </w:rPr>
              <w:t>22.2893</w:t>
            </w:r>
          </w:p>
        </w:tc>
        <w:tc>
          <w:tcPr>
            <w:tcW w:w="1398" w:type="dxa"/>
            <w:hideMark/>
          </w:tcPr>
          <w:p w14:paraId="372E41B5" w14:textId="77777777" w:rsidR="00387D69" w:rsidRPr="00BE6013" w:rsidRDefault="00387D69" w:rsidP="00CF5E08">
            <w:pPr>
              <w:spacing w:after="0" w:line="240" w:lineRule="auto"/>
              <w:jc w:val="center"/>
              <w:rPr>
                <w:color w:val="auto"/>
              </w:rPr>
            </w:pPr>
            <w:r w:rsidRPr="00BE6013">
              <w:rPr>
                <w:color w:val="auto"/>
              </w:rPr>
              <w:t>0.0000</w:t>
            </w:r>
          </w:p>
        </w:tc>
      </w:tr>
      <w:bookmarkEnd w:id="36"/>
      <w:tr w:rsidR="00BE6013" w:rsidRPr="00BE6013" w14:paraId="1F52E6DB" w14:textId="77777777" w:rsidTr="00067054">
        <w:trPr>
          <w:trHeight w:val="284"/>
        </w:trPr>
        <w:tc>
          <w:tcPr>
            <w:tcW w:w="9194" w:type="dxa"/>
            <w:gridSpan w:val="5"/>
            <w:tcBorders>
              <w:top w:val="single" w:sz="18" w:space="0" w:color="auto"/>
              <w:bottom w:val="single" w:sz="12" w:space="0" w:color="auto"/>
            </w:tcBorders>
            <w:hideMark/>
          </w:tcPr>
          <w:p w14:paraId="607FBBC2" w14:textId="77777777" w:rsidR="00387D69" w:rsidRPr="00BE6013" w:rsidRDefault="00387D69" w:rsidP="00CF5E08">
            <w:pPr>
              <w:spacing w:after="0" w:line="240" w:lineRule="auto"/>
              <w:jc w:val="center"/>
              <w:rPr>
                <w:color w:val="auto"/>
              </w:rPr>
            </w:pPr>
            <w:r w:rsidRPr="00BE6013">
              <w:rPr>
                <w:color w:val="auto"/>
              </w:rPr>
              <w:t>Panel B: Short run</w:t>
            </w:r>
          </w:p>
        </w:tc>
      </w:tr>
      <w:tr w:rsidR="00BE6013" w:rsidRPr="00BE6013" w14:paraId="14ACDAF2" w14:textId="77777777" w:rsidTr="00067054">
        <w:trPr>
          <w:trHeight w:val="264"/>
        </w:trPr>
        <w:tc>
          <w:tcPr>
            <w:tcW w:w="2325" w:type="dxa"/>
            <w:tcBorders>
              <w:top w:val="single" w:sz="12" w:space="0" w:color="auto"/>
              <w:bottom w:val="single" w:sz="18" w:space="0" w:color="auto"/>
            </w:tcBorders>
            <w:noWrap/>
            <w:hideMark/>
          </w:tcPr>
          <w:p w14:paraId="4A6F302E" w14:textId="77777777" w:rsidR="00387D69" w:rsidRPr="00BE6013" w:rsidRDefault="00387D69" w:rsidP="00CF5E08">
            <w:pPr>
              <w:spacing w:after="0" w:line="240" w:lineRule="auto"/>
              <w:jc w:val="center"/>
              <w:rPr>
                <w:color w:val="auto"/>
              </w:rPr>
            </w:pPr>
            <w:r w:rsidRPr="00BE6013">
              <w:rPr>
                <w:color w:val="auto"/>
              </w:rPr>
              <w:t>Variable</w:t>
            </w:r>
          </w:p>
        </w:tc>
        <w:tc>
          <w:tcPr>
            <w:tcW w:w="1888" w:type="dxa"/>
            <w:tcBorders>
              <w:top w:val="single" w:sz="12" w:space="0" w:color="auto"/>
              <w:bottom w:val="single" w:sz="18" w:space="0" w:color="auto"/>
            </w:tcBorders>
            <w:noWrap/>
            <w:hideMark/>
          </w:tcPr>
          <w:p w14:paraId="26983FA3" w14:textId="77777777" w:rsidR="00387D69" w:rsidRPr="00BE6013" w:rsidRDefault="00387D69" w:rsidP="00CF5E08">
            <w:pPr>
              <w:spacing w:after="0" w:line="240" w:lineRule="auto"/>
              <w:jc w:val="center"/>
              <w:rPr>
                <w:color w:val="auto"/>
              </w:rPr>
            </w:pPr>
            <w:r w:rsidRPr="00BE6013">
              <w:rPr>
                <w:color w:val="auto"/>
              </w:rPr>
              <w:t>Coefficient</w:t>
            </w:r>
          </w:p>
        </w:tc>
        <w:tc>
          <w:tcPr>
            <w:tcW w:w="1625" w:type="dxa"/>
            <w:tcBorders>
              <w:top w:val="single" w:sz="12" w:space="0" w:color="auto"/>
              <w:bottom w:val="single" w:sz="18" w:space="0" w:color="auto"/>
            </w:tcBorders>
            <w:noWrap/>
            <w:hideMark/>
          </w:tcPr>
          <w:p w14:paraId="39CE0B69" w14:textId="77777777" w:rsidR="00387D69" w:rsidRPr="00BE6013" w:rsidRDefault="00387D69" w:rsidP="00CF5E08">
            <w:pPr>
              <w:spacing w:after="0" w:line="240" w:lineRule="auto"/>
              <w:jc w:val="center"/>
              <w:rPr>
                <w:color w:val="auto"/>
              </w:rPr>
            </w:pPr>
            <w:r w:rsidRPr="00BE6013">
              <w:rPr>
                <w:color w:val="auto"/>
              </w:rPr>
              <w:t>Std. Error</w:t>
            </w:r>
          </w:p>
        </w:tc>
        <w:tc>
          <w:tcPr>
            <w:tcW w:w="1955" w:type="dxa"/>
            <w:tcBorders>
              <w:top w:val="single" w:sz="12" w:space="0" w:color="auto"/>
              <w:bottom w:val="single" w:sz="18" w:space="0" w:color="auto"/>
            </w:tcBorders>
            <w:noWrap/>
            <w:hideMark/>
          </w:tcPr>
          <w:p w14:paraId="309881A7" w14:textId="77777777" w:rsidR="00387D69" w:rsidRPr="00BE6013" w:rsidRDefault="00387D69" w:rsidP="00CF5E08">
            <w:pPr>
              <w:spacing w:after="0" w:line="240" w:lineRule="auto"/>
              <w:jc w:val="center"/>
              <w:rPr>
                <w:color w:val="auto"/>
              </w:rPr>
            </w:pPr>
            <w:r w:rsidRPr="00BE6013">
              <w:rPr>
                <w:color w:val="auto"/>
              </w:rPr>
              <w:t>t-Stats.</w:t>
            </w:r>
          </w:p>
        </w:tc>
        <w:tc>
          <w:tcPr>
            <w:tcW w:w="1398" w:type="dxa"/>
            <w:tcBorders>
              <w:top w:val="single" w:sz="12" w:space="0" w:color="auto"/>
              <w:bottom w:val="single" w:sz="18" w:space="0" w:color="auto"/>
            </w:tcBorders>
            <w:noWrap/>
            <w:hideMark/>
          </w:tcPr>
          <w:p w14:paraId="65B2BA95" w14:textId="77777777" w:rsidR="00387D69" w:rsidRPr="00BE6013" w:rsidRDefault="00387D69" w:rsidP="00CF5E08">
            <w:pPr>
              <w:spacing w:after="0" w:line="240" w:lineRule="auto"/>
              <w:jc w:val="center"/>
              <w:rPr>
                <w:color w:val="auto"/>
              </w:rPr>
            </w:pPr>
            <w:r w:rsidRPr="00BE6013">
              <w:rPr>
                <w:color w:val="auto"/>
              </w:rPr>
              <w:t>Prob.</w:t>
            </w:r>
          </w:p>
        </w:tc>
      </w:tr>
      <w:tr w:rsidR="00BE6013" w:rsidRPr="00BE6013" w14:paraId="7DB17F11" w14:textId="77777777" w:rsidTr="00067054">
        <w:trPr>
          <w:trHeight w:val="256"/>
        </w:trPr>
        <w:tc>
          <w:tcPr>
            <w:tcW w:w="2325" w:type="dxa"/>
            <w:tcBorders>
              <w:top w:val="single" w:sz="18" w:space="0" w:color="auto"/>
            </w:tcBorders>
            <w:hideMark/>
          </w:tcPr>
          <w:p w14:paraId="46583035"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lnRGDP</m:t>
                    </m:r>
                  </m:e>
                  <m:sub>
                    <m:r>
                      <w:rPr>
                        <w:rFonts w:ascii="Cambria Math" w:hAnsi="Cambria Math"/>
                        <w:color w:val="auto"/>
                      </w:rPr>
                      <m:t>t</m:t>
                    </m:r>
                    <m:r>
                      <w:rPr>
                        <w:rFonts w:ascii="Cambria Math" w:hAnsi="Cambria Math"/>
                        <w:color w:val="auto"/>
                      </w:rPr>
                      <m:t>-1</m:t>
                    </m:r>
                  </m:sub>
                </m:sSub>
                <m:r>
                  <w:rPr>
                    <w:rFonts w:ascii="Cambria Math" w:hAnsi="Cambria Math"/>
                    <w:color w:val="auto"/>
                  </w:rPr>
                  <m:t>)</m:t>
                </m:r>
              </m:oMath>
            </m:oMathPara>
          </w:p>
        </w:tc>
        <w:tc>
          <w:tcPr>
            <w:tcW w:w="1888" w:type="dxa"/>
            <w:tcBorders>
              <w:top w:val="single" w:sz="18" w:space="0" w:color="auto"/>
            </w:tcBorders>
            <w:hideMark/>
          </w:tcPr>
          <w:p w14:paraId="403E473B" w14:textId="77777777" w:rsidR="00387D69" w:rsidRPr="00BE6013" w:rsidRDefault="00387D69" w:rsidP="00CF5E08">
            <w:pPr>
              <w:spacing w:after="0" w:line="240" w:lineRule="auto"/>
              <w:jc w:val="center"/>
              <w:rPr>
                <w:color w:val="auto"/>
              </w:rPr>
            </w:pPr>
            <w:r w:rsidRPr="00BE6013">
              <w:rPr>
                <w:color w:val="auto"/>
              </w:rPr>
              <w:t>-0.1936*</w:t>
            </w:r>
          </w:p>
        </w:tc>
        <w:tc>
          <w:tcPr>
            <w:tcW w:w="1625" w:type="dxa"/>
            <w:tcBorders>
              <w:top w:val="single" w:sz="18" w:space="0" w:color="auto"/>
            </w:tcBorders>
            <w:hideMark/>
          </w:tcPr>
          <w:p w14:paraId="303F8471" w14:textId="77777777" w:rsidR="00387D69" w:rsidRPr="00BE6013" w:rsidRDefault="00387D69" w:rsidP="00CF5E08">
            <w:pPr>
              <w:spacing w:after="0" w:line="240" w:lineRule="auto"/>
              <w:jc w:val="center"/>
              <w:rPr>
                <w:color w:val="auto"/>
              </w:rPr>
            </w:pPr>
            <w:r w:rsidRPr="00BE6013">
              <w:rPr>
                <w:color w:val="auto"/>
              </w:rPr>
              <w:t>0.1047</w:t>
            </w:r>
          </w:p>
        </w:tc>
        <w:tc>
          <w:tcPr>
            <w:tcW w:w="1955" w:type="dxa"/>
            <w:tcBorders>
              <w:top w:val="single" w:sz="18" w:space="0" w:color="auto"/>
            </w:tcBorders>
            <w:hideMark/>
          </w:tcPr>
          <w:p w14:paraId="0FC8AD02" w14:textId="77777777" w:rsidR="00387D69" w:rsidRPr="00BE6013" w:rsidRDefault="00387D69" w:rsidP="00CF5E08">
            <w:pPr>
              <w:spacing w:after="0" w:line="240" w:lineRule="auto"/>
              <w:jc w:val="center"/>
              <w:rPr>
                <w:color w:val="auto"/>
              </w:rPr>
            </w:pPr>
            <w:r w:rsidRPr="00BE6013">
              <w:rPr>
                <w:color w:val="auto"/>
              </w:rPr>
              <w:t>-1.8482</w:t>
            </w:r>
          </w:p>
        </w:tc>
        <w:tc>
          <w:tcPr>
            <w:tcW w:w="1398" w:type="dxa"/>
            <w:tcBorders>
              <w:top w:val="single" w:sz="18" w:space="0" w:color="auto"/>
            </w:tcBorders>
            <w:hideMark/>
          </w:tcPr>
          <w:p w14:paraId="20A1E3EB" w14:textId="77777777" w:rsidR="00387D69" w:rsidRPr="00BE6013" w:rsidRDefault="00387D69" w:rsidP="00CF5E08">
            <w:pPr>
              <w:spacing w:after="0" w:line="240" w:lineRule="auto"/>
              <w:jc w:val="center"/>
              <w:rPr>
                <w:color w:val="auto"/>
              </w:rPr>
            </w:pPr>
            <w:r w:rsidRPr="00BE6013">
              <w:rPr>
                <w:color w:val="auto"/>
              </w:rPr>
              <w:t>0.0976</w:t>
            </w:r>
          </w:p>
        </w:tc>
      </w:tr>
      <w:tr w:rsidR="00BE6013" w:rsidRPr="00BE6013" w14:paraId="54FFA2AD" w14:textId="77777777" w:rsidTr="00067054">
        <w:trPr>
          <w:trHeight w:val="229"/>
        </w:trPr>
        <w:tc>
          <w:tcPr>
            <w:tcW w:w="2325" w:type="dxa"/>
            <w:hideMark/>
          </w:tcPr>
          <w:p w14:paraId="1D64A112"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lnRGDP</m:t>
                    </m:r>
                  </m:e>
                  <m:sub>
                    <m:r>
                      <w:rPr>
                        <w:rFonts w:ascii="Cambria Math" w:hAnsi="Cambria Math"/>
                        <w:color w:val="auto"/>
                      </w:rPr>
                      <m:t>t</m:t>
                    </m:r>
                    <m:r>
                      <w:rPr>
                        <w:rFonts w:ascii="Cambria Math" w:hAnsi="Cambria Math"/>
                        <w:color w:val="auto"/>
                      </w:rPr>
                      <m:t>-2</m:t>
                    </m:r>
                  </m:sub>
                </m:sSub>
                <m:r>
                  <w:rPr>
                    <w:rFonts w:ascii="Cambria Math" w:hAnsi="Cambria Math"/>
                    <w:color w:val="auto"/>
                  </w:rPr>
                  <m:t>)</m:t>
                </m:r>
              </m:oMath>
            </m:oMathPara>
          </w:p>
        </w:tc>
        <w:tc>
          <w:tcPr>
            <w:tcW w:w="1888" w:type="dxa"/>
            <w:hideMark/>
          </w:tcPr>
          <w:p w14:paraId="3883E69D" w14:textId="77777777" w:rsidR="00387D69" w:rsidRPr="00BE6013" w:rsidRDefault="00387D69" w:rsidP="00CF5E08">
            <w:pPr>
              <w:spacing w:after="0" w:line="240" w:lineRule="auto"/>
              <w:jc w:val="center"/>
              <w:rPr>
                <w:color w:val="auto"/>
              </w:rPr>
            </w:pPr>
            <w:r w:rsidRPr="00BE6013">
              <w:rPr>
                <w:color w:val="auto"/>
              </w:rPr>
              <w:t>0.3231***</w:t>
            </w:r>
          </w:p>
        </w:tc>
        <w:tc>
          <w:tcPr>
            <w:tcW w:w="1625" w:type="dxa"/>
            <w:hideMark/>
          </w:tcPr>
          <w:p w14:paraId="3732DBEB" w14:textId="77777777" w:rsidR="00387D69" w:rsidRPr="00BE6013" w:rsidRDefault="00387D69" w:rsidP="00CF5E08">
            <w:pPr>
              <w:spacing w:after="0" w:line="240" w:lineRule="auto"/>
              <w:jc w:val="center"/>
              <w:rPr>
                <w:color w:val="auto"/>
              </w:rPr>
            </w:pPr>
            <w:r w:rsidRPr="00BE6013">
              <w:rPr>
                <w:color w:val="auto"/>
              </w:rPr>
              <w:t>0.0825</w:t>
            </w:r>
          </w:p>
        </w:tc>
        <w:tc>
          <w:tcPr>
            <w:tcW w:w="1955" w:type="dxa"/>
            <w:hideMark/>
          </w:tcPr>
          <w:p w14:paraId="352B99C4" w14:textId="77777777" w:rsidR="00387D69" w:rsidRPr="00BE6013" w:rsidRDefault="00387D69" w:rsidP="00CF5E08">
            <w:pPr>
              <w:spacing w:after="0" w:line="240" w:lineRule="auto"/>
              <w:jc w:val="center"/>
              <w:rPr>
                <w:color w:val="auto"/>
              </w:rPr>
            </w:pPr>
            <w:r w:rsidRPr="00BE6013">
              <w:rPr>
                <w:color w:val="auto"/>
              </w:rPr>
              <w:t>3.9146</w:t>
            </w:r>
          </w:p>
        </w:tc>
        <w:tc>
          <w:tcPr>
            <w:tcW w:w="1398" w:type="dxa"/>
            <w:hideMark/>
          </w:tcPr>
          <w:p w14:paraId="64B6D469" w14:textId="77777777" w:rsidR="00387D69" w:rsidRPr="00BE6013" w:rsidRDefault="00387D69" w:rsidP="00CF5E08">
            <w:pPr>
              <w:spacing w:after="0" w:line="240" w:lineRule="auto"/>
              <w:jc w:val="center"/>
              <w:rPr>
                <w:color w:val="auto"/>
              </w:rPr>
            </w:pPr>
            <w:r w:rsidRPr="00BE6013">
              <w:rPr>
                <w:color w:val="auto"/>
              </w:rPr>
              <w:t>0.0035</w:t>
            </w:r>
          </w:p>
        </w:tc>
      </w:tr>
      <w:tr w:rsidR="00BE6013" w:rsidRPr="00BE6013" w14:paraId="3E8533FA" w14:textId="77777777" w:rsidTr="00067054">
        <w:trPr>
          <w:trHeight w:val="293"/>
        </w:trPr>
        <w:tc>
          <w:tcPr>
            <w:tcW w:w="2325" w:type="dxa"/>
            <w:hideMark/>
          </w:tcPr>
          <w:p w14:paraId="6E109B37"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lnRGDP</m:t>
                    </m:r>
                  </m:e>
                  <m:sub>
                    <m:r>
                      <w:rPr>
                        <w:rFonts w:ascii="Cambria Math" w:hAnsi="Cambria Math"/>
                        <w:color w:val="auto"/>
                      </w:rPr>
                      <m:t>t</m:t>
                    </m:r>
                    <m:r>
                      <w:rPr>
                        <w:rFonts w:ascii="Cambria Math" w:hAnsi="Cambria Math"/>
                        <w:color w:val="auto"/>
                      </w:rPr>
                      <m:t>-3</m:t>
                    </m:r>
                  </m:sub>
                </m:sSub>
                <m:r>
                  <w:rPr>
                    <w:rFonts w:ascii="Cambria Math" w:hAnsi="Cambria Math"/>
                    <w:color w:val="auto"/>
                  </w:rPr>
                  <m:t>)</m:t>
                </m:r>
              </m:oMath>
            </m:oMathPara>
          </w:p>
        </w:tc>
        <w:tc>
          <w:tcPr>
            <w:tcW w:w="1888" w:type="dxa"/>
            <w:hideMark/>
          </w:tcPr>
          <w:p w14:paraId="0E1F7B0E" w14:textId="77777777" w:rsidR="00387D69" w:rsidRPr="00BE6013" w:rsidRDefault="00387D69" w:rsidP="00CF5E08">
            <w:pPr>
              <w:spacing w:after="0" w:line="240" w:lineRule="auto"/>
              <w:jc w:val="center"/>
              <w:rPr>
                <w:color w:val="auto"/>
              </w:rPr>
            </w:pPr>
            <w:r w:rsidRPr="00BE6013">
              <w:rPr>
                <w:color w:val="auto"/>
              </w:rPr>
              <w:t>0.4295***</w:t>
            </w:r>
          </w:p>
        </w:tc>
        <w:tc>
          <w:tcPr>
            <w:tcW w:w="1625" w:type="dxa"/>
            <w:hideMark/>
          </w:tcPr>
          <w:p w14:paraId="68C0751E" w14:textId="77777777" w:rsidR="00387D69" w:rsidRPr="00BE6013" w:rsidRDefault="00387D69" w:rsidP="00CF5E08">
            <w:pPr>
              <w:spacing w:after="0" w:line="240" w:lineRule="auto"/>
              <w:jc w:val="center"/>
              <w:rPr>
                <w:color w:val="auto"/>
              </w:rPr>
            </w:pPr>
            <w:r w:rsidRPr="00BE6013">
              <w:rPr>
                <w:color w:val="auto"/>
              </w:rPr>
              <w:t>0.0833</w:t>
            </w:r>
          </w:p>
        </w:tc>
        <w:tc>
          <w:tcPr>
            <w:tcW w:w="1955" w:type="dxa"/>
            <w:hideMark/>
          </w:tcPr>
          <w:p w14:paraId="3A59E01B" w14:textId="77777777" w:rsidR="00387D69" w:rsidRPr="00BE6013" w:rsidRDefault="00387D69" w:rsidP="00CF5E08">
            <w:pPr>
              <w:spacing w:after="0" w:line="240" w:lineRule="auto"/>
              <w:jc w:val="center"/>
              <w:rPr>
                <w:color w:val="auto"/>
              </w:rPr>
            </w:pPr>
            <w:r w:rsidRPr="00BE6013">
              <w:rPr>
                <w:color w:val="auto"/>
              </w:rPr>
              <w:t>5.1520</w:t>
            </w:r>
          </w:p>
        </w:tc>
        <w:tc>
          <w:tcPr>
            <w:tcW w:w="1398" w:type="dxa"/>
            <w:hideMark/>
          </w:tcPr>
          <w:p w14:paraId="24F74E57" w14:textId="77777777" w:rsidR="00387D69" w:rsidRPr="00BE6013" w:rsidRDefault="00387D69" w:rsidP="00CF5E08">
            <w:pPr>
              <w:spacing w:after="0" w:line="240" w:lineRule="auto"/>
              <w:jc w:val="center"/>
              <w:rPr>
                <w:color w:val="auto"/>
              </w:rPr>
            </w:pPr>
            <w:r w:rsidRPr="00BE6013">
              <w:rPr>
                <w:color w:val="auto"/>
              </w:rPr>
              <w:t>0.0006</w:t>
            </w:r>
          </w:p>
        </w:tc>
      </w:tr>
      <w:tr w:rsidR="00BE6013" w:rsidRPr="00BE6013" w14:paraId="0B17E326" w14:textId="77777777" w:rsidTr="00067054">
        <w:trPr>
          <w:trHeight w:val="264"/>
        </w:trPr>
        <w:tc>
          <w:tcPr>
            <w:tcW w:w="2325" w:type="dxa"/>
            <w:hideMark/>
          </w:tcPr>
          <w:p w14:paraId="1727C588"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lnBL</m:t>
                    </m:r>
                  </m:e>
                  <m:sub>
                    <m:r>
                      <w:rPr>
                        <w:rFonts w:ascii="Cambria Math" w:hAnsi="Cambria Math"/>
                        <w:color w:val="auto"/>
                      </w:rPr>
                      <m:t>t</m:t>
                    </m:r>
                  </m:sub>
                </m:sSub>
                <m:r>
                  <w:rPr>
                    <w:rFonts w:ascii="Cambria Math" w:hAnsi="Cambria Math"/>
                    <w:color w:val="auto"/>
                  </w:rPr>
                  <m:t>)</m:t>
                </m:r>
              </m:oMath>
            </m:oMathPara>
          </w:p>
        </w:tc>
        <w:tc>
          <w:tcPr>
            <w:tcW w:w="1888" w:type="dxa"/>
            <w:hideMark/>
          </w:tcPr>
          <w:p w14:paraId="6BD19F5C" w14:textId="77777777" w:rsidR="00387D69" w:rsidRPr="00BE6013" w:rsidRDefault="00387D69" w:rsidP="00CF5E08">
            <w:pPr>
              <w:spacing w:after="0" w:line="240" w:lineRule="auto"/>
              <w:jc w:val="center"/>
              <w:rPr>
                <w:color w:val="auto"/>
              </w:rPr>
            </w:pPr>
            <w:r w:rsidRPr="00BE6013">
              <w:rPr>
                <w:color w:val="auto"/>
              </w:rPr>
              <w:t>0.0105</w:t>
            </w:r>
          </w:p>
        </w:tc>
        <w:tc>
          <w:tcPr>
            <w:tcW w:w="1625" w:type="dxa"/>
            <w:hideMark/>
          </w:tcPr>
          <w:p w14:paraId="63DB8C06" w14:textId="77777777" w:rsidR="00387D69" w:rsidRPr="00BE6013" w:rsidRDefault="00387D69" w:rsidP="00CF5E08">
            <w:pPr>
              <w:spacing w:after="0" w:line="240" w:lineRule="auto"/>
              <w:jc w:val="center"/>
              <w:rPr>
                <w:color w:val="auto"/>
              </w:rPr>
            </w:pPr>
            <w:r w:rsidRPr="00BE6013">
              <w:rPr>
                <w:color w:val="auto"/>
              </w:rPr>
              <w:t>0.0165</w:t>
            </w:r>
          </w:p>
        </w:tc>
        <w:tc>
          <w:tcPr>
            <w:tcW w:w="1955" w:type="dxa"/>
            <w:hideMark/>
          </w:tcPr>
          <w:p w14:paraId="7897A8E7" w14:textId="77777777" w:rsidR="00387D69" w:rsidRPr="00BE6013" w:rsidRDefault="00387D69" w:rsidP="00CF5E08">
            <w:pPr>
              <w:spacing w:after="0" w:line="240" w:lineRule="auto"/>
              <w:jc w:val="center"/>
              <w:rPr>
                <w:color w:val="auto"/>
              </w:rPr>
            </w:pPr>
            <w:r w:rsidRPr="00BE6013">
              <w:rPr>
                <w:color w:val="auto"/>
              </w:rPr>
              <w:t>0.6342</w:t>
            </w:r>
          </w:p>
        </w:tc>
        <w:tc>
          <w:tcPr>
            <w:tcW w:w="1398" w:type="dxa"/>
            <w:hideMark/>
          </w:tcPr>
          <w:p w14:paraId="6D37A73E" w14:textId="77777777" w:rsidR="00387D69" w:rsidRPr="00BE6013" w:rsidRDefault="00387D69" w:rsidP="00CF5E08">
            <w:pPr>
              <w:spacing w:after="0" w:line="240" w:lineRule="auto"/>
              <w:jc w:val="center"/>
              <w:rPr>
                <w:color w:val="auto"/>
              </w:rPr>
            </w:pPr>
            <w:r w:rsidRPr="00BE6013">
              <w:rPr>
                <w:color w:val="auto"/>
              </w:rPr>
              <w:t>0.5417</w:t>
            </w:r>
          </w:p>
        </w:tc>
      </w:tr>
      <w:tr w:rsidR="00BE6013" w:rsidRPr="00BE6013" w14:paraId="26BF4416" w14:textId="77777777" w:rsidTr="00067054">
        <w:trPr>
          <w:trHeight w:val="293"/>
        </w:trPr>
        <w:tc>
          <w:tcPr>
            <w:tcW w:w="2325" w:type="dxa"/>
            <w:hideMark/>
          </w:tcPr>
          <w:p w14:paraId="2E71D264"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lnBL</m:t>
                    </m:r>
                  </m:e>
                  <m:sub>
                    <m:r>
                      <w:rPr>
                        <w:rFonts w:ascii="Cambria Math" w:hAnsi="Cambria Math"/>
                        <w:color w:val="auto"/>
                      </w:rPr>
                      <m:t>t</m:t>
                    </m:r>
                    <m:r>
                      <w:rPr>
                        <w:rFonts w:ascii="Cambria Math" w:hAnsi="Cambria Math"/>
                        <w:color w:val="auto"/>
                      </w:rPr>
                      <m:t>-1</m:t>
                    </m:r>
                  </m:sub>
                </m:sSub>
                <m:r>
                  <w:rPr>
                    <w:rFonts w:ascii="Cambria Math" w:hAnsi="Cambria Math"/>
                    <w:color w:val="auto"/>
                  </w:rPr>
                  <m:t>)</m:t>
                </m:r>
              </m:oMath>
            </m:oMathPara>
          </w:p>
        </w:tc>
        <w:tc>
          <w:tcPr>
            <w:tcW w:w="1888" w:type="dxa"/>
            <w:hideMark/>
          </w:tcPr>
          <w:p w14:paraId="5FA118E6" w14:textId="77777777" w:rsidR="00387D69" w:rsidRPr="00BE6013" w:rsidRDefault="00387D69" w:rsidP="00CF5E08">
            <w:pPr>
              <w:spacing w:after="0" w:line="240" w:lineRule="auto"/>
              <w:jc w:val="center"/>
              <w:rPr>
                <w:color w:val="auto"/>
              </w:rPr>
            </w:pPr>
            <w:r w:rsidRPr="00BE6013">
              <w:rPr>
                <w:color w:val="auto"/>
              </w:rPr>
              <w:t>0.0457**</w:t>
            </w:r>
          </w:p>
        </w:tc>
        <w:tc>
          <w:tcPr>
            <w:tcW w:w="1625" w:type="dxa"/>
            <w:hideMark/>
          </w:tcPr>
          <w:p w14:paraId="42450FD6" w14:textId="77777777" w:rsidR="00387D69" w:rsidRPr="00BE6013" w:rsidRDefault="00387D69" w:rsidP="00CF5E08">
            <w:pPr>
              <w:spacing w:after="0" w:line="240" w:lineRule="auto"/>
              <w:jc w:val="center"/>
              <w:rPr>
                <w:color w:val="auto"/>
              </w:rPr>
            </w:pPr>
            <w:r w:rsidRPr="00BE6013">
              <w:rPr>
                <w:color w:val="auto"/>
              </w:rPr>
              <w:t>0.0171</w:t>
            </w:r>
          </w:p>
        </w:tc>
        <w:tc>
          <w:tcPr>
            <w:tcW w:w="1955" w:type="dxa"/>
            <w:hideMark/>
          </w:tcPr>
          <w:p w14:paraId="6E7D6E3D" w14:textId="77777777" w:rsidR="00387D69" w:rsidRPr="00BE6013" w:rsidRDefault="00387D69" w:rsidP="00CF5E08">
            <w:pPr>
              <w:spacing w:after="0" w:line="240" w:lineRule="auto"/>
              <w:jc w:val="center"/>
              <w:rPr>
                <w:color w:val="auto"/>
              </w:rPr>
            </w:pPr>
            <w:r w:rsidRPr="00BE6013">
              <w:rPr>
                <w:color w:val="auto"/>
              </w:rPr>
              <w:t>2.6733</w:t>
            </w:r>
          </w:p>
        </w:tc>
        <w:tc>
          <w:tcPr>
            <w:tcW w:w="1398" w:type="dxa"/>
            <w:hideMark/>
          </w:tcPr>
          <w:p w14:paraId="5CFB10C5" w14:textId="77777777" w:rsidR="00387D69" w:rsidRPr="00BE6013" w:rsidRDefault="00387D69" w:rsidP="00CF5E08">
            <w:pPr>
              <w:spacing w:after="0" w:line="240" w:lineRule="auto"/>
              <w:jc w:val="center"/>
              <w:rPr>
                <w:color w:val="auto"/>
              </w:rPr>
            </w:pPr>
            <w:r w:rsidRPr="00BE6013">
              <w:rPr>
                <w:color w:val="auto"/>
              </w:rPr>
              <w:t>0.0255</w:t>
            </w:r>
          </w:p>
        </w:tc>
      </w:tr>
      <w:tr w:rsidR="00BE6013" w:rsidRPr="00BE6013" w14:paraId="7E6D33E6" w14:textId="77777777" w:rsidTr="00067054">
        <w:trPr>
          <w:trHeight w:val="264"/>
        </w:trPr>
        <w:tc>
          <w:tcPr>
            <w:tcW w:w="2325" w:type="dxa"/>
            <w:hideMark/>
          </w:tcPr>
          <w:p w14:paraId="12A3D6C3"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BC</m:t>
                    </m:r>
                  </m:e>
                  <m:sub>
                    <m:r>
                      <w:rPr>
                        <w:rFonts w:ascii="Cambria Math" w:hAnsi="Cambria Math"/>
                        <w:color w:val="auto"/>
                      </w:rPr>
                      <m:t>t</m:t>
                    </m:r>
                  </m:sub>
                </m:sSub>
                <m:r>
                  <w:rPr>
                    <w:rFonts w:ascii="Cambria Math" w:hAnsi="Cambria Math"/>
                    <w:color w:val="auto"/>
                  </w:rPr>
                  <m:t>)</m:t>
                </m:r>
              </m:oMath>
            </m:oMathPara>
          </w:p>
        </w:tc>
        <w:tc>
          <w:tcPr>
            <w:tcW w:w="1888" w:type="dxa"/>
            <w:hideMark/>
          </w:tcPr>
          <w:p w14:paraId="3272B75B" w14:textId="77777777" w:rsidR="00387D69" w:rsidRPr="00BE6013" w:rsidRDefault="00387D69" w:rsidP="00CF5E08">
            <w:pPr>
              <w:spacing w:after="0" w:line="240" w:lineRule="auto"/>
              <w:jc w:val="center"/>
              <w:rPr>
                <w:color w:val="auto"/>
              </w:rPr>
            </w:pPr>
            <w:r w:rsidRPr="00BE6013">
              <w:rPr>
                <w:color w:val="auto"/>
              </w:rPr>
              <w:t>0.0055***</w:t>
            </w:r>
          </w:p>
        </w:tc>
        <w:tc>
          <w:tcPr>
            <w:tcW w:w="1625" w:type="dxa"/>
            <w:hideMark/>
          </w:tcPr>
          <w:p w14:paraId="75F0E098" w14:textId="77777777" w:rsidR="00387D69" w:rsidRPr="00BE6013" w:rsidRDefault="00387D69" w:rsidP="00CF5E08">
            <w:pPr>
              <w:spacing w:after="0" w:line="240" w:lineRule="auto"/>
              <w:jc w:val="center"/>
              <w:rPr>
                <w:color w:val="auto"/>
              </w:rPr>
            </w:pPr>
            <w:r w:rsidRPr="00BE6013">
              <w:rPr>
                <w:color w:val="auto"/>
              </w:rPr>
              <w:t>0.0012</w:t>
            </w:r>
          </w:p>
        </w:tc>
        <w:tc>
          <w:tcPr>
            <w:tcW w:w="1955" w:type="dxa"/>
            <w:hideMark/>
          </w:tcPr>
          <w:p w14:paraId="34E50C73" w14:textId="77777777" w:rsidR="00387D69" w:rsidRPr="00BE6013" w:rsidRDefault="00387D69" w:rsidP="00CF5E08">
            <w:pPr>
              <w:spacing w:after="0" w:line="240" w:lineRule="auto"/>
              <w:jc w:val="center"/>
              <w:rPr>
                <w:color w:val="auto"/>
              </w:rPr>
            </w:pPr>
            <w:r w:rsidRPr="00BE6013">
              <w:rPr>
                <w:color w:val="auto"/>
              </w:rPr>
              <w:t>4.3437</w:t>
            </w:r>
          </w:p>
        </w:tc>
        <w:tc>
          <w:tcPr>
            <w:tcW w:w="1398" w:type="dxa"/>
            <w:hideMark/>
          </w:tcPr>
          <w:p w14:paraId="521B5A8A" w14:textId="77777777" w:rsidR="00387D69" w:rsidRPr="00BE6013" w:rsidRDefault="00387D69" w:rsidP="00CF5E08">
            <w:pPr>
              <w:spacing w:after="0" w:line="240" w:lineRule="auto"/>
              <w:jc w:val="center"/>
              <w:rPr>
                <w:color w:val="auto"/>
              </w:rPr>
            </w:pPr>
            <w:r w:rsidRPr="00BE6013">
              <w:rPr>
                <w:color w:val="auto"/>
              </w:rPr>
              <w:t>0.0019</w:t>
            </w:r>
          </w:p>
        </w:tc>
      </w:tr>
      <w:tr w:rsidR="00BE6013" w:rsidRPr="00BE6013" w14:paraId="63050C6B" w14:textId="77777777" w:rsidTr="00067054">
        <w:trPr>
          <w:trHeight w:val="264"/>
        </w:trPr>
        <w:tc>
          <w:tcPr>
            <w:tcW w:w="2325" w:type="dxa"/>
            <w:hideMark/>
          </w:tcPr>
          <w:p w14:paraId="3E6D019B"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BC</m:t>
                    </m:r>
                  </m:e>
                  <m:sub>
                    <m:r>
                      <w:rPr>
                        <w:rFonts w:ascii="Cambria Math" w:hAnsi="Cambria Math"/>
                        <w:color w:val="auto"/>
                      </w:rPr>
                      <m:t>t</m:t>
                    </m:r>
                    <m:r>
                      <w:rPr>
                        <w:rFonts w:ascii="Cambria Math" w:hAnsi="Cambria Math"/>
                        <w:color w:val="auto"/>
                      </w:rPr>
                      <m:t>-1</m:t>
                    </m:r>
                  </m:sub>
                </m:sSub>
                <m:r>
                  <w:rPr>
                    <w:rFonts w:ascii="Cambria Math" w:hAnsi="Cambria Math"/>
                    <w:color w:val="auto"/>
                  </w:rPr>
                  <m:t>)</m:t>
                </m:r>
              </m:oMath>
            </m:oMathPara>
          </w:p>
        </w:tc>
        <w:tc>
          <w:tcPr>
            <w:tcW w:w="1888" w:type="dxa"/>
            <w:hideMark/>
          </w:tcPr>
          <w:p w14:paraId="76E3654E" w14:textId="77777777" w:rsidR="00387D69" w:rsidRPr="00BE6013" w:rsidRDefault="00387D69" w:rsidP="00CF5E08">
            <w:pPr>
              <w:spacing w:after="0" w:line="240" w:lineRule="auto"/>
              <w:jc w:val="center"/>
              <w:rPr>
                <w:color w:val="auto"/>
              </w:rPr>
            </w:pPr>
            <w:r w:rsidRPr="00BE6013">
              <w:rPr>
                <w:color w:val="auto"/>
              </w:rPr>
              <w:t>0.0021**</w:t>
            </w:r>
          </w:p>
        </w:tc>
        <w:tc>
          <w:tcPr>
            <w:tcW w:w="1625" w:type="dxa"/>
            <w:hideMark/>
          </w:tcPr>
          <w:p w14:paraId="0CB264EA" w14:textId="77777777" w:rsidR="00387D69" w:rsidRPr="00BE6013" w:rsidRDefault="00387D69" w:rsidP="00CF5E08">
            <w:pPr>
              <w:spacing w:after="0" w:line="240" w:lineRule="auto"/>
              <w:jc w:val="center"/>
              <w:rPr>
                <w:color w:val="auto"/>
              </w:rPr>
            </w:pPr>
            <w:r w:rsidRPr="00BE6013">
              <w:rPr>
                <w:color w:val="auto"/>
              </w:rPr>
              <w:t>0.0008</w:t>
            </w:r>
          </w:p>
        </w:tc>
        <w:tc>
          <w:tcPr>
            <w:tcW w:w="1955" w:type="dxa"/>
            <w:hideMark/>
          </w:tcPr>
          <w:p w14:paraId="32D616FC" w14:textId="77777777" w:rsidR="00387D69" w:rsidRPr="00BE6013" w:rsidRDefault="00387D69" w:rsidP="00CF5E08">
            <w:pPr>
              <w:spacing w:after="0" w:line="240" w:lineRule="auto"/>
              <w:jc w:val="center"/>
              <w:rPr>
                <w:color w:val="auto"/>
              </w:rPr>
            </w:pPr>
            <w:r w:rsidRPr="00BE6013">
              <w:rPr>
                <w:color w:val="auto"/>
              </w:rPr>
              <w:t>2.5326</w:t>
            </w:r>
          </w:p>
        </w:tc>
        <w:tc>
          <w:tcPr>
            <w:tcW w:w="1398" w:type="dxa"/>
            <w:hideMark/>
          </w:tcPr>
          <w:p w14:paraId="5A3CA14E" w14:textId="77777777" w:rsidR="00387D69" w:rsidRPr="00BE6013" w:rsidRDefault="00387D69" w:rsidP="00CF5E08">
            <w:pPr>
              <w:spacing w:after="0" w:line="240" w:lineRule="auto"/>
              <w:jc w:val="center"/>
              <w:rPr>
                <w:color w:val="auto"/>
              </w:rPr>
            </w:pPr>
            <w:r w:rsidRPr="00BE6013">
              <w:rPr>
                <w:color w:val="auto"/>
              </w:rPr>
              <w:t>0.0321</w:t>
            </w:r>
          </w:p>
        </w:tc>
      </w:tr>
      <w:tr w:rsidR="00BE6013" w:rsidRPr="00BE6013" w14:paraId="2B32D674" w14:textId="77777777" w:rsidTr="00067054">
        <w:trPr>
          <w:trHeight w:val="264"/>
        </w:trPr>
        <w:tc>
          <w:tcPr>
            <w:tcW w:w="2325" w:type="dxa"/>
            <w:hideMark/>
          </w:tcPr>
          <w:p w14:paraId="53BA51F7"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lnMS</m:t>
                    </m:r>
                  </m:e>
                  <m:sub>
                    <m:r>
                      <w:rPr>
                        <w:rFonts w:ascii="Cambria Math" w:hAnsi="Cambria Math"/>
                        <w:color w:val="auto"/>
                      </w:rPr>
                      <m:t>t</m:t>
                    </m:r>
                  </m:sub>
                </m:sSub>
                <m:r>
                  <w:rPr>
                    <w:rFonts w:ascii="Cambria Math" w:hAnsi="Cambria Math"/>
                    <w:color w:val="auto"/>
                  </w:rPr>
                  <m:t>)</m:t>
                </m:r>
              </m:oMath>
            </m:oMathPara>
          </w:p>
        </w:tc>
        <w:tc>
          <w:tcPr>
            <w:tcW w:w="1888" w:type="dxa"/>
            <w:hideMark/>
          </w:tcPr>
          <w:p w14:paraId="2DE75C8E" w14:textId="77777777" w:rsidR="00387D69" w:rsidRPr="00BE6013" w:rsidRDefault="00387D69" w:rsidP="00CF5E08">
            <w:pPr>
              <w:spacing w:after="0" w:line="240" w:lineRule="auto"/>
              <w:jc w:val="center"/>
              <w:rPr>
                <w:color w:val="auto"/>
              </w:rPr>
            </w:pPr>
            <w:r w:rsidRPr="00BE6013">
              <w:rPr>
                <w:color w:val="auto"/>
              </w:rPr>
              <w:t>0.0418</w:t>
            </w:r>
          </w:p>
        </w:tc>
        <w:tc>
          <w:tcPr>
            <w:tcW w:w="1625" w:type="dxa"/>
            <w:hideMark/>
          </w:tcPr>
          <w:p w14:paraId="1FD675AD" w14:textId="77777777" w:rsidR="00387D69" w:rsidRPr="00BE6013" w:rsidRDefault="00387D69" w:rsidP="00CF5E08">
            <w:pPr>
              <w:spacing w:after="0" w:line="240" w:lineRule="auto"/>
              <w:jc w:val="center"/>
              <w:rPr>
                <w:color w:val="auto"/>
              </w:rPr>
            </w:pPr>
            <w:r w:rsidRPr="00BE6013">
              <w:rPr>
                <w:color w:val="auto"/>
              </w:rPr>
              <w:t>0.0243</w:t>
            </w:r>
          </w:p>
        </w:tc>
        <w:tc>
          <w:tcPr>
            <w:tcW w:w="1955" w:type="dxa"/>
            <w:hideMark/>
          </w:tcPr>
          <w:p w14:paraId="016D2945" w14:textId="77777777" w:rsidR="00387D69" w:rsidRPr="00BE6013" w:rsidRDefault="00387D69" w:rsidP="00CF5E08">
            <w:pPr>
              <w:spacing w:after="0" w:line="240" w:lineRule="auto"/>
              <w:jc w:val="center"/>
              <w:rPr>
                <w:color w:val="auto"/>
              </w:rPr>
            </w:pPr>
            <w:r w:rsidRPr="00BE6013">
              <w:rPr>
                <w:color w:val="auto"/>
              </w:rPr>
              <w:t>1.7163</w:t>
            </w:r>
          </w:p>
        </w:tc>
        <w:tc>
          <w:tcPr>
            <w:tcW w:w="1398" w:type="dxa"/>
            <w:hideMark/>
          </w:tcPr>
          <w:p w14:paraId="53D4F11D" w14:textId="77777777" w:rsidR="00387D69" w:rsidRPr="00BE6013" w:rsidRDefault="00387D69" w:rsidP="00CF5E08">
            <w:pPr>
              <w:spacing w:after="0" w:line="240" w:lineRule="auto"/>
              <w:jc w:val="center"/>
              <w:rPr>
                <w:color w:val="auto"/>
              </w:rPr>
            </w:pPr>
            <w:r w:rsidRPr="00BE6013">
              <w:rPr>
                <w:color w:val="auto"/>
              </w:rPr>
              <w:t>0.1202</w:t>
            </w:r>
          </w:p>
        </w:tc>
      </w:tr>
      <w:tr w:rsidR="00BE6013" w:rsidRPr="00BE6013" w14:paraId="663AE4E0" w14:textId="77777777" w:rsidTr="00067054">
        <w:trPr>
          <w:trHeight w:val="265"/>
        </w:trPr>
        <w:tc>
          <w:tcPr>
            <w:tcW w:w="2325" w:type="dxa"/>
            <w:hideMark/>
          </w:tcPr>
          <w:p w14:paraId="5859FB2D"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lnMS</m:t>
                    </m:r>
                  </m:e>
                  <m:sub>
                    <m:r>
                      <w:rPr>
                        <w:rFonts w:ascii="Cambria Math" w:hAnsi="Cambria Math"/>
                        <w:color w:val="auto"/>
                      </w:rPr>
                      <m:t>t</m:t>
                    </m:r>
                    <m:r>
                      <w:rPr>
                        <w:rFonts w:ascii="Cambria Math" w:hAnsi="Cambria Math"/>
                        <w:color w:val="auto"/>
                      </w:rPr>
                      <m:t>-1</m:t>
                    </m:r>
                  </m:sub>
                </m:sSub>
                <m:r>
                  <w:rPr>
                    <w:rFonts w:ascii="Cambria Math" w:hAnsi="Cambria Math"/>
                    <w:color w:val="auto"/>
                  </w:rPr>
                  <m:t>)</m:t>
                </m:r>
              </m:oMath>
            </m:oMathPara>
          </w:p>
        </w:tc>
        <w:tc>
          <w:tcPr>
            <w:tcW w:w="1888" w:type="dxa"/>
            <w:hideMark/>
          </w:tcPr>
          <w:p w14:paraId="0F05E1CA" w14:textId="77777777" w:rsidR="00387D69" w:rsidRPr="00BE6013" w:rsidRDefault="00387D69" w:rsidP="00CF5E08">
            <w:pPr>
              <w:spacing w:after="0" w:line="240" w:lineRule="auto"/>
              <w:jc w:val="center"/>
              <w:rPr>
                <w:color w:val="auto"/>
              </w:rPr>
            </w:pPr>
            <w:r w:rsidRPr="00BE6013">
              <w:rPr>
                <w:color w:val="auto"/>
              </w:rPr>
              <w:t>-0.0980**</w:t>
            </w:r>
          </w:p>
        </w:tc>
        <w:tc>
          <w:tcPr>
            <w:tcW w:w="1625" w:type="dxa"/>
            <w:hideMark/>
          </w:tcPr>
          <w:p w14:paraId="6FB3C032" w14:textId="77777777" w:rsidR="00387D69" w:rsidRPr="00BE6013" w:rsidRDefault="00387D69" w:rsidP="00CF5E08">
            <w:pPr>
              <w:spacing w:after="0" w:line="240" w:lineRule="auto"/>
              <w:jc w:val="center"/>
              <w:rPr>
                <w:color w:val="auto"/>
              </w:rPr>
            </w:pPr>
            <w:r w:rsidRPr="00BE6013">
              <w:rPr>
                <w:color w:val="auto"/>
              </w:rPr>
              <w:t>0.0352</w:t>
            </w:r>
          </w:p>
        </w:tc>
        <w:tc>
          <w:tcPr>
            <w:tcW w:w="1955" w:type="dxa"/>
            <w:hideMark/>
          </w:tcPr>
          <w:p w14:paraId="5DE138BF" w14:textId="77777777" w:rsidR="00387D69" w:rsidRPr="00BE6013" w:rsidRDefault="00387D69" w:rsidP="00CF5E08">
            <w:pPr>
              <w:spacing w:after="0" w:line="240" w:lineRule="auto"/>
              <w:jc w:val="center"/>
              <w:rPr>
                <w:color w:val="auto"/>
              </w:rPr>
            </w:pPr>
            <w:r w:rsidRPr="00BE6013">
              <w:rPr>
                <w:color w:val="auto"/>
              </w:rPr>
              <w:t>-2.7807</w:t>
            </w:r>
          </w:p>
        </w:tc>
        <w:tc>
          <w:tcPr>
            <w:tcW w:w="1398" w:type="dxa"/>
            <w:hideMark/>
          </w:tcPr>
          <w:p w14:paraId="244AD786" w14:textId="77777777" w:rsidR="00387D69" w:rsidRPr="00BE6013" w:rsidRDefault="00387D69" w:rsidP="00CF5E08">
            <w:pPr>
              <w:spacing w:after="0" w:line="240" w:lineRule="auto"/>
              <w:jc w:val="center"/>
              <w:rPr>
                <w:color w:val="auto"/>
              </w:rPr>
            </w:pPr>
            <w:r w:rsidRPr="00BE6013">
              <w:rPr>
                <w:color w:val="auto"/>
              </w:rPr>
              <w:t>0.0214</w:t>
            </w:r>
          </w:p>
        </w:tc>
      </w:tr>
      <w:tr w:rsidR="00BE6013" w:rsidRPr="00BE6013" w14:paraId="72C8FAB4" w14:textId="77777777" w:rsidTr="00067054">
        <w:trPr>
          <w:trHeight w:val="265"/>
        </w:trPr>
        <w:tc>
          <w:tcPr>
            <w:tcW w:w="2325" w:type="dxa"/>
            <w:hideMark/>
          </w:tcPr>
          <w:p w14:paraId="7C6B643A"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lnMS</m:t>
                    </m:r>
                  </m:e>
                  <m:sub>
                    <m:r>
                      <w:rPr>
                        <w:rFonts w:ascii="Cambria Math" w:hAnsi="Cambria Math"/>
                        <w:color w:val="auto"/>
                      </w:rPr>
                      <m:t>t</m:t>
                    </m:r>
                    <m:r>
                      <w:rPr>
                        <w:rFonts w:ascii="Cambria Math" w:hAnsi="Cambria Math"/>
                        <w:color w:val="auto"/>
                      </w:rPr>
                      <m:t>-2</m:t>
                    </m:r>
                  </m:sub>
                </m:sSub>
                <m:r>
                  <w:rPr>
                    <w:rFonts w:ascii="Cambria Math" w:hAnsi="Cambria Math"/>
                    <w:color w:val="auto"/>
                  </w:rPr>
                  <m:t>)</m:t>
                </m:r>
              </m:oMath>
            </m:oMathPara>
          </w:p>
        </w:tc>
        <w:tc>
          <w:tcPr>
            <w:tcW w:w="1888" w:type="dxa"/>
            <w:hideMark/>
          </w:tcPr>
          <w:p w14:paraId="3EF0F2C4" w14:textId="77777777" w:rsidR="00387D69" w:rsidRPr="00BE6013" w:rsidRDefault="00387D69" w:rsidP="00CF5E08">
            <w:pPr>
              <w:spacing w:after="0" w:line="240" w:lineRule="auto"/>
              <w:jc w:val="center"/>
              <w:rPr>
                <w:color w:val="auto"/>
              </w:rPr>
            </w:pPr>
            <w:r w:rsidRPr="00BE6013">
              <w:rPr>
                <w:color w:val="auto"/>
              </w:rPr>
              <w:t>0.1189***</w:t>
            </w:r>
          </w:p>
        </w:tc>
        <w:tc>
          <w:tcPr>
            <w:tcW w:w="1625" w:type="dxa"/>
            <w:hideMark/>
          </w:tcPr>
          <w:p w14:paraId="3C9E200C" w14:textId="77777777" w:rsidR="00387D69" w:rsidRPr="00BE6013" w:rsidRDefault="00387D69" w:rsidP="00CF5E08">
            <w:pPr>
              <w:spacing w:after="0" w:line="240" w:lineRule="auto"/>
              <w:jc w:val="center"/>
              <w:rPr>
                <w:color w:val="auto"/>
              </w:rPr>
            </w:pPr>
            <w:r w:rsidRPr="00BE6013">
              <w:rPr>
                <w:color w:val="auto"/>
              </w:rPr>
              <w:t>0.0246</w:t>
            </w:r>
          </w:p>
        </w:tc>
        <w:tc>
          <w:tcPr>
            <w:tcW w:w="1955" w:type="dxa"/>
            <w:hideMark/>
          </w:tcPr>
          <w:p w14:paraId="194033D8" w14:textId="77777777" w:rsidR="00387D69" w:rsidRPr="00BE6013" w:rsidRDefault="00387D69" w:rsidP="00CF5E08">
            <w:pPr>
              <w:spacing w:after="0" w:line="240" w:lineRule="auto"/>
              <w:jc w:val="center"/>
              <w:rPr>
                <w:color w:val="auto"/>
              </w:rPr>
            </w:pPr>
            <w:r w:rsidRPr="00BE6013">
              <w:rPr>
                <w:color w:val="auto"/>
              </w:rPr>
              <w:t>4.8261</w:t>
            </w:r>
          </w:p>
        </w:tc>
        <w:tc>
          <w:tcPr>
            <w:tcW w:w="1398" w:type="dxa"/>
            <w:hideMark/>
          </w:tcPr>
          <w:p w14:paraId="4F11A3E2" w14:textId="77777777" w:rsidR="00387D69" w:rsidRPr="00BE6013" w:rsidRDefault="00387D69" w:rsidP="00CF5E08">
            <w:pPr>
              <w:spacing w:after="0" w:line="240" w:lineRule="auto"/>
              <w:jc w:val="center"/>
              <w:rPr>
                <w:color w:val="auto"/>
              </w:rPr>
            </w:pPr>
            <w:r w:rsidRPr="00BE6013">
              <w:rPr>
                <w:color w:val="auto"/>
              </w:rPr>
              <w:t>0.0009</w:t>
            </w:r>
          </w:p>
        </w:tc>
      </w:tr>
      <w:tr w:rsidR="00BE6013" w:rsidRPr="00BE6013" w14:paraId="5525DD66" w14:textId="77777777" w:rsidTr="00067054">
        <w:trPr>
          <w:trHeight w:val="256"/>
        </w:trPr>
        <w:tc>
          <w:tcPr>
            <w:tcW w:w="2325" w:type="dxa"/>
            <w:hideMark/>
          </w:tcPr>
          <w:p w14:paraId="2346B0EC"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lnMS</m:t>
                    </m:r>
                  </m:e>
                  <m:sub>
                    <m:r>
                      <w:rPr>
                        <w:rFonts w:ascii="Cambria Math" w:hAnsi="Cambria Math"/>
                        <w:color w:val="auto"/>
                      </w:rPr>
                      <m:t>t</m:t>
                    </m:r>
                    <m:r>
                      <w:rPr>
                        <w:rFonts w:ascii="Cambria Math" w:hAnsi="Cambria Math"/>
                        <w:color w:val="auto"/>
                      </w:rPr>
                      <m:t>-3</m:t>
                    </m:r>
                  </m:sub>
                </m:sSub>
                <m:r>
                  <w:rPr>
                    <w:rFonts w:ascii="Cambria Math" w:hAnsi="Cambria Math"/>
                    <w:color w:val="auto"/>
                  </w:rPr>
                  <m:t>)</m:t>
                </m:r>
              </m:oMath>
            </m:oMathPara>
          </w:p>
        </w:tc>
        <w:tc>
          <w:tcPr>
            <w:tcW w:w="1888" w:type="dxa"/>
            <w:hideMark/>
          </w:tcPr>
          <w:p w14:paraId="69FE0601" w14:textId="77777777" w:rsidR="00387D69" w:rsidRPr="00BE6013" w:rsidRDefault="00387D69" w:rsidP="00CF5E08">
            <w:pPr>
              <w:spacing w:after="0" w:line="240" w:lineRule="auto"/>
              <w:jc w:val="center"/>
              <w:rPr>
                <w:color w:val="auto"/>
              </w:rPr>
            </w:pPr>
            <w:r w:rsidRPr="00BE6013">
              <w:rPr>
                <w:color w:val="auto"/>
              </w:rPr>
              <w:t>0.1008***</w:t>
            </w:r>
          </w:p>
        </w:tc>
        <w:tc>
          <w:tcPr>
            <w:tcW w:w="1625" w:type="dxa"/>
            <w:hideMark/>
          </w:tcPr>
          <w:p w14:paraId="51393E03" w14:textId="77777777" w:rsidR="00387D69" w:rsidRPr="00BE6013" w:rsidRDefault="00387D69" w:rsidP="00CF5E08">
            <w:pPr>
              <w:spacing w:after="0" w:line="240" w:lineRule="auto"/>
              <w:jc w:val="center"/>
              <w:rPr>
                <w:color w:val="auto"/>
              </w:rPr>
            </w:pPr>
            <w:r w:rsidRPr="00BE6013">
              <w:rPr>
                <w:color w:val="auto"/>
              </w:rPr>
              <w:t>0.0291</w:t>
            </w:r>
          </w:p>
        </w:tc>
        <w:tc>
          <w:tcPr>
            <w:tcW w:w="1955" w:type="dxa"/>
            <w:hideMark/>
          </w:tcPr>
          <w:p w14:paraId="1C0CD747" w14:textId="77777777" w:rsidR="00387D69" w:rsidRPr="00BE6013" w:rsidRDefault="00387D69" w:rsidP="00CF5E08">
            <w:pPr>
              <w:spacing w:after="0" w:line="240" w:lineRule="auto"/>
              <w:jc w:val="center"/>
              <w:rPr>
                <w:color w:val="auto"/>
              </w:rPr>
            </w:pPr>
            <w:r w:rsidRPr="00BE6013">
              <w:rPr>
                <w:color w:val="auto"/>
              </w:rPr>
              <w:t>3.4593</w:t>
            </w:r>
          </w:p>
        </w:tc>
        <w:tc>
          <w:tcPr>
            <w:tcW w:w="1398" w:type="dxa"/>
            <w:hideMark/>
          </w:tcPr>
          <w:p w14:paraId="33AB7EA2" w14:textId="77777777" w:rsidR="00387D69" w:rsidRPr="00BE6013" w:rsidRDefault="00387D69" w:rsidP="00CF5E08">
            <w:pPr>
              <w:spacing w:after="0" w:line="240" w:lineRule="auto"/>
              <w:jc w:val="center"/>
              <w:rPr>
                <w:color w:val="auto"/>
              </w:rPr>
            </w:pPr>
            <w:r w:rsidRPr="00BE6013">
              <w:rPr>
                <w:color w:val="auto"/>
              </w:rPr>
              <w:t>0.0072</w:t>
            </w:r>
          </w:p>
        </w:tc>
      </w:tr>
      <w:tr w:rsidR="00BE6013" w:rsidRPr="00BE6013" w14:paraId="0FE12C54" w14:textId="77777777" w:rsidTr="00067054">
        <w:trPr>
          <w:trHeight w:val="264"/>
        </w:trPr>
        <w:tc>
          <w:tcPr>
            <w:tcW w:w="2325" w:type="dxa"/>
            <w:hideMark/>
          </w:tcPr>
          <w:p w14:paraId="28AB7603"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IN</m:t>
                    </m:r>
                  </m:e>
                  <m:sub>
                    <m:r>
                      <w:rPr>
                        <w:rFonts w:ascii="Cambria Math" w:hAnsi="Cambria Math"/>
                        <w:color w:val="auto"/>
                      </w:rPr>
                      <m:t>t</m:t>
                    </m:r>
                  </m:sub>
                </m:sSub>
                <m:r>
                  <w:rPr>
                    <w:rFonts w:ascii="Cambria Math" w:hAnsi="Cambria Math"/>
                    <w:color w:val="auto"/>
                  </w:rPr>
                  <m:t>)</m:t>
                </m:r>
              </m:oMath>
            </m:oMathPara>
          </w:p>
        </w:tc>
        <w:tc>
          <w:tcPr>
            <w:tcW w:w="1888" w:type="dxa"/>
            <w:hideMark/>
          </w:tcPr>
          <w:p w14:paraId="54DB1067" w14:textId="77777777" w:rsidR="00387D69" w:rsidRPr="00BE6013" w:rsidRDefault="00387D69" w:rsidP="00CF5E08">
            <w:pPr>
              <w:spacing w:after="0" w:line="240" w:lineRule="auto"/>
              <w:jc w:val="center"/>
              <w:rPr>
                <w:color w:val="auto"/>
              </w:rPr>
            </w:pPr>
            <w:r w:rsidRPr="00BE6013">
              <w:rPr>
                <w:color w:val="auto"/>
              </w:rPr>
              <w:t>-0.0022***</w:t>
            </w:r>
          </w:p>
        </w:tc>
        <w:tc>
          <w:tcPr>
            <w:tcW w:w="1625" w:type="dxa"/>
            <w:hideMark/>
          </w:tcPr>
          <w:p w14:paraId="73112BE9"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74CE8A72" w14:textId="77777777" w:rsidR="00387D69" w:rsidRPr="00BE6013" w:rsidRDefault="00387D69" w:rsidP="00CF5E08">
            <w:pPr>
              <w:spacing w:after="0" w:line="240" w:lineRule="auto"/>
              <w:jc w:val="center"/>
              <w:rPr>
                <w:color w:val="auto"/>
              </w:rPr>
            </w:pPr>
            <w:r w:rsidRPr="00BE6013">
              <w:rPr>
                <w:color w:val="auto"/>
              </w:rPr>
              <w:t>-9.1572</w:t>
            </w:r>
          </w:p>
        </w:tc>
        <w:tc>
          <w:tcPr>
            <w:tcW w:w="1398" w:type="dxa"/>
            <w:hideMark/>
          </w:tcPr>
          <w:p w14:paraId="32A21A8C"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64BB295B" w14:textId="77777777" w:rsidTr="00067054">
        <w:trPr>
          <w:trHeight w:val="264"/>
        </w:trPr>
        <w:tc>
          <w:tcPr>
            <w:tcW w:w="2325" w:type="dxa"/>
            <w:hideMark/>
          </w:tcPr>
          <w:p w14:paraId="4C6E4039"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IN</m:t>
                    </m:r>
                  </m:e>
                  <m:sub>
                    <m:r>
                      <w:rPr>
                        <w:rFonts w:ascii="Cambria Math" w:hAnsi="Cambria Math"/>
                        <w:color w:val="auto"/>
                      </w:rPr>
                      <m:t>t</m:t>
                    </m:r>
                    <m:r>
                      <w:rPr>
                        <w:rFonts w:ascii="Cambria Math" w:hAnsi="Cambria Math"/>
                        <w:color w:val="auto"/>
                      </w:rPr>
                      <m:t>-1</m:t>
                    </m:r>
                  </m:sub>
                </m:sSub>
                <m:r>
                  <w:rPr>
                    <w:rFonts w:ascii="Cambria Math" w:hAnsi="Cambria Math"/>
                    <w:color w:val="auto"/>
                  </w:rPr>
                  <m:t>)</m:t>
                </m:r>
              </m:oMath>
            </m:oMathPara>
          </w:p>
        </w:tc>
        <w:tc>
          <w:tcPr>
            <w:tcW w:w="1888" w:type="dxa"/>
            <w:hideMark/>
          </w:tcPr>
          <w:p w14:paraId="3CA29CE7" w14:textId="77777777" w:rsidR="00387D69" w:rsidRPr="00BE6013" w:rsidRDefault="00387D69" w:rsidP="00CF5E08">
            <w:pPr>
              <w:spacing w:after="0" w:line="240" w:lineRule="auto"/>
              <w:jc w:val="center"/>
              <w:rPr>
                <w:color w:val="auto"/>
              </w:rPr>
            </w:pPr>
            <w:r w:rsidRPr="00BE6013">
              <w:rPr>
                <w:color w:val="auto"/>
              </w:rPr>
              <w:t>-0.0001</w:t>
            </w:r>
          </w:p>
        </w:tc>
        <w:tc>
          <w:tcPr>
            <w:tcW w:w="1625" w:type="dxa"/>
            <w:hideMark/>
          </w:tcPr>
          <w:p w14:paraId="456A2DB9"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1568E9F3" w14:textId="77777777" w:rsidR="00387D69" w:rsidRPr="00BE6013" w:rsidRDefault="00387D69" w:rsidP="00CF5E08">
            <w:pPr>
              <w:spacing w:after="0" w:line="240" w:lineRule="auto"/>
              <w:jc w:val="center"/>
              <w:rPr>
                <w:color w:val="auto"/>
              </w:rPr>
            </w:pPr>
            <w:r w:rsidRPr="00BE6013">
              <w:rPr>
                <w:color w:val="auto"/>
              </w:rPr>
              <w:t>-0.5083</w:t>
            </w:r>
          </w:p>
        </w:tc>
        <w:tc>
          <w:tcPr>
            <w:tcW w:w="1398" w:type="dxa"/>
            <w:hideMark/>
          </w:tcPr>
          <w:p w14:paraId="74E3DDA6" w14:textId="77777777" w:rsidR="00387D69" w:rsidRPr="00BE6013" w:rsidRDefault="00387D69" w:rsidP="00CF5E08">
            <w:pPr>
              <w:spacing w:after="0" w:line="240" w:lineRule="auto"/>
              <w:jc w:val="center"/>
              <w:rPr>
                <w:color w:val="auto"/>
              </w:rPr>
            </w:pPr>
            <w:r w:rsidRPr="00BE6013">
              <w:rPr>
                <w:color w:val="auto"/>
              </w:rPr>
              <w:t>0.6235</w:t>
            </w:r>
          </w:p>
        </w:tc>
      </w:tr>
      <w:tr w:rsidR="00BE6013" w:rsidRPr="00BE6013" w14:paraId="0E9A788B" w14:textId="77777777" w:rsidTr="00067054">
        <w:trPr>
          <w:trHeight w:val="264"/>
        </w:trPr>
        <w:tc>
          <w:tcPr>
            <w:tcW w:w="2325" w:type="dxa"/>
            <w:hideMark/>
          </w:tcPr>
          <w:p w14:paraId="7B2E723B"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IN</m:t>
                    </m:r>
                  </m:e>
                  <m:sub>
                    <m:r>
                      <w:rPr>
                        <w:rFonts w:ascii="Cambria Math" w:hAnsi="Cambria Math"/>
                        <w:color w:val="auto"/>
                      </w:rPr>
                      <m:t>t</m:t>
                    </m:r>
                    <m:r>
                      <w:rPr>
                        <w:rFonts w:ascii="Cambria Math" w:hAnsi="Cambria Math"/>
                        <w:color w:val="auto"/>
                      </w:rPr>
                      <m:t>-2</m:t>
                    </m:r>
                  </m:sub>
                </m:sSub>
                <m:r>
                  <w:rPr>
                    <w:rFonts w:ascii="Cambria Math" w:hAnsi="Cambria Math"/>
                    <w:color w:val="auto"/>
                  </w:rPr>
                  <m:t>)</m:t>
                </m:r>
              </m:oMath>
            </m:oMathPara>
          </w:p>
        </w:tc>
        <w:tc>
          <w:tcPr>
            <w:tcW w:w="1888" w:type="dxa"/>
            <w:hideMark/>
          </w:tcPr>
          <w:p w14:paraId="3FE12A09" w14:textId="77777777" w:rsidR="00387D69" w:rsidRPr="00BE6013" w:rsidRDefault="00387D69" w:rsidP="00CF5E08">
            <w:pPr>
              <w:spacing w:after="0" w:line="240" w:lineRule="auto"/>
              <w:jc w:val="center"/>
              <w:rPr>
                <w:color w:val="auto"/>
              </w:rPr>
            </w:pPr>
            <w:r w:rsidRPr="00BE6013">
              <w:rPr>
                <w:color w:val="auto"/>
              </w:rPr>
              <w:t>0.0010***</w:t>
            </w:r>
          </w:p>
        </w:tc>
        <w:tc>
          <w:tcPr>
            <w:tcW w:w="1625" w:type="dxa"/>
            <w:hideMark/>
          </w:tcPr>
          <w:p w14:paraId="3C1664A0"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421F214C" w14:textId="77777777" w:rsidR="00387D69" w:rsidRPr="00BE6013" w:rsidRDefault="00387D69" w:rsidP="00CF5E08">
            <w:pPr>
              <w:spacing w:after="0" w:line="240" w:lineRule="auto"/>
              <w:jc w:val="center"/>
              <w:rPr>
                <w:color w:val="auto"/>
              </w:rPr>
            </w:pPr>
            <w:r w:rsidRPr="00BE6013">
              <w:rPr>
                <w:color w:val="auto"/>
              </w:rPr>
              <w:t>3.5540</w:t>
            </w:r>
          </w:p>
        </w:tc>
        <w:tc>
          <w:tcPr>
            <w:tcW w:w="1398" w:type="dxa"/>
            <w:hideMark/>
          </w:tcPr>
          <w:p w14:paraId="3F4D2BEA" w14:textId="77777777" w:rsidR="00387D69" w:rsidRPr="00BE6013" w:rsidRDefault="00387D69" w:rsidP="00CF5E08">
            <w:pPr>
              <w:spacing w:after="0" w:line="240" w:lineRule="auto"/>
              <w:jc w:val="center"/>
              <w:rPr>
                <w:color w:val="auto"/>
              </w:rPr>
            </w:pPr>
            <w:r w:rsidRPr="00BE6013">
              <w:rPr>
                <w:color w:val="auto"/>
              </w:rPr>
              <w:t>0.0062</w:t>
            </w:r>
          </w:p>
        </w:tc>
      </w:tr>
      <w:tr w:rsidR="00BE6013" w:rsidRPr="00BE6013" w14:paraId="1134D4A7" w14:textId="77777777" w:rsidTr="00067054">
        <w:trPr>
          <w:trHeight w:val="264"/>
        </w:trPr>
        <w:tc>
          <w:tcPr>
            <w:tcW w:w="2325" w:type="dxa"/>
            <w:hideMark/>
          </w:tcPr>
          <w:p w14:paraId="570F1961"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D</m:t>
                    </m:r>
                    <m:r>
                      <w:rPr>
                        <w:rFonts w:ascii="Cambria Math" w:hAnsi="Cambria Math"/>
                        <w:color w:val="auto"/>
                      </w:rPr>
                      <m:t>(</m:t>
                    </m:r>
                    <m:r>
                      <w:rPr>
                        <w:rFonts w:ascii="Cambria Math" w:hAnsi="Cambria Math"/>
                        <w:color w:val="auto"/>
                      </w:rPr>
                      <m:t>IN</m:t>
                    </m:r>
                  </m:e>
                  <m:sub>
                    <m:r>
                      <w:rPr>
                        <w:rFonts w:ascii="Cambria Math" w:hAnsi="Cambria Math"/>
                        <w:color w:val="auto"/>
                      </w:rPr>
                      <m:t>t</m:t>
                    </m:r>
                    <m:r>
                      <w:rPr>
                        <w:rFonts w:ascii="Cambria Math" w:hAnsi="Cambria Math"/>
                        <w:color w:val="auto"/>
                      </w:rPr>
                      <m:t>-3</m:t>
                    </m:r>
                  </m:sub>
                </m:sSub>
                <m:r>
                  <w:rPr>
                    <w:rFonts w:ascii="Cambria Math" w:hAnsi="Cambria Math"/>
                    <w:color w:val="auto"/>
                  </w:rPr>
                  <m:t>)</m:t>
                </m:r>
              </m:oMath>
            </m:oMathPara>
          </w:p>
        </w:tc>
        <w:tc>
          <w:tcPr>
            <w:tcW w:w="1888" w:type="dxa"/>
            <w:hideMark/>
          </w:tcPr>
          <w:p w14:paraId="794D7082" w14:textId="77777777" w:rsidR="00387D69" w:rsidRPr="00BE6013" w:rsidRDefault="00387D69" w:rsidP="00CF5E08">
            <w:pPr>
              <w:spacing w:after="0" w:line="240" w:lineRule="auto"/>
              <w:jc w:val="center"/>
              <w:rPr>
                <w:color w:val="auto"/>
              </w:rPr>
            </w:pPr>
            <w:r w:rsidRPr="00BE6013">
              <w:rPr>
                <w:color w:val="auto"/>
              </w:rPr>
              <w:t>0.0011***</w:t>
            </w:r>
          </w:p>
        </w:tc>
        <w:tc>
          <w:tcPr>
            <w:tcW w:w="1625" w:type="dxa"/>
            <w:hideMark/>
          </w:tcPr>
          <w:p w14:paraId="2AE21600" w14:textId="77777777" w:rsidR="00387D69" w:rsidRPr="00BE6013" w:rsidRDefault="00387D69" w:rsidP="00CF5E08">
            <w:pPr>
              <w:spacing w:after="0" w:line="240" w:lineRule="auto"/>
              <w:jc w:val="center"/>
              <w:rPr>
                <w:color w:val="auto"/>
              </w:rPr>
            </w:pPr>
            <w:r w:rsidRPr="00BE6013">
              <w:rPr>
                <w:color w:val="auto"/>
              </w:rPr>
              <w:t>0.0002</w:t>
            </w:r>
          </w:p>
        </w:tc>
        <w:tc>
          <w:tcPr>
            <w:tcW w:w="1955" w:type="dxa"/>
            <w:hideMark/>
          </w:tcPr>
          <w:p w14:paraId="3E72D1B2" w14:textId="77777777" w:rsidR="00387D69" w:rsidRPr="00BE6013" w:rsidRDefault="00387D69" w:rsidP="00CF5E08">
            <w:pPr>
              <w:spacing w:after="0" w:line="240" w:lineRule="auto"/>
              <w:jc w:val="center"/>
              <w:rPr>
                <w:color w:val="auto"/>
              </w:rPr>
            </w:pPr>
            <w:r w:rsidRPr="00BE6013">
              <w:rPr>
                <w:color w:val="auto"/>
              </w:rPr>
              <w:t>4.5655</w:t>
            </w:r>
          </w:p>
        </w:tc>
        <w:tc>
          <w:tcPr>
            <w:tcW w:w="1398" w:type="dxa"/>
            <w:hideMark/>
          </w:tcPr>
          <w:p w14:paraId="55E36F62" w14:textId="77777777" w:rsidR="00387D69" w:rsidRPr="00BE6013" w:rsidRDefault="00387D69" w:rsidP="00CF5E08">
            <w:pPr>
              <w:spacing w:after="0" w:line="240" w:lineRule="auto"/>
              <w:jc w:val="center"/>
              <w:rPr>
                <w:color w:val="auto"/>
              </w:rPr>
            </w:pPr>
            <w:r w:rsidRPr="00BE6013">
              <w:rPr>
                <w:color w:val="auto"/>
              </w:rPr>
              <w:t>0.0014</w:t>
            </w:r>
          </w:p>
        </w:tc>
      </w:tr>
      <w:tr w:rsidR="00BE6013" w:rsidRPr="00BE6013" w14:paraId="5F5F4F37" w14:textId="77777777" w:rsidTr="00067054">
        <w:trPr>
          <w:trHeight w:val="256"/>
        </w:trPr>
        <w:tc>
          <w:tcPr>
            <w:tcW w:w="2325" w:type="dxa"/>
            <w:hideMark/>
          </w:tcPr>
          <w:p w14:paraId="32CEBA2C" w14:textId="77777777" w:rsidR="00387D69" w:rsidRPr="00BE6013" w:rsidRDefault="009317F1" w:rsidP="00CF5E08">
            <w:pPr>
              <w:spacing w:after="0" w:line="240" w:lineRule="auto"/>
              <w:jc w:val="center"/>
              <w:rPr>
                <w:color w:val="auto"/>
              </w:rPr>
            </w:pPr>
            <m:oMathPara>
              <m:oMath>
                <m:sSub>
                  <m:sSubPr>
                    <m:ctrlPr>
                      <w:rPr>
                        <w:rFonts w:ascii="Cambria Math" w:hAnsi="Cambria Math"/>
                        <w:i/>
                        <w:color w:val="auto"/>
                      </w:rPr>
                    </m:ctrlPr>
                  </m:sSubPr>
                  <m:e>
                    <m:r>
                      <w:rPr>
                        <w:rFonts w:ascii="Cambria Math" w:hAnsi="Cambria Math"/>
                        <w:color w:val="auto"/>
                      </w:rPr>
                      <m:t>ECM</m:t>
                    </m:r>
                  </m:e>
                  <m:sub>
                    <m:r>
                      <w:rPr>
                        <w:rFonts w:ascii="Cambria Math" w:hAnsi="Cambria Math"/>
                        <w:color w:val="auto"/>
                      </w:rPr>
                      <m:t>t</m:t>
                    </m:r>
                    <m:r>
                      <w:rPr>
                        <w:rFonts w:ascii="Cambria Math" w:hAnsi="Cambria Math"/>
                        <w:color w:val="auto"/>
                      </w:rPr>
                      <m:t>-1</m:t>
                    </m:r>
                  </m:sub>
                </m:sSub>
              </m:oMath>
            </m:oMathPara>
          </w:p>
        </w:tc>
        <w:tc>
          <w:tcPr>
            <w:tcW w:w="1888" w:type="dxa"/>
            <w:hideMark/>
          </w:tcPr>
          <w:p w14:paraId="3FC909F8" w14:textId="77777777" w:rsidR="00387D69" w:rsidRPr="00BE6013" w:rsidRDefault="00387D69" w:rsidP="00CF5E08">
            <w:pPr>
              <w:spacing w:after="0" w:line="240" w:lineRule="auto"/>
              <w:jc w:val="center"/>
              <w:rPr>
                <w:color w:val="auto"/>
              </w:rPr>
            </w:pPr>
            <w:r w:rsidRPr="00BE6013">
              <w:rPr>
                <w:color w:val="auto"/>
              </w:rPr>
              <w:t>-0.4451***</w:t>
            </w:r>
          </w:p>
        </w:tc>
        <w:tc>
          <w:tcPr>
            <w:tcW w:w="1625" w:type="dxa"/>
            <w:hideMark/>
          </w:tcPr>
          <w:p w14:paraId="1E903CB9" w14:textId="77777777" w:rsidR="00387D69" w:rsidRPr="00BE6013" w:rsidRDefault="00387D69" w:rsidP="00CF5E08">
            <w:pPr>
              <w:spacing w:after="0" w:line="240" w:lineRule="auto"/>
              <w:jc w:val="center"/>
              <w:rPr>
                <w:color w:val="auto"/>
              </w:rPr>
            </w:pPr>
            <w:r w:rsidRPr="00BE6013">
              <w:rPr>
                <w:color w:val="auto"/>
              </w:rPr>
              <w:t>0.0450</w:t>
            </w:r>
          </w:p>
        </w:tc>
        <w:tc>
          <w:tcPr>
            <w:tcW w:w="1955" w:type="dxa"/>
            <w:hideMark/>
          </w:tcPr>
          <w:p w14:paraId="1E763F94" w14:textId="77777777" w:rsidR="00387D69" w:rsidRPr="00BE6013" w:rsidRDefault="00387D69" w:rsidP="00CF5E08">
            <w:pPr>
              <w:spacing w:after="0" w:line="240" w:lineRule="auto"/>
              <w:jc w:val="center"/>
              <w:rPr>
                <w:color w:val="auto"/>
              </w:rPr>
            </w:pPr>
            <w:r w:rsidRPr="00BE6013">
              <w:rPr>
                <w:color w:val="auto"/>
              </w:rPr>
              <w:t>-9.8768</w:t>
            </w:r>
          </w:p>
        </w:tc>
        <w:tc>
          <w:tcPr>
            <w:tcW w:w="1398" w:type="dxa"/>
            <w:hideMark/>
          </w:tcPr>
          <w:p w14:paraId="3971D759" w14:textId="77777777" w:rsidR="00387D69" w:rsidRPr="00BE6013" w:rsidRDefault="00387D69" w:rsidP="00CF5E08">
            <w:pPr>
              <w:spacing w:after="0" w:line="240" w:lineRule="auto"/>
              <w:jc w:val="center"/>
              <w:rPr>
                <w:color w:val="auto"/>
              </w:rPr>
            </w:pPr>
            <w:r w:rsidRPr="00BE6013">
              <w:rPr>
                <w:color w:val="auto"/>
              </w:rPr>
              <w:t>0.0000</w:t>
            </w:r>
          </w:p>
        </w:tc>
      </w:tr>
      <w:tr w:rsidR="00BE6013" w:rsidRPr="00BE6013" w14:paraId="55CCCF8B" w14:textId="77777777" w:rsidTr="00067054">
        <w:trPr>
          <w:trHeight w:val="339"/>
        </w:trPr>
        <w:tc>
          <w:tcPr>
            <w:tcW w:w="4213" w:type="dxa"/>
            <w:gridSpan w:val="2"/>
            <w:tcBorders>
              <w:top w:val="single" w:sz="12" w:space="0" w:color="auto"/>
              <w:bottom w:val="single" w:sz="18" w:space="0" w:color="auto"/>
            </w:tcBorders>
            <w:hideMark/>
          </w:tcPr>
          <w:p w14:paraId="666EE1AC" w14:textId="77777777" w:rsidR="00387D69" w:rsidRPr="00BE6013" w:rsidRDefault="00387D69" w:rsidP="00CF5E08">
            <w:pPr>
              <w:spacing w:after="0" w:line="240" w:lineRule="auto"/>
              <w:jc w:val="center"/>
              <w:rPr>
                <w:color w:val="auto"/>
              </w:rPr>
            </w:pPr>
            <w:r w:rsidRPr="00BE6013">
              <w:rPr>
                <w:color w:val="auto"/>
              </w:rPr>
              <w:t>R-squared = 0.9629</w:t>
            </w:r>
          </w:p>
        </w:tc>
        <w:tc>
          <w:tcPr>
            <w:tcW w:w="1625" w:type="dxa"/>
            <w:tcBorders>
              <w:top w:val="single" w:sz="12" w:space="0" w:color="auto"/>
              <w:bottom w:val="single" w:sz="18" w:space="0" w:color="auto"/>
            </w:tcBorders>
            <w:noWrap/>
            <w:hideMark/>
          </w:tcPr>
          <w:p w14:paraId="46D46484" w14:textId="77777777" w:rsidR="00387D69" w:rsidRPr="00BE6013" w:rsidRDefault="00387D69" w:rsidP="00CF5E08">
            <w:pPr>
              <w:spacing w:after="0" w:line="240" w:lineRule="auto"/>
              <w:jc w:val="center"/>
              <w:rPr>
                <w:color w:val="auto"/>
              </w:rPr>
            </w:pPr>
          </w:p>
        </w:tc>
        <w:tc>
          <w:tcPr>
            <w:tcW w:w="3354" w:type="dxa"/>
            <w:gridSpan w:val="2"/>
            <w:tcBorders>
              <w:top w:val="single" w:sz="12" w:space="0" w:color="auto"/>
              <w:bottom w:val="single" w:sz="18" w:space="0" w:color="auto"/>
            </w:tcBorders>
            <w:noWrap/>
            <w:hideMark/>
          </w:tcPr>
          <w:p w14:paraId="5D20FE68" w14:textId="77777777" w:rsidR="00387D69" w:rsidRPr="00BE6013" w:rsidRDefault="00387D69" w:rsidP="00CF5E08">
            <w:pPr>
              <w:spacing w:after="0" w:line="240" w:lineRule="auto"/>
              <w:jc w:val="center"/>
              <w:rPr>
                <w:color w:val="auto"/>
              </w:rPr>
            </w:pPr>
            <w:r w:rsidRPr="00BE6013">
              <w:rPr>
                <w:color w:val="auto"/>
              </w:rPr>
              <w:t>Adj. R-squared = 0.9232</w:t>
            </w:r>
          </w:p>
        </w:tc>
      </w:tr>
    </w:tbl>
    <w:p w14:paraId="2D42F9B0" w14:textId="77777777" w:rsidR="00387D69" w:rsidRPr="00BE6013" w:rsidRDefault="00387D69" w:rsidP="00CF5E08">
      <w:pPr>
        <w:autoSpaceDE w:val="0"/>
        <w:autoSpaceDN w:val="0"/>
        <w:adjustRightInd w:val="0"/>
        <w:spacing w:after="0" w:line="240" w:lineRule="auto"/>
        <w:rPr>
          <w:color w:val="auto"/>
        </w:rPr>
      </w:pPr>
      <w:r w:rsidRPr="00BE6013">
        <w:rPr>
          <w:color w:val="auto"/>
        </w:rPr>
        <w:t>Note: *, ** and *** denote significance at 10%, 5% and 1% level, respectively.</w:t>
      </w:r>
    </w:p>
    <w:p w14:paraId="7D71A7E1" w14:textId="77777777" w:rsidR="00387D69" w:rsidRPr="00BE6013" w:rsidRDefault="00387D69" w:rsidP="00CF5E08">
      <w:pPr>
        <w:spacing w:after="0" w:line="240" w:lineRule="auto"/>
        <w:rPr>
          <w:color w:val="auto"/>
        </w:rPr>
      </w:pPr>
      <w:r w:rsidRPr="00BE6013">
        <w:rPr>
          <w:color w:val="auto"/>
        </w:rPr>
        <w:t>Source: Author’s computation (2025)</w:t>
      </w:r>
    </w:p>
    <w:p w14:paraId="6FBA7C30" w14:textId="3A13C319"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37" w:name="_Toc204673513"/>
      <w:r w:rsidRPr="00BE6013">
        <w:rPr>
          <w:rFonts w:ascii="Times New Roman" w:hAnsi="Times New Roman" w:cs="Times New Roman"/>
          <w:b/>
          <w:bCs/>
          <w:color w:val="auto"/>
          <w:sz w:val="24"/>
          <w:szCs w:val="24"/>
        </w:rPr>
        <w:t>Diagnostic Test</w:t>
      </w:r>
      <w:bookmarkEnd w:id="37"/>
    </w:p>
    <w:p w14:paraId="6DA62961" w14:textId="7612BA9F" w:rsidR="00387D69" w:rsidRPr="00BE6013" w:rsidRDefault="00387D69" w:rsidP="00CF5E08">
      <w:pPr>
        <w:pStyle w:val="Caption"/>
        <w:spacing w:after="0"/>
        <w:rPr>
          <w:b w:val="0"/>
        </w:rPr>
      </w:pPr>
      <w:bookmarkStart w:id="38" w:name="_Toc203967826"/>
      <w:bookmarkStart w:id="39" w:name="_Hlk200921501"/>
      <w:r w:rsidRPr="00BE6013">
        <w:t xml:space="preserve">Table </w:t>
      </w:r>
      <w:r w:rsidR="009317F1">
        <w:fldChar w:fldCharType="begin"/>
      </w:r>
      <w:r w:rsidR="009317F1">
        <w:instrText xml:space="preserve"> SEQ Table_4. \* ARABIC </w:instrText>
      </w:r>
      <w:r w:rsidR="009317F1">
        <w:fldChar w:fldCharType="separate"/>
      </w:r>
      <w:r w:rsidRPr="00BE6013">
        <w:rPr>
          <w:noProof/>
        </w:rPr>
        <w:t>6</w:t>
      </w:r>
      <w:r w:rsidR="009317F1">
        <w:rPr>
          <w:noProof/>
        </w:rPr>
        <w:fldChar w:fldCharType="end"/>
      </w:r>
      <w:r w:rsidRPr="00BE6013">
        <w:t>: Diagnostic Result</w:t>
      </w:r>
      <w:bookmarkEnd w:id="38"/>
      <w:r w:rsidRPr="00BE6013">
        <w:t xml:space="preserve"> </w:t>
      </w:r>
    </w:p>
    <w:tbl>
      <w:tblPr>
        <w:tblStyle w:val="PlainTable2"/>
        <w:tblW w:w="0" w:type="auto"/>
        <w:tblInd w:w="0" w:type="dxa"/>
        <w:tblLook w:val="06A0" w:firstRow="1" w:lastRow="0" w:firstColumn="1" w:lastColumn="0" w:noHBand="1" w:noVBand="1"/>
      </w:tblPr>
      <w:tblGrid>
        <w:gridCol w:w="2340"/>
        <w:gridCol w:w="3510"/>
        <w:gridCol w:w="1440"/>
        <w:gridCol w:w="990"/>
        <w:gridCol w:w="1080"/>
      </w:tblGrid>
      <w:tr w:rsidR="00BE6013" w:rsidRPr="00BE6013" w14:paraId="4681E4CF" w14:textId="77777777" w:rsidTr="00067054">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left w:val="nil"/>
              <w:bottom w:val="single" w:sz="12" w:space="0" w:color="auto"/>
              <w:right w:val="nil"/>
            </w:tcBorders>
            <w:hideMark/>
          </w:tcPr>
          <w:p w14:paraId="1A8E59C3" w14:textId="77777777" w:rsidR="00387D69" w:rsidRPr="00BE6013" w:rsidRDefault="00387D69" w:rsidP="00CF5E08">
            <w:pPr>
              <w:spacing w:after="0" w:line="240" w:lineRule="auto"/>
              <w:rPr>
                <w:b w:val="0"/>
                <w:color w:val="auto"/>
              </w:rPr>
            </w:pPr>
            <w:r w:rsidRPr="00BE6013">
              <w:rPr>
                <w:b w:val="0"/>
                <w:color w:val="auto"/>
              </w:rPr>
              <w:t>Test</w:t>
            </w:r>
          </w:p>
        </w:tc>
        <w:tc>
          <w:tcPr>
            <w:tcW w:w="3510" w:type="dxa"/>
            <w:tcBorders>
              <w:top w:val="single" w:sz="18" w:space="0" w:color="auto"/>
              <w:left w:val="nil"/>
              <w:bottom w:val="single" w:sz="12" w:space="0" w:color="auto"/>
              <w:right w:val="nil"/>
            </w:tcBorders>
            <w:hideMark/>
          </w:tcPr>
          <w:p w14:paraId="62165A7D"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Null Hypothesis</w:t>
            </w:r>
          </w:p>
        </w:tc>
        <w:tc>
          <w:tcPr>
            <w:tcW w:w="1440" w:type="dxa"/>
            <w:tcBorders>
              <w:top w:val="single" w:sz="18" w:space="0" w:color="auto"/>
              <w:left w:val="nil"/>
              <w:bottom w:val="single" w:sz="12" w:space="0" w:color="auto"/>
              <w:right w:val="nil"/>
            </w:tcBorders>
            <w:hideMark/>
          </w:tcPr>
          <w:p w14:paraId="0E9A66A6"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Test Type</w:t>
            </w:r>
          </w:p>
        </w:tc>
        <w:tc>
          <w:tcPr>
            <w:tcW w:w="990" w:type="dxa"/>
            <w:tcBorders>
              <w:top w:val="single" w:sz="18" w:space="0" w:color="auto"/>
              <w:left w:val="nil"/>
              <w:bottom w:val="single" w:sz="12" w:space="0" w:color="auto"/>
              <w:right w:val="nil"/>
            </w:tcBorders>
            <w:hideMark/>
          </w:tcPr>
          <w:p w14:paraId="54609DBC"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Test Stat.</w:t>
            </w:r>
          </w:p>
        </w:tc>
        <w:tc>
          <w:tcPr>
            <w:tcW w:w="1080" w:type="dxa"/>
            <w:tcBorders>
              <w:top w:val="single" w:sz="18" w:space="0" w:color="auto"/>
              <w:left w:val="nil"/>
              <w:bottom w:val="single" w:sz="12" w:space="0" w:color="auto"/>
              <w:right w:val="nil"/>
            </w:tcBorders>
            <w:hideMark/>
          </w:tcPr>
          <w:p w14:paraId="19900E50" w14:textId="77777777" w:rsidR="00387D69" w:rsidRPr="00BE6013" w:rsidRDefault="00387D69" w:rsidP="00CF5E08">
            <w:pPr>
              <w:spacing w:after="0" w:line="240" w:lineRule="auto"/>
              <w:cnfStyle w:val="100000000000" w:firstRow="1" w:lastRow="0" w:firstColumn="0" w:lastColumn="0" w:oddVBand="0" w:evenVBand="0" w:oddHBand="0" w:evenHBand="0" w:firstRowFirstColumn="0" w:firstRowLastColumn="0" w:lastRowFirstColumn="0" w:lastRowLastColumn="0"/>
              <w:rPr>
                <w:b w:val="0"/>
                <w:color w:val="auto"/>
              </w:rPr>
            </w:pPr>
            <w:r w:rsidRPr="00BE6013">
              <w:rPr>
                <w:b w:val="0"/>
                <w:color w:val="auto"/>
              </w:rPr>
              <w:t>Prob.</w:t>
            </w:r>
          </w:p>
        </w:tc>
      </w:tr>
      <w:tr w:rsidR="00BE6013" w:rsidRPr="00BE6013" w14:paraId="0F103522" w14:textId="77777777" w:rsidTr="00067054">
        <w:trPr>
          <w:trHeight w:val="881"/>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left w:val="nil"/>
              <w:bottom w:val="nil"/>
              <w:right w:val="nil"/>
            </w:tcBorders>
            <w:hideMark/>
          </w:tcPr>
          <w:p w14:paraId="0033B990" w14:textId="77777777" w:rsidR="00387D69" w:rsidRPr="00BE6013" w:rsidRDefault="00387D69" w:rsidP="00CF5E08">
            <w:pPr>
              <w:spacing w:after="0" w:line="240" w:lineRule="auto"/>
              <w:rPr>
                <w:b w:val="0"/>
                <w:color w:val="auto"/>
              </w:rPr>
            </w:pPr>
            <w:r w:rsidRPr="00BE6013">
              <w:rPr>
                <w:b w:val="0"/>
                <w:color w:val="auto"/>
              </w:rPr>
              <w:t>Normality Test</w:t>
            </w:r>
          </w:p>
        </w:tc>
        <w:tc>
          <w:tcPr>
            <w:tcW w:w="3510" w:type="dxa"/>
            <w:tcBorders>
              <w:top w:val="single" w:sz="18" w:space="0" w:color="auto"/>
              <w:left w:val="nil"/>
              <w:bottom w:val="nil"/>
              <w:right w:val="nil"/>
            </w:tcBorders>
            <w:hideMark/>
          </w:tcPr>
          <w:p w14:paraId="5B626D0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Normally Distributed Residuals</w:t>
            </w:r>
          </w:p>
        </w:tc>
        <w:tc>
          <w:tcPr>
            <w:tcW w:w="1440" w:type="dxa"/>
            <w:tcBorders>
              <w:top w:val="single" w:sz="18" w:space="0" w:color="auto"/>
              <w:left w:val="nil"/>
              <w:bottom w:val="nil"/>
              <w:right w:val="nil"/>
            </w:tcBorders>
            <w:hideMark/>
          </w:tcPr>
          <w:p w14:paraId="69FE7E3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roofErr w:type="spellStart"/>
            <w:r w:rsidRPr="00BE6013">
              <w:rPr>
                <w:color w:val="auto"/>
              </w:rPr>
              <w:t>Jarque-Bera</w:t>
            </w:r>
            <w:proofErr w:type="spellEnd"/>
          </w:p>
        </w:tc>
        <w:tc>
          <w:tcPr>
            <w:tcW w:w="990" w:type="dxa"/>
            <w:tcBorders>
              <w:top w:val="single" w:sz="18" w:space="0" w:color="auto"/>
              <w:left w:val="nil"/>
              <w:bottom w:val="nil"/>
              <w:right w:val="nil"/>
            </w:tcBorders>
            <w:hideMark/>
          </w:tcPr>
          <w:p w14:paraId="633CDAD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0.4805</w:t>
            </w:r>
          </w:p>
        </w:tc>
        <w:tc>
          <w:tcPr>
            <w:tcW w:w="1080" w:type="dxa"/>
            <w:tcBorders>
              <w:top w:val="single" w:sz="18" w:space="0" w:color="auto"/>
              <w:left w:val="nil"/>
              <w:bottom w:val="nil"/>
              <w:right w:val="nil"/>
            </w:tcBorders>
            <w:hideMark/>
          </w:tcPr>
          <w:p w14:paraId="30A39823"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0.7864</w:t>
            </w:r>
          </w:p>
        </w:tc>
      </w:tr>
      <w:tr w:rsidR="00BE6013" w:rsidRPr="00BE6013" w14:paraId="58D9CDFF" w14:textId="77777777" w:rsidTr="00067054">
        <w:trPr>
          <w:trHeight w:val="679"/>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nil"/>
              <w:right w:val="nil"/>
            </w:tcBorders>
            <w:hideMark/>
          </w:tcPr>
          <w:p w14:paraId="7BD31896" w14:textId="77777777" w:rsidR="00387D69" w:rsidRPr="00BE6013" w:rsidRDefault="00387D69" w:rsidP="00CF5E08">
            <w:pPr>
              <w:spacing w:after="0" w:line="240" w:lineRule="auto"/>
              <w:rPr>
                <w:color w:val="auto"/>
              </w:rPr>
            </w:pPr>
            <w:r w:rsidRPr="00BE6013">
              <w:rPr>
                <w:b w:val="0"/>
                <w:color w:val="auto"/>
              </w:rPr>
              <w:t xml:space="preserve">Autocorrelation Test </w:t>
            </w:r>
          </w:p>
        </w:tc>
        <w:tc>
          <w:tcPr>
            <w:tcW w:w="3510" w:type="dxa"/>
            <w:tcBorders>
              <w:top w:val="nil"/>
              <w:left w:val="nil"/>
              <w:bottom w:val="nil"/>
              <w:right w:val="nil"/>
            </w:tcBorders>
          </w:tcPr>
          <w:p w14:paraId="6C633E6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Errors are serially independent</w:t>
            </w:r>
          </w:p>
        </w:tc>
        <w:tc>
          <w:tcPr>
            <w:tcW w:w="1440" w:type="dxa"/>
            <w:tcBorders>
              <w:top w:val="nil"/>
              <w:left w:val="nil"/>
              <w:bottom w:val="nil"/>
              <w:right w:val="nil"/>
            </w:tcBorders>
          </w:tcPr>
          <w:p w14:paraId="365D143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Breusch-Godfrey LM Test</w:t>
            </w:r>
          </w:p>
          <w:p w14:paraId="2BDE2B8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c>
          <w:tcPr>
            <w:tcW w:w="990" w:type="dxa"/>
            <w:tcBorders>
              <w:top w:val="nil"/>
              <w:left w:val="nil"/>
              <w:bottom w:val="nil"/>
              <w:right w:val="nil"/>
            </w:tcBorders>
            <w:hideMark/>
          </w:tcPr>
          <w:p w14:paraId="0538727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0.4633</w:t>
            </w:r>
          </w:p>
        </w:tc>
        <w:tc>
          <w:tcPr>
            <w:tcW w:w="1080" w:type="dxa"/>
            <w:tcBorders>
              <w:top w:val="nil"/>
              <w:left w:val="nil"/>
              <w:bottom w:val="nil"/>
              <w:right w:val="nil"/>
            </w:tcBorders>
          </w:tcPr>
          <w:p w14:paraId="618C47AC"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0.7932</w:t>
            </w:r>
          </w:p>
          <w:p w14:paraId="5DA688C5"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r>
      <w:tr w:rsidR="00BE6013" w:rsidRPr="00BE6013" w14:paraId="01BFD1EA" w14:textId="77777777" w:rsidTr="00067054">
        <w:trPr>
          <w:trHeight w:val="387"/>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nil"/>
              <w:right w:val="nil"/>
            </w:tcBorders>
            <w:hideMark/>
          </w:tcPr>
          <w:p w14:paraId="36C0A713" w14:textId="77777777" w:rsidR="00387D69" w:rsidRPr="00BE6013" w:rsidRDefault="00387D69" w:rsidP="00CF5E08">
            <w:pPr>
              <w:spacing w:after="0" w:line="240" w:lineRule="auto"/>
              <w:rPr>
                <w:color w:val="auto"/>
              </w:rPr>
            </w:pPr>
            <w:r w:rsidRPr="00BE6013">
              <w:rPr>
                <w:b w:val="0"/>
                <w:color w:val="auto"/>
              </w:rPr>
              <w:t>Heteroscedasticity</w:t>
            </w:r>
          </w:p>
        </w:tc>
        <w:tc>
          <w:tcPr>
            <w:tcW w:w="3510" w:type="dxa"/>
            <w:tcBorders>
              <w:top w:val="nil"/>
              <w:left w:val="nil"/>
              <w:bottom w:val="nil"/>
              <w:right w:val="nil"/>
            </w:tcBorders>
            <w:hideMark/>
          </w:tcPr>
          <w:p w14:paraId="17D64BE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Errors are homoscedastic or have constant variance</w:t>
            </w:r>
          </w:p>
        </w:tc>
        <w:tc>
          <w:tcPr>
            <w:tcW w:w="1440" w:type="dxa"/>
            <w:tcBorders>
              <w:top w:val="nil"/>
              <w:left w:val="nil"/>
              <w:bottom w:val="nil"/>
              <w:right w:val="nil"/>
            </w:tcBorders>
            <w:hideMark/>
          </w:tcPr>
          <w:p w14:paraId="132AF27A"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ARCH</w:t>
            </w:r>
          </w:p>
        </w:tc>
        <w:tc>
          <w:tcPr>
            <w:tcW w:w="990" w:type="dxa"/>
            <w:tcBorders>
              <w:top w:val="nil"/>
              <w:left w:val="nil"/>
              <w:bottom w:val="nil"/>
              <w:right w:val="nil"/>
            </w:tcBorders>
            <w:hideMark/>
          </w:tcPr>
          <w:p w14:paraId="71A4FB13"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0.0821</w:t>
            </w:r>
          </w:p>
        </w:tc>
        <w:tc>
          <w:tcPr>
            <w:tcW w:w="1080" w:type="dxa"/>
            <w:tcBorders>
              <w:top w:val="nil"/>
              <w:left w:val="nil"/>
              <w:bottom w:val="nil"/>
              <w:right w:val="nil"/>
            </w:tcBorders>
          </w:tcPr>
          <w:p w14:paraId="6140F00D"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0.7745</w:t>
            </w:r>
          </w:p>
          <w:p w14:paraId="13460F2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p>
        </w:tc>
      </w:tr>
      <w:tr w:rsidR="00BE6013" w:rsidRPr="00BE6013" w14:paraId="0D09D4B0" w14:textId="77777777" w:rsidTr="00067054">
        <w:trPr>
          <w:trHeight w:val="387"/>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single" w:sz="18" w:space="0" w:color="auto"/>
              <w:right w:val="nil"/>
            </w:tcBorders>
            <w:hideMark/>
          </w:tcPr>
          <w:p w14:paraId="36E4BED2" w14:textId="77777777" w:rsidR="00387D69" w:rsidRPr="00BE6013" w:rsidRDefault="00387D69" w:rsidP="00CF5E08">
            <w:pPr>
              <w:spacing w:after="0" w:line="240" w:lineRule="auto"/>
              <w:rPr>
                <w:b w:val="0"/>
                <w:color w:val="auto"/>
              </w:rPr>
            </w:pPr>
            <w:r w:rsidRPr="00BE6013">
              <w:rPr>
                <w:b w:val="0"/>
                <w:color w:val="auto"/>
              </w:rPr>
              <w:t>Model Specification</w:t>
            </w:r>
          </w:p>
        </w:tc>
        <w:tc>
          <w:tcPr>
            <w:tcW w:w="3510" w:type="dxa"/>
            <w:tcBorders>
              <w:top w:val="nil"/>
              <w:left w:val="nil"/>
              <w:bottom w:val="single" w:sz="18" w:space="0" w:color="auto"/>
              <w:right w:val="nil"/>
            </w:tcBorders>
            <w:hideMark/>
          </w:tcPr>
          <w:p w14:paraId="00795CB5"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Model is correctly specified</w:t>
            </w:r>
          </w:p>
        </w:tc>
        <w:tc>
          <w:tcPr>
            <w:tcW w:w="1440" w:type="dxa"/>
            <w:tcBorders>
              <w:top w:val="nil"/>
              <w:left w:val="nil"/>
              <w:bottom w:val="single" w:sz="18" w:space="0" w:color="auto"/>
              <w:right w:val="nil"/>
            </w:tcBorders>
            <w:hideMark/>
          </w:tcPr>
          <w:p w14:paraId="4AE62AC6"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 xml:space="preserve">Ramsey RESET </w:t>
            </w:r>
          </w:p>
        </w:tc>
        <w:tc>
          <w:tcPr>
            <w:tcW w:w="990" w:type="dxa"/>
            <w:tcBorders>
              <w:top w:val="nil"/>
              <w:left w:val="nil"/>
              <w:bottom w:val="single" w:sz="18" w:space="0" w:color="auto"/>
              <w:right w:val="nil"/>
            </w:tcBorders>
            <w:hideMark/>
          </w:tcPr>
          <w:p w14:paraId="7B03CF69"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0.5072</w:t>
            </w:r>
          </w:p>
        </w:tc>
        <w:tc>
          <w:tcPr>
            <w:tcW w:w="1080" w:type="dxa"/>
            <w:tcBorders>
              <w:top w:val="nil"/>
              <w:left w:val="nil"/>
              <w:bottom w:val="single" w:sz="18" w:space="0" w:color="auto"/>
              <w:right w:val="nil"/>
            </w:tcBorders>
            <w:hideMark/>
          </w:tcPr>
          <w:p w14:paraId="5C38E082" w14:textId="77777777" w:rsidR="00387D69" w:rsidRPr="00BE6013" w:rsidRDefault="00387D69" w:rsidP="00CF5E08">
            <w:pPr>
              <w:spacing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BE6013">
              <w:rPr>
                <w:color w:val="auto"/>
              </w:rPr>
              <w:t>0.4966</w:t>
            </w:r>
          </w:p>
        </w:tc>
      </w:tr>
    </w:tbl>
    <w:p w14:paraId="4D312846" w14:textId="77777777" w:rsidR="00387D69" w:rsidRPr="00BE6013" w:rsidRDefault="00387D69" w:rsidP="00CF5E08">
      <w:pPr>
        <w:spacing w:after="0" w:line="240" w:lineRule="auto"/>
        <w:rPr>
          <w:color w:val="auto"/>
        </w:rPr>
      </w:pPr>
      <w:r w:rsidRPr="00BE6013">
        <w:rPr>
          <w:color w:val="auto"/>
        </w:rPr>
        <w:t>Source: Author’s computation from EViews 13 (2025)</w:t>
      </w:r>
    </w:p>
    <w:bookmarkEnd w:id="39"/>
    <w:p w14:paraId="71E2D214" w14:textId="77777777" w:rsidR="00387D69" w:rsidRPr="00BE6013" w:rsidRDefault="00387D69" w:rsidP="00CF5E08">
      <w:pPr>
        <w:spacing w:after="0" w:line="240" w:lineRule="auto"/>
        <w:rPr>
          <w:color w:val="auto"/>
        </w:rPr>
      </w:pPr>
    </w:p>
    <w:p w14:paraId="25A24280" w14:textId="77777777" w:rsidR="00387D69" w:rsidRPr="00BE6013" w:rsidRDefault="00387D69" w:rsidP="00CF5E08">
      <w:pPr>
        <w:spacing w:after="0" w:line="240" w:lineRule="auto"/>
        <w:ind w:left="0" w:firstLine="0"/>
        <w:rPr>
          <w:color w:val="auto"/>
        </w:rPr>
      </w:pPr>
      <w:r w:rsidRPr="00BE6013">
        <w:rPr>
          <w:color w:val="auto"/>
        </w:rPr>
        <w:t xml:space="preserve">To ensure the inferences relating to how bank lending, bank credit rate, money supply and inflation impact real gross domestic product are reliable and ensure the estimated ARDL model is fit to be used </w:t>
      </w:r>
      <w:r w:rsidRPr="00BE6013">
        <w:rPr>
          <w:color w:val="auto"/>
        </w:rPr>
        <w:lastRenderedPageBreak/>
        <w:t xml:space="preserve">for prediction, the study carried out certain diagnostic tests to ensure the assumptions of the classical linear regression model are met. The result of the Breusch-Godfrey LM test revealed that the probability value of the Breusch-Godfrey LM chi-square statistic of 0.4633 is greater than 0.05. Hence, the study failed to reject the null hypothesis that the errors are serially independent. This result implies that the estimated ARDL model does not any serial correlation problem. </w:t>
      </w:r>
    </w:p>
    <w:p w14:paraId="0A39798A" w14:textId="0571AECE" w:rsidR="00387D69" w:rsidRPr="00BE6013" w:rsidRDefault="00387D69" w:rsidP="00D34D60">
      <w:pPr>
        <w:spacing w:after="0" w:line="240" w:lineRule="auto"/>
        <w:ind w:left="0" w:firstLine="0"/>
        <w:rPr>
          <w:color w:val="auto"/>
        </w:rPr>
      </w:pPr>
      <w:r w:rsidRPr="00BE6013">
        <w:rPr>
          <w:color w:val="auto"/>
        </w:rPr>
        <w:t xml:space="preserve">The stability of the parameter estimates and model was determined using the cumulative sum (CUSUM) and CUSUM of squares and their respective plots captured using Figure 1 and 2. From Figure 1 and 2, it can be observed that the CUSUM and CUSUM of squares statistics lie within the 5% significance critical bound. This indicates that the parameter estimates are stable and there is no problem of structural break in the data series. </w:t>
      </w:r>
      <w:r w:rsidRPr="00BE6013">
        <w:rPr>
          <w:color w:val="auto"/>
        </w:rPr>
        <w:object w:dxaOrig="8581" w:dyaOrig="5340" w14:anchorId="10487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67.85pt" o:ole="">
            <v:imagedata r:id="rId7" o:title=""/>
          </v:shape>
          <o:OLEObject Type="Embed" ProgID="EViews.Workfile.2" ShapeID="_x0000_i1025" DrawAspect="Content" ObjectID="_1830163915" r:id="rId8"/>
        </w:object>
      </w:r>
    </w:p>
    <w:p w14:paraId="59F86C7D" w14:textId="2DD43D5F" w:rsidR="00387D69" w:rsidRPr="00BE6013" w:rsidRDefault="00387D69" w:rsidP="00CF5E08">
      <w:pPr>
        <w:pStyle w:val="Caption"/>
        <w:spacing w:after="0"/>
        <w:rPr>
          <w:b w:val="0"/>
          <w:bCs/>
        </w:rPr>
      </w:pPr>
      <w:bookmarkStart w:id="40" w:name="_Toc203967827"/>
      <w:r w:rsidRPr="00BE6013">
        <w:t xml:space="preserve">Figure </w:t>
      </w:r>
      <w:r w:rsidR="009317F1">
        <w:fldChar w:fldCharType="begin"/>
      </w:r>
      <w:r w:rsidR="009317F1">
        <w:instrText xml:space="preserve"> SEQ Figure_4. \* ARABIC </w:instrText>
      </w:r>
      <w:r w:rsidR="009317F1">
        <w:fldChar w:fldCharType="separate"/>
      </w:r>
      <w:r w:rsidRPr="00BE6013">
        <w:rPr>
          <w:noProof/>
        </w:rPr>
        <w:t>1</w:t>
      </w:r>
      <w:r w:rsidR="009317F1">
        <w:rPr>
          <w:noProof/>
        </w:rPr>
        <w:fldChar w:fldCharType="end"/>
      </w:r>
      <w:r w:rsidRPr="00BE6013">
        <w:rPr>
          <w:bCs/>
        </w:rPr>
        <w:t>: Plot of CUSUM</w:t>
      </w:r>
      <w:bookmarkEnd w:id="40"/>
    </w:p>
    <w:p w14:paraId="2A66CA95" w14:textId="77777777" w:rsidR="00387D69" w:rsidRPr="00BE6013" w:rsidRDefault="00387D69" w:rsidP="00CF5E08">
      <w:pPr>
        <w:spacing w:after="0" w:line="240" w:lineRule="auto"/>
        <w:rPr>
          <w:color w:val="auto"/>
        </w:rPr>
      </w:pPr>
      <w:r w:rsidRPr="00BE6013">
        <w:rPr>
          <w:color w:val="auto"/>
        </w:rPr>
        <w:object w:dxaOrig="8640" w:dyaOrig="5340" w14:anchorId="46FA96CF">
          <v:shape id="_x0000_i1026" type="#_x0000_t75" style="width:6in;height:267.85pt" o:ole="">
            <v:imagedata r:id="rId9" o:title=""/>
          </v:shape>
          <o:OLEObject Type="Embed" ProgID="EViews.Workfile.2" ShapeID="_x0000_i1026" DrawAspect="Content" ObjectID="_1830163916" r:id="rId10"/>
        </w:object>
      </w:r>
    </w:p>
    <w:p w14:paraId="4476816F" w14:textId="2E634140" w:rsidR="00387D69" w:rsidRPr="00BE6013" w:rsidRDefault="00387D69" w:rsidP="00CF5E08">
      <w:pPr>
        <w:pStyle w:val="Caption"/>
        <w:spacing w:after="0"/>
        <w:rPr>
          <w:b w:val="0"/>
          <w:bCs/>
        </w:rPr>
      </w:pPr>
      <w:bookmarkStart w:id="41" w:name="_Toc203967828"/>
      <w:r w:rsidRPr="00BE6013">
        <w:lastRenderedPageBreak/>
        <w:t xml:space="preserve">Figure </w:t>
      </w:r>
      <w:r w:rsidR="009317F1">
        <w:fldChar w:fldCharType="begin"/>
      </w:r>
      <w:r w:rsidR="009317F1">
        <w:instrText xml:space="preserve"> SEQ Figure_4. \* ARABIC </w:instrText>
      </w:r>
      <w:r w:rsidR="009317F1">
        <w:fldChar w:fldCharType="separate"/>
      </w:r>
      <w:r w:rsidRPr="00BE6013">
        <w:rPr>
          <w:noProof/>
        </w:rPr>
        <w:t>2</w:t>
      </w:r>
      <w:r w:rsidR="009317F1">
        <w:rPr>
          <w:noProof/>
        </w:rPr>
        <w:fldChar w:fldCharType="end"/>
      </w:r>
      <w:r w:rsidRPr="00BE6013">
        <w:rPr>
          <w:bCs/>
        </w:rPr>
        <w:t>: Plot of CUSUM of Squares</w:t>
      </w:r>
      <w:bookmarkEnd w:id="41"/>
    </w:p>
    <w:p w14:paraId="115047DC" w14:textId="07010E26"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2" w:name="_Toc204673514"/>
      <w:r w:rsidRPr="00BE6013">
        <w:rPr>
          <w:rFonts w:ascii="Times New Roman" w:hAnsi="Times New Roman" w:cs="Times New Roman"/>
          <w:b/>
          <w:bCs/>
          <w:color w:val="auto"/>
          <w:sz w:val="24"/>
          <w:szCs w:val="24"/>
        </w:rPr>
        <w:t>Bank lending and Economic growth</w:t>
      </w:r>
      <w:bookmarkEnd w:id="42"/>
    </w:p>
    <w:p w14:paraId="4FE16FCE" w14:textId="3E1858D3" w:rsidR="00387D69" w:rsidRPr="00BE6013" w:rsidRDefault="00387D69" w:rsidP="00CF5E08">
      <w:pPr>
        <w:spacing w:after="0" w:line="240" w:lineRule="auto"/>
        <w:ind w:left="0" w:firstLine="0"/>
        <w:rPr>
          <w:color w:val="auto"/>
        </w:rPr>
      </w:pPr>
      <w:r w:rsidRPr="00BE6013">
        <w:rPr>
          <w:color w:val="auto"/>
        </w:rPr>
        <w:t xml:space="preserve">Based on the outcome of the estimation carried out using the autoregressive distributed lag (ARDL) method presented in Table 5, the study found that there is a positive relationship between bank lending and economic growth in the long run. This finding of positive impact of bank lending on economic growth conforms to theoretical expectation and economic theory, particularly the supply-leading hypothesis, which suggests that finance drive economic growth. The result of the estimation conducted reveals that an increase in bank lending leads to increased real gross domestic product (the measure of economic growth) in the long run. In particular, the long run estimation results </w:t>
      </w:r>
      <w:proofErr w:type="gramStart"/>
      <w:r w:rsidRPr="00BE6013">
        <w:rPr>
          <w:color w:val="auto"/>
        </w:rPr>
        <w:t>shows</w:t>
      </w:r>
      <w:proofErr w:type="gramEnd"/>
      <w:r w:rsidRPr="00BE6013">
        <w:rPr>
          <w:color w:val="auto"/>
        </w:rPr>
        <w:t xml:space="preserve"> that a 1% increase in bank lending leads to 0.1649% increase in economic growth or real gross domestic product. Further analysis reveals that, the positive impact of bank lending on economic growth is statistically significant at 5% level. Hence, the study rejected the null hypothesis of no significant relationship between bank lending and economic growth. Thus, the study accepted the alternative hypothesis, concluding that bank lending had significant positive effect on economic growth. This finding implies that, bank lending is a significant factor that influences economic growth. The finding of this study is consistent with the findings of </w:t>
      </w:r>
      <w:proofErr w:type="spellStart"/>
      <w:r w:rsidRPr="00BE6013">
        <w:rPr>
          <w:color w:val="auto"/>
        </w:rPr>
        <w:t>Ringim</w:t>
      </w:r>
      <w:proofErr w:type="spellEnd"/>
      <w:r w:rsidRPr="00BE6013">
        <w:rPr>
          <w:color w:val="auto"/>
        </w:rPr>
        <w:t xml:space="preserve"> and </w:t>
      </w:r>
      <w:proofErr w:type="spellStart"/>
      <w:r w:rsidRPr="00BE6013">
        <w:rPr>
          <w:color w:val="auto"/>
        </w:rPr>
        <w:t>Sayedi</w:t>
      </w:r>
      <w:proofErr w:type="spellEnd"/>
      <w:r w:rsidRPr="00BE6013">
        <w:rPr>
          <w:color w:val="auto"/>
        </w:rPr>
        <w:t xml:space="preserve"> (2019) and Anyanwu, </w:t>
      </w:r>
      <w:proofErr w:type="spellStart"/>
      <w:r w:rsidRPr="00BE6013">
        <w:rPr>
          <w:color w:val="auto"/>
        </w:rPr>
        <w:t>Ananwude</w:t>
      </w:r>
      <w:proofErr w:type="spellEnd"/>
      <w:r w:rsidRPr="00BE6013">
        <w:rPr>
          <w:color w:val="auto"/>
        </w:rPr>
        <w:t xml:space="preserve"> and Okoye (2017).</w:t>
      </w:r>
    </w:p>
    <w:p w14:paraId="168B041C" w14:textId="76D3CB63"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3" w:name="_Toc204673515"/>
      <w:r w:rsidRPr="00BE6013">
        <w:rPr>
          <w:rFonts w:ascii="Times New Roman" w:hAnsi="Times New Roman" w:cs="Times New Roman"/>
          <w:b/>
          <w:bCs/>
          <w:color w:val="auto"/>
          <w:sz w:val="24"/>
          <w:szCs w:val="24"/>
        </w:rPr>
        <w:t>Bank credit rate and Economic growth</w:t>
      </w:r>
      <w:bookmarkEnd w:id="43"/>
    </w:p>
    <w:p w14:paraId="6E296A94" w14:textId="77777777" w:rsidR="00387D69" w:rsidRPr="00BE6013" w:rsidRDefault="00387D69" w:rsidP="00CF5E08">
      <w:pPr>
        <w:spacing w:after="0" w:line="240" w:lineRule="auto"/>
        <w:ind w:left="0" w:firstLine="0"/>
        <w:rPr>
          <w:color w:val="auto"/>
        </w:rPr>
      </w:pPr>
      <w:r w:rsidRPr="00BE6013">
        <w:rPr>
          <w:color w:val="auto"/>
        </w:rPr>
        <w:t xml:space="preserve">This study while examining the impact of bank lending on economic growth also delved into the intricate relationship between bank credit rate and economic growth, striving to unravel the effect of increase or decrease in bank credit rate on economic growth in Nigeria. Employing the autoregressive distributed lag (ARDL) method, the study found evidence of negative relationship between bank credit rate and economic growth in Nigeria, during the period covering from 1990 to 2023. The negative effect of bank credit rate on economic growth indicates that, an increase in bank credit rate will lead to a decline in economic growth. Particularly, the estimated coefficient reveals that a 1% increase in bank credit rate is associated with 0.0045% decrease in economic growth in the long run. The study further found that, the negative impact of bank credit rate on economic growth is statistically insignificant and conforms with the a priori expectation. The result also failed to validates the classical thinking that bank credit rate is a determinant of economic growth. Based on the insignificant effect of bank credit rate on economic growth, the study failed to reject the null hypothesis of no significant relationship between bank credit rate and economic growth. This finding is not consistent with the result of </w:t>
      </w:r>
      <w:proofErr w:type="spellStart"/>
      <w:r w:rsidRPr="00BE6013">
        <w:rPr>
          <w:color w:val="auto"/>
        </w:rPr>
        <w:t>Iorember</w:t>
      </w:r>
      <w:proofErr w:type="spellEnd"/>
      <w:r w:rsidRPr="00BE6013">
        <w:rPr>
          <w:color w:val="auto"/>
        </w:rPr>
        <w:t xml:space="preserve">, </w:t>
      </w:r>
      <w:proofErr w:type="spellStart"/>
      <w:r w:rsidRPr="00BE6013">
        <w:rPr>
          <w:color w:val="auto"/>
        </w:rPr>
        <w:t>Jelilov</w:t>
      </w:r>
      <w:proofErr w:type="spellEnd"/>
      <w:r w:rsidRPr="00BE6013">
        <w:rPr>
          <w:color w:val="auto"/>
        </w:rPr>
        <w:t xml:space="preserve">, </w:t>
      </w:r>
      <w:proofErr w:type="spellStart"/>
      <w:r w:rsidRPr="00BE6013">
        <w:rPr>
          <w:color w:val="auto"/>
        </w:rPr>
        <w:t>Alymkulova</w:t>
      </w:r>
      <w:proofErr w:type="spellEnd"/>
      <w:r w:rsidRPr="00BE6013">
        <w:rPr>
          <w:color w:val="auto"/>
        </w:rPr>
        <w:t xml:space="preserve"> and </w:t>
      </w:r>
      <w:proofErr w:type="spellStart"/>
      <w:r w:rsidRPr="00BE6013">
        <w:rPr>
          <w:color w:val="auto"/>
        </w:rPr>
        <w:t>Yua</w:t>
      </w:r>
      <w:proofErr w:type="spellEnd"/>
      <w:r w:rsidRPr="00BE6013">
        <w:rPr>
          <w:color w:val="auto"/>
        </w:rPr>
        <w:t xml:space="preserve"> (2022) and Idris (2019).</w:t>
      </w:r>
    </w:p>
    <w:p w14:paraId="45EAA9C0" w14:textId="7C06B11A"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4" w:name="_Toc204673516"/>
      <w:r w:rsidRPr="00BE6013">
        <w:rPr>
          <w:rFonts w:ascii="Times New Roman" w:hAnsi="Times New Roman" w:cs="Times New Roman"/>
          <w:b/>
          <w:bCs/>
          <w:color w:val="auto"/>
          <w:sz w:val="24"/>
          <w:szCs w:val="24"/>
        </w:rPr>
        <w:t>Money supply and Economic Growth</w:t>
      </w:r>
      <w:bookmarkEnd w:id="44"/>
    </w:p>
    <w:p w14:paraId="567EF980" w14:textId="7E069076" w:rsidR="00387D69" w:rsidRPr="00BE6013" w:rsidRDefault="00387D69" w:rsidP="00CF5E08">
      <w:pPr>
        <w:spacing w:after="0" w:line="240" w:lineRule="auto"/>
        <w:ind w:left="0" w:firstLine="0"/>
        <w:rPr>
          <w:color w:val="auto"/>
        </w:rPr>
      </w:pPr>
      <w:r w:rsidRPr="00BE6013">
        <w:rPr>
          <w:color w:val="auto"/>
        </w:rPr>
        <w:t xml:space="preserve">Table 5 show that money supply increases economic growth in Nigeria. As expected, the long-run estimation result presented in Table 5 revealed that, a 1% increase in money supply is associated with 0.4218% increase in economic growth or real gross domestic product. This result of positive relationship between money supply and economic growth is consistent with the underpinnings of the restated quantity theory of money which argues that an increase in money stock stimulate economic growth, only in an environment where there is no full employment level as proposed by Milton Friedman, which suggests that money supply is a determinant of economic growth, through the channel of interest rate, wealth and exchange rate. From the estimation results presented in Table 5, the consistent positive impact exhibited by money supply on economic growth is not statistically significant at 5% level, as the probability value associated with the estimated coefficient is higher than 0.05. Therefore, the study failed to reject the null hypothesis that there is no significant relationship between money supply and economic growth. The policy implication of this finding is that, increase in money supply yields </w:t>
      </w:r>
      <w:proofErr w:type="spellStart"/>
      <w:r w:rsidRPr="00BE6013">
        <w:rPr>
          <w:color w:val="auto"/>
        </w:rPr>
        <w:t>stimulative</w:t>
      </w:r>
      <w:proofErr w:type="spellEnd"/>
      <w:r w:rsidRPr="00BE6013">
        <w:rPr>
          <w:color w:val="auto"/>
        </w:rPr>
        <w:t xml:space="preserve"> effect on economic growth in Nigeria</w:t>
      </w:r>
      <w:r w:rsidR="00883ADA" w:rsidRPr="00BE6013">
        <w:rPr>
          <w:color w:val="auto"/>
        </w:rPr>
        <w:t xml:space="preserve">. </w:t>
      </w:r>
    </w:p>
    <w:p w14:paraId="603679AA" w14:textId="25F0028C" w:rsidR="00387D69" w:rsidRPr="00BE6013" w:rsidRDefault="00387D69" w:rsidP="00CF5E08">
      <w:pPr>
        <w:pStyle w:val="Heading1"/>
        <w:spacing w:after="0" w:line="240" w:lineRule="auto"/>
        <w:rPr>
          <w:rFonts w:ascii="Times New Roman" w:hAnsi="Times New Roman" w:cs="Times New Roman"/>
          <w:b/>
          <w:bCs/>
          <w:color w:val="auto"/>
          <w:sz w:val="24"/>
          <w:szCs w:val="24"/>
        </w:rPr>
      </w:pPr>
      <w:bookmarkStart w:id="45" w:name="_Toc204673517"/>
      <w:r w:rsidRPr="00BE6013">
        <w:rPr>
          <w:rFonts w:ascii="Times New Roman" w:hAnsi="Times New Roman" w:cs="Times New Roman"/>
          <w:b/>
          <w:bCs/>
          <w:color w:val="auto"/>
          <w:sz w:val="24"/>
          <w:szCs w:val="24"/>
        </w:rPr>
        <w:lastRenderedPageBreak/>
        <w:t>Inflation and Economic growth</w:t>
      </w:r>
      <w:bookmarkEnd w:id="45"/>
    </w:p>
    <w:p w14:paraId="24E66A9E" w14:textId="3D80F47A" w:rsidR="00387D69" w:rsidRPr="00BE6013" w:rsidRDefault="00387D69" w:rsidP="00CF5E08">
      <w:pPr>
        <w:spacing w:after="0" w:line="240" w:lineRule="auto"/>
        <w:ind w:left="0" w:firstLine="0"/>
        <w:rPr>
          <w:color w:val="auto"/>
        </w:rPr>
      </w:pPr>
      <w:r w:rsidRPr="00BE6013">
        <w:rPr>
          <w:color w:val="auto"/>
        </w:rPr>
        <w:t xml:space="preserve">The estimation result obtained through the use of the autoregressive distributed lag (ARDL) method and presented in Table 5 revealed that inflation is negatively related to economic growth in the long run. This suggests that an increase in inflation level results in a decrease in economic growth in the long run. </w:t>
      </w:r>
      <w:r w:rsidR="00883ADA" w:rsidRPr="00BE6013">
        <w:rPr>
          <w:color w:val="auto"/>
        </w:rPr>
        <w:t>T</w:t>
      </w:r>
      <w:r w:rsidRPr="00BE6013">
        <w:rPr>
          <w:color w:val="auto"/>
        </w:rPr>
        <w:t xml:space="preserve">he results </w:t>
      </w:r>
      <w:proofErr w:type="gramStart"/>
      <w:r w:rsidRPr="00BE6013">
        <w:rPr>
          <w:color w:val="auto"/>
        </w:rPr>
        <w:t>reveals</w:t>
      </w:r>
      <w:proofErr w:type="gramEnd"/>
      <w:r w:rsidRPr="00BE6013">
        <w:rPr>
          <w:color w:val="auto"/>
        </w:rPr>
        <w:t xml:space="preserve"> that a 1% increase in inflation level causes real gross domestic product to decrease by 0.0973%. This negative relationship between inflation and economic growth is consistent with a priori expectation. This is due to the economic thinking that, higher inflation level reduces consumption spending as it negatively affects the value of money and purchasing power of the local currency. </w:t>
      </w:r>
    </w:p>
    <w:p w14:paraId="2CE3369F" w14:textId="219439A6" w:rsidR="00883ADA" w:rsidRPr="00BE6013" w:rsidRDefault="00D34D60" w:rsidP="00D34D60">
      <w:pPr>
        <w:pStyle w:val="Heading1"/>
        <w:spacing w:after="0" w:line="240" w:lineRule="auto"/>
        <w:jc w:val="left"/>
        <w:rPr>
          <w:rFonts w:ascii="Times New Roman" w:hAnsi="Times New Roman" w:cs="Times New Roman"/>
          <w:b/>
          <w:bCs/>
          <w:color w:val="auto"/>
          <w:sz w:val="28"/>
          <w:szCs w:val="28"/>
        </w:rPr>
      </w:pPr>
      <w:bookmarkStart w:id="46" w:name="_Toc204673519"/>
      <w:r w:rsidRPr="00BE6013">
        <w:rPr>
          <w:rFonts w:ascii="Times New Roman" w:hAnsi="Times New Roman" w:cs="Times New Roman"/>
          <w:b/>
          <w:bCs/>
          <w:color w:val="auto"/>
          <w:sz w:val="28"/>
          <w:szCs w:val="28"/>
        </w:rPr>
        <w:t xml:space="preserve">5.0 </w:t>
      </w:r>
      <w:r w:rsidRPr="00BE6013">
        <w:rPr>
          <w:rFonts w:ascii="Times New Roman" w:hAnsi="Times New Roman" w:cs="Times New Roman"/>
          <w:b/>
          <w:bCs/>
          <w:color w:val="auto"/>
          <w:sz w:val="28"/>
          <w:szCs w:val="28"/>
        </w:rPr>
        <w:tab/>
      </w:r>
      <w:r w:rsidRPr="00BE6013">
        <w:rPr>
          <w:rFonts w:ascii="Times New Roman" w:hAnsi="Times New Roman" w:cs="Times New Roman"/>
          <w:b/>
          <w:bCs/>
          <w:color w:val="auto"/>
          <w:sz w:val="28"/>
          <w:szCs w:val="28"/>
        </w:rPr>
        <w:tab/>
      </w:r>
      <w:r w:rsidR="00883ADA" w:rsidRPr="00BE6013">
        <w:rPr>
          <w:rFonts w:ascii="Times New Roman" w:hAnsi="Times New Roman" w:cs="Times New Roman"/>
          <w:b/>
          <w:bCs/>
          <w:color w:val="auto"/>
          <w:sz w:val="28"/>
          <w:szCs w:val="28"/>
        </w:rPr>
        <w:t>SUMMARY, CONCLUSION AND RECOMMENDATIONS</w:t>
      </w:r>
      <w:bookmarkEnd w:id="46"/>
    </w:p>
    <w:p w14:paraId="2D0F8B28" w14:textId="77777777" w:rsidR="00883ADA" w:rsidRPr="00BE6013" w:rsidRDefault="00883ADA" w:rsidP="00CF5E08">
      <w:pPr>
        <w:spacing w:after="0" w:line="240" w:lineRule="auto"/>
        <w:ind w:left="0" w:firstLine="0"/>
        <w:rPr>
          <w:color w:val="auto"/>
          <w:spacing w:val="-2"/>
        </w:rPr>
      </w:pPr>
      <w:r w:rsidRPr="00BE6013">
        <w:rPr>
          <w:color w:val="auto"/>
        </w:rPr>
        <w:t>This study examined the impact of bank lending on economic growth in Nigeria from the period of 1990 to 2023, using annual time series data sourced from the National Bureau of Statistics, and Central Bank of Nigeria, 2023 edition. The study made use of the Autoregressive distributed lag (ARDL) technique. In carrying out this research, the study used real gross domestic product as measure of economic growth and bank lending and bank credit rate was used as proxy of bank lending, while controlling for the effect of money supply and inflation. The descriptive statistical analysis indicates that real gross domestic product, bank lending, bank credit rate, money supply and inflation were positively skewed. Furthermore, it was revealed that there was strong fluctuation in real gross domestic, bank lending, and money supply, whereas bank credit rate and inflation showed moderate variations. The variables were subjected to the stationarity test using the ADF class, and the result revealed a mixture of 1(0) and 1(1), which justified and prompted the use of estimation techniques of the Autoregressive Distributed Lag (ARDL). The study found through bounds testing that, there is long run relationship between bank lending, bank credit rate, money supply, inflation and economic growth, prompting the estimation of the long-run and dynamic model within the autoregressive distributed lag (ARDL) framework.</w:t>
      </w:r>
      <w:r w:rsidRPr="00BE6013">
        <w:rPr>
          <w:color w:val="auto"/>
          <w:spacing w:val="-2"/>
        </w:rPr>
        <w:t xml:space="preserve"> </w:t>
      </w:r>
    </w:p>
    <w:p w14:paraId="485A575F" w14:textId="77777777" w:rsidR="00883ADA" w:rsidRPr="00BE6013" w:rsidRDefault="00883ADA" w:rsidP="00CF5E08">
      <w:pPr>
        <w:spacing w:after="0" w:line="240" w:lineRule="auto"/>
        <w:rPr>
          <w:color w:val="auto"/>
        </w:rPr>
      </w:pPr>
      <w:r w:rsidRPr="00BE6013">
        <w:rPr>
          <w:color w:val="auto"/>
        </w:rPr>
        <w:t xml:space="preserve">Based on the outcome of the estimation, the following major findings were made: </w:t>
      </w:r>
    </w:p>
    <w:p w14:paraId="4CD6A92F"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study found that bank lending has significant positive impact on economic growth.</w:t>
      </w:r>
    </w:p>
    <w:p w14:paraId="62254976"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estimation results revealed that bank credit rate had insignificant negative impact on economic growth.</w:t>
      </w:r>
    </w:p>
    <w:p w14:paraId="4B802875" w14:textId="77777777" w:rsidR="00883ADA" w:rsidRPr="00BE6013" w:rsidRDefault="00883ADA" w:rsidP="00CF5E08">
      <w:pPr>
        <w:pStyle w:val="ListParagraph"/>
        <w:numPr>
          <w:ilvl w:val="0"/>
          <w:numId w:val="6"/>
        </w:numPr>
        <w:spacing w:after="0" w:line="240" w:lineRule="auto"/>
        <w:rPr>
          <w:color w:val="auto"/>
        </w:rPr>
      </w:pPr>
      <w:r w:rsidRPr="00BE6013">
        <w:rPr>
          <w:color w:val="auto"/>
        </w:rPr>
        <w:t>The study established that an increase in money supply significant stimulate economic growth in Nigeria.</w:t>
      </w:r>
    </w:p>
    <w:p w14:paraId="0E9CDC42" w14:textId="77777777" w:rsidR="00883ADA" w:rsidRDefault="00883ADA" w:rsidP="00CF5E08">
      <w:pPr>
        <w:pStyle w:val="ListParagraph"/>
        <w:numPr>
          <w:ilvl w:val="0"/>
          <w:numId w:val="6"/>
        </w:numPr>
        <w:spacing w:after="0" w:line="240" w:lineRule="auto"/>
        <w:rPr>
          <w:color w:val="auto"/>
        </w:rPr>
      </w:pPr>
      <w:r w:rsidRPr="00BE6013">
        <w:rPr>
          <w:color w:val="auto"/>
        </w:rPr>
        <w:t>The ARDL results revealed that an increase in inflation significantly reduce economic growth in Nigeria.</w:t>
      </w:r>
    </w:p>
    <w:p w14:paraId="6246FE4B" w14:textId="77777777" w:rsidR="00202DC6" w:rsidRDefault="00202DC6" w:rsidP="00202DC6">
      <w:pPr>
        <w:spacing w:after="0" w:line="240" w:lineRule="auto"/>
        <w:rPr>
          <w:color w:val="auto"/>
        </w:rPr>
      </w:pPr>
    </w:p>
    <w:p w14:paraId="4D002DCA" w14:textId="77777777" w:rsidR="00202DC6" w:rsidRPr="00202DC6" w:rsidRDefault="00202DC6" w:rsidP="00202DC6">
      <w:pPr>
        <w:spacing w:after="0" w:line="240" w:lineRule="auto"/>
        <w:rPr>
          <w:color w:val="auto"/>
        </w:rPr>
      </w:pPr>
    </w:p>
    <w:p w14:paraId="10CFA934" w14:textId="70C4C65B" w:rsidR="00883ADA" w:rsidRPr="00BE6013" w:rsidRDefault="00883ADA" w:rsidP="00CF5E08">
      <w:pPr>
        <w:pStyle w:val="Heading1"/>
        <w:spacing w:after="0" w:line="240" w:lineRule="auto"/>
        <w:ind w:left="0" w:firstLine="0"/>
        <w:rPr>
          <w:rFonts w:ascii="Times New Roman" w:hAnsi="Times New Roman" w:cs="Times New Roman"/>
          <w:b/>
          <w:bCs/>
          <w:color w:val="auto"/>
          <w:sz w:val="24"/>
          <w:szCs w:val="24"/>
        </w:rPr>
      </w:pPr>
      <w:bookmarkStart w:id="47" w:name="_Toc204673521"/>
      <w:r w:rsidRPr="00BE6013">
        <w:rPr>
          <w:rFonts w:ascii="Times New Roman" w:hAnsi="Times New Roman" w:cs="Times New Roman"/>
          <w:b/>
          <w:bCs/>
          <w:color w:val="auto"/>
          <w:sz w:val="24"/>
          <w:szCs w:val="24"/>
        </w:rPr>
        <w:t>Conclusion</w:t>
      </w:r>
      <w:bookmarkEnd w:id="47"/>
    </w:p>
    <w:p w14:paraId="099ADF2D" w14:textId="77777777" w:rsidR="00883ADA" w:rsidRPr="00BE6013" w:rsidRDefault="00883ADA" w:rsidP="00CF5E08">
      <w:pPr>
        <w:spacing w:after="0" w:line="240" w:lineRule="auto"/>
        <w:ind w:left="0" w:firstLine="0"/>
        <w:rPr>
          <w:color w:val="auto"/>
        </w:rPr>
      </w:pPr>
      <w:r w:rsidRPr="00BE6013">
        <w:rPr>
          <w:color w:val="auto"/>
        </w:rPr>
        <w:t xml:space="preserve">The study investigated the impact of bank lending on economic growth in Nigeria, using annual data series from 1990 to 2023. In examining this relationship, the study focused on the impact of banking lending and bank credit rate on economic growth (which was proxied using real gross domestic product), while controlling for the effect of money supply and inflation on economic growth, in order to reduce omitted variable error or bias. In investigating the impact of bank lending on economic growth in Nigeria, the study employed several econometric methods, namely, unit root, cointegration, and autoregressive distributed lag (ARDL) methods. The results obtained from </w:t>
      </w:r>
      <w:proofErr w:type="spellStart"/>
      <w:r w:rsidRPr="00BE6013">
        <w:rPr>
          <w:color w:val="auto"/>
        </w:rPr>
        <w:t>analysing</w:t>
      </w:r>
      <w:proofErr w:type="spellEnd"/>
      <w:r w:rsidRPr="00BE6013">
        <w:rPr>
          <w:color w:val="auto"/>
        </w:rPr>
        <w:t xml:space="preserve"> the secondary data using the ARDL method revealed that bank lending had significant positive impact on economic growth in the long- and short-runs. The study observed that an increase in money supply significantly stimulate economic growth in the long- and short runs, while an increase in bank credit rate had insignificant negative impact on economic growth. Additionally, it was revealed that inflation </w:t>
      </w:r>
      <w:r w:rsidRPr="00BE6013">
        <w:rPr>
          <w:color w:val="auto"/>
        </w:rPr>
        <w:lastRenderedPageBreak/>
        <w:t xml:space="preserve">is negatively related to economic growth and the impact is significant. In conclusion, the study established that bank lending is a significant factor that drives economic growth in Nigeria.  </w:t>
      </w:r>
    </w:p>
    <w:p w14:paraId="15706611" w14:textId="0E2F5085" w:rsidR="00883ADA" w:rsidRPr="00BE6013" w:rsidRDefault="00883ADA" w:rsidP="00CF5E08">
      <w:pPr>
        <w:pStyle w:val="Heading1"/>
        <w:spacing w:after="0" w:line="240" w:lineRule="auto"/>
        <w:ind w:left="0" w:firstLine="0"/>
        <w:rPr>
          <w:rFonts w:ascii="Times New Roman" w:hAnsi="Times New Roman" w:cs="Times New Roman"/>
          <w:b/>
          <w:bCs/>
          <w:color w:val="auto"/>
          <w:sz w:val="24"/>
          <w:szCs w:val="24"/>
        </w:rPr>
      </w:pPr>
      <w:bookmarkStart w:id="48" w:name="_Toc204673522"/>
      <w:r w:rsidRPr="00BE6013">
        <w:rPr>
          <w:rFonts w:ascii="Times New Roman" w:hAnsi="Times New Roman" w:cs="Times New Roman"/>
          <w:b/>
          <w:bCs/>
          <w:color w:val="auto"/>
          <w:sz w:val="24"/>
          <w:szCs w:val="24"/>
        </w:rPr>
        <w:t>Recommendations</w:t>
      </w:r>
      <w:bookmarkEnd w:id="48"/>
    </w:p>
    <w:p w14:paraId="14084DCE" w14:textId="77777777" w:rsidR="00883ADA" w:rsidRPr="00BE6013" w:rsidRDefault="00883ADA" w:rsidP="00CF5E08">
      <w:pPr>
        <w:spacing w:after="0" w:line="240" w:lineRule="auto"/>
        <w:ind w:left="0" w:firstLine="0"/>
        <w:rPr>
          <w:color w:val="auto"/>
        </w:rPr>
      </w:pPr>
      <w:r w:rsidRPr="00BE6013">
        <w:rPr>
          <w:color w:val="auto"/>
        </w:rPr>
        <w:t>Based on the findings of the study, the following recommendations were offered:</w:t>
      </w:r>
    </w:p>
    <w:p w14:paraId="1D9D9115" w14:textId="77777777" w:rsidR="00883ADA" w:rsidRPr="00BE6013" w:rsidRDefault="00883ADA" w:rsidP="00CF5E08">
      <w:pPr>
        <w:pStyle w:val="ListParagraph"/>
        <w:numPr>
          <w:ilvl w:val="0"/>
          <w:numId w:val="5"/>
        </w:numPr>
        <w:spacing w:after="0" w:line="240" w:lineRule="auto"/>
        <w:rPr>
          <w:color w:val="auto"/>
        </w:rPr>
      </w:pPr>
      <w:r w:rsidRPr="00BE6013">
        <w:rPr>
          <w:color w:val="auto"/>
        </w:rPr>
        <w:t>The regulatory authority, particularly the Central Bank of Nigeria (CBN), should through conventional and macroprudential means, influence the deposit money banks to increase lending to real sectors, most especially, the agriculture, manufacturing and service sectors of the Nigerian economy.</w:t>
      </w:r>
    </w:p>
    <w:p w14:paraId="40D3A3C7" w14:textId="77777777" w:rsidR="00883ADA" w:rsidRPr="00BE6013" w:rsidRDefault="00883ADA" w:rsidP="00CF5E08">
      <w:pPr>
        <w:pStyle w:val="ListParagraph"/>
        <w:numPr>
          <w:ilvl w:val="0"/>
          <w:numId w:val="5"/>
        </w:numPr>
        <w:spacing w:after="0" w:line="240" w:lineRule="auto"/>
        <w:rPr>
          <w:color w:val="auto"/>
        </w:rPr>
      </w:pPr>
      <w:r w:rsidRPr="00BE6013">
        <w:rPr>
          <w:color w:val="auto"/>
        </w:rPr>
        <w:t>The Central Bank of Nigeria (CBN) should reduce her monetary policy rate (MPR) and cash reserve requirement from the current levels of 27% and 50%, respectively, to free up liquidity and help reduce interest rate in order to stimulate economic growth through increased household and investment spending.</w:t>
      </w:r>
    </w:p>
    <w:p w14:paraId="123ED845" w14:textId="77777777" w:rsidR="00883ADA" w:rsidRPr="00BE6013" w:rsidRDefault="00883ADA" w:rsidP="00CF5E08">
      <w:pPr>
        <w:pStyle w:val="ListParagraph"/>
        <w:numPr>
          <w:ilvl w:val="0"/>
          <w:numId w:val="5"/>
        </w:numPr>
        <w:spacing w:after="0" w:line="240" w:lineRule="auto"/>
        <w:rPr>
          <w:color w:val="auto"/>
        </w:rPr>
      </w:pPr>
      <w:r w:rsidRPr="00BE6013">
        <w:rPr>
          <w:color w:val="auto"/>
        </w:rPr>
        <w:t>Given that an increase in money supply can be inflation when the rate of increase in money supply is higher than the growth rate of output, the Central Bank of Nigeria (CBN) show increase money supply at pace that is not inflationary and is consistent with the growth rate of output.</w:t>
      </w:r>
    </w:p>
    <w:p w14:paraId="1693D857" w14:textId="56F53144" w:rsidR="00CF5E08" w:rsidRDefault="00883ADA" w:rsidP="00CF5E08">
      <w:pPr>
        <w:pStyle w:val="ListParagraph"/>
        <w:numPr>
          <w:ilvl w:val="0"/>
          <w:numId w:val="5"/>
        </w:numPr>
        <w:spacing w:after="0" w:line="240" w:lineRule="auto"/>
        <w:rPr>
          <w:color w:val="auto"/>
        </w:rPr>
      </w:pPr>
      <w:r w:rsidRPr="00BE6013">
        <w:rPr>
          <w:color w:val="auto"/>
        </w:rPr>
        <w:t xml:space="preserve">Inflation from the results estimated has negative impact on economic growth, indicating that lower inflation level support economic growth. The study recommends that, the Central Bank of Nigeria should curb inflation by adopting the orthodox monetary method of inflation targeting. Also, the CBN should refrain from financing Federal government deficits through Ways and Means, as doing so will prevent further injection of liquidity into the system. </w:t>
      </w:r>
    </w:p>
    <w:p w14:paraId="1EA89331" w14:textId="77777777" w:rsidR="00202DC6" w:rsidRDefault="00202DC6" w:rsidP="00202DC6">
      <w:pPr>
        <w:spacing w:after="0" w:line="240" w:lineRule="auto"/>
        <w:rPr>
          <w:color w:val="auto"/>
        </w:rPr>
      </w:pPr>
    </w:p>
    <w:p w14:paraId="6D1A281A" w14:textId="77777777" w:rsidR="00202DC6" w:rsidRDefault="00202DC6" w:rsidP="00202DC6">
      <w:pPr>
        <w:spacing w:after="0" w:line="240" w:lineRule="auto"/>
        <w:rPr>
          <w:color w:val="auto"/>
        </w:rPr>
      </w:pPr>
    </w:p>
    <w:p w14:paraId="7909EFBC" w14:textId="77777777" w:rsidR="00202DC6" w:rsidRPr="00202DC6" w:rsidRDefault="00202DC6" w:rsidP="00202DC6">
      <w:pPr>
        <w:spacing w:after="0" w:line="240" w:lineRule="auto"/>
        <w:rPr>
          <w:color w:val="auto"/>
        </w:rPr>
      </w:pPr>
      <w:r w:rsidRPr="00202DC6">
        <w:rPr>
          <w:color w:val="auto"/>
        </w:rPr>
        <w:t>COMPETING INTERESTS DISCLAIMER:</w:t>
      </w:r>
    </w:p>
    <w:p w14:paraId="0D3EF4A3" w14:textId="77777777" w:rsidR="00202DC6" w:rsidRPr="00202DC6" w:rsidRDefault="00202DC6" w:rsidP="00202DC6">
      <w:pPr>
        <w:spacing w:after="0" w:line="240" w:lineRule="auto"/>
        <w:rPr>
          <w:color w:val="auto"/>
        </w:rPr>
      </w:pPr>
      <w:r w:rsidRPr="00202DC6">
        <w:rPr>
          <w:color w:val="auto"/>
        </w:rPr>
        <w:t>Authors have declared that they have no known competing financial interests OR non-financial interests OR personal relationships that could have appeared to influence the work reported in this paper.</w:t>
      </w:r>
    </w:p>
    <w:p w14:paraId="433BD613" w14:textId="77777777" w:rsidR="00202DC6" w:rsidRPr="00202DC6" w:rsidRDefault="00202DC6" w:rsidP="00202DC6">
      <w:pPr>
        <w:spacing w:after="0" w:line="240" w:lineRule="auto"/>
        <w:rPr>
          <w:color w:val="auto"/>
        </w:rPr>
      </w:pPr>
    </w:p>
    <w:p w14:paraId="425E363A" w14:textId="77777777" w:rsidR="00202DC6" w:rsidRPr="00202DC6" w:rsidRDefault="00202DC6" w:rsidP="00202DC6">
      <w:pPr>
        <w:spacing w:after="0" w:line="240" w:lineRule="auto"/>
        <w:rPr>
          <w:color w:val="auto"/>
        </w:rPr>
      </w:pPr>
    </w:p>
    <w:p w14:paraId="292CA2E2" w14:textId="77777777" w:rsidR="00BE6013" w:rsidRPr="00BE6013" w:rsidRDefault="00BE6013" w:rsidP="00BE6013">
      <w:pPr>
        <w:spacing w:after="0" w:line="240" w:lineRule="auto"/>
        <w:rPr>
          <w:color w:val="auto"/>
        </w:rPr>
      </w:pPr>
    </w:p>
    <w:p w14:paraId="0EB0EAF8" w14:textId="77777777" w:rsidR="00BE6013" w:rsidRPr="00BE6013" w:rsidRDefault="00BE6013" w:rsidP="00BE6013">
      <w:pPr>
        <w:spacing w:after="0" w:line="240" w:lineRule="auto"/>
        <w:rPr>
          <w:color w:val="auto"/>
        </w:rPr>
      </w:pPr>
    </w:p>
    <w:p w14:paraId="2010A632" w14:textId="77777777" w:rsidR="00BE6013" w:rsidRPr="00BE6013" w:rsidRDefault="00BE6013" w:rsidP="00BE6013">
      <w:pPr>
        <w:spacing w:after="0" w:line="240" w:lineRule="auto"/>
        <w:rPr>
          <w:color w:val="auto"/>
        </w:rPr>
      </w:pPr>
    </w:p>
    <w:p w14:paraId="42F141C9" w14:textId="77777777" w:rsidR="00BE6013" w:rsidRPr="00BE6013" w:rsidRDefault="00BE6013" w:rsidP="00BE6013">
      <w:pPr>
        <w:spacing w:after="0" w:line="240" w:lineRule="auto"/>
        <w:rPr>
          <w:color w:val="auto"/>
        </w:rPr>
      </w:pPr>
    </w:p>
    <w:p w14:paraId="03CF83F2" w14:textId="47EF0967" w:rsidR="00BE6013" w:rsidRPr="00BE6013" w:rsidRDefault="00BE6013" w:rsidP="00BE6013">
      <w:pPr>
        <w:spacing w:after="0" w:line="240" w:lineRule="auto"/>
        <w:jc w:val="center"/>
        <w:rPr>
          <w:b/>
          <w:bCs/>
          <w:color w:val="auto"/>
          <w:sz w:val="28"/>
          <w:szCs w:val="28"/>
        </w:rPr>
      </w:pPr>
      <w:r w:rsidRPr="00BE6013">
        <w:rPr>
          <w:b/>
          <w:bCs/>
          <w:color w:val="auto"/>
          <w:sz w:val="28"/>
          <w:szCs w:val="28"/>
        </w:rPr>
        <w:t>REFERENCES</w:t>
      </w:r>
    </w:p>
    <w:p w14:paraId="207F8057" w14:textId="77777777" w:rsidR="00BE6013" w:rsidRPr="00BE6013" w:rsidRDefault="00BE6013" w:rsidP="00BE6013">
      <w:pPr>
        <w:spacing w:after="0" w:line="240" w:lineRule="auto"/>
        <w:rPr>
          <w:color w:val="auto"/>
        </w:rPr>
      </w:pPr>
    </w:p>
    <w:p w14:paraId="40230FBA" w14:textId="77777777" w:rsidR="00BE6013" w:rsidRPr="00BE6013" w:rsidRDefault="00BE6013" w:rsidP="00BE6013">
      <w:pPr>
        <w:spacing w:after="0" w:line="276" w:lineRule="auto"/>
        <w:ind w:left="720" w:hanging="720"/>
        <w:rPr>
          <w:color w:val="auto"/>
        </w:rPr>
      </w:pPr>
      <w:proofErr w:type="spellStart"/>
      <w:r w:rsidRPr="00BE6013">
        <w:rPr>
          <w:color w:val="auto"/>
        </w:rPr>
        <w:t>Abina</w:t>
      </w:r>
      <w:proofErr w:type="spellEnd"/>
      <w:r w:rsidRPr="00BE6013">
        <w:rPr>
          <w:color w:val="auto"/>
        </w:rPr>
        <w:t xml:space="preserve">, O. (2020). Sectoral allocation of bank credit and economic development in Nigeria. </w:t>
      </w:r>
      <w:r w:rsidRPr="00BE6013">
        <w:rPr>
          <w:i/>
          <w:iCs/>
          <w:color w:val="auto"/>
        </w:rPr>
        <w:t>Journal of Economics and Sustainable Development</w:t>
      </w:r>
      <w:r w:rsidRPr="00BE6013">
        <w:rPr>
          <w:color w:val="auto"/>
        </w:rPr>
        <w:t>, 11(4), 45–58.</w:t>
      </w:r>
    </w:p>
    <w:p w14:paraId="1C1F1AA7" w14:textId="5CB9D53C" w:rsidR="00BE6013" w:rsidRPr="00BE6013" w:rsidRDefault="00BE6013" w:rsidP="00BE6013">
      <w:pPr>
        <w:spacing w:after="0" w:line="276" w:lineRule="auto"/>
        <w:ind w:left="720" w:hanging="720"/>
        <w:rPr>
          <w:color w:val="auto"/>
        </w:rPr>
      </w:pPr>
      <w:proofErr w:type="spellStart"/>
      <w:r w:rsidRPr="00BE6013">
        <w:rPr>
          <w:color w:val="auto"/>
        </w:rPr>
        <w:t>Adewuyi</w:t>
      </w:r>
      <w:proofErr w:type="spellEnd"/>
      <w:r w:rsidRPr="00BE6013">
        <w:rPr>
          <w:color w:val="auto"/>
        </w:rPr>
        <w:t xml:space="preserve">, A. O., &amp; </w:t>
      </w:r>
      <w:r w:rsidR="00AB2106">
        <w:rPr>
          <w:color w:val="auto"/>
        </w:rPr>
        <w:t xml:space="preserve">  </w:t>
      </w:r>
      <w:proofErr w:type="spellStart"/>
      <w:r w:rsidRPr="00BE6013">
        <w:rPr>
          <w:color w:val="auto"/>
        </w:rPr>
        <w:t>Olowookere</w:t>
      </w:r>
      <w:proofErr w:type="spellEnd"/>
      <w:r w:rsidRPr="00BE6013">
        <w:rPr>
          <w:color w:val="auto"/>
        </w:rPr>
        <w:t xml:space="preserve">, J. K. (2016). Financial development and economic growth in Nigeria. </w:t>
      </w:r>
      <w:r w:rsidRPr="00BE6013">
        <w:rPr>
          <w:i/>
          <w:iCs/>
          <w:color w:val="auto"/>
        </w:rPr>
        <w:t>International Journal of Economics and Finance</w:t>
      </w:r>
      <w:r w:rsidRPr="00BE6013">
        <w:rPr>
          <w:color w:val="auto"/>
        </w:rPr>
        <w:t>, 8(5), 115–124.</w:t>
      </w:r>
    </w:p>
    <w:p w14:paraId="704E4877" w14:textId="77777777" w:rsidR="00BE6013" w:rsidRPr="00BE6013" w:rsidRDefault="00BE6013" w:rsidP="00BE6013">
      <w:pPr>
        <w:spacing w:after="0" w:line="276" w:lineRule="auto"/>
        <w:ind w:left="720" w:hanging="720"/>
        <w:rPr>
          <w:color w:val="auto"/>
        </w:rPr>
      </w:pPr>
      <w:proofErr w:type="spellStart"/>
      <w:r w:rsidRPr="00BE6013">
        <w:rPr>
          <w:color w:val="auto"/>
        </w:rPr>
        <w:t>Akinboade</w:t>
      </w:r>
      <w:proofErr w:type="spellEnd"/>
      <w:r w:rsidRPr="00BE6013">
        <w:rPr>
          <w:color w:val="auto"/>
        </w:rPr>
        <w:t xml:space="preserve">, O. A. (2004). Financial development and economic growth in Botswana: A test for causality. </w:t>
      </w:r>
      <w:r w:rsidRPr="00BE6013">
        <w:rPr>
          <w:i/>
          <w:iCs/>
          <w:color w:val="auto"/>
        </w:rPr>
        <w:t>Savings and Development</w:t>
      </w:r>
      <w:r w:rsidRPr="00BE6013">
        <w:rPr>
          <w:color w:val="auto"/>
        </w:rPr>
        <w:t>, 28(3), 331–348.</w:t>
      </w:r>
    </w:p>
    <w:p w14:paraId="063EE83B" w14:textId="77777777" w:rsidR="00BE6013" w:rsidRPr="00BE6013" w:rsidRDefault="00BE6013" w:rsidP="00BE6013">
      <w:pPr>
        <w:spacing w:after="0" w:line="276" w:lineRule="auto"/>
        <w:ind w:left="720" w:hanging="720"/>
        <w:rPr>
          <w:color w:val="auto"/>
        </w:rPr>
      </w:pPr>
      <w:proofErr w:type="spellStart"/>
      <w:r w:rsidRPr="00BE6013">
        <w:rPr>
          <w:color w:val="auto"/>
        </w:rPr>
        <w:t>Albu</w:t>
      </w:r>
      <w:proofErr w:type="spellEnd"/>
      <w:r w:rsidRPr="00BE6013">
        <w:rPr>
          <w:color w:val="auto"/>
        </w:rPr>
        <w:t xml:space="preserve">, L. L. (2006). Interest rates and economic growth in Romania. </w:t>
      </w:r>
      <w:r w:rsidRPr="00BE6013">
        <w:rPr>
          <w:i/>
          <w:iCs/>
          <w:color w:val="auto"/>
        </w:rPr>
        <w:t>Romanian Journal of Economic Forecasting</w:t>
      </w:r>
      <w:r w:rsidRPr="00BE6013">
        <w:rPr>
          <w:color w:val="auto"/>
        </w:rPr>
        <w:t>, 3(1), 5–18.</w:t>
      </w:r>
    </w:p>
    <w:p w14:paraId="365FE199" w14:textId="77777777" w:rsidR="00BE6013" w:rsidRPr="00BE6013" w:rsidRDefault="00BE6013" w:rsidP="00BE6013">
      <w:pPr>
        <w:spacing w:after="0" w:line="276" w:lineRule="auto"/>
        <w:ind w:left="720" w:hanging="720"/>
        <w:rPr>
          <w:color w:val="auto"/>
        </w:rPr>
      </w:pPr>
      <w:r w:rsidRPr="00BE6013">
        <w:rPr>
          <w:color w:val="auto"/>
        </w:rPr>
        <w:t>Al-</w:t>
      </w:r>
      <w:proofErr w:type="spellStart"/>
      <w:r w:rsidRPr="00BE6013">
        <w:rPr>
          <w:color w:val="auto"/>
        </w:rPr>
        <w:t>Malkawi</w:t>
      </w:r>
      <w:proofErr w:type="spellEnd"/>
      <w:r w:rsidRPr="00BE6013">
        <w:rPr>
          <w:color w:val="auto"/>
        </w:rPr>
        <w:t xml:space="preserve">, H. A. N., Rafferty, M., &amp; Pillai, R. (2012). Corporate governance and firm performance: Evidence from the GCC countries. </w:t>
      </w:r>
      <w:r w:rsidRPr="00BE6013">
        <w:rPr>
          <w:i/>
          <w:iCs/>
          <w:color w:val="auto"/>
        </w:rPr>
        <w:t>Journal of Business Economics and Management</w:t>
      </w:r>
      <w:r w:rsidRPr="00BE6013">
        <w:rPr>
          <w:color w:val="auto"/>
        </w:rPr>
        <w:t>, 13(4), 651–667.</w:t>
      </w:r>
    </w:p>
    <w:p w14:paraId="175E6CF9" w14:textId="77777777" w:rsidR="00BE6013" w:rsidRPr="00BE6013" w:rsidRDefault="00BE6013" w:rsidP="00BE6013">
      <w:pPr>
        <w:spacing w:after="0" w:line="276" w:lineRule="auto"/>
        <w:ind w:left="720" w:hanging="720"/>
        <w:rPr>
          <w:color w:val="auto"/>
        </w:rPr>
      </w:pPr>
      <w:r w:rsidRPr="00BE6013">
        <w:rPr>
          <w:color w:val="auto"/>
        </w:rPr>
        <w:lastRenderedPageBreak/>
        <w:t xml:space="preserve">Anyanwu, F. A., </w:t>
      </w:r>
      <w:proofErr w:type="spellStart"/>
      <w:r w:rsidRPr="00BE6013">
        <w:rPr>
          <w:color w:val="auto"/>
        </w:rPr>
        <w:t>Ananwude</w:t>
      </w:r>
      <w:proofErr w:type="spellEnd"/>
      <w:r w:rsidRPr="00BE6013">
        <w:rPr>
          <w:color w:val="auto"/>
        </w:rPr>
        <w:t xml:space="preserve">, A. C., &amp; Okoye, L. U. (2017). Banking sector credit and economic growth in Nigeria. </w:t>
      </w:r>
      <w:r w:rsidRPr="00BE6013">
        <w:rPr>
          <w:i/>
          <w:iCs/>
          <w:color w:val="auto"/>
        </w:rPr>
        <w:t>Journal of Economics and Financial Issues</w:t>
      </w:r>
      <w:r w:rsidRPr="00BE6013">
        <w:rPr>
          <w:color w:val="auto"/>
        </w:rPr>
        <w:t>, 7(1), 15–25.</w:t>
      </w:r>
    </w:p>
    <w:p w14:paraId="1C873D63"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(2023). Financial resources and sectoral growth in Nigeria. </w:t>
      </w:r>
      <w:r w:rsidRPr="00BE6013">
        <w:rPr>
          <w:i/>
          <w:iCs/>
          <w:color w:val="auto"/>
        </w:rPr>
        <w:t>African Journal of Economic Review</w:t>
      </w:r>
      <w:r w:rsidRPr="00BE6013">
        <w:rPr>
          <w:color w:val="auto"/>
        </w:rPr>
        <w:t>, 11(2), 78–95.</w:t>
      </w:r>
    </w:p>
    <w:p w14:paraId="0B4AC9E6" w14:textId="77777777" w:rsidR="00BE6013" w:rsidRPr="00BE6013" w:rsidRDefault="00BE6013" w:rsidP="00BE6013">
      <w:pPr>
        <w:spacing w:after="0" w:line="276" w:lineRule="auto"/>
        <w:ind w:left="720" w:hanging="720"/>
        <w:rPr>
          <w:color w:val="auto"/>
        </w:rPr>
      </w:pPr>
      <w:proofErr w:type="spellStart"/>
      <w:r w:rsidRPr="00BE6013">
        <w:rPr>
          <w:color w:val="auto"/>
        </w:rPr>
        <w:t>Apinoko</w:t>
      </w:r>
      <w:proofErr w:type="spellEnd"/>
      <w:r w:rsidRPr="00BE6013">
        <w:rPr>
          <w:color w:val="auto"/>
        </w:rPr>
        <w:t xml:space="preserve">, O. S., Adebola, S. T., &amp; Yusuf, M. A. (2024). Banking sector development and economic growth in Nigeria. </w:t>
      </w:r>
      <w:r w:rsidRPr="00BE6013">
        <w:rPr>
          <w:i/>
          <w:iCs/>
          <w:color w:val="auto"/>
        </w:rPr>
        <w:t>Journal of Financial Studies</w:t>
      </w:r>
      <w:r w:rsidRPr="00BE6013">
        <w:rPr>
          <w:color w:val="auto"/>
        </w:rPr>
        <w:t>, 9(1), 1–18.</w:t>
      </w:r>
    </w:p>
    <w:p w14:paraId="4F30223E" w14:textId="77777777" w:rsidR="00BE6013" w:rsidRPr="00BE6013" w:rsidRDefault="00BE6013" w:rsidP="00BE6013">
      <w:pPr>
        <w:spacing w:after="0" w:line="276" w:lineRule="auto"/>
        <w:ind w:left="720" w:hanging="720"/>
        <w:rPr>
          <w:color w:val="auto"/>
        </w:rPr>
      </w:pPr>
      <w:r w:rsidRPr="00BE6013">
        <w:rPr>
          <w:color w:val="auto"/>
        </w:rPr>
        <w:t xml:space="preserve">Bernanke, B. S., &amp; Gertler, M. (1989). Agency costs, net worth, and business fluctuations. </w:t>
      </w:r>
      <w:r w:rsidRPr="00BE6013">
        <w:rPr>
          <w:i/>
          <w:iCs/>
          <w:color w:val="auto"/>
        </w:rPr>
        <w:t>American Economic Review</w:t>
      </w:r>
      <w:r w:rsidRPr="00BE6013">
        <w:rPr>
          <w:color w:val="auto"/>
        </w:rPr>
        <w:t>, 79(1), 14–31.</w:t>
      </w:r>
    </w:p>
    <w:p w14:paraId="049E8C61" w14:textId="77777777" w:rsidR="00BE6013" w:rsidRPr="00BE6013" w:rsidRDefault="00BE6013" w:rsidP="00BE6013">
      <w:pPr>
        <w:spacing w:after="0" w:line="276" w:lineRule="auto"/>
        <w:ind w:left="720" w:hanging="720"/>
        <w:rPr>
          <w:color w:val="auto"/>
        </w:rPr>
      </w:pPr>
      <w:proofErr w:type="spellStart"/>
      <w:r w:rsidRPr="00BE6013">
        <w:rPr>
          <w:color w:val="auto"/>
        </w:rPr>
        <w:t>Bouga</w:t>
      </w:r>
      <w:proofErr w:type="spellEnd"/>
      <w:r w:rsidRPr="00BE6013">
        <w:rPr>
          <w:color w:val="auto"/>
        </w:rPr>
        <w:t xml:space="preserve">, A., &amp; </w:t>
      </w:r>
      <w:proofErr w:type="spellStart"/>
      <w:r w:rsidRPr="00BE6013">
        <w:rPr>
          <w:color w:val="auto"/>
        </w:rPr>
        <w:t>Bouga</w:t>
      </w:r>
      <w:proofErr w:type="spellEnd"/>
      <w:r w:rsidRPr="00BE6013">
        <w:rPr>
          <w:color w:val="auto"/>
        </w:rPr>
        <w:t xml:space="preserve">, A. (2011). Interest rate policy and economic growth in the European Union. </w:t>
      </w:r>
      <w:r w:rsidRPr="00BE6013">
        <w:rPr>
          <w:i/>
          <w:iCs/>
          <w:color w:val="auto"/>
        </w:rPr>
        <w:t>European Journal of Economics, Finance and Administrative Sciences</w:t>
      </w:r>
      <w:r w:rsidRPr="00BE6013">
        <w:rPr>
          <w:color w:val="auto"/>
        </w:rPr>
        <w:t>, 37, 25–35.</w:t>
      </w:r>
    </w:p>
    <w:p w14:paraId="517C0F46" w14:textId="77777777" w:rsidR="00BE6013" w:rsidRPr="00BE6013" w:rsidRDefault="00BE6013" w:rsidP="00BE6013">
      <w:pPr>
        <w:spacing w:after="0" w:line="276" w:lineRule="auto"/>
        <w:ind w:left="720" w:hanging="720"/>
        <w:rPr>
          <w:color w:val="auto"/>
        </w:rPr>
      </w:pPr>
      <w:r w:rsidRPr="00BE6013">
        <w:rPr>
          <w:color w:val="auto"/>
        </w:rPr>
        <w:t xml:space="preserve">Central Bank of Nigeria. (2003). </w:t>
      </w:r>
      <w:r w:rsidRPr="00BE6013">
        <w:rPr>
          <w:i/>
          <w:iCs/>
          <w:color w:val="auto"/>
        </w:rPr>
        <w:t>Statistical bulletin</w:t>
      </w:r>
      <w:r w:rsidRPr="00BE6013">
        <w:rPr>
          <w:color w:val="auto"/>
        </w:rPr>
        <w:t>. Central Bank of Nigeria.</w:t>
      </w:r>
    </w:p>
    <w:p w14:paraId="1F62C673" w14:textId="77777777" w:rsidR="00BE6013" w:rsidRPr="00BE6013" w:rsidRDefault="00BE6013" w:rsidP="00BE6013">
      <w:pPr>
        <w:spacing w:after="0" w:line="276" w:lineRule="auto"/>
        <w:ind w:left="720" w:hanging="720"/>
        <w:rPr>
          <w:color w:val="auto"/>
        </w:rPr>
      </w:pPr>
      <w:r w:rsidRPr="00BE6013">
        <w:rPr>
          <w:color w:val="auto"/>
        </w:rPr>
        <w:t xml:space="preserve">Engle, R. F., &amp; Granger, C. W. J. (1987). Co-integration and error correction: Representation, estimation, and testing. </w:t>
      </w:r>
      <w:proofErr w:type="spellStart"/>
      <w:r w:rsidRPr="00BE6013">
        <w:rPr>
          <w:i/>
          <w:iCs/>
          <w:color w:val="auto"/>
        </w:rPr>
        <w:t>Econometrica</w:t>
      </w:r>
      <w:proofErr w:type="spellEnd"/>
      <w:r w:rsidRPr="00BE6013">
        <w:rPr>
          <w:color w:val="auto"/>
        </w:rPr>
        <w:t>, 55(2), 251–276.</w:t>
      </w:r>
    </w:p>
    <w:p w14:paraId="2B63F156" w14:textId="77777777" w:rsidR="00BE6013" w:rsidRPr="00BE6013" w:rsidRDefault="00BE6013" w:rsidP="00BE6013">
      <w:pPr>
        <w:spacing w:after="0" w:line="276" w:lineRule="auto"/>
        <w:ind w:left="720" w:hanging="720"/>
        <w:rPr>
          <w:color w:val="auto"/>
        </w:rPr>
      </w:pPr>
      <w:proofErr w:type="spellStart"/>
      <w:r w:rsidRPr="00BE6013">
        <w:rPr>
          <w:color w:val="auto"/>
        </w:rPr>
        <w:t>Eregha</w:t>
      </w:r>
      <w:proofErr w:type="spellEnd"/>
      <w:r w:rsidRPr="00BE6013">
        <w:rPr>
          <w:color w:val="auto"/>
        </w:rPr>
        <w:t xml:space="preserve">, P. B. (2010). Interest rate variation and investment determination in Nigeria. </w:t>
      </w:r>
      <w:r w:rsidRPr="00BE6013">
        <w:rPr>
          <w:i/>
          <w:iCs/>
          <w:color w:val="auto"/>
        </w:rPr>
        <w:t>International Business Management</w:t>
      </w:r>
      <w:r w:rsidRPr="00BE6013">
        <w:rPr>
          <w:color w:val="auto"/>
        </w:rPr>
        <w:t>, 4(1), 41–46.</w:t>
      </w:r>
    </w:p>
    <w:p w14:paraId="342E35A0" w14:textId="77777777" w:rsidR="00BE6013" w:rsidRPr="00BE6013" w:rsidRDefault="00BE6013" w:rsidP="00BE6013">
      <w:pPr>
        <w:spacing w:after="0" w:line="276" w:lineRule="auto"/>
        <w:ind w:left="720" w:hanging="720"/>
        <w:rPr>
          <w:color w:val="auto"/>
        </w:rPr>
      </w:pPr>
      <w:r w:rsidRPr="00BE6013">
        <w:rPr>
          <w:color w:val="auto"/>
        </w:rPr>
        <w:t xml:space="preserve">Giovanni, J. D., &amp; </w:t>
      </w:r>
      <w:proofErr w:type="spellStart"/>
      <w:r w:rsidRPr="00BE6013">
        <w:rPr>
          <w:color w:val="auto"/>
        </w:rPr>
        <w:t>Shambaugh</w:t>
      </w:r>
      <w:proofErr w:type="spellEnd"/>
      <w:r w:rsidRPr="00BE6013">
        <w:rPr>
          <w:color w:val="auto"/>
        </w:rPr>
        <w:t xml:space="preserve">, J. C. (2007). The impact of foreign interest rates on the economy. </w:t>
      </w:r>
      <w:r w:rsidRPr="00BE6013">
        <w:rPr>
          <w:i/>
          <w:iCs/>
          <w:color w:val="auto"/>
        </w:rPr>
        <w:t>Review of International Economics</w:t>
      </w:r>
      <w:r w:rsidRPr="00BE6013">
        <w:rPr>
          <w:color w:val="auto"/>
        </w:rPr>
        <w:t>, 15(4), 756–775.</w:t>
      </w:r>
    </w:p>
    <w:p w14:paraId="6BCC1C9B" w14:textId="77777777" w:rsidR="00BE6013" w:rsidRPr="00BE6013" w:rsidRDefault="00BE6013" w:rsidP="00BE6013">
      <w:pPr>
        <w:spacing w:after="0" w:line="276" w:lineRule="auto"/>
        <w:ind w:left="720" w:hanging="720"/>
        <w:rPr>
          <w:color w:val="auto"/>
        </w:rPr>
      </w:pPr>
      <w:r w:rsidRPr="00BE6013">
        <w:rPr>
          <w:color w:val="auto"/>
        </w:rPr>
        <w:t xml:space="preserve">Gregory, A. W., &amp; Hansen, B. E. (1996). Residual-based tests for cointegration in models with regime shifts. </w:t>
      </w:r>
      <w:r w:rsidRPr="00BE6013">
        <w:rPr>
          <w:i/>
          <w:iCs/>
          <w:color w:val="auto"/>
        </w:rPr>
        <w:t>Journal of Econometrics</w:t>
      </w:r>
      <w:r w:rsidRPr="00BE6013">
        <w:rPr>
          <w:color w:val="auto"/>
        </w:rPr>
        <w:t>, 70(1), 99–126.</w:t>
      </w:r>
    </w:p>
    <w:p w14:paraId="10724C37" w14:textId="77777777" w:rsidR="00BE6013" w:rsidRPr="00BE6013" w:rsidRDefault="00BE6013" w:rsidP="00BE6013">
      <w:pPr>
        <w:spacing w:after="0" w:line="276" w:lineRule="auto"/>
        <w:ind w:left="720" w:hanging="720"/>
        <w:rPr>
          <w:color w:val="auto"/>
        </w:rPr>
      </w:pPr>
      <w:proofErr w:type="spellStart"/>
      <w:r w:rsidRPr="00BE6013">
        <w:rPr>
          <w:color w:val="auto"/>
        </w:rPr>
        <w:t>Gruseh</w:t>
      </w:r>
      <w:proofErr w:type="spellEnd"/>
      <w:r w:rsidRPr="00BE6013">
        <w:rPr>
          <w:color w:val="auto"/>
        </w:rPr>
        <w:t xml:space="preserve">, S., &amp; </w:t>
      </w:r>
      <w:proofErr w:type="spellStart"/>
      <w:r w:rsidRPr="00BE6013">
        <w:rPr>
          <w:color w:val="auto"/>
        </w:rPr>
        <w:t>Oritsejafor</w:t>
      </w:r>
      <w:proofErr w:type="spellEnd"/>
      <w:r w:rsidRPr="00BE6013">
        <w:rPr>
          <w:color w:val="auto"/>
        </w:rPr>
        <w:t xml:space="preserve">, E. (2007). Interest rate and economic growth in Nigeria. </w:t>
      </w:r>
      <w:r w:rsidRPr="00BE6013">
        <w:rPr>
          <w:i/>
          <w:iCs/>
          <w:color w:val="auto"/>
        </w:rPr>
        <w:t>Nigerian Journal of Economic Studies</w:t>
      </w:r>
      <w:r w:rsidRPr="00BE6013">
        <w:rPr>
          <w:color w:val="auto"/>
        </w:rPr>
        <w:t>, 5(2), 66–82.</w:t>
      </w:r>
    </w:p>
    <w:p w14:paraId="0BE28EA9" w14:textId="77777777" w:rsidR="00BE6013" w:rsidRPr="00BE6013" w:rsidRDefault="00BE6013" w:rsidP="00BE6013">
      <w:pPr>
        <w:spacing w:after="0" w:line="276" w:lineRule="auto"/>
        <w:ind w:left="720" w:hanging="720"/>
        <w:rPr>
          <w:color w:val="auto"/>
        </w:rPr>
      </w:pPr>
      <w:r w:rsidRPr="00BE6013">
        <w:rPr>
          <w:color w:val="auto"/>
        </w:rPr>
        <w:t xml:space="preserve">Gujarati, D. N. (2009). </w:t>
      </w:r>
      <w:r w:rsidRPr="00BE6013">
        <w:rPr>
          <w:i/>
          <w:iCs/>
          <w:color w:val="auto"/>
        </w:rPr>
        <w:t>Basic econometrics</w:t>
      </w:r>
      <w:r w:rsidRPr="00BE6013">
        <w:rPr>
          <w:color w:val="auto"/>
        </w:rPr>
        <w:t xml:space="preserve"> (5th ed.). McGraw-Hill.</w:t>
      </w:r>
    </w:p>
    <w:p w14:paraId="0D87911C" w14:textId="77777777" w:rsidR="00BE6013" w:rsidRPr="00BE6013" w:rsidRDefault="00BE6013" w:rsidP="00BE6013">
      <w:pPr>
        <w:spacing w:after="0" w:line="276" w:lineRule="auto"/>
        <w:ind w:left="720" w:hanging="720"/>
        <w:rPr>
          <w:color w:val="auto"/>
        </w:rPr>
      </w:pPr>
      <w:r w:rsidRPr="00BE6013">
        <w:rPr>
          <w:color w:val="auto"/>
        </w:rPr>
        <w:t xml:space="preserve">Habibullah, M. S., &amp; </w:t>
      </w:r>
      <w:proofErr w:type="spellStart"/>
      <w:r w:rsidRPr="00BE6013">
        <w:rPr>
          <w:color w:val="auto"/>
        </w:rPr>
        <w:t>Eng</w:t>
      </w:r>
      <w:proofErr w:type="spellEnd"/>
      <w:r w:rsidRPr="00BE6013">
        <w:rPr>
          <w:color w:val="auto"/>
        </w:rPr>
        <w:t xml:space="preserve">, Y. K. (2006). Does financial development cause economic growth? </w:t>
      </w:r>
      <w:r w:rsidRPr="00BE6013">
        <w:rPr>
          <w:i/>
          <w:iCs/>
          <w:color w:val="auto"/>
        </w:rPr>
        <w:t>Asian Economic Journal</w:t>
      </w:r>
      <w:r w:rsidRPr="00BE6013">
        <w:rPr>
          <w:color w:val="auto"/>
        </w:rPr>
        <w:t>, 20(3), 263–281.</w:t>
      </w:r>
    </w:p>
    <w:p w14:paraId="24D69CFD" w14:textId="77777777" w:rsidR="00BE6013" w:rsidRPr="00BE6013" w:rsidRDefault="00BE6013" w:rsidP="00BE6013">
      <w:pPr>
        <w:spacing w:after="0" w:line="276" w:lineRule="auto"/>
        <w:ind w:left="720" w:hanging="720"/>
        <w:rPr>
          <w:color w:val="auto"/>
        </w:rPr>
      </w:pPr>
      <w:r w:rsidRPr="00BE6013">
        <w:rPr>
          <w:color w:val="auto"/>
        </w:rPr>
        <w:t xml:space="preserve">Idris, M. (2019). Bank lending rate and economic growth in Sub-Saharan Africa. </w:t>
      </w:r>
      <w:r w:rsidRPr="00BE6013">
        <w:rPr>
          <w:i/>
          <w:iCs/>
          <w:color w:val="auto"/>
        </w:rPr>
        <w:t>International Journal of Finance and Economics</w:t>
      </w:r>
      <w:r w:rsidRPr="00BE6013">
        <w:rPr>
          <w:color w:val="auto"/>
        </w:rPr>
        <w:t>, 24(3), 1102–1115.</w:t>
      </w:r>
    </w:p>
    <w:p w14:paraId="58516A21" w14:textId="77777777" w:rsidR="00BE6013" w:rsidRPr="00BE6013" w:rsidRDefault="00BE6013" w:rsidP="00BE6013">
      <w:pPr>
        <w:spacing w:after="0" w:line="276" w:lineRule="auto"/>
        <w:ind w:left="720" w:hanging="720"/>
        <w:rPr>
          <w:color w:val="auto"/>
        </w:rPr>
      </w:pPr>
      <w:proofErr w:type="spellStart"/>
      <w:r w:rsidRPr="00BE6013">
        <w:rPr>
          <w:color w:val="auto"/>
        </w:rPr>
        <w:t>Iorember</w:t>
      </w:r>
      <w:proofErr w:type="spellEnd"/>
      <w:r w:rsidRPr="00BE6013">
        <w:rPr>
          <w:color w:val="auto"/>
        </w:rPr>
        <w:t xml:space="preserve">, P. T., </w:t>
      </w:r>
      <w:proofErr w:type="spellStart"/>
      <w:r w:rsidRPr="00BE6013">
        <w:rPr>
          <w:color w:val="auto"/>
        </w:rPr>
        <w:t>Jelilov</w:t>
      </w:r>
      <w:proofErr w:type="spellEnd"/>
      <w:r w:rsidRPr="00BE6013">
        <w:rPr>
          <w:color w:val="auto"/>
        </w:rPr>
        <w:t xml:space="preserve">, G., </w:t>
      </w:r>
      <w:proofErr w:type="spellStart"/>
      <w:r w:rsidRPr="00BE6013">
        <w:rPr>
          <w:color w:val="auto"/>
        </w:rPr>
        <w:t>Alymkulova</w:t>
      </w:r>
      <w:proofErr w:type="spellEnd"/>
      <w:r w:rsidRPr="00BE6013">
        <w:rPr>
          <w:color w:val="auto"/>
        </w:rPr>
        <w:t xml:space="preserve">, Z., &amp; </w:t>
      </w:r>
      <w:proofErr w:type="spellStart"/>
      <w:r w:rsidRPr="00BE6013">
        <w:rPr>
          <w:color w:val="auto"/>
        </w:rPr>
        <w:t>Yua</w:t>
      </w:r>
      <w:proofErr w:type="spellEnd"/>
      <w:r w:rsidRPr="00BE6013">
        <w:rPr>
          <w:color w:val="auto"/>
        </w:rPr>
        <w:t xml:space="preserve">, M. (2022). Bank credit and economic growth nexus in developing economies. </w:t>
      </w:r>
      <w:r w:rsidRPr="00BE6013">
        <w:rPr>
          <w:i/>
          <w:iCs/>
          <w:color w:val="auto"/>
        </w:rPr>
        <w:t>Journal of Economic Structures</w:t>
      </w:r>
      <w:r w:rsidRPr="00BE6013">
        <w:rPr>
          <w:color w:val="auto"/>
        </w:rPr>
        <w:t>, 11(1), 1–17.</w:t>
      </w:r>
    </w:p>
    <w:p w14:paraId="4661541F" w14:textId="77777777" w:rsidR="00BE6013" w:rsidRPr="00BE6013" w:rsidRDefault="00BE6013" w:rsidP="00BE6013">
      <w:pPr>
        <w:spacing w:after="0" w:line="276" w:lineRule="auto"/>
        <w:ind w:left="720" w:hanging="720"/>
        <w:rPr>
          <w:color w:val="auto"/>
        </w:rPr>
      </w:pPr>
      <w:proofErr w:type="spellStart"/>
      <w:r w:rsidRPr="00BE6013">
        <w:rPr>
          <w:color w:val="auto"/>
        </w:rPr>
        <w:t>Jhingan</w:t>
      </w:r>
      <w:proofErr w:type="spellEnd"/>
      <w:r w:rsidRPr="00BE6013">
        <w:rPr>
          <w:color w:val="auto"/>
        </w:rPr>
        <w:t xml:space="preserve">, M. L. (2019). </w:t>
      </w:r>
      <w:r w:rsidRPr="00BE6013">
        <w:rPr>
          <w:i/>
          <w:iCs/>
          <w:color w:val="auto"/>
        </w:rPr>
        <w:t>Monetary economics</w:t>
      </w:r>
      <w:r w:rsidRPr="00BE6013">
        <w:rPr>
          <w:color w:val="auto"/>
        </w:rPr>
        <w:t xml:space="preserve"> (8th ed.). </w:t>
      </w:r>
      <w:proofErr w:type="spellStart"/>
      <w:r w:rsidRPr="00BE6013">
        <w:rPr>
          <w:color w:val="auto"/>
        </w:rPr>
        <w:t>Vrinda</w:t>
      </w:r>
      <w:proofErr w:type="spellEnd"/>
      <w:r w:rsidRPr="00BE6013">
        <w:rPr>
          <w:color w:val="auto"/>
        </w:rPr>
        <w:t xml:space="preserve"> Publications.</w:t>
      </w:r>
    </w:p>
    <w:p w14:paraId="1EE504D4" w14:textId="77777777" w:rsidR="00BE6013" w:rsidRPr="00BE6013" w:rsidRDefault="00BE6013" w:rsidP="00BE6013">
      <w:pPr>
        <w:spacing w:after="0" w:line="276" w:lineRule="auto"/>
        <w:ind w:left="720" w:hanging="720"/>
        <w:rPr>
          <w:color w:val="auto"/>
        </w:rPr>
      </w:pPr>
      <w:r w:rsidRPr="00BE6013">
        <w:rPr>
          <w:color w:val="auto"/>
        </w:rPr>
        <w:t xml:space="preserve">Johansen, S. (1988). Statistical analysis of cointegration vectors. </w:t>
      </w:r>
      <w:r w:rsidRPr="00BE6013">
        <w:rPr>
          <w:i/>
          <w:iCs/>
          <w:color w:val="auto"/>
        </w:rPr>
        <w:t>Journal of Economic Dynamics and Control</w:t>
      </w:r>
      <w:r w:rsidRPr="00BE6013">
        <w:rPr>
          <w:color w:val="auto"/>
        </w:rPr>
        <w:t>, 12(2–3), 231–254.</w:t>
      </w:r>
    </w:p>
    <w:p w14:paraId="52F6EB24" w14:textId="77777777" w:rsidR="00BE6013" w:rsidRPr="00BE6013" w:rsidRDefault="00BE6013" w:rsidP="00BE6013">
      <w:pPr>
        <w:spacing w:after="0" w:line="276" w:lineRule="auto"/>
        <w:ind w:left="720" w:hanging="720"/>
        <w:rPr>
          <w:color w:val="auto"/>
        </w:rPr>
      </w:pPr>
      <w:proofErr w:type="spellStart"/>
      <w:r w:rsidRPr="00BE6013">
        <w:rPr>
          <w:color w:val="auto"/>
        </w:rPr>
        <w:t>Kelechukwu</w:t>
      </w:r>
      <w:proofErr w:type="spellEnd"/>
      <w:r w:rsidRPr="00BE6013">
        <w:rPr>
          <w:color w:val="auto"/>
        </w:rPr>
        <w:t xml:space="preserve">, I. C., Okafor, M. E., &amp; </w:t>
      </w:r>
      <w:proofErr w:type="spellStart"/>
      <w:r w:rsidRPr="00BE6013">
        <w:rPr>
          <w:color w:val="auto"/>
        </w:rPr>
        <w:t>Eze</w:t>
      </w:r>
      <w:proofErr w:type="spellEnd"/>
      <w:r w:rsidRPr="00BE6013">
        <w:rPr>
          <w:color w:val="auto"/>
        </w:rPr>
        <w:t xml:space="preserve">, A. U. (2023). Bank lending and economic growth in Nigeria. </w:t>
      </w:r>
      <w:r w:rsidRPr="00BE6013">
        <w:rPr>
          <w:i/>
          <w:iCs/>
          <w:color w:val="auto"/>
        </w:rPr>
        <w:t>Journal of Banking and Finance Research</w:t>
      </w:r>
      <w:r w:rsidRPr="00BE6013">
        <w:rPr>
          <w:color w:val="auto"/>
        </w:rPr>
        <w:t>, 6(2), 44–60.</w:t>
      </w:r>
    </w:p>
    <w:p w14:paraId="65A7B1C5" w14:textId="77777777" w:rsidR="00BE6013" w:rsidRPr="00BE6013" w:rsidRDefault="00BE6013" w:rsidP="00BE6013">
      <w:pPr>
        <w:spacing w:after="0" w:line="276" w:lineRule="auto"/>
        <w:ind w:left="720" w:hanging="720"/>
        <w:rPr>
          <w:color w:val="auto"/>
        </w:rPr>
      </w:pPr>
      <w:r w:rsidRPr="00BE6013">
        <w:rPr>
          <w:color w:val="auto"/>
        </w:rPr>
        <w:t xml:space="preserve">Kira, A. R. (2013). The factors affecting gross domestic product (GDP) in developing countries. </w:t>
      </w:r>
      <w:r w:rsidRPr="00BE6013">
        <w:rPr>
          <w:i/>
          <w:iCs/>
          <w:color w:val="auto"/>
        </w:rPr>
        <w:t>European Journal of Business and Management</w:t>
      </w:r>
      <w:r w:rsidRPr="00BE6013">
        <w:rPr>
          <w:color w:val="auto"/>
        </w:rPr>
        <w:t>, 5(4), 148–159.</w:t>
      </w:r>
    </w:p>
    <w:p w14:paraId="6D5BCFC5" w14:textId="77777777" w:rsidR="00BE6013" w:rsidRPr="00BE6013" w:rsidRDefault="00BE6013" w:rsidP="00BE6013">
      <w:pPr>
        <w:spacing w:after="0" w:line="276" w:lineRule="auto"/>
        <w:ind w:left="720" w:hanging="720"/>
        <w:rPr>
          <w:color w:val="auto"/>
        </w:rPr>
      </w:pPr>
      <w:r w:rsidRPr="00BE6013">
        <w:rPr>
          <w:color w:val="auto"/>
        </w:rPr>
        <w:t xml:space="preserve">Moulton, H. G. (1918). </w:t>
      </w:r>
      <w:r w:rsidRPr="00BE6013">
        <w:rPr>
          <w:i/>
          <w:iCs/>
          <w:color w:val="auto"/>
        </w:rPr>
        <w:t>Commercial banking and capital formation</w:t>
      </w:r>
      <w:r w:rsidRPr="00BE6013">
        <w:rPr>
          <w:color w:val="auto"/>
        </w:rPr>
        <w:t>. University of Chicago Press.</w:t>
      </w:r>
    </w:p>
    <w:p w14:paraId="763EA669" w14:textId="77777777" w:rsidR="00BE6013" w:rsidRPr="00BE6013" w:rsidRDefault="00BE6013" w:rsidP="00BE6013">
      <w:pPr>
        <w:spacing w:after="0" w:line="276" w:lineRule="auto"/>
        <w:ind w:left="720" w:hanging="720"/>
        <w:rPr>
          <w:color w:val="auto"/>
        </w:rPr>
      </w:pPr>
      <w:proofErr w:type="spellStart"/>
      <w:r w:rsidRPr="00BE6013">
        <w:rPr>
          <w:color w:val="auto"/>
        </w:rPr>
        <w:t>Nazum</w:t>
      </w:r>
      <w:proofErr w:type="spellEnd"/>
      <w:r w:rsidRPr="00BE6013">
        <w:rPr>
          <w:color w:val="auto"/>
        </w:rPr>
        <w:t xml:space="preserve">, M. A. (2025). Bank lending, inflation and economic performance in developing economies. </w:t>
      </w:r>
      <w:r w:rsidRPr="00BE6013">
        <w:rPr>
          <w:i/>
          <w:iCs/>
          <w:color w:val="auto"/>
        </w:rPr>
        <w:t>International Journal of Development Economics</w:t>
      </w:r>
      <w:r w:rsidRPr="00BE6013">
        <w:rPr>
          <w:color w:val="auto"/>
        </w:rPr>
        <w:t>, 14(1), 22–39.</w:t>
      </w:r>
    </w:p>
    <w:p w14:paraId="5C82EF12" w14:textId="77777777" w:rsidR="00BE6013" w:rsidRPr="00BE6013" w:rsidRDefault="00BE6013" w:rsidP="00BE6013">
      <w:pPr>
        <w:spacing w:after="0" w:line="276" w:lineRule="auto"/>
        <w:ind w:left="720" w:hanging="720"/>
        <w:rPr>
          <w:color w:val="auto"/>
        </w:rPr>
      </w:pPr>
      <w:r w:rsidRPr="00BE6013">
        <w:rPr>
          <w:color w:val="auto"/>
        </w:rPr>
        <w:t xml:space="preserve">Nicholas, A. (2010). Interest rate liberalization and economic growth. </w:t>
      </w:r>
      <w:r w:rsidRPr="00BE6013">
        <w:rPr>
          <w:i/>
          <w:iCs/>
          <w:color w:val="auto"/>
        </w:rPr>
        <w:t>Journal of Economic Policy</w:t>
      </w:r>
      <w:r w:rsidRPr="00BE6013">
        <w:rPr>
          <w:color w:val="auto"/>
        </w:rPr>
        <w:t>, 12(3), 98–112.</w:t>
      </w:r>
    </w:p>
    <w:p w14:paraId="261A7928" w14:textId="77777777" w:rsidR="00BE6013" w:rsidRPr="00BE6013" w:rsidRDefault="00BE6013" w:rsidP="00BE6013">
      <w:pPr>
        <w:spacing w:after="0" w:line="276" w:lineRule="auto"/>
        <w:ind w:left="720" w:hanging="720"/>
        <w:rPr>
          <w:color w:val="auto"/>
        </w:rPr>
      </w:pPr>
      <w:proofErr w:type="spellStart"/>
      <w:r w:rsidRPr="00BE6013">
        <w:rPr>
          <w:color w:val="auto"/>
        </w:rPr>
        <w:t>Noula</w:t>
      </w:r>
      <w:proofErr w:type="spellEnd"/>
      <w:r w:rsidRPr="00BE6013">
        <w:rPr>
          <w:color w:val="auto"/>
        </w:rPr>
        <w:t xml:space="preserve">, A. G. (2012). Interest rates and economic growth: Evidence from Europe. </w:t>
      </w:r>
      <w:r w:rsidRPr="00BE6013">
        <w:rPr>
          <w:i/>
          <w:iCs/>
          <w:color w:val="auto"/>
        </w:rPr>
        <w:t>Economic Modelling</w:t>
      </w:r>
      <w:r w:rsidRPr="00BE6013">
        <w:rPr>
          <w:color w:val="auto"/>
        </w:rPr>
        <w:t>, 29(4), 1503–1510.</w:t>
      </w:r>
    </w:p>
    <w:p w14:paraId="60A6B16C" w14:textId="77777777" w:rsidR="00BE6013" w:rsidRPr="00BE6013" w:rsidRDefault="00BE6013" w:rsidP="00BE6013">
      <w:pPr>
        <w:spacing w:after="0" w:line="276" w:lineRule="auto"/>
        <w:ind w:left="720" w:hanging="720"/>
        <w:rPr>
          <w:color w:val="auto"/>
        </w:rPr>
      </w:pPr>
      <w:r w:rsidRPr="00BE6013">
        <w:rPr>
          <w:color w:val="auto"/>
        </w:rPr>
        <w:t xml:space="preserve">Nwachukwu, T. E., &amp; </w:t>
      </w:r>
      <w:proofErr w:type="spellStart"/>
      <w:r w:rsidRPr="00BE6013">
        <w:rPr>
          <w:color w:val="auto"/>
        </w:rPr>
        <w:t>Odigie</w:t>
      </w:r>
      <w:proofErr w:type="spellEnd"/>
      <w:r w:rsidRPr="00BE6013">
        <w:rPr>
          <w:color w:val="auto"/>
        </w:rPr>
        <w:t xml:space="preserve">, P. (2009). Interest rate policy and economic growth in Nigeria. </w:t>
      </w:r>
      <w:r w:rsidRPr="00BE6013">
        <w:rPr>
          <w:i/>
          <w:iCs/>
          <w:color w:val="auto"/>
        </w:rPr>
        <w:t>Journal of Monetary and Economic Integration</w:t>
      </w:r>
      <w:r w:rsidRPr="00BE6013">
        <w:rPr>
          <w:color w:val="auto"/>
        </w:rPr>
        <w:t>, 9(1), 1–20.</w:t>
      </w:r>
    </w:p>
    <w:p w14:paraId="75F1576B" w14:textId="77777777" w:rsidR="00BE6013" w:rsidRPr="00BE6013" w:rsidRDefault="00BE6013" w:rsidP="00BE6013">
      <w:pPr>
        <w:spacing w:after="0" w:line="276" w:lineRule="auto"/>
        <w:ind w:left="720" w:hanging="720"/>
        <w:rPr>
          <w:color w:val="auto"/>
        </w:rPr>
      </w:pPr>
      <w:proofErr w:type="spellStart"/>
      <w:r w:rsidRPr="00BE6013">
        <w:rPr>
          <w:color w:val="auto"/>
        </w:rPr>
        <w:lastRenderedPageBreak/>
        <w:t>Nzomoi</w:t>
      </w:r>
      <w:proofErr w:type="spellEnd"/>
      <w:r w:rsidRPr="00BE6013">
        <w:rPr>
          <w:color w:val="auto"/>
        </w:rPr>
        <w:t xml:space="preserve">, J., &amp; </w:t>
      </w:r>
      <w:proofErr w:type="spellStart"/>
      <w:r w:rsidRPr="00BE6013">
        <w:rPr>
          <w:color w:val="auto"/>
        </w:rPr>
        <w:t>Rutto</w:t>
      </w:r>
      <w:proofErr w:type="spellEnd"/>
      <w:r w:rsidRPr="00BE6013">
        <w:rPr>
          <w:color w:val="auto"/>
        </w:rPr>
        <w:t xml:space="preserve">, N. (2012). Access to credit and farm productivity in Kenya. </w:t>
      </w:r>
      <w:r w:rsidRPr="00BE6013">
        <w:rPr>
          <w:i/>
          <w:iCs/>
          <w:color w:val="auto"/>
        </w:rPr>
        <w:t>Journal of Economics and Sustainable Development</w:t>
      </w:r>
      <w:r w:rsidRPr="00BE6013">
        <w:rPr>
          <w:color w:val="auto"/>
        </w:rPr>
        <w:t>, 3(2), 41–52.</w:t>
      </w:r>
    </w:p>
    <w:p w14:paraId="46B3A63F" w14:textId="77777777" w:rsidR="00BE6013" w:rsidRPr="00BE6013" w:rsidRDefault="00BE6013" w:rsidP="00BE6013">
      <w:pPr>
        <w:spacing w:after="0" w:line="276" w:lineRule="auto"/>
        <w:ind w:left="720" w:hanging="720"/>
        <w:rPr>
          <w:color w:val="auto"/>
        </w:rPr>
      </w:pPr>
      <w:proofErr w:type="spellStart"/>
      <w:r w:rsidRPr="00BE6013">
        <w:rPr>
          <w:color w:val="auto"/>
        </w:rPr>
        <w:t>Obamuyi</w:t>
      </w:r>
      <w:proofErr w:type="spellEnd"/>
      <w:r w:rsidRPr="00BE6013">
        <w:rPr>
          <w:color w:val="auto"/>
        </w:rPr>
        <w:t xml:space="preserve">, T. M. (2009). Economic growth and interest rates in Nigeria. </w:t>
      </w:r>
      <w:r w:rsidRPr="00BE6013">
        <w:rPr>
          <w:i/>
          <w:iCs/>
          <w:color w:val="auto"/>
        </w:rPr>
        <w:t>Journal of Economic Theory</w:t>
      </w:r>
      <w:r w:rsidRPr="00BE6013">
        <w:rPr>
          <w:color w:val="auto"/>
        </w:rPr>
        <w:t>, 3(2), 13–25.</w:t>
      </w:r>
    </w:p>
    <w:p w14:paraId="74FD9AD2" w14:textId="77777777" w:rsidR="00BE6013" w:rsidRPr="00BE6013" w:rsidRDefault="00BE6013" w:rsidP="00BE6013">
      <w:pPr>
        <w:spacing w:after="0" w:line="276" w:lineRule="auto"/>
        <w:ind w:left="720" w:hanging="720"/>
        <w:rPr>
          <w:color w:val="auto"/>
        </w:rPr>
      </w:pPr>
      <w:proofErr w:type="spellStart"/>
      <w:r w:rsidRPr="00BE6013">
        <w:rPr>
          <w:color w:val="auto"/>
        </w:rPr>
        <w:t>Obute</w:t>
      </w:r>
      <w:proofErr w:type="spellEnd"/>
      <w:r w:rsidRPr="00BE6013">
        <w:rPr>
          <w:color w:val="auto"/>
        </w:rPr>
        <w:t xml:space="preserve">, C. O., </w:t>
      </w:r>
      <w:proofErr w:type="spellStart"/>
      <w:r w:rsidRPr="00BE6013">
        <w:rPr>
          <w:color w:val="auto"/>
        </w:rPr>
        <w:t>Asor</w:t>
      </w:r>
      <w:proofErr w:type="spellEnd"/>
      <w:r w:rsidRPr="00BE6013">
        <w:rPr>
          <w:color w:val="auto"/>
        </w:rPr>
        <w:t xml:space="preserve">, J. O., &amp; </w:t>
      </w:r>
      <w:proofErr w:type="spellStart"/>
      <w:r w:rsidRPr="00BE6013">
        <w:rPr>
          <w:color w:val="auto"/>
        </w:rPr>
        <w:t>Itodo</w:t>
      </w:r>
      <w:proofErr w:type="spellEnd"/>
      <w:r w:rsidRPr="00BE6013">
        <w:rPr>
          <w:color w:val="auto"/>
        </w:rPr>
        <w:t xml:space="preserve">, A. I. (2012). Bank lending rate and economic growth in Nigeria. </w:t>
      </w:r>
      <w:r w:rsidRPr="00BE6013">
        <w:rPr>
          <w:i/>
          <w:iCs/>
          <w:color w:val="auto"/>
        </w:rPr>
        <w:t>International Journal of Finance and Accounting</w:t>
      </w:r>
      <w:r w:rsidRPr="00BE6013">
        <w:rPr>
          <w:color w:val="auto"/>
        </w:rPr>
        <w:t>, 1(2), 45–51.</w:t>
      </w:r>
    </w:p>
    <w:p w14:paraId="4029659F" w14:textId="77777777" w:rsidR="00BE6013" w:rsidRPr="00BE6013" w:rsidRDefault="00BE6013" w:rsidP="00BE6013">
      <w:pPr>
        <w:spacing w:after="0" w:line="276" w:lineRule="auto"/>
        <w:ind w:left="720" w:hanging="720"/>
        <w:rPr>
          <w:color w:val="auto"/>
        </w:rPr>
      </w:pPr>
      <w:r w:rsidRPr="00BE6013">
        <w:rPr>
          <w:color w:val="auto"/>
        </w:rPr>
        <w:t xml:space="preserve">Odhiambo, N. M. (2010). Is financial development a spur to economic growth? </w:t>
      </w:r>
      <w:r w:rsidRPr="00BE6013">
        <w:rPr>
          <w:i/>
          <w:iCs/>
          <w:color w:val="auto"/>
        </w:rPr>
        <w:t>Journal of Economic Studies</w:t>
      </w:r>
      <w:r w:rsidRPr="00BE6013">
        <w:rPr>
          <w:color w:val="auto"/>
        </w:rPr>
        <w:t>, 37(3), 343–353.</w:t>
      </w:r>
    </w:p>
    <w:p w14:paraId="0F2C5E01" w14:textId="77777777" w:rsidR="00BE6013" w:rsidRPr="00BE6013" w:rsidRDefault="00BE6013" w:rsidP="00BE6013">
      <w:pPr>
        <w:spacing w:after="0" w:line="276" w:lineRule="auto"/>
        <w:ind w:left="720" w:hanging="720"/>
        <w:rPr>
          <w:color w:val="auto"/>
        </w:rPr>
      </w:pPr>
      <w:proofErr w:type="spellStart"/>
      <w:r w:rsidRPr="00BE6013">
        <w:rPr>
          <w:color w:val="auto"/>
        </w:rPr>
        <w:t>Okwo</w:t>
      </w:r>
      <w:proofErr w:type="spellEnd"/>
      <w:r w:rsidRPr="00BE6013">
        <w:rPr>
          <w:color w:val="auto"/>
        </w:rPr>
        <w:t xml:space="preserve">, I. M., </w:t>
      </w:r>
      <w:proofErr w:type="spellStart"/>
      <w:r w:rsidRPr="00BE6013">
        <w:rPr>
          <w:color w:val="auto"/>
        </w:rPr>
        <w:t>Mbajiaku</w:t>
      </w:r>
      <w:proofErr w:type="spellEnd"/>
      <w:r w:rsidRPr="00BE6013">
        <w:rPr>
          <w:color w:val="auto"/>
        </w:rPr>
        <w:t xml:space="preserve">, C. C., &amp; </w:t>
      </w:r>
      <w:proofErr w:type="spellStart"/>
      <w:r w:rsidRPr="00BE6013">
        <w:rPr>
          <w:color w:val="auto"/>
        </w:rPr>
        <w:t>Ugwunta</w:t>
      </w:r>
      <w:proofErr w:type="spellEnd"/>
      <w:r w:rsidRPr="00BE6013">
        <w:rPr>
          <w:color w:val="auto"/>
        </w:rPr>
        <w:t xml:space="preserve">, D. O. (2012). Banking sector development and economic growth in Nigeria. </w:t>
      </w:r>
      <w:r w:rsidRPr="00BE6013">
        <w:rPr>
          <w:i/>
          <w:iCs/>
          <w:color w:val="auto"/>
        </w:rPr>
        <w:t>Journal of Economics and Development Studies</w:t>
      </w:r>
      <w:r w:rsidRPr="00BE6013">
        <w:rPr>
          <w:color w:val="auto"/>
        </w:rPr>
        <w:t>, 4(1), 49–64.</w:t>
      </w:r>
    </w:p>
    <w:p w14:paraId="341F0CA7" w14:textId="77777777" w:rsidR="00BE6013" w:rsidRPr="00BE6013" w:rsidRDefault="00BE6013" w:rsidP="00BE6013">
      <w:pPr>
        <w:spacing w:after="0" w:line="276" w:lineRule="auto"/>
        <w:ind w:left="720" w:hanging="720"/>
        <w:rPr>
          <w:color w:val="auto"/>
        </w:rPr>
      </w:pPr>
      <w:proofErr w:type="spellStart"/>
      <w:r w:rsidRPr="00BE6013">
        <w:rPr>
          <w:color w:val="auto"/>
        </w:rPr>
        <w:t>Onwioduodit</w:t>
      </w:r>
      <w:proofErr w:type="spellEnd"/>
      <w:r w:rsidRPr="00BE6013">
        <w:rPr>
          <w:color w:val="auto"/>
        </w:rPr>
        <w:t xml:space="preserve">, S., Udo, E. J., &amp; Essien, E. A. (2023). Bank credit expansion and business development in Nigeria. </w:t>
      </w:r>
      <w:r w:rsidRPr="00BE6013">
        <w:rPr>
          <w:i/>
          <w:iCs/>
          <w:color w:val="auto"/>
        </w:rPr>
        <w:t>Nigerian Journal of Banking</w:t>
      </w:r>
      <w:r w:rsidRPr="00BE6013">
        <w:rPr>
          <w:color w:val="auto"/>
        </w:rPr>
        <w:t>, 15(1), 88–102.</w:t>
      </w:r>
    </w:p>
    <w:p w14:paraId="263536AA" w14:textId="77777777" w:rsidR="00BE6013" w:rsidRPr="00BE6013" w:rsidRDefault="00BE6013" w:rsidP="00BE6013">
      <w:pPr>
        <w:spacing w:after="0" w:line="276" w:lineRule="auto"/>
        <w:ind w:left="720" w:hanging="720"/>
        <w:rPr>
          <w:color w:val="auto"/>
        </w:rPr>
      </w:pPr>
      <w:proofErr w:type="spellStart"/>
      <w:r w:rsidRPr="00BE6013">
        <w:rPr>
          <w:color w:val="auto"/>
        </w:rPr>
        <w:t>Onwumere</w:t>
      </w:r>
      <w:proofErr w:type="spellEnd"/>
      <w:r w:rsidRPr="00BE6013">
        <w:rPr>
          <w:color w:val="auto"/>
        </w:rPr>
        <w:t xml:space="preserve">, J. U. J., </w:t>
      </w:r>
      <w:proofErr w:type="spellStart"/>
      <w:r w:rsidRPr="00BE6013">
        <w:rPr>
          <w:color w:val="auto"/>
        </w:rPr>
        <w:t>Okore</w:t>
      </w:r>
      <w:proofErr w:type="spellEnd"/>
      <w:r w:rsidRPr="00BE6013">
        <w:rPr>
          <w:color w:val="auto"/>
        </w:rPr>
        <w:t xml:space="preserve">, O. A., &amp; </w:t>
      </w:r>
      <w:proofErr w:type="spellStart"/>
      <w:r w:rsidRPr="00BE6013">
        <w:rPr>
          <w:color w:val="auto"/>
        </w:rPr>
        <w:t>Ibe</w:t>
      </w:r>
      <w:proofErr w:type="spellEnd"/>
      <w:r w:rsidRPr="00BE6013">
        <w:rPr>
          <w:color w:val="auto"/>
        </w:rPr>
        <w:t xml:space="preserve">, I. G. (2012). Interest rate, savings mobilization and economic growth in Nigeria. </w:t>
      </w:r>
      <w:r w:rsidRPr="00BE6013">
        <w:rPr>
          <w:i/>
          <w:iCs/>
          <w:color w:val="auto"/>
        </w:rPr>
        <w:t>Review of Public Administration and Management</w:t>
      </w:r>
      <w:r w:rsidRPr="00BE6013">
        <w:rPr>
          <w:color w:val="auto"/>
        </w:rPr>
        <w:t>, 1(2), 23–38.</w:t>
      </w:r>
    </w:p>
    <w:p w14:paraId="627EE2FC" w14:textId="77777777" w:rsidR="00BE6013" w:rsidRPr="00BE6013" w:rsidRDefault="00BE6013" w:rsidP="00BE6013">
      <w:pPr>
        <w:spacing w:after="0" w:line="276" w:lineRule="auto"/>
        <w:ind w:left="720" w:hanging="720"/>
        <w:rPr>
          <w:color w:val="auto"/>
        </w:rPr>
      </w:pPr>
      <w:proofErr w:type="spellStart"/>
      <w:r w:rsidRPr="00BE6013">
        <w:rPr>
          <w:color w:val="auto"/>
        </w:rPr>
        <w:t>Onyishi</w:t>
      </w:r>
      <w:proofErr w:type="spellEnd"/>
      <w:r w:rsidRPr="00BE6013">
        <w:rPr>
          <w:color w:val="auto"/>
        </w:rPr>
        <w:t xml:space="preserve">, A. O., &amp; </w:t>
      </w:r>
      <w:proofErr w:type="spellStart"/>
      <w:r w:rsidRPr="00BE6013">
        <w:rPr>
          <w:color w:val="auto"/>
        </w:rPr>
        <w:t>Ifiorah</w:t>
      </w:r>
      <w:proofErr w:type="spellEnd"/>
      <w:r w:rsidRPr="00BE6013">
        <w:rPr>
          <w:color w:val="auto"/>
        </w:rPr>
        <w:t xml:space="preserve">, E. T. (2015). Interest rate reform and agricultural growth in Nigeria. </w:t>
      </w:r>
      <w:r w:rsidRPr="00BE6013">
        <w:rPr>
          <w:i/>
          <w:iCs/>
          <w:color w:val="auto"/>
        </w:rPr>
        <w:t>International Journal of Agricultural Economics</w:t>
      </w:r>
      <w:r w:rsidRPr="00BE6013">
        <w:rPr>
          <w:color w:val="auto"/>
        </w:rPr>
        <w:t>, 3(1), 12–21.</w:t>
      </w:r>
    </w:p>
    <w:p w14:paraId="38D6C579" w14:textId="77777777" w:rsidR="00BE6013" w:rsidRPr="00BE6013" w:rsidRDefault="00BE6013" w:rsidP="00BE6013">
      <w:pPr>
        <w:spacing w:after="0" w:line="276" w:lineRule="auto"/>
        <w:ind w:left="720" w:hanging="720"/>
        <w:rPr>
          <w:color w:val="auto"/>
        </w:rPr>
      </w:pPr>
      <w:proofErr w:type="spellStart"/>
      <w:r w:rsidRPr="00BE6013">
        <w:rPr>
          <w:color w:val="auto"/>
        </w:rPr>
        <w:t>Pesaran</w:t>
      </w:r>
      <w:proofErr w:type="spellEnd"/>
      <w:r w:rsidRPr="00BE6013">
        <w:rPr>
          <w:color w:val="auto"/>
        </w:rPr>
        <w:t xml:space="preserve">, M. H., Shin, Y., &amp; Smith, R. J. (2001). Bounds testing approaches to the analysis of level relationships. </w:t>
      </w:r>
      <w:r w:rsidRPr="00BE6013">
        <w:rPr>
          <w:i/>
          <w:iCs/>
          <w:color w:val="auto"/>
        </w:rPr>
        <w:t>Journal of Applied Econometrics</w:t>
      </w:r>
      <w:r w:rsidRPr="00BE6013">
        <w:rPr>
          <w:color w:val="auto"/>
        </w:rPr>
        <w:t>, 16(3), 289–326.</w:t>
      </w:r>
    </w:p>
    <w:p w14:paraId="22628A53" w14:textId="77777777" w:rsidR="00BE6013" w:rsidRPr="00BE6013" w:rsidRDefault="00BE6013" w:rsidP="00BE6013">
      <w:pPr>
        <w:spacing w:after="0" w:line="276" w:lineRule="auto"/>
        <w:ind w:left="720" w:hanging="720"/>
        <w:rPr>
          <w:color w:val="auto"/>
        </w:rPr>
      </w:pPr>
      <w:r w:rsidRPr="00BE6013">
        <w:rPr>
          <w:color w:val="auto"/>
        </w:rPr>
        <w:t xml:space="preserve">Phillips, P. C. B., &amp; Hansen, B. E. (1990). Statistical inference in instrumental variables regression with </w:t>
      </w:r>
      <w:proofErr w:type="gramStart"/>
      <w:r w:rsidRPr="00BE6013">
        <w:rPr>
          <w:color w:val="auto"/>
        </w:rPr>
        <w:t>I(</w:t>
      </w:r>
      <w:proofErr w:type="gramEnd"/>
      <w:r w:rsidRPr="00BE6013">
        <w:rPr>
          <w:color w:val="auto"/>
        </w:rPr>
        <w:t xml:space="preserve">1) processes. </w:t>
      </w:r>
      <w:r w:rsidRPr="00BE6013">
        <w:rPr>
          <w:i/>
          <w:iCs/>
          <w:color w:val="auto"/>
        </w:rPr>
        <w:t>Review of Economic Studies</w:t>
      </w:r>
      <w:r w:rsidRPr="00BE6013">
        <w:rPr>
          <w:color w:val="auto"/>
        </w:rPr>
        <w:t>, 57(1), 99–125.</w:t>
      </w:r>
    </w:p>
    <w:p w14:paraId="3961640D" w14:textId="77777777" w:rsidR="00BE6013" w:rsidRPr="00BE6013" w:rsidRDefault="00BE6013" w:rsidP="00BE6013">
      <w:pPr>
        <w:spacing w:after="0" w:line="276" w:lineRule="auto"/>
        <w:ind w:left="720" w:hanging="720"/>
        <w:rPr>
          <w:color w:val="auto"/>
        </w:rPr>
      </w:pPr>
      <w:proofErr w:type="spellStart"/>
      <w:r w:rsidRPr="00BE6013">
        <w:rPr>
          <w:color w:val="auto"/>
        </w:rPr>
        <w:t>Ringim</w:t>
      </w:r>
      <w:proofErr w:type="spellEnd"/>
      <w:r w:rsidRPr="00BE6013">
        <w:rPr>
          <w:color w:val="auto"/>
        </w:rPr>
        <w:t xml:space="preserve">, S. H., &amp; </w:t>
      </w:r>
      <w:proofErr w:type="spellStart"/>
      <w:r w:rsidRPr="00BE6013">
        <w:rPr>
          <w:color w:val="auto"/>
        </w:rPr>
        <w:t>Sayedi</w:t>
      </w:r>
      <w:proofErr w:type="spellEnd"/>
      <w:r w:rsidRPr="00BE6013">
        <w:rPr>
          <w:color w:val="auto"/>
        </w:rPr>
        <w:t xml:space="preserve">, A. (2019). Bank credit and economic growth in Nigeria. </w:t>
      </w:r>
      <w:r w:rsidRPr="00BE6013">
        <w:rPr>
          <w:i/>
          <w:iCs/>
          <w:color w:val="auto"/>
        </w:rPr>
        <w:t>Journal of African Business</w:t>
      </w:r>
      <w:r w:rsidRPr="00BE6013">
        <w:rPr>
          <w:color w:val="auto"/>
        </w:rPr>
        <w:t>, 20(3), 335–352.</w:t>
      </w:r>
    </w:p>
    <w:p w14:paraId="68480EA7" w14:textId="77777777" w:rsidR="00BE6013" w:rsidRPr="00BE6013" w:rsidRDefault="00BE6013" w:rsidP="00BE6013">
      <w:pPr>
        <w:spacing w:after="0" w:line="276" w:lineRule="auto"/>
        <w:ind w:left="720" w:hanging="720"/>
        <w:rPr>
          <w:color w:val="auto"/>
        </w:rPr>
      </w:pPr>
      <w:r w:rsidRPr="00BE6013">
        <w:rPr>
          <w:color w:val="auto"/>
        </w:rPr>
        <w:t xml:space="preserve">Rasheed, O. (2010). Interest rate volatility and economic growth in Nigeria. </w:t>
      </w:r>
      <w:r w:rsidRPr="00BE6013">
        <w:rPr>
          <w:i/>
          <w:iCs/>
          <w:color w:val="auto"/>
        </w:rPr>
        <w:t>African Journal of Economic Policy</w:t>
      </w:r>
      <w:r w:rsidRPr="00BE6013">
        <w:rPr>
          <w:color w:val="auto"/>
        </w:rPr>
        <w:t>, 17(1), 25–42.</w:t>
      </w:r>
    </w:p>
    <w:p w14:paraId="2F6704E5" w14:textId="77777777" w:rsidR="00BE6013" w:rsidRPr="00BE6013" w:rsidRDefault="00BE6013" w:rsidP="00BE6013">
      <w:pPr>
        <w:spacing w:after="0" w:line="276" w:lineRule="auto"/>
        <w:ind w:left="720" w:hanging="720"/>
        <w:rPr>
          <w:color w:val="auto"/>
        </w:rPr>
      </w:pPr>
      <w:r w:rsidRPr="00BE6013">
        <w:rPr>
          <w:color w:val="auto"/>
        </w:rPr>
        <w:t xml:space="preserve">Taylor &amp; Francis. (2022). Bank lending and macroeconomic stability. </w:t>
      </w:r>
      <w:r w:rsidRPr="00BE6013">
        <w:rPr>
          <w:i/>
          <w:iCs/>
          <w:color w:val="auto"/>
        </w:rPr>
        <w:t>Journal of Economic Policy Reform</w:t>
      </w:r>
      <w:r w:rsidRPr="00BE6013">
        <w:rPr>
          <w:color w:val="auto"/>
        </w:rPr>
        <w:t>, 25(2), 101–120.</w:t>
      </w:r>
    </w:p>
    <w:p w14:paraId="1E339212" w14:textId="77777777" w:rsidR="00BE6013" w:rsidRPr="00BE6013" w:rsidRDefault="00BE6013" w:rsidP="00BE6013">
      <w:pPr>
        <w:spacing w:after="0" w:line="276" w:lineRule="auto"/>
        <w:ind w:left="720" w:hanging="720"/>
        <w:rPr>
          <w:color w:val="auto"/>
        </w:rPr>
      </w:pPr>
      <w:proofErr w:type="spellStart"/>
      <w:r w:rsidRPr="00BE6013">
        <w:rPr>
          <w:color w:val="auto"/>
        </w:rPr>
        <w:t>Tridico</w:t>
      </w:r>
      <w:proofErr w:type="spellEnd"/>
      <w:r w:rsidRPr="00BE6013">
        <w:rPr>
          <w:color w:val="auto"/>
        </w:rPr>
        <w:t xml:space="preserve">, P. (2007). Financial development and economic growth: The role of institutions. </w:t>
      </w:r>
      <w:r w:rsidRPr="00BE6013">
        <w:rPr>
          <w:i/>
          <w:iCs/>
          <w:color w:val="auto"/>
        </w:rPr>
        <w:t>Economic Alternatives</w:t>
      </w:r>
      <w:r w:rsidRPr="00BE6013">
        <w:rPr>
          <w:color w:val="auto"/>
        </w:rPr>
        <w:t>, 2, 1–23.</w:t>
      </w:r>
    </w:p>
    <w:p w14:paraId="3B777DF4" w14:textId="77777777" w:rsidR="00BE6013" w:rsidRPr="00BE6013" w:rsidRDefault="00BE6013" w:rsidP="00BE6013">
      <w:pPr>
        <w:spacing w:after="0" w:line="276" w:lineRule="auto"/>
        <w:ind w:left="720" w:hanging="720"/>
        <w:rPr>
          <w:color w:val="auto"/>
        </w:rPr>
      </w:pPr>
    </w:p>
    <w:p w14:paraId="0B5111C3" w14:textId="77777777" w:rsidR="00BE6013" w:rsidRPr="00BE6013" w:rsidRDefault="00BE6013" w:rsidP="00BE6013">
      <w:pPr>
        <w:spacing w:after="0" w:line="240" w:lineRule="auto"/>
        <w:rPr>
          <w:color w:val="auto"/>
        </w:rPr>
      </w:pPr>
    </w:p>
    <w:sectPr w:rsidR="00BE6013" w:rsidRPr="00BE6013" w:rsidSect="00E1696A">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E51D" w14:textId="77777777" w:rsidR="009317F1" w:rsidRDefault="009317F1" w:rsidP="00B4471B">
      <w:pPr>
        <w:spacing w:after="0" w:line="240" w:lineRule="auto"/>
      </w:pPr>
      <w:r>
        <w:separator/>
      </w:r>
    </w:p>
  </w:endnote>
  <w:endnote w:type="continuationSeparator" w:id="0">
    <w:p w14:paraId="1B91D777" w14:textId="77777777" w:rsidR="009317F1" w:rsidRDefault="009317F1" w:rsidP="00B4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C354" w14:textId="77777777" w:rsidR="00B4471B" w:rsidRDefault="00B4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047B" w14:textId="77777777" w:rsidR="00B4471B" w:rsidRDefault="00B44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4022" w14:textId="77777777" w:rsidR="00B4471B" w:rsidRDefault="00B4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0B98B" w14:textId="77777777" w:rsidR="009317F1" w:rsidRDefault="009317F1" w:rsidP="00B4471B">
      <w:pPr>
        <w:spacing w:after="0" w:line="240" w:lineRule="auto"/>
      </w:pPr>
      <w:r>
        <w:separator/>
      </w:r>
    </w:p>
  </w:footnote>
  <w:footnote w:type="continuationSeparator" w:id="0">
    <w:p w14:paraId="14BF394F" w14:textId="77777777" w:rsidR="009317F1" w:rsidRDefault="009317F1" w:rsidP="00B4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49BC" w14:textId="662FA68A" w:rsidR="00B4471B" w:rsidRDefault="00B4471B">
    <w:pPr>
      <w:pStyle w:val="Header"/>
    </w:pPr>
    <w:r>
      <w:rPr>
        <w:noProof/>
      </w:rPr>
      <w:pict w14:anchorId="132AA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4" o:spid="_x0000_s2050" type="#_x0000_t136" style="position:absolute;left:0;text-align:left;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EBB1" w14:textId="4BB126D8" w:rsidR="00B4471B" w:rsidRDefault="00B4471B">
    <w:pPr>
      <w:pStyle w:val="Header"/>
    </w:pPr>
    <w:r>
      <w:rPr>
        <w:noProof/>
      </w:rPr>
      <w:pict w14:anchorId="74250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5" o:spid="_x0000_s2051" type="#_x0000_t136" style="position:absolute;left:0;text-align:left;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AA6C" w14:textId="1C8813A9" w:rsidR="00B4471B" w:rsidRDefault="00B4471B">
    <w:pPr>
      <w:pStyle w:val="Header"/>
    </w:pPr>
    <w:r>
      <w:rPr>
        <w:noProof/>
      </w:rPr>
      <w:pict w14:anchorId="39340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408593" o:spid="_x0000_s2049" type="#_x0000_t136" style="position:absolute;left:0;text-align:left;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39E"/>
    <w:multiLevelType w:val="hybridMultilevel"/>
    <w:tmpl w:val="C44A0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129"/>
    <w:multiLevelType w:val="hybridMultilevel"/>
    <w:tmpl w:val="F5C641E2"/>
    <w:lvl w:ilvl="0" w:tplc="83ACC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3479F"/>
    <w:multiLevelType w:val="hybridMultilevel"/>
    <w:tmpl w:val="AE6CF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711C"/>
    <w:multiLevelType w:val="hybridMultilevel"/>
    <w:tmpl w:val="2D9E830E"/>
    <w:lvl w:ilvl="0" w:tplc="567C5F4A">
      <w:start w:val="1"/>
      <w:numFmt w:val="lowerRoman"/>
      <w:lvlText w:val="(%1)"/>
      <w:lvlJc w:val="left"/>
      <w:pPr>
        <w:ind w:left="631"/>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370AE7FA">
      <w:start w:val="1"/>
      <w:numFmt w:val="lowerLetter"/>
      <w:lvlText w:val="%2"/>
      <w:lvlJc w:val="left"/>
      <w:pPr>
        <w:ind w:left="10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15CECA82">
      <w:start w:val="1"/>
      <w:numFmt w:val="lowerRoman"/>
      <w:lvlText w:val="%3"/>
      <w:lvlJc w:val="left"/>
      <w:pPr>
        <w:ind w:left="18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51B4F5C8">
      <w:start w:val="1"/>
      <w:numFmt w:val="decimal"/>
      <w:lvlText w:val="%4"/>
      <w:lvlJc w:val="left"/>
      <w:pPr>
        <w:ind w:left="25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9D295F6">
      <w:start w:val="1"/>
      <w:numFmt w:val="lowerLetter"/>
      <w:lvlText w:val="%5"/>
      <w:lvlJc w:val="left"/>
      <w:pPr>
        <w:ind w:left="324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A8EA97E6">
      <w:start w:val="1"/>
      <w:numFmt w:val="lowerRoman"/>
      <w:lvlText w:val="%6"/>
      <w:lvlJc w:val="left"/>
      <w:pPr>
        <w:ind w:left="39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B9C42346">
      <w:start w:val="1"/>
      <w:numFmt w:val="decimal"/>
      <w:lvlText w:val="%7"/>
      <w:lvlJc w:val="left"/>
      <w:pPr>
        <w:ind w:left="468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87AC46B2">
      <w:start w:val="1"/>
      <w:numFmt w:val="lowerLetter"/>
      <w:lvlText w:val="%8"/>
      <w:lvlJc w:val="left"/>
      <w:pPr>
        <w:ind w:left="540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6C0C7102">
      <w:start w:val="1"/>
      <w:numFmt w:val="lowerRoman"/>
      <w:lvlText w:val="%9"/>
      <w:lvlJc w:val="left"/>
      <w:pPr>
        <w:ind w:left="612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4" w15:restartNumberingAfterBreak="0">
    <w:nsid w:val="23A82F9A"/>
    <w:multiLevelType w:val="hybridMultilevel"/>
    <w:tmpl w:val="A1DE55F2"/>
    <w:lvl w:ilvl="0" w:tplc="BDCCF2DE">
      <w:start w:val="1"/>
      <w:numFmt w:val="lowerRoman"/>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0D1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43E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4E4C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E29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675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84E6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10BE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F8F7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76A02"/>
    <w:multiLevelType w:val="hybridMultilevel"/>
    <w:tmpl w:val="3774D0B2"/>
    <w:lvl w:ilvl="0" w:tplc="E9EC85CA">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0E21B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205A1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DADA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5CA5F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CA10A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7C7FF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74BB1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6C947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DEE2AEB"/>
    <w:multiLevelType w:val="hybridMultilevel"/>
    <w:tmpl w:val="4CD61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E1"/>
    <w:rsid w:val="0003093B"/>
    <w:rsid w:val="00176695"/>
    <w:rsid w:val="00202DC6"/>
    <w:rsid w:val="00264458"/>
    <w:rsid w:val="002D6BDD"/>
    <w:rsid w:val="002F2B97"/>
    <w:rsid w:val="00305FD5"/>
    <w:rsid w:val="00345E63"/>
    <w:rsid w:val="00387D69"/>
    <w:rsid w:val="003F4DAF"/>
    <w:rsid w:val="004308F3"/>
    <w:rsid w:val="004D3B95"/>
    <w:rsid w:val="005B3174"/>
    <w:rsid w:val="006C0879"/>
    <w:rsid w:val="00786EC0"/>
    <w:rsid w:val="00825BBA"/>
    <w:rsid w:val="00842C1D"/>
    <w:rsid w:val="008761E1"/>
    <w:rsid w:val="00883ADA"/>
    <w:rsid w:val="009317F1"/>
    <w:rsid w:val="00A51E1F"/>
    <w:rsid w:val="00AB0E40"/>
    <w:rsid w:val="00AB2106"/>
    <w:rsid w:val="00AF258E"/>
    <w:rsid w:val="00B4471B"/>
    <w:rsid w:val="00B704D8"/>
    <w:rsid w:val="00BE6013"/>
    <w:rsid w:val="00CD1F47"/>
    <w:rsid w:val="00CF5E08"/>
    <w:rsid w:val="00D34D60"/>
    <w:rsid w:val="00D50362"/>
    <w:rsid w:val="00DA5ABB"/>
    <w:rsid w:val="00DB35DD"/>
    <w:rsid w:val="00E1696A"/>
    <w:rsid w:val="00FD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494A0"/>
  <w15:chartTrackingRefBased/>
  <w15:docId w15:val="{9AEF453E-20EA-4EDF-8623-AD5424A8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1E1"/>
    <w:pPr>
      <w:spacing w:after="3" w:line="310" w:lineRule="auto"/>
      <w:ind w:left="10" w:hanging="10"/>
      <w:jc w:val="both"/>
    </w:pPr>
    <w:rPr>
      <w:rFonts w:ascii="Times New Roman" w:eastAsia="Times New Roman" w:hAnsi="Times New Roman" w:cs="Times New Roman"/>
      <w:color w:val="131313"/>
      <w:kern w:val="2"/>
      <w:sz w:val="24"/>
      <w:szCs w:val="24"/>
      <w14:ligatures w14:val="standardContextual"/>
    </w:rPr>
  </w:style>
  <w:style w:type="paragraph" w:styleId="Heading1">
    <w:name w:val="heading 1"/>
    <w:basedOn w:val="Normal"/>
    <w:next w:val="Normal"/>
    <w:link w:val="Heading1Char"/>
    <w:uiPriority w:val="9"/>
    <w:qFormat/>
    <w:rsid w:val="008761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61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61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61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61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6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1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61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61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61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61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6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1E1"/>
    <w:rPr>
      <w:rFonts w:eastAsiaTheme="majorEastAsia" w:cstheme="majorBidi"/>
      <w:color w:val="272727" w:themeColor="text1" w:themeTint="D8"/>
    </w:rPr>
  </w:style>
  <w:style w:type="paragraph" w:styleId="Title">
    <w:name w:val="Title"/>
    <w:basedOn w:val="Normal"/>
    <w:next w:val="Normal"/>
    <w:link w:val="TitleChar"/>
    <w:uiPriority w:val="10"/>
    <w:qFormat/>
    <w:rsid w:val="00876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1E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1E1"/>
    <w:pPr>
      <w:spacing w:before="160"/>
      <w:jc w:val="center"/>
    </w:pPr>
    <w:rPr>
      <w:i/>
      <w:iCs/>
      <w:color w:val="404040" w:themeColor="text1" w:themeTint="BF"/>
    </w:rPr>
  </w:style>
  <w:style w:type="character" w:customStyle="1" w:styleId="QuoteChar">
    <w:name w:val="Quote Char"/>
    <w:basedOn w:val="DefaultParagraphFont"/>
    <w:link w:val="Quote"/>
    <w:uiPriority w:val="29"/>
    <w:rsid w:val="008761E1"/>
    <w:rPr>
      <w:i/>
      <w:iCs/>
      <w:color w:val="404040" w:themeColor="text1" w:themeTint="BF"/>
    </w:rPr>
  </w:style>
  <w:style w:type="paragraph" w:styleId="ListParagraph">
    <w:name w:val="List Paragraph"/>
    <w:basedOn w:val="Normal"/>
    <w:link w:val="ListParagraphChar"/>
    <w:uiPriority w:val="1"/>
    <w:qFormat/>
    <w:rsid w:val="008761E1"/>
    <w:pPr>
      <w:ind w:left="720"/>
      <w:contextualSpacing/>
    </w:pPr>
  </w:style>
  <w:style w:type="character" w:styleId="IntenseEmphasis">
    <w:name w:val="Intense Emphasis"/>
    <w:basedOn w:val="DefaultParagraphFont"/>
    <w:uiPriority w:val="21"/>
    <w:qFormat/>
    <w:rsid w:val="008761E1"/>
    <w:rPr>
      <w:i/>
      <w:iCs/>
      <w:color w:val="2E74B5" w:themeColor="accent1" w:themeShade="BF"/>
    </w:rPr>
  </w:style>
  <w:style w:type="paragraph" w:styleId="IntenseQuote">
    <w:name w:val="Intense Quote"/>
    <w:basedOn w:val="Normal"/>
    <w:next w:val="Normal"/>
    <w:link w:val="IntenseQuoteChar"/>
    <w:uiPriority w:val="30"/>
    <w:qFormat/>
    <w:rsid w:val="008761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61E1"/>
    <w:rPr>
      <w:i/>
      <w:iCs/>
      <w:color w:val="2E74B5" w:themeColor="accent1" w:themeShade="BF"/>
    </w:rPr>
  </w:style>
  <w:style w:type="character" w:styleId="IntenseReference">
    <w:name w:val="Intense Reference"/>
    <w:basedOn w:val="DefaultParagraphFont"/>
    <w:uiPriority w:val="32"/>
    <w:qFormat/>
    <w:rsid w:val="008761E1"/>
    <w:rPr>
      <w:b/>
      <w:bCs/>
      <w:smallCaps/>
      <w:color w:val="2E74B5" w:themeColor="accent1" w:themeShade="BF"/>
      <w:spacing w:val="5"/>
    </w:rPr>
  </w:style>
  <w:style w:type="character" w:customStyle="1" w:styleId="ListParagraphChar">
    <w:name w:val="List Paragraph Char"/>
    <w:basedOn w:val="DefaultParagraphFont"/>
    <w:link w:val="ListParagraph"/>
    <w:uiPriority w:val="1"/>
    <w:qFormat/>
    <w:locked/>
    <w:rsid w:val="00786EC0"/>
    <w:rPr>
      <w:rFonts w:ascii="Times New Roman" w:eastAsia="Times New Roman" w:hAnsi="Times New Roman" w:cs="Times New Roman"/>
      <w:color w:val="131313"/>
      <w:kern w:val="2"/>
      <w:sz w:val="24"/>
      <w:szCs w:val="24"/>
      <w14:ligatures w14:val="standardContextual"/>
    </w:rPr>
  </w:style>
  <w:style w:type="table" w:styleId="PlainTable2">
    <w:name w:val="Plain Table 2"/>
    <w:basedOn w:val="TableNormal"/>
    <w:uiPriority w:val="42"/>
    <w:rsid w:val="00387D69"/>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autoRedefine/>
    <w:uiPriority w:val="35"/>
    <w:unhideWhenUsed/>
    <w:qFormat/>
    <w:rsid w:val="00387D69"/>
    <w:pPr>
      <w:spacing w:after="200" w:line="240" w:lineRule="auto"/>
    </w:pPr>
    <w:rPr>
      <w:b/>
      <w:iCs/>
      <w:color w:val="auto"/>
      <w:szCs w:val="18"/>
    </w:rPr>
  </w:style>
  <w:style w:type="character" w:styleId="Hyperlink">
    <w:name w:val="Hyperlink"/>
    <w:basedOn w:val="DefaultParagraphFont"/>
    <w:uiPriority w:val="99"/>
    <w:unhideWhenUsed/>
    <w:rsid w:val="00CD1F47"/>
    <w:rPr>
      <w:color w:val="0563C1" w:themeColor="hyperlink"/>
      <w:u w:val="single"/>
    </w:rPr>
  </w:style>
  <w:style w:type="character" w:styleId="UnresolvedMention">
    <w:name w:val="Unresolved Mention"/>
    <w:basedOn w:val="DefaultParagraphFont"/>
    <w:uiPriority w:val="99"/>
    <w:semiHidden/>
    <w:unhideWhenUsed/>
    <w:rsid w:val="00CD1F47"/>
    <w:rPr>
      <w:color w:val="605E5C"/>
      <w:shd w:val="clear" w:color="auto" w:fill="E1DFDD"/>
    </w:rPr>
  </w:style>
  <w:style w:type="paragraph" w:styleId="Header">
    <w:name w:val="header"/>
    <w:basedOn w:val="Normal"/>
    <w:link w:val="HeaderChar"/>
    <w:uiPriority w:val="99"/>
    <w:unhideWhenUsed/>
    <w:rsid w:val="00B4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1B"/>
    <w:rPr>
      <w:rFonts w:ascii="Times New Roman" w:eastAsia="Times New Roman" w:hAnsi="Times New Roman" w:cs="Times New Roman"/>
      <w:color w:val="131313"/>
      <w:kern w:val="2"/>
      <w:sz w:val="24"/>
      <w:szCs w:val="24"/>
      <w14:ligatures w14:val="standardContextual"/>
    </w:rPr>
  </w:style>
  <w:style w:type="paragraph" w:styleId="Footer">
    <w:name w:val="footer"/>
    <w:basedOn w:val="Normal"/>
    <w:link w:val="FooterChar"/>
    <w:uiPriority w:val="99"/>
    <w:unhideWhenUsed/>
    <w:rsid w:val="00B4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1B"/>
    <w:rPr>
      <w:rFonts w:ascii="Times New Roman" w:eastAsia="Times New Roman" w:hAnsi="Times New Roman" w:cs="Times New Roman"/>
      <w:color w:val="131313"/>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002">
      <w:bodyDiv w:val="1"/>
      <w:marLeft w:val="0"/>
      <w:marRight w:val="0"/>
      <w:marTop w:val="0"/>
      <w:marBottom w:val="0"/>
      <w:divBdr>
        <w:top w:val="none" w:sz="0" w:space="0" w:color="auto"/>
        <w:left w:val="none" w:sz="0" w:space="0" w:color="auto"/>
        <w:bottom w:val="none" w:sz="0" w:space="0" w:color="auto"/>
        <w:right w:val="none" w:sz="0" w:space="0" w:color="auto"/>
      </w:divBdr>
    </w:div>
    <w:div w:id="9795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2026-01-16T12:57:00Z</dcterms:created>
  <dcterms:modified xsi:type="dcterms:W3CDTF">2026-01-17T08:35:00Z</dcterms:modified>
</cp:coreProperties>
</file>