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F239D" w14:textId="77777777" w:rsidR="00D2516D" w:rsidRDefault="00B830D8" w:rsidP="00B830D8">
      <w:pPr>
        <w:pStyle w:val="Title"/>
        <w:rPr>
          <w:rFonts w:ascii="Times New Roman" w:hAnsi="Times New Roman" w:cs="Times New Roman"/>
        </w:rPr>
      </w:pPr>
      <w:r w:rsidRPr="00B830D8">
        <w:rPr>
          <w:rFonts w:ascii="Times New Roman" w:hAnsi="Times New Roman" w:cs="Times New Roman"/>
        </w:rPr>
        <w:t>Ecological Economics Framework for Sustainable Supply Chain Management in Southeast Asian Manufacturing</w:t>
      </w:r>
    </w:p>
    <w:p w14:paraId="7311C52C" w14:textId="77777777" w:rsidR="00D2516D" w:rsidRDefault="00D2516D" w:rsidP="00B830D8">
      <w:pPr>
        <w:pStyle w:val="Title"/>
        <w:rPr>
          <w:rFonts w:ascii="Times New Roman" w:hAnsi="Times New Roman" w:cs="Times New Roman"/>
        </w:rPr>
      </w:pPr>
    </w:p>
    <w:p w14:paraId="3CE97F40" w14:textId="77777777" w:rsidR="00294623" w:rsidRDefault="00294623" w:rsidP="00294623"/>
    <w:p w14:paraId="3FD76B23" w14:textId="77777777" w:rsidR="007B6391" w:rsidRDefault="007B6391" w:rsidP="00B830D8">
      <w:pPr>
        <w:pStyle w:val="Heading1"/>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208057180"/>
    </w:p>
    <w:p w14:paraId="1E448152" w14:textId="77777777" w:rsidR="007B6391" w:rsidRDefault="007B6391" w:rsidP="00B830D8">
      <w:pPr>
        <w:pStyle w:val="Heading1"/>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52207D" w14:textId="4635EFFC" w:rsidR="00B830D8" w:rsidRPr="00B830D8" w:rsidRDefault="00B830D8" w:rsidP="00B830D8">
      <w:pPr>
        <w:pStyle w:val="Heading1"/>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bookmarkEnd w:id="1"/>
      <w:r w:rsidRPr="00B830D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bookmarkEnd w:id="0"/>
    </w:p>
    <w:p w14:paraId="19B5564C" w14:textId="77777777" w:rsidR="00B830D8" w:rsidRPr="00B830D8" w:rsidRDefault="00B830D8" w:rsidP="00B830D8">
      <w:pPr>
        <w:jc w:val="both"/>
        <w:rPr>
          <w:rFonts w:ascii="Times New Roman" w:hAnsi="Times New Roman" w:cs="Times New Roman"/>
          <w:sz w:val="28"/>
          <w:szCs w:val="28"/>
        </w:rPr>
      </w:pPr>
    </w:p>
    <w:p w14:paraId="5CBC50E3" w14:textId="77777777" w:rsidR="00B830D8" w:rsidRPr="00B830D8" w:rsidRDefault="00B830D8" w:rsidP="00B830D8">
      <w:pPr>
        <w:jc w:val="both"/>
        <w:rPr>
          <w:rFonts w:ascii="Times New Roman" w:hAnsi="Times New Roman" w:cs="Times New Roman"/>
          <w:sz w:val="28"/>
          <w:szCs w:val="28"/>
        </w:rPr>
      </w:pPr>
      <w:r w:rsidRPr="00B830D8">
        <w:rPr>
          <w:rFonts w:ascii="Times New Roman" w:hAnsi="Times New Roman" w:cs="Times New Roman"/>
          <w:sz w:val="28"/>
          <w:szCs w:val="28"/>
        </w:rPr>
        <w:t>This paper explores the application of ecological economics to sustainable supply chain management (SSCM) in Southeast Asian manufacturing, focusing on Vietnam (electronics), Thailand (textiles), and Malaysia (automotive). Ecological economics, which prioritizes ecological limits and natural capital valuation, offers a robust framework to enhance SSCM by quantifying environmental costs and benefits. Using a mixed-methods approach, including case studies and cost-benefit analysis, the study examines how integrating ecological economics principles—such as ecosystem service valuation and full-cost accounting—can address barriers like high costs and regulatory fragmentation while leveraging opportunities like regional collaboration and digital technologies. Findings aim to provide actionable insights for firms to optimize SSCM practices and for policymakers to align regional policies with the United Nations’ Sustainable Development Goals (SDGs 8, 12, and 13). This research contributes to the ecological economics literature by applying its principles to ASEAN’s manufacturing sector, offering a pathway for sustainable industrial growth in emerging economies.</w:t>
      </w:r>
    </w:p>
    <w:p w14:paraId="3F7805E8" w14:textId="77777777" w:rsidR="00B830D8" w:rsidRPr="00B830D8" w:rsidRDefault="00B830D8" w:rsidP="00B830D8">
      <w:pPr>
        <w:jc w:val="both"/>
        <w:rPr>
          <w:rFonts w:ascii="Times New Roman" w:hAnsi="Times New Roman" w:cs="Times New Roman"/>
          <w:sz w:val="28"/>
          <w:szCs w:val="28"/>
        </w:rPr>
      </w:pPr>
    </w:p>
    <w:p w14:paraId="7A876F44" w14:textId="77777777" w:rsidR="00B830D8" w:rsidRDefault="00B830D8" w:rsidP="00B830D8">
      <w:pPr>
        <w:jc w:val="both"/>
        <w:rPr>
          <w:rFonts w:ascii="Times New Roman" w:hAnsi="Times New Roman" w:cs="Times New Roman"/>
          <w:sz w:val="28"/>
          <w:szCs w:val="28"/>
        </w:rPr>
      </w:pPr>
    </w:p>
    <w:p w14:paraId="38C489AD" w14:textId="77777777" w:rsidR="00B830D8" w:rsidRDefault="00B830D8" w:rsidP="00B830D8">
      <w:pPr>
        <w:jc w:val="both"/>
        <w:rPr>
          <w:rFonts w:ascii="Times New Roman" w:hAnsi="Times New Roman" w:cs="Times New Roman"/>
          <w:sz w:val="28"/>
          <w:szCs w:val="28"/>
        </w:rPr>
      </w:pPr>
    </w:p>
    <w:p w14:paraId="66E282FE" w14:textId="77777777" w:rsidR="00B830D8" w:rsidRDefault="00B830D8" w:rsidP="00B830D8">
      <w:pPr>
        <w:jc w:val="both"/>
        <w:rPr>
          <w:rFonts w:ascii="Times New Roman" w:hAnsi="Times New Roman" w:cs="Times New Roman"/>
          <w:sz w:val="28"/>
          <w:szCs w:val="28"/>
        </w:rPr>
      </w:pPr>
    </w:p>
    <w:p w14:paraId="567A9A84" w14:textId="77777777" w:rsidR="00B830D8" w:rsidRDefault="00B830D8" w:rsidP="00B830D8">
      <w:pPr>
        <w:jc w:val="both"/>
        <w:rPr>
          <w:rFonts w:ascii="Times New Roman" w:hAnsi="Times New Roman" w:cs="Times New Roman"/>
          <w:sz w:val="28"/>
          <w:szCs w:val="28"/>
        </w:rPr>
      </w:pPr>
    </w:p>
    <w:p w14:paraId="0472F0E3" w14:textId="77777777" w:rsidR="009C1515" w:rsidRDefault="00B830D8" w:rsidP="00B830D8">
      <w:pPr>
        <w:jc w:val="both"/>
        <w:rPr>
          <w:rFonts w:ascii="Times New Roman" w:hAnsi="Times New Roman" w:cs="Times New Roman"/>
          <w:sz w:val="28"/>
          <w:szCs w:val="28"/>
        </w:rPr>
      </w:pPr>
      <w:r w:rsidRPr="00B830D8">
        <w:rPr>
          <w:rFonts w:ascii="Times New Roman" w:hAnsi="Times New Roman" w:cs="Times New Roman"/>
          <w:b/>
          <w:sz w:val="28"/>
          <w:szCs w:val="28"/>
        </w:rPr>
        <w:t>Keywords:</w:t>
      </w:r>
      <w:r w:rsidRPr="00B830D8">
        <w:rPr>
          <w:rFonts w:ascii="Times New Roman" w:hAnsi="Times New Roman" w:cs="Times New Roman"/>
          <w:sz w:val="28"/>
          <w:szCs w:val="28"/>
        </w:rPr>
        <w:t xml:space="preserve"> Ecological Economics, Sustainable Supply Chain Management, Southeast Asia, Manufacturing, Natural Capital, SDGs</w:t>
      </w:r>
      <w:r>
        <w:rPr>
          <w:rFonts w:ascii="Times New Roman" w:hAnsi="Times New Roman" w:cs="Times New Roman"/>
          <w:sz w:val="28"/>
          <w:szCs w:val="28"/>
        </w:rPr>
        <w:t>.</w:t>
      </w:r>
    </w:p>
    <w:p w14:paraId="79C68A44" w14:textId="49A68F08" w:rsidR="00B830D8" w:rsidRDefault="00B830D8" w:rsidP="00B830D8">
      <w:pPr>
        <w:jc w:val="both"/>
        <w:rPr>
          <w:rFonts w:ascii="Times New Roman" w:hAnsi="Times New Roman" w:cs="Times New Roman"/>
          <w:sz w:val="28"/>
          <w:szCs w:val="28"/>
        </w:rPr>
      </w:pPr>
    </w:p>
    <w:p w14:paraId="50B35022" w14:textId="77777777" w:rsidR="003A3C46" w:rsidRPr="00B830D8" w:rsidRDefault="003A3C46" w:rsidP="00B830D8">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208057181"/>
      <w:r w:rsidRPr="00B830D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Introduction</w:t>
      </w:r>
      <w:bookmarkEnd w:id="2"/>
    </w:p>
    <w:p w14:paraId="0A1604E4" w14:textId="77777777" w:rsidR="003A3C46" w:rsidRPr="003A3C46" w:rsidRDefault="003A3C46" w:rsidP="00B830D8">
      <w:pPr>
        <w:ind w:firstLine="720"/>
        <w:jc w:val="both"/>
        <w:rPr>
          <w:rFonts w:ascii="Times New Roman" w:hAnsi="Times New Roman" w:cs="Times New Roman"/>
          <w:sz w:val="28"/>
          <w:szCs w:val="28"/>
        </w:rPr>
      </w:pPr>
      <w:r w:rsidRPr="003A3C46">
        <w:rPr>
          <w:rFonts w:ascii="Times New Roman" w:hAnsi="Times New Roman" w:cs="Times New Roman"/>
          <w:sz w:val="28"/>
          <w:szCs w:val="28"/>
        </w:rPr>
        <w:t>Sustainable supply chain management (SSCM) has become a cornerstone for aligning industrial operations with global sustainability imperatives, particularly in Southeast Asia’s rapidly growing manufacturing sector, which includes key economies such as Vietnam, Thailand, and Malaysia (ASEAN Secretariat, 2024). The Association of Southeast Asian Nations (ASEAN) contributes over $1 trillion to global exports annually, with electronics, textiles, and automotive industries serving as critical pillars of its economic dynamism (ASEAN Secretariat, 2024). However, the region’s rapid industrialization has intensified environmental pressures, including resource depletion, carbon emissions, and biodiversity loss, while exposing vulnerabilities to global supply chain disruptions, such as those caused by the COVID-19 pandemic, semiconductor shortages, and geopolitical tensions (Choi et al., 2021). These challenges underscore the need for SSCM frameworks that not only enhance operational efficiency but also prioritize environmental stewardship and social equity, aligning with the United Nations’ Sustainable Development Goals (SDGs), specifically SDG 8 (Decent Work and Economic Growth), SDG 12 (Responsible Consumption and Production</w:t>
      </w:r>
      <w:r>
        <w:rPr>
          <w:rFonts w:ascii="Times New Roman" w:hAnsi="Times New Roman" w:cs="Times New Roman"/>
          <w:sz w:val="28"/>
          <w:szCs w:val="28"/>
        </w:rPr>
        <w:t>), and SDG 13 (Climate Action).</w:t>
      </w:r>
    </w:p>
    <w:p w14:paraId="09C65ED2" w14:textId="77777777" w:rsidR="003A3C46" w:rsidRPr="003A3C46" w:rsidRDefault="003A3C46" w:rsidP="00B830D8">
      <w:pPr>
        <w:ind w:firstLine="720"/>
        <w:jc w:val="both"/>
        <w:rPr>
          <w:rFonts w:ascii="Times New Roman" w:hAnsi="Times New Roman" w:cs="Times New Roman"/>
          <w:sz w:val="28"/>
          <w:szCs w:val="28"/>
        </w:rPr>
      </w:pPr>
      <w:r w:rsidRPr="003A3C46">
        <w:rPr>
          <w:rFonts w:ascii="Times New Roman" w:hAnsi="Times New Roman" w:cs="Times New Roman"/>
          <w:sz w:val="28"/>
          <w:szCs w:val="28"/>
        </w:rPr>
        <w:t xml:space="preserve">Traditional SSCM approaches, while effective in integrating environmental and social considerations into supply chain processes, often fail to account for the ecological limits central to ecological economics—a transdisciplinary field that views economic systems as subsystems of the biosphere, reliant on finite natural capital (Daly &amp; Farley, 2011). Ecological economics emphasizes sustainable scale, just distribution, and efficient allocation, offering tools like full-cost accounting and ecosystem service valuation to internalize environmental externalities (e.g., carbon emissions, water depletion) and quantify benefits (e.g., pollination, flood regulation) (Costanza et al., 2014). Unlike neoclassical economics, which prioritizes perpetual growth, ecological economics advocates for a steady-state economy that respects planetary boundaries, making it uniquely suited to address the sustainability challenges faced by ASEAN’s manufacturing sector. For instance, Vietnam’s cost-driven electronics industry, Thailand’s waste-intensive textile sector, and Malaysia’s </w:t>
      </w:r>
      <w:r w:rsidRPr="003A3C46">
        <w:rPr>
          <w:rFonts w:ascii="Times New Roman" w:hAnsi="Times New Roman" w:cs="Times New Roman"/>
          <w:sz w:val="28"/>
          <w:szCs w:val="28"/>
        </w:rPr>
        <w:lastRenderedPageBreak/>
        <w:t xml:space="preserve">energy-dependent automotive production each face distinct ecological and economic </w:t>
      </w:r>
      <w:proofErr w:type="gramStart"/>
      <w:r w:rsidRPr="003A3C46">
        <w:rPr>
          <w:rFonts w:ascii="Times New Roman" w:hAnsi="Times New Roman" w:cs="Times New Roman"/>
          <w:sz w:val="28"/>
          <w:szCs w:val="28"/>
        </w:rPr>
        <w:t>trade-offs</w:t>
      </w:r>
      <w:proofErr w:type="gramEnd"/>
      <w:r w:rsidRPr="003A3C46">
        <w:rPr>
          <w:rFonts w:ascii="Times New Roman" w:hAnsi="Times New Roman" w:cs="Times New Roman"/>
          <w:sz w:val="28"/>
          <w:szCs w:val="28"/>
        </w:rPr>
        <w:t xml:space="preserve"> that require region-specific solutions (Koh et al., 2022).</w:t>
      </w:r>
    </w:p>
    <w:p w14:paraId="1A30566A" w14:textId="77777777" w:rsidR="003A3C46" w:rsidRPr="003A3C46" w:rsidRDefault="003A3C46" w:rsidP="00B830D8">
      <w:pPr>
        <w:ind w:firstLine="720"/>
        <w:jc w:val="both"/>
        <w:rPr>
          <w:rFonts w:ascii="Times New Roman" w:hAnsi="Times New Roman" w:cs="Times New Roman"/>
          <w:sz w:val="28"/>
          <w:szCs w:val="28"/>
        </w:rPr>
      </w:pPr>
      <w:r w:rsidRPr="003A3C46">
        <w:rPr>
          <w:rFonts w:ascii="Times New Roman" w:hAnsi="Times New Roman" w:cs="Times New Roman"/>
          <w:sz w:val="28"/>
          <w:szCs w:val="28"/>
        </w:rPr>
        <w:t xml:space="preserve">Despite the growing body of SSCM literature, there is a notable research gap in applying ecological economics principles to Southeast Asian manufacturing. Existing studies often focus on developed economies or larger Asian markets like China and India, overlooking ASEAN’s unique socio-economic and environmental dynamics (Zhu et al., 2013). For example, Vietnam’s reliance on global supply chains contrasts with Malaysia’s policy-driven green incentives, while Thailand’s textile industry grapples with balancing sustainability and cost competitiveness. Moreover, recent global trends—such as carbon neutrality commitments post-COP30, rising consumer demand for eco-friendly products, and the adoption of digital technologies like blockchain for supply chain transparency—highlight the urgency of integrating ecological economics into SSCM to enhance resilience and sustainability in ASEAN (Koh et al., 2022). The region’s regulatory fragmentation, high implementation costs, and supply chain complexities further complicate SSCM adoption, necessitating frameworks that account for both ecological </w:t>
      </w:r>
      <w:r>
        <w:rPr>
          <w:rFonts w:ascii="Times New Roman" w:hAnsi="Times New Roman" w:cs="Times New Roman"/>
          <w:sz w:val="28"/>
          <w:szCs w:val="28"/>
        </w:rPr>
        <w:t>limits and economic realities.</w:t>
      </w:r>
    </w:p>
    <w:p w14:paraId="4B6FD5DB" w14:textId="77777777" w:rsidR="003A3C46" w:rsidRPr="003A3C46" w:rsidRDefault="003A3C46" w:rsidP="00B830D8">
      <w:pPr>
        <w:ind w:firstLine="720"/>
        <w:jc w:val="both"/>
        <w:rPr>
          <w:rFonts w:ascii="Times New Roman" w:hAnsi="Times New Roman" w:cs="Times New Roman"/>
          <w:sz w:val="28"/>
          <w:szCs w:val="28"/>
        </w:rPr>
      </w:pPr>
      <w:r w:rsidRPr="003A3C46">
        <w:rPr>
          <w:rFonts w:ascii="Times New Roman" w:hAnsi="Times New Roman" w:cs="Times New Roman"/>
          <w:sz w:val="28"/>
          <w:szCs w:val="28"/>
        </w:rPr>
        <w:t>This paper addresses these gaps by exploring how ecological economics can enhance SSCM practices in Southeast Asian manufacturing, with a focus on Vietnam (electronics), Thailand (textiles), and Malaysia (automotive). The study is guided by two research questions:</w:t>
      </w:r>
    </w:p>
    <w:p w14:paraId="1C6C18FD" w14:textId="77777777" w:rsidR="003A3C46" w:rsidRPr="00AD7C8F" w:rsidRDefault="003A3C46" w:rsidP="00AD7C8F">
      <w:pPr>
        <w:pStyle w:val="ListParagraph"/>
        <w:numPr>
          <w:ilvl w:val="0"/>
          <w:numId w:val="1"/>
        </w:numPr>
        <w:jc w:val="both"/>
        <w:rPr>
          <w:rFonts w:ascii="Times New Roman" w:hAnsi="Times New Roman" w:cs="Times New Roman"/>
          <w:sz w:val="28"/>
          <w:szCs w:val="28"/>
        </w:rPr>
      </w:pPr>
      <w:r w:rsidRPr="00AD7C8F">
        <w:rPr>
          <w:rFonts w:ascii="Times New Roman" w:hAnsi="Times New Roman" w:cs="Times New Roman"/>
          <w:sz w:val="28"/>
          <w:szCs w:val="28"/>
        </w:rPr>
        <w:t>How can ecological economics principles, such as ecosystem service valuation and full-cost accounting, enhance SSCM practices in Southeast Asian manufacturing?</w:t>
      </w:r>
    </w:p>
    <w:p w14:paraId="7A0760FF" w14:textId="77777777" w:rsidR="003A3C46" w:rsidRPr="00AD7C8F" w:rsidRDefault="003A3C46" w:rsidP="00AD7C8F">
      <w:pPr>
        <w:pStyle w:val="ListParagraph"/>
        <w:numPr>
          <w:ilvl w:val="0"/>
          <w:numId w:val="1"/>
        </w:numPr>
        <w:jc w:val="both"/>
        <w:rPr>
          <w:rFonts w:ascii="Times New Roman" w:hAnsi="Times New Roman" w:cs="Times New Roman"/>
          <w:sz w:val="28"/>
          <w:szCs w:val="28"/>
        </w:rPr>
      </w:pPr>
      <w:r w:rsidRPr="00AD7C8F">
        <w:rPr>
          <w:rFonts w:ascii="Times New Roman" w:hAnsi="Times New Roman" w:cs="Times New Roman"/>
          <w:sz w:val="28"/>
          <w:szCs w:val="28"/>
        </w:rPr>
        <w:t>What are the ecological and economic trade-offs of adopting these principles across Vietnam, Thailand, and Malaysia?</w:t>
      </w:r>
    </w:p>
    <w:p w14:paraId="08211498" w14:textId="77777777" w:rsidR="003A3C46" w:rsidRPr="003A3C46" w:rsidRDefault="003A3C46" w:rsidP="00AD7C8F">
      <w:pPr>
        <w:ind w:firstLine="360"/>
        <w:jc w:val="both"/>
        <w:rPr>
          <w:rFonts w:ascii="Times New Roman" w:hAnsi="Times New Roman" w:cs="Times New Roman"/>
          <w:sz w:val="28"/>
          <w:szCs w:val="28"/>
        </w:rPr>
      </w:pPr>
      <w:r w:rsidRPr="003A3C46">
        <w:rPr>
          <w:rFonts w:ascii="Times New Roman" w:hAnsi="Times New Roman" w:cs="Times New Roman"/>
          <w:sz w:val="28"/>
          <w:szCs w:val="28"/>
        </w:rPr>
        <w:t xml:space="preserve">Building on prior findings of SSCM practices like green logistics, circular economy principles, and renewable energy integration, this research extends the application of ecological economics tools to quantify environmental costs (e.g., emissions, resource depletion) and benefits (e.g., ecosystem services from waste reduction). By examining barriers such as cost constraints and regulatory gaps, as well as opportunities like regional collaboration through ASEAN platforms and technology adoption (e.g., blockchain for traceability), the study aims to develop a regionally relevant framework for sustainable industrial growth. This framework </w:t>
      </w:r>
      <w:r w:rsidRPr="003A3C46">
        <w:rPr>
          <w:rFonts w:ascii="Times New Roman" w:hAnsi="Times New Roman" w:cs="Times New Roman"/>
          <w:sz w:val="28"/>
          <w:szCs w:val="28"/>
        </w:rPr>
        <w:lastRenderedPageBreak/>
        <w:t>aligns with global sustainability goals while addressing ASEAN-specific challenges, such as diverse regulatory environments and varying levels of industrialization.</w:t>
      </w:r>
    </w:p>
    <w:p w14:paraId="781FCBBB" w14:textId="77777777" w:rsidR="00AD7C8F" w:rsidRDefault="003A3C46" w:rsidP="00AD7C8F">
      <w:pPr>
        <w:ind w:firstLine="360"/>
        <w:jc w:val="both"/>
        <w:rPr>
          <w:rFonts w:ascii="Times New Roman" w:hAnsi="Times New Roman" w:cs="Times New Roman"/>
          <w:sz w:val="28"/>
          <w:szCs w:val="28"/>
        </w:rPr>
      </w:pPr>
      <w:r w:rsidRPr="003A3C46">
        <w:rPr>
          <w:rFonts w:ascii="Times New Roman" w:hAnsi="Times New Roman" w:cs="Times New Roman"/>
          <w:sz w:val="28"/>
          <w:szCs w:val="28"/>
        </w:rPr>
        <w:t>The significance of this study lies in its dual contribution to theory and practice. Theoretically, it enriches the SSCM literature by integrating ecological economics, offering a novel lens to analyze sustainability in emerging economies. Practically, it provides actionable insights for manufacturing firms to adopt cost-effective, ecologically sound practices and for policymakers to harmonize regional regulations, fostering sustainable development in one of the world’s most dynamic manufacturing hubs. By situating the research within the context of 2025’s global sustainability landscape—including post-COP30 climate commitments and ASEAN’s push for a circular economy—this paper aims to advance the discourse on sustainable industrial growth, contributing to SDGs 8, 12, and 13 and supporting ASEAN’s role in the global transition to a low-carbon, equitable economy.</w:t>
      </w:r>
    </w:p>
    <w:p w14:paraId="76D7ADD5" w14:textId="77777777" w:rsidR="00634056" w:rsidRPr="00AD7C8F" w:rsidRDefault="00634056" w:rsidP="00AD7C8F">
      <w:pPr>
        <w:pStyle w:val="Heading1"/>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208057182"/>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Literature Review</w:t>
      </w:r>
      <w:bookmarkEnd w:id="3"/>
    </w:p>
    <w:p w14:paraId="4B34A99B"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The integration of ecological economics into sustainable supply chain management (SSCM) offers a transformative approach to addressing the sustainability challenges faced by Southeast Asian manufacturing. This literature review synthesizes key theoretical and empirical insights, focusing on ecological economics principles, SSCM frameworks in manufacturing, and research gaps specific to the ASEAN region. By examining these dimensions, the review establishes a foundation for exploring how ecological economics can enhance SSCM practices in Vietnam (electronics), Thailand (textiles), and Malaysia (automotive), contributing to the United Nations’ Sustainable Developm</w:t>
      </w:r>
      <w:r>
        <w:rPr>
          <w:rFonts w:ascii="Times New Roman" w:hAnsi="Times New Roman" w:cs="Times New Roman"/>
          <w:sz w:val="28"/>
          <w:szCs w:val="28"/>
        </w:rPr>
        <w:t>ent Goals (SDGs 8, 12, and 13).</w:t>
      </w:r>
    </w:p>
    <w:p w14:paraId="3E5B886F" w14:textId="77777777" w:rsidR="00634056" w:rsidRPr="00AD7C8F" w:rsidRDefault="00634056" w:rsidP="00AD7C8F">
      <w:pPr>
        <w:pStyle w:val="Heading2"/>
        <w:rPr>
          <w:rFonts w:ascii="Times New Roman" w:hAnsi="Times New Roman" w:cs="Times New Roman"/>
          <w:b/>
        </w:rPr>
      </w:pPr>
      <w:bookmarkStart w:id="4" w:name="_Toc208057183"/>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Ecological Economics: Theoretical Foundations and Principles</w:t>
      </w:r>
      <w:bookmarkEnd w:id="4"/>
    </w:p>
    <w:p w14:paraId="588DDE18"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Ecological economics provides a transdisciplinary framework that positions economic systems as subsystems of the biosphere, emphasizing the interdependence between human economies and finite natural capital (Daly &amp; Farley, 2011). Unlike neoclassical economics, which prioritizes continuous economic growth, ecological economics advocates for a steady-state economy that respects planetary boundaries, such as limits on resource extraction and waste assimilation (Costanza et al., 2014). Central principles include sustainable scale (ensuring economic activity aligns with ecological carrying capacity), just distribution (equitable access to resources across generations), and efficient allocation (optimizing resource use without compromising ecosystems) (Daly, 1996). These principles are operationalized </w:t>
      </w:r>
      <w:r w:rsidRPr="00634056">
        <w:rPr>
          <w:rFonts w:ascii="Times New Roman" w:hAnsi="Times New Roman" w:cs="Times New Roman"/>
          <w:sz w:val="28"/>
          <w:szCs w:val="28"/>
        </w:rPr>
        <w:lastRenderedPageBreak/>
        <w:t>through tools like full-cost accounting, which internalizes environmental externalities (e.g., carbon emissions, water depletion), and ecosystem service valuation, which quantifies benefits like pollination or flood regula</w:t>
      </w:r>
      <w:r>
        <w:rPr>
          <w:rFonts w:ascii="Times New Roman" w:hAnsi="Times New Roman" w:cs="Times New Roman"/>
          <w:sz w:val="28"/>
          <w:szCs w:val="28"/>
        </w:rPr>
        <w:t>tion (Farley &amp; Costanza, 2010).</w:t>
      </w:r>
    </w:p>
    <w:p w14:paraId="558E1B67" w14:textId="77777777" w:rsidR="00220E83"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In the context of supply chains, ecological economics redefines value creation by prioritizing natural capital alongside financial capital. For example, full-cost accounting can reveal the true cost of resource-intensive manufacturing processes, while ecosystem service valuation highlights the economic benefits of sustainable practices, such as reduced emissions from green logistics (TEEB, 2010). Recent studies have applied these tools to assess the environmental impact of global supply chains, estimating that supply chain activities account for up to 90% of a firm’s carbon footprint (WRI, 2020). </w:t>
      </w:r>
    </w:p>
    <w:p w14:paraId="47BE32B5" w14:textId="77777777" w:rsidR="00220E83" w:rsidRDefault="00220E83" w:rsidP="00AD7C8F">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A01521B" wp14:editId="4FB7B604">
            <wp:extent cx="4579373" cy="273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utput (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1552" cy="2731799"/>
                    </a:xfrm>
                    <a:prstGeom prst="rect">
                      <a:avLst/>
                    </a:prstGeom>
                  </pic:spPr>
                </pic:pic>
              </a:graphicData>
            </a:graphic>
          </wp:inline>
        </w:drawing>
      </w:r>
    </w:p>
    <w:p w14:paraId="66AC1FFF" w14:textId="77777777" w:rsidR="00220E83" w:rsidRPr="00220E83" w:rsidRDefault="00220E83" w:rsidP="00220E83">
      <w:pPr>
        <w:ind w:firstLine="720"/>
        <w:jc w:val="center"/>
        <w:rPr>
          <w:rFonts w:ascii="Times New Roman" w:hAnsi="Times New Roman" w:cs="Times New Roman"/>
          <w:sz w:val="20"/>
          <w:szCs w:val="20"/>
        </w:rPr>
      </w:pPr>
      <w:r w:rsidRPr="00220E83">
        <w:rPr>
          <w:rFonts w:ascii="Times New Roman" w:hAnsi="Times New Roman" w:cs="Times New Roman"/>
          <w:sz w:val="20"/>
          <w:szCs w:val="20"/>
        </w:rPr>
        <w:t>Figure 1: Proportion of Carbon Emissions from Supply Chains vs. Direct Manufacturing Across Regions.</w:t>
      </w:r>
    </w:p>
    <w:p w14:paraId="74545618"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However, the application of ecological economics to SSCM remains underexplored, particularly in emerging economies where economic growth often overshadows ecological limits. The field’s emphasis on intergenerational equity and biophysical constraints makes it particularly relevant for ASEAN’s manufacturing sector, which faces pressures from rapid industrialization, resource scarcity, and climate change vulnerabilities (Costanza et al., 2014).</w:t>
      </w:r>
    </w:p>
    <w:p w14:paraId="6277DC77" w14:textId="77777777" w:rsidR="00634056" w:rsidRPr="00AD7C8F" w:rsidRDefault="00634056" w:rsidP="00AD7C8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208057184"/>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Sustainable Supply Chain Management in Manufacturing</w:t>
      </w:r>
      <w:bookmarkEnd w:id="5"/>
    </w:p>
    <w:p w14:paraId="2B51A3EA"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SSCM integrates environmental, social, and economic dimensions into supply chain operations, aiming to balance profitability with sustainability goals (Seuring </w:t>
      </w:r>
      <w:r w:rsidRPr="00634056">
        <w:rPr>
          <w:rFonts w:ascii="Times New Roman" w:hAnsi="Times New Roman" w:cs="Times New Roman"/>
          <w:sz w:val="28"/>
          <w:szCs w:val="28"/>
        </w:rPr>
        <w:lastRenderedPageBreak/>
        <w:t>&amp; Müller, 2008). Rooted in the triple bottom line (TBL) framework—people, planet, profit—SSCM encompasses practices such as green logistics, ethical sourcing, waste reduction, and circular economy principles (Elkington, 1997; Carter &amp; Rogers, 2008). These practices are critical in manufacturing, where supply chains contribute significantly to environmental degradation, with studies estimating that manufacturing accounts for 30% of global greenhouse gas emissions (IPCC, 2022). Seuring and Müller’s (2008) seminal framework identifies key SSCM strategies, including supplier collaboration, eco-efficient operations, and performance monitoring, which enhance firm competitiveness while addressing stakeholder pressures from consumers, governments, and NGOs.</w:t>
      </w:r>
    </w:p>
    <w:p w14:paraId="760A03F3"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Empirical studies demonstrate that SSCM can yield economic benefits, such as cost savings from energy efficiency and enhanced brand reputation from sustainable sourcing (Zhu et al., 2013). For instance, green logistics, involving route optimization and low-emission transport, has reduced emissions by 10-20% in some manufacturing firms (Govindan et al., 2014). Circular economy principles, such as recycling and material reuse, have gained traction in textiles, with firms achieving up to 15% waste reduction (Ellen MacArthur Foundation, 2021). However, challenges persist, including high implementation costs, complex global supply networks, and regulatory inconsistencies, particularly for small and medium enterprises (SMEs) (Govindan et al., 2014). The adoption of digital technologies, such as blockchain for supply chain transparency and AI for demand forecasting, has emerged as a promising solution to enhance SSCM efficiency, with recent studies highlighting a 15-20% improvement in traceability for firms using blockchain (Koh et al., 2022).</w:t>
      </w:r>
    </w:p>
    <w:p w14:paraId="7946671A"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In the global context, SSCM research has focused on developed economies and large Asian markets like China and India. For example, Zhu et al. (2013) found that Chinese manufacturers adopt green supply chain practices under regulatory pressure but face cost barriers, while in India, consumer awareness drives sustainable sourcing (Jayaram &amp; </w:t>
      </w:r>
      <w:proofErr w:type="spellStart"/>
      <w:r w:rsidRPr="00634056">
        <w:rPr>
          <w:rFonts w:ascii="Times New Roman" w:hAnsi="Times New Roman" w:cs="Times New Roman"/>
          <w:sz w:val="28"/>
          <w:szCs w:val="28"/>
        </w:rPr>
        <w:t>Avittathur</w:t>
      </w:r>
      <w:proofErr w:type="spellEnd"/>
      <w:r w:rsidRPr="00634056">
        <w:rPr>
          <w:rFonts w:ascii="Times New Roman" w:hAnsi="Times New Roman" w:cs="Times New Roman"/>
          <w:sz w:val="28"/>
          <w:szCs w:val="28"/>
        </w:rPr>
        <w:t>, 2015). These studies provide valuable insights but often overlook the unique dynamics of ASEAN, where diverse economic structures, regulatory environments, and cultural factors shape SSCM adoption.</w:t>
      </w:r>
    </w:p>
    <w:p w14:paraId="1CEE4AF5" w14:textId="77777777" w:rsidR="00634056" w:rsidRPr="00AD7C8F" w:rsidRDefault="00634056" w:rsidP="00AD7C8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208057185"/>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Research Gaps in ASEAN’s Manufacturing Sector</w:t>
      </w:r>
      <w:bookmarkEnd w:id="6"/>
    </w:p>
    <w:p w14:paraId="7CBE4BE0"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Despite the growing SSCM literature, research on Southeast Asian manufacturing remains limited, particularly through an ecological economics lens. </w:t>
      </w:r>
      <w:r w:rsidRPr="00634056">
        <w:rPr>
          <w:rFonts w:ascii="Times New Roman" w:hAnsi="Times New Roman" w:cs="Times New Roman"/>
          <w:sz w:val="28"/>
          <w:szCs w:val="28"/>
        </w:rPr>
        <w:lastRenderedPageBreak/>
        <w:t>ASEAN’s manufacturing sector, contributing over 60% of the region’s industrial exports, is a global hub for electronics (Vietnam), textiles (Thailand), and automotive production (Malaysia) (ASEAN Secretariat, 2024). However, the region’s reliance on global supply chains, coupled with regulatory fragmentation and vulnerability to disruptions (e.g., COVID-19, semiconductor shortages), poses unique challenges to SSCM adoption (Choi et al., 2021). For instance, Vietnam’s cost-driven electronics industry prioritizes efficiency over sustainability, while Malaysia’s automotive sector benefits from green incentives, and Thailand’s textile industry faces intense environmental scrutiny (Koh et al., 2022).</w:t>
      </w:r>
    </w:p>
    <w:p w14:paraId="2B71DD64" w14:textId="77777777" w:rsidR="00220E83"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Existing SSCM studies in ASEAN often apply Western frameworks, neglecting regional nuances such as varying levels of industrialization, regulatory maturity, and socio-economic diversity across countries (Zhu et al., 2013). </w:t>
      </w:r>
    </w:p>
    <w:p w14:paraId="4A471979" w14:textId="77777777" w:rsidR="00220E83" w:rsidRDefault="00220E83" w:rsidP="00AD7C8F">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5CEA572" wp14:editId="73ADF920">
            <wp:extent cx="4179890" cy="2603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utput (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5211" cy="2606815"/>
                    </a:xfrm>
                    <a:prstGeom prst="rect">
                      <a:avLst/>
                    </a:prstGeom>
                  </pic:spPr>
                </pic:pic>
              </a:graphicData>
            </a:graphic>
          </wp:inline>
        </w:drawing>
      </w:r>
    </w:p>
    <w:p w14:paraId="24A91020" w14:textId="77777777" w:rsidR="00220E83" w:rsidRPr="00220E83" w:rsidRDefault="00220E83" w:rsidP="00220E83">
      <w:pPr>
        <w:ind w:firstLine="720"/>
        <w:jc w:val="center"/>
        <w:rPr>
          <w:rFonts w:ascii="Times New Roman" w:hAnsi="Times New Roman" w:cs="Times New Roman"/>
        </w:rPr>
      </w:pPr>
      <w:r>
        <w:rPr>
          <w:rFonts w:ascii="Times New Roman" w:hAnsi="Times New Roman" w:cs="Times New Roman"/>
        </w:rPr>
        <w:t>Figure 2</w:t>
      </w:r>
      <w:r w:rsidRPr="00220E83">
        <w:rPr>
          <w:rFonts w:ascii="Times New Roman" w:hAnsi="Times New Roman" w:cs="Times New Roman"/>
        </w:rPr>
        <w:t>: Regional Distribution of SSCM Research Focus (2010-2025).</w:t>
      </w:r>
    </w:p>
    <w:p w14:paraId="04DC54F3"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For example, Singapore’s innovation-led economy supports advanced SSCM practices like blockchain, while Vietnam’s lax environmental enforcement hinders progress (Koh et al., 2022). Moreover, the integration of ecological economics into SSCM is virtually absent in ASEAN-focused research, despite its relevance for addressing ecological limits in resource-intensive industries. Tools like ecosystem service valuation could quantify the benefits of waste reduction in Thailand’s textiles, while full-cost accounting could reveal hidden costs in Malaysia’s automotive production, yet these approaches remain underexplored.</w:t>
      </w:r>
    </w:p>
    <w:p w14:paraId="13B3A008" w14:textId="77777777" w:rsidR="001633F5"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Recent global trends amplify the need for region-specific SSCM research. The push for carbon neutrality post-COP30, rising consumer demand for eco-friendly </w:t>
      </w:r>
      <w:r w:rsidRPr="00634056">
        <w:rPr>
          <w:rFonts w:ascii="Times New Roman" w:hAnsi="Times New Roman" w:cs="Times New Roman"/>
          <w:sz w:val="28"/>
          <w:szCs w:val="28"/>
        </w:rPr>
        <w:lastRenderedPageBreak/>
        <w:t>products, and the adoption of digital technologies like blockchain and AI underscore opportunities to enhance SSCM in ASEAN (Koh et al., 2022). However, barriers such as high costs, regulatory gaps, and supply chain complexity persist, particularly for SMEs, which dominate ASEAN’s manufacturing landscape (Govindan et al., 2014). This study addresses these gaps by examining how ecological economics principles can enhance SSCM practices in Vietnam, Thailand, and Malaysia, focusing on industry-specific strategies and regional challenges. By integrating tools like full-cost accounting and ecosystem service valuation, it aims to provide a framework that aligns ASEAN manufacturing with ecological limits and global sustainability goals, contributing to the broader SSCM discourse.</w:t>
      </w:r>
    </w:p>
    <w:p w14:paraId="6D0F1DC2" w14:textId="77777777" w:rsidR="00AD7C8F" w:rsidRDefault="00AD7C8F" w:rsidP="00634056">
      <w:pPr>
        <w:jc w:val="both"/>
        <w:rPr>
          <w:rFonts w:ascii="Times New Roman" w:hAnsi="Times New Roman" w:cs="Times New Roman"/>
          <w:sz w:val="28"/>
          <w:szCs w:val="28"/>
        </w:rPr>
      </w:pPr>
    </w:p>
    <w:p w14:paraId="77F586EC" w14:textId="77777777" w:rsidR="00634056" w:rsidRPr="00AD7C8F" w:rsidRDefault="00634056" w:rsidP="00AD7C8F">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208057186"/>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Methodology</w:t>
      </w:r>
      <w:bookmarkEnd w:id="7"/>
    </w:p>
    <w:p w14:paraId="2145F7DC"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This study employs a mixed-methods approach to investigate how ecological economics principles can enhance sustainable supply chain management (SSCM) practices in Southeast Asian manufacturing, focusing on case studies from Vietnam (electronics), Thailand (textiles), and Malaysia (automotive). By combining qualitative case studies with quantitative cost-benefit analysis, the research aims to provide in-depth insights into industry-specific practices, ecological and economic trade-offs, and regional dynamics, addressing the research questions: (1) How can ecological economics principles, such as ecosystem service valuation and full-cost accounting, enhance SSCM practices in Southeast Asian manufacturing? (2) What are the ecological and economic trade-offs of adopting these principles across Vietnam, Thailand, and Malaysia? The mixed-methods design is well-suited for exploring complex, context-specific phenomena like SSCM in ASEAN, where diverse economic, environmental, and regulatory factors intersect (Yin, 2014; Creswell &amp; Plano Clark, 2017). This section outlines the research design, data collection methods, and analytical approaches, ensuring robustness, triangulation, and alignment with ecological economics and global sustainability goals, including the Unit</w:t>
      </w:r>
      <w:r>
        <w:rPr>
          <w:rFonts w:ascii="Times New Roman" w:hAnsi="Times New Roman" w:cs="Times New Roman"/>
          <w:sz w:val="28"/>
          <w:szCs w:val="28"/>
        </w:rPr>
        <w:t>ed Nations’ SDGs 8, 12, and 13.</w:t>
      </w:r>
    </w:p>
    <w:p w14:paraId="14426A99" w14:textId="77777777" w:rsidR="00634056" w:rsidRPr="00AD7C8F" w:rsidRDefault="00634056" w:rsidP="00AD7C8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208057187"/>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Research Design</w:t>
      </w:r>
      <w:bookmarkEnd w:id="8"/>
    </w:p>
    <w:p w14:paraId="5300217C"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The study adopts a convergent parallel mixed-methods design, integrating qualitative and quantitative approaches to provide a holistic understanding of SSCM through an ecological economics lens (Creswell &amp; Plano Clark, 2017). The qualitative component involves case studies of three manufacturing firms in Vietnam, Thailand, and Malaysia, selected to represent ASEAN’s key industries and </w:t>
      </w:r>
      <w:r w:rsidRPr="00634056">
        <w:rPr>
          <w:rFonts w:ascii="Times New Roman" w:hAnsi="Times New Roman" w:cs="Times New Roman"/>
          <w:sz w:val="28"/>
          <w:szCs w:val="28"/>
        </w:rPr>
        <w:lastRenderedPageBreak/>
        <w:t>varying levels of SSCM adoption. Case studies are ideal for exploring context-specific phenomena, allowing in-depth analysis of practices like green logistics, circular economy principles, and renewable energy integration within their real-world settings (Yin, 2014). The quantitative component employs cost-benefit analysis to quantify ecological and economic trade-offs, such as the costs of carbon emissions versus the benefits of ecosystem services, aligning with ecological economics tools like full-cost accounting (Daly &amp; Farley, 2011).</w:t>
      </w:r>
    </w:p>
    <w:p w14:paraId="47116AD6"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The selection of a mixed-methods approach is justified by the complexity of integrating ecological economics into SSCM, which requires both narrative insights into firm practices and empirical data on environmental impacts. The convergent design ensures that qualitative findings (e.g., barriers like regulatory fragmentation) are complemented by quantitative metrics (e.g., emission reductions, return on investment), enhancing the study’s explanatory power. The research focuses on three ASEAN countries—Vietnam, Thailand, and Malaysia—due to their significant contributions to the region’s manufacturing output, collectively accounting for over 60% of ASEAN’s industrial exports (ASEAN Secretariat, 2024). These countries also exhibit diverse SSCM challenges and opportunities, from Vietnam’s cost-driven electronics sector to Malaysia’s policy-supported automotive industry, making them ideal for cross-case comparison (Koh et al.,</w:t>
      </w:r>
      <w:r>
        <w:rPr>
          <w:rFonts w:ascii="Times New Roman" w:hAnsi="Times New Roman" w:cs="Times New Roman"/>
          <w:sz w:val="28"/>
          <w:szCs w:val="28"/>
        </w:rPr>
        <w:t xml:space="preserve"> 2022).</w:t>
      </w:r>
    </w:p>
    <w:p w14:paraId="023C76F4" w14:textId="77777777" w:rsidR="00634056" w:rsidRPr="00AD7C8F" w:rsidRDefault="00634056" w:rsidP="00AD7C8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208057188"/>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Data Collection</w:t>
      </w:r>
      <w:bookmarkEnd w:id="9"/>
    </w:p>
    <w:p w14:paraId="64AC0EA2"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Data collection combines primary and secondary sources to ensure triangulation and robustness, capturing both qualitative insights and quantitative metrics relevant to</w:t>
      </w:r>
      <w:r>
        <w:rPr>
          <w:rFonts w:ascii="Times New Roman" w:hAnsi="Times New Roman" w:cs="Times New Roman"/>
          <w:sz w:val="28"/>
          <w:szCs w:val="28"/>
        </w:rPr>
        <w:t xml:space="preserve"> ecological economics and SSCM.</w:t>
      </w:r>
    </w:p>
    <w:p w14:paraId="37BA4C33" w14:textId="77777777" w:rsidR="00634056" w:rsidRPr="00AD7C8F" w:rsidRDefault="00634056" w:rsidP="00AD7C8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208057189"/>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3.2.1 Qualitative Data</w:t>
      </w:r>
      <w:bookmarkEnd w:id="10"/>
    </w:p>
    <w:p w14:paraId="010A07DD"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Semi-structured interviews are conducted with supply chain managers, sustainability officers, and key stakeholders (n=20, approximately 6-7 per firm) from the selected electronics, textile, and automotive firms in Vietnam, Thailand, and Malaysia. Interviews, lasting 60-90 minutes, are conducted virtually or in-person, recorded with consent, and guided by ethical research protocols (e.g., informed consent, anonymity). Questions are derived from ecological economics and SSCM literature (Seuring &amp; Müller, 2008; Costanza et al., 2014), tailored to the ASEAN context, and cover topics such as:</w:t>
      </w:r>
    </w:p>
    <w:p w14:paraId="78DC59C3" w14:textId="77777777" w:rsidR="00634056" w:rsidRPr="00AD7C8F" w:rsidRDefault="00634056" w:rsidP="00AD7C8F">
      <w:pPr>
        <w:pStyle w:val="ListParagraph"/>
        <w:numPr>
          <w:ilvl w:val="0"/>
          <w:numId w:val="2"/>
        </w:numPr>
        <w:jc w:val="both"/>
        <w:rPr>
          <w:rFonts w:ascii="Times New Roman" w:hAnsi="Times New Roman" w:cs="Times New Roman"/>
          <w:sz w:val="28"/>
          <w:szCs w:val="28"/>
        </w:rPr>
      </w:pPr>
      <w:r w:rsidRPr="00AD7C8F">
        <w:rPr>
          <w:rFonts w:ascii="Times New Roman" w:hAnsi="Times New Roman" w:cs="Times New Roman"/>
          <w:sz w:val="28"/>
          <w:szCs w:val="28"/>
        </w:rPr>
        <w:t>Adoption of ecological economics tools (e.g., ecosystem service valuation, full-cost accounting).</w:t>
      </w:r>
    </w:p>
    <w:p w14:paraId="386C7BB0" w14:textId="77777777" w:rsidR="00634056" w:rsidRPr="00AD7C8F" w:rsidRDefault="00634056" w:rsidP="00AD7C8F">
      <w:pPr>
        <w:pStyle w:val="ListParagraph"/>
        <w:numPr>
          <w:ilvl w:val="0"/>
          <w:numId w:val="2"/>
        </w:numPr>
        <w:jc w:val="both"/>
        <w:rPr>
          <w:rFonts w:ascii="Times New Roman" w:hAnsi="Times New Roman" w:cs="Times New Roman"/>
          <w:sz w:val="28"/>
          <w:szCs w:val="28"/>
        </w:rPr>
      </w:pPr>
      <w:r w:rsidRPr="00AD7C8F">
        <w:rPr>
          <w:rFonts w:ascii="Times New Roman" w:hAnsi="Times New Roman" w:cs="Times New Roman"/>
          <w:sz w:val="28"/>
          <w:szCs w:val="28"/>
        </w:rPr>
        <w:t>SSCM practices (e.g., green logistics, renewable energy use).</w:t>
      </w:r>
    </w:p>
    <w:p w14:paraId="34D1D8E5" w14:textId="77777777" w:rsidR="00634056" w:rsidRPr="00AD7C8F" w:rsidRDefault="00634056" w:rsidP="00AD7C8F">
      <w:pPr>
        <w:pStyle w:val="ListParagraph"/>
        <w:numPr>
          <w:ilvl w:val="0"/>
          <w:numId w:val="2"/>
        </w:numPr>
        <w:jc w:val="both"/>
        <w:rPr>
          <w:rFonts w:ascii="Times New Roman" w:hAnsi="Times New Roman" w:cs="Times New Roman"/>
          <w:sz w:val="28"/>
          <w:szCs w:val="28"/>
        </w:rPr>
      </w:pPr>
      <w:r w:rsidRPr="00AD7C8F">
        <w:rPr>
          <w:rFonts w:ascii="Times New Roman" w:hAnsi="Times New Roman" w:cs="Times New Roman"/>
          <w:sz w:val="28"/>
          <w:szCs w:val="28"/>
        </w:rPr>
        <w:lastRenderedPageBreak/>
        <w:t>Barriers (e.g., cost constraints, regulatory gaps) and opportunities (e.g., consumer demand, blockchain adoption).</w:t>
      </w:r>
    </w:p>
    <w:p w14:paraId="717A8761" w14:textId="77777777" w:rsidR="00634056" w:rsidRPr="00AD7C8F" w:rsidRDefault="00634056" w:rsidP="00AD7C8F">
      <w:pPr>
        <w:pStyle w:val="ListParagraph"/>
        <w:numPr>
          <w:ilvl w:val="0"/>
          <w:numId w:val="2"/>
        </w:numPr>
        <w:jc w:val="both"/>
        <w:rPr>
          <w:rFonts w:ascii="Times New Roman" w:hAnsi="Times New Roman" w:cs="Times New Roman"/>
          <w:sz w:val="28"/>
          <w:szCs w:val="28"/>
        </w:rPr>
      </w:pPr>
      <w:r w:rsidRPr="00AD7C8F">
        <w:rPr>
          <w:rFonts w:ascii="Times New Roman" w:hAnsi="Times New Roman" w:cs="Times New Roman"/>
          <w:sz w:val="28"/>
          <w:szCs w:val="28"/>
        </w:rPr>
        <w:t>Regional influences, including ASEAN policies and post-COVID supply chain resilience.</w:t>
      </w:r>
    </w:p>
    <w:p w14:paraId="04A88B4E" w14:textId="77777777" w:rsidR="00634056" w:rsidRPr="00AD7C8F" w:rsidRDefault="00634056" w:rsidP="00AD7C8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208057190"/>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3.2.2 Quantitative Data</w:t>
      </w:r>
      <w:bookmarkEnd w:id="11"/>
    </w:p>
    <w:p w14:paraId="50F4D493" w14:textId="77777777" w:rsidR="00634056" w:rsidRPr="00634056" w:rsidRDefault="00634056" w:rsidP="00AD7C8F">
      <w:pPr>
        <w:ind w:firstLine="360"/>
        <w:jc w:val="both"/>
        <w:rPr>
          <w:rFonts w:ascii="Times New Roman" w:hAnsi="Times New Roman" w:cs="Times New Roman"/>
          <w:sz w:val="28"/>
          <w:szCs w:val="28"/>
        </w:rPr>
      </w:pPr>
      <w:r w:rsidRPr="00634056">
        <w:rPr>
          <w:rFonts w:ascii="Times New Roman" w:hAnsi="Times New Roman" w:cs="Times New Roman"/>
          <w:sz w:val="28"/>
          <w:szCs w:val="28"/>
        </w:rPr>
        <w:t>Secondary data are sourced from company sustainability reports, ASEAN trade statistics, and environmental databases to quantify ecological and economic impacts. Key data include:</w:t>
      </w:r>
    </w:p>
    <w:p w14:paraId="5B8BEFCE" w14:textId="77777777" w:rsidR="00634056" w:rsidRPr="00AD7C8F" w:rsidRDefault="00634056" w:rsidP="00AD7C8F">
      <w:pPr>
        <w:pStyle w:val="ListParagraph"/>
        <w:numPr>
          <w:ilvl w:val="0"/>
          <w:numId w:val="3"/>
        </w:numPr>
        <w:jc w:val="both"/>
        <w:rPr>
          <w:rFonts w:ascii="Times New Roman" w:hAnsi="Times New Roman" w:cs="Times New Roman"/>
          <w:sz w:val="28"/>
          <w:szCs w:val="28"/>
        </w:rPr>
      </w:pPr>
      <w:r w:rsidRPr="00AD7C8F">
        <w:rPr>
          <w:rFonts w:ascii="Times New Roman" w:hAnsi="Times New Roman" w:cs="Times New Roman"/>
          <w:sz w:val="28"/>
          <w:szCs w:val="28"/>
        </w:rPr>
        <w:t>Carbon emissions and resource use: Metrics from sustainability reports (e.g., tons of CO2 emitted, water usage) to assess ecological costs.</w:t>
      </w:r>
    </w:p>
    <w:p w14:paraId="227B9AF6" w14:textId="77777777" w:rsidR="00634056" w:rsidRPr="00AD7C8F" w:rsidRDefault="00634056" w:rsidP="00AD7C8F">
      <w:pPr>
        <w:pStyle w:val="ListParagraph"/>
        <w:numPr>
          <w:ilvl w:val="0"/>
          <w:numId w:val="3"/>
        </w:numPr>
        <w:jc w:val="both"/>
        <w:rPr>
          <w:rFonts w:ascii="Times New Roman" w:hAnsi="Times New Roman" w:cs="Times New Roman"/>
          <w:sz w:val="28"/>
          <w:szCs w:val="28"/>
        </w:rPr>
      </w:pPr>
      <w:r w:rsidRPr="00AD7C8F">
        <w:rPr>
          <w:rFonts w:ascii="Times New Roman" w:hAnsi="Times New Roman" w:cs="Times New Roman"/>
          <w:sz w:val="28"/>
          <w:szCs w:val="28"/>
        </w:rPr>
        <w:t xml:space="preserve">Ecosystem service benefits: Data on waste reduction (e.g., recycled textiles) and energy efficiency (e.g., solar adoption) to estimate benefits like carbon sequestration or water purification, using tools like </w:t>
      </w:r>
      <w:proofErr w:type="spellStart"/>
      <w:r w:rsidRPr="00AD7C8F">
        <w:rPr>
          <w:rFonts w:ascii="Times New Roman" w:hAnsi="Times New Roman" w:cs="Times New Roman"/>
          <w:sz w:val="28"/>
          <w:szCs w:val="28"/>
        </w:rPr>
        <w:t>InVEST</w:t>
      </w:r>
      <w:proofErr w:type="spellEnd"/>
      <w:r w:rsidRPr="00AD7C8F">
        <w:rPr>
          <w:rFonts w:ascii="Times New Roman" w:hAnsi="Times New Roman" w:cs="Times New Roman"/>
          <w:sz w:val="28"/>
          <w:szCs w:val="28"/>
        </w:rPr>
        <w:t xml:space="preserve"> (TEEB, 2010).</w:t>
      </w:r>
    </w:p>
    <w:p w14:paraId="7AF4A322" w14:textId="77777777" w:rsidR="00634056" w:rsidRPr="00AD7C8F" w:rsidRDefault="00634056" w:rsidP="00AD7C8F">
      <w:pPr>
        <w:pStyle w:val="ListParagraph"/>
        <w:numPr>
          <w:ilvl w:val="0"/>
          <w:numId w:val="3"/>
        </w:numPr>
        <w:jc w:val="both"/>
        <w:rPr>
          <w:rFonts w:ascii="Times New Roman" w:hAnsi="Times New Roman" w:cs="Times New Roman"/>
          <w:sz w:val="28"/>
          <w:szCs w:val="28"/>
        </w:rPr>
      </w:pPr>
      <w:r w:rsidRPr="00AD7C8F">
        <w:rPr>
          <w:rFonts w:ascii="Times New Roman" w:hAnsi="Times New Roman" w:cs="Times New Roman"/>
          <w:sz w:val="28"/>
          <w:szCs w:val="28"/>
        </w:rPr>
        <w:t>Economic performance: Financial data (e.g., implementation costs, ROI) from annual reports to evaluate trade-offs.</w:t>
      </w:r>
    </w:p>
    <w:p w14:paraId="16235267" w14:textId="77777777" w:rsidR="00634056" w:rsidRPr="00AD7C8F" w:rsidRDefault="00634056" w:rsidP="00AD7C8F">
      <w:pPr>
        <w:pStyle w:val="ListParagraph"/>
        <w:numPr>
          <w:ilvl w:val="0"/>
          <w:numId w:val="3"/>
        </w:numPr>
        <w:jc w:val="both"/>
        <w:rPr>
          <w:rFonts w:ascii="Times New Roman" w:hAnsi="Times New Roman" w:cs="Times New Roman"/>
          <w:sz w:val="28"/>
          <w:szCs w:val="28"/>
        </w:rPr>
      </w:pPr>
      <w:r w:rsidRPr="00AD7C8F">
        <w:rPr>
          <w:rFonts w:ascii="Times New Roman" w:hAnsi="Times New Roman" w:cs="Times New Roman"/>
          <w:sz w:val="28"/>
          <w:szCs w:val="28"/>
        </w:rPr>
        <w:t>Regional context: ASEAN Economic Outlook 2024 and UNEP reports for policy and trade data (ASEAN Secretariat, 2024).</w:t>
      </w:r>
    </w:p>
    <w:p w14:paraId="641D076B" w14:textId="77777777" w:rsidR="00634056" w:rsidRPr="00634056" w:rsidRDefault="00634056" w:rsidP="00AD7C8F">
      <w:pPr>
        <w:ind w:firstLine="360"/>
        <w:jc w:val="both"/>
        <w:rPr>
          <w:rFonts w:ascii="Times New Roman" w:hAnsi="Times New Roman" w:cs="Times New Roman"/>
          <w:sz w:val="28"/>
          <w:szCs w:val="28"/>
        </w:rPr>
      </w:pPr>
      <w:r w:rsidRPr="00634056">
        <w:rPr>
          <w:rFonts w:ascii="Times New Roman" w:hAnsi="Times New Roman" w:cs="Times New Roman"/>
          <w:sz w:val="28"/>
          <w:szCs w:val="28"/>
        </w:rPr>
        <w:t>Additional data are collected from industry publications and regional sustainability forums (e.g., ASEAN Economic Community reports) to contextualize findings within 2025’s global sustainability landscape, including post-COP30 carbon neutrality commitments and circular economy initiatives.</w:t>
      </w:r>
    </w:p>
    <w:p w14:paraId="48B27115" w14:textId="77777777" w:rsidR="00634056" w:rsidRPr="00AD7C8F" w:rsidRDefault="00634056" w:rsidP="00AD7C8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Toc208057191"/>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 Sampling Strategy</w:t>
      </w:r>
      <w:bookmarkEnd w:id="12"/>
    </w:p>
    <w:p w14:paraId="00A90AF9" w14:textId="77777777" w:rsidR="00AD7C8F" w:rsidRDefault="00634056" w:rsidP="00220E83">
      <w:pPr>
        <w:ind w:firstLine="720"/>
        <w:jc w:val="both"/>
        <w:rPr>
          <w:rFonts w:ascii="Times New Roman" w:hAnsi="Times New Roman" w:cs="Times New Roman"/>
          <w:sz w:val="28"/>
          <w:szCs w:val="28"/>
        </w:rPr>
      </w:pPr>
      <w:r w:rsidRPr="00634056">
        <w:rPr>
          <w:rFonts w:ascii="Times New Roman" w:hAnsi="Times New Roman" w:cs="Times New Roman"/>
          <w:sz w:val="28"/>
          <w:szCs w:val="28"/>
        </w:rPr>
        <w:t>Purposive sampling is used to select firms with established SSCM practices (e.g., green certifications, sustainability reports), ensuring rich data on ecological economics integration. The electronics firm in Vietnam is chosen for its global supply chain integration, the textile firm in Thailand for its circular economy focus, and the automotive firm in Malaysia for its renewable energy adoption, reflecting industry diversity and regional relev</w:t>
      </w:r>
      <w:r w:rsidR="00220E83">
        <w:rPr>
          <w:rFonts w:ascii="Times New Roman" w:hAnsi="Times New Roman" w:cs="Times New Roman"/>
          <w:sz w:val="28"/>
          <w:szCs w:val="28"/>
        </w:rPr>
        <w:t>ance (ASEAN Secretariat, 2024).</w:t>
      </w:r>
    </w:p>
    <w:p w14:paraId="7016ABD9" w14:textId="77777777" w:rsidR="00634056" w:rsidRPr="00AD7C8F" w:rsidRDefault="00634056" w:rsidP="00AD7C8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208057192"/>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Data Analysis</w:t>
      </w:r>
      <w:bookmarkEnd w:id="13"/>
    </w:p>
    <w:p w14:paraId="30CBA948"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Data analysis integrates qualitative and quantitative methods to address the research questions, following an iterative and rigorous process to ensure validity and reliability.</w:t>
      </w:r>
    </w:p>
    <w:p w14:paraId="102A0181" w14:textId="77777777" w:rsidR="00634056" w:rsidRPr="00AD7C8F" w:rsidRDefault="00634056" w:rsidP="00AD7C8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208057193"/>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3.3.1 Qualitative Analysis</w:t>
      </w:r>
      <w:bookmarkEnd w:id="14"/>
    </w:p>
    <w:p w14:paraId="36887D3E"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Thematic analysis is employed to identify patterns in SSCM practices, barriers, and opportunities across the case studies, using qualitative software like NVivo (Braun &amp; Clarke, 2006). The process involves:</w:t>
      </w:r>
    </w:p>
    <w:p w14:paraId="2D398306" w14:textId="77777777" w:rsidR="00634056" w:rsidRPr="00AD7C8F" w:rsidRDefault="00634056" w:rsidP="00AD7C8F">
      <w:pPr>
        <w:pStyle w:val="ListParagraph"/>
        <w:numPr>
          <w:ilvl w:val="0"/>
          <w:numId w:val="4"/>
        </w:numPr>
        <w:jc w:val="both"/>
        <w:rPr>
          <w:rFonts w:ascii="Times New Roman" w:hAnsi="Times New Roman" w:cs="Times New Roman"/>
          <w:sz w:val="28"/>
          <w:szCs w:val="28"/>
        </w:rPr>
      </w:pPr>
      <w:r w:rsidRPr="00AD7C8F">
        <w:rPr>
          <w:rFonts w:ascii="Times New Roman" w:hAnsi="Times New Roman" w:cs="Times New Roman"/>
          <w:sz w:val="28"/>
          <w:szCs w:val="28"/>
        </w:rPr>
        <w:t>Open Coding: Transcripts and secondary data (e.g., sustainability reports) are coded to identify initial themes, such as ecological cost internalization, technology adoption, and regulatory influences.</w:t>
      </w:r>
    </w:p>
    <w:p w14:paraId="12644C4F" w14:textId="77777777" w:rsidR="00634056" w:rsidRPr="00AD7C8F" w:rsidRDefault="00634056" w:rsidP="00AD7C8F">
      <w:pPr>
        <w:pStyle w:val="ListParagraph"/>
        <w:numPr>
          <w:ilvl w:val="0"/>
          <w:numId w:val="4"/>
        </w:numPr>
        <w:jc w:val="both"/>
        <w:rPr>
          <w:rFonts w:ascii="Times New Roman" w:hAnsi="Times New Roman" w:cs="Times New Roman"/>
          <w:sz w:val="28"/>
          <w:szCs w:val="28"/>
        </w:rPr>
      </w:pPr>
      <w:r w:rsidRPr="00AD7C8F">
        <w:rPr>
          <w:rFonts w:ascii="Times New Roman" w:hAnsi="Times New Roman" w:cs="Times New Roman"/>
          <w:sz w:val="28"/>
          <w:szCs w:val="28"/>
        </w:rPr>
        <w:t>Axial Coding: Themes are refined to establish relationships with research questions, linking ecological economics principles (e.g., full-cost accounting) to SSCM outcomes (e.g., emission reductions).</w:t>
      </w:r>
    </w:p>
    <w:p w14:paraId="2CD01EFC" w14:textId="77777777" w:rsidR="00634056" w:rsidRPr="00AD7C8F" w:rsidRDefault="00634056" w:rsidP="00AD7C8F">
      <w:pPr>
        <w:pStyle w:val="ListParagraph"/>
        <w:numPr>
          <w:ilvl w:val="0"/>
          <w:numId w:val="4"/>
        </w:numPr>
        <w:jc w:val="both"/>
        <w:rPr>
          <w:rFonts w:ascii="Times New Roman" w:hAnsi="Times New Roman" w:cs="Times New Roman"/>
          <w:sz w:val="28"/>
          <w:szCs w:val="28"/>
        </w:rPr>
      </w:pPr>
      <w:r w:rsidRPr="00AD7C8F">
        <w:rPr>
          <w:rFonts w:ascii="Times New Roman" w:hAnsi="Times New Roman" w:cs="Times New Roman"/>
          <w:sz w:val="28"/>
          <w:szCs w:val="28"/>
        </w:rPr>
        <w:t>Cross-Case Comparison: Similarities and differences across industries and countries are analyzed to highlight industry-specific and regional nuances, such as Vietnam’s cost constraints versus Malaysia’s policy support.</w:t>
      </w:r>
    </w:p>
    <w:p w14:paraId="47416A6F" w14:textId="77777777" w:rsidR="00634056" w:rsidRPr="00634056" w:rsidRDefault="00634056" w:rsidP="00AD7C8F">
      <w:pPr>
        <w:ind w:firstLine="360"/>
        <w:jc w:val="both"/>
        <w:rPr>
          <w:rFonts w:ascii="Times New Roman" w:hAnsi="Times New Roman" w:cs="Times New Roman"/>
          <w:sz w:val="28"/>
          <w:szCs w:val="28"/>
        </w:rPr>
      </w:pPr>
      <w:r w:rsidRPr="00634056">
        <w:rPr>
          <w:rFonts w:ascii="Times New Roman" w:hAnsi="Times New Roman" w:cs="Times New Roman"/>
          <w:sz w:val="28"/>
          <w:szCs w:val="28"/>
        </w:rPr>
        <w:t>Member checking with interviewees validates findings, ensuring credibility and reducing bias. Triangulation with secondary data (e.g., policy documents) enhances robustness.</w:t>
      </w:r>
    </w:p>
    <w:p w14:paraId="339D09B4" w14:textId="77777777" w:rsidR="00634056" w:rsidRPr="00AD7C8F" w:rsidRDefault="00634056" w:rsidP="00AD7C8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208057194"/>
      <w:r w:rsidRPr="00AD7C8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3.3.2 Quantitative Analysis</w:t>
      </w:r>
      <w:bookmarkEnd w:id="15"/>
    </w:p>
    <w:p w14:paraId="2A8A0F04" w14:textId="77777777" w:rsidR="00634056" w:rsidRPr="00634056" w:rsidRDefault="00634056" w:rsidP="00AD7C8F">
      <w:pPr>
        <w:ind w:firstLine="720"/>
        <w:jc w:val="both"/>
        <w:rPr>
          <w:rFonts w:ascii="Times New Roman" w:hAnsi="Times New Roman" w:cs="Times New Roman"/>
          <w:sz w:val="28"/>
          <w:szCs w:val="28"/>
        </w:rPr>
      </w:pPr>
      <w:r w:rsidRPr="00634056">
        <w:rPr>
          <w:rFonts w:ascii="Times New Roman" w:hAnsi="Times New Roman" w:cs="Times New Roman"/>
          <w:sz w:val="28"/>
          <w:szCs w:val="28"/>
        </w:rPr>
        <w:t>Cost-benefit analysis quantifies the ecological and economic trade-offs of SSCM practices, using metrics like:</w:t>
      </w:r>
    </w:p>
    <w:p w14:paraId="0D6ED104" w14:textId="77777777" w:rsidR="00634056" w:rsidRPr="003A42BF" w:rsidRDefault="00634056" w:rsidP="003A42BF">
      <w:pPr>
        <w:pStyle w:val="ListParagraph"/>
        <w:numPr>
          <w:ilvl w:val="0"/>
          <w:numId w:val="5"/>
        </w:numPr>
        <w:jc w:val="both"/>
        <w:rPr>
          <w:rFonts w:ascii="Times New Roman" w:hAnsi="Times New Roman" w:cs="Times New Roman"/>
          <w:sz w:val="28"/>
          <w:szCs w:val="28"/>
        </w:rPr>
      </w:pPr>
      <w:r w:rsidRPr="003A42BF">
        <w:rPr>
          <w:rFonts w:ascii="Times New Roman" w:hAnsi="Times New Roman" w:cs="Times New Roman"/>
          <w:sz w:val="28"/>
          <w:szCs w:val="28"/>
        </w:rPr>
        <w:t>Ecological Costs: Carbon emissions (tons CO2) and resource depletion (e.g., water usage in liters), calculated via full-cost accounting (Daly &amp; Farley, 2011).</w:t>
      </w:r>
    </w:p>
    <w:p w14:paraId="6F5541A5" w14:textId="77777777" w:rsidR="00634056" w:rsidRPr="003A42BF" w:rsidRDefault="00634056" w:rsidP="003A42BF">
      <w:pPr>
        <w:pStyle w:val="ListParagraph"/>
        <w:numPr>
          <w:ilvl w:val="0"/>
          <w:numId w:val="5"/>
        </w:numPr>
        <w:jc w:val="both"/>
        <w:rPr>
          <w:rFonts w:ascii="Times New Roman" w:hAnsi="Times New Roman" w:cs="Times New Roman"/>
          <w:sz w:val="28"/>
          <w:szCs w:val="28"/>
        </w:rPr>
      </w:pPr>
      <w:r w:rsidRPr="003A42BF">
        <w:rPr>
          <w:rFonts w:ascii="Times New Roman" w:hAnsi="Times New Roman" w:cs="Times New Roman"/>
          <w:sz w:val="28"/>
          <w:szCs w:val="28"/>
        </w:rPr>
        <w:t xml:space="preserve">Ecological Benefits: Ecosystem services (e.g., carbon sequestration, waste reduction benefits) valued using </w:t>
      </w:r>
      <w:proofErr w:type="spellStart"/>
      <w:r w:rsidRPr="003A42BF">
        <w:rPr>
          <w:rFonts w:ascii="Times New Roman" w:hAnsi="Times New Roman" w:cs="Times New Roman"/>
          <w:sz w:val="28"/>
          <w:szCs w:val="28"/>
        </w:rPr>
        <w:t>InVEST</w:t>
      </w:r>
      <w:proofErr w:type="spellEnd"/>
      <w:r w:rsidRPr="003A42BF">
        <w:rPr>
          <w:rFonts w:ascii="Times New Roman" w:hAnsi="Times New Roman" w:cs="Times New Roman"/>
          <w:sz w:val="28"/>
          <w:szCs w:val="28"/>
        </w:rPr>
        <w:t xml:space="preserve"> models, expressed in monetary terms (e.g., USD per hectare) (TEEB, 2010).</w:t>
      </w:r>
    </w:p>
    <w:p w14:paraId="34C443D0" w14:textId="77777777" w:rsidR="00634056" w:rsidRPr="003A42BF" w:rsidRDefault="00634056" w:rsidP="003A42BF">
      <w:pPr>
        <w:pStyle w:val="ListParagraph"/>
        <w:numPr>
          <w:ilvl w:val="0"/>
          <w:numId w:val="5"/>
        </w:numPr>
        <w:jc w:val="both"/>
        <w:rPr>
          <w:rFonts w:ascii="Times New Roman" w:hAnsi="Times New Roman" w:cs="Times New Roman"/>
          <w:sz w:val="28"/>
          <w:szCs w:val="28"/>
        </w:rPr>
      </w:pPr>
      <w:r w:rsidRPr="003A42BF">
        <w:rPr>
          <w:rFonts w:ascii="Times New Roman" w:hAnsi="Times New Roman" w:cs="Times New Roman"/>
          <w:sz w:val="28"/>
          <w:szCs w:val="28"/>
        </w:rPr>
        <w:t>Economic Metrics: Implementation costs, savings from efficiency, and ROI, derived from financial reports.</w:t>
      </w:r>
    </w:p>
    <w:p w14:paraId="686A598D" w14:textId="77777777" w:rsidR="00634056" w:rsidRPr="00634056" w:rsidRDefault="00634056" w:rsidP="003A42BF">
      <w:pPr>
        <w:ind w:firstLine="360"/>
        <w:jc w:val="both"/>
        <w:rPr>
          <w:rFonts w:ascii="Times New Roman" w:hAnsi="Times New Roman" w:cs="Times New Roman"/>
          <w:sz w:val="28"/>
          <w:szCs w:val="28"/>
        </w:rPr>
      </w:pPr>
      <w:r w:rsidRPr="00634056">
        <w:rPr>
          <w:rFonts w:ascii="Times New Roman" w:hAnsi="Times New Roman" w:cs="Times New Roman"/>
          <w:sz w:val="28"/>
          <w:szCs w:val="28"/>
        </w:rPr>
        <w:t>Statistical tools (e.g., Excel, R) are used to model trade-offs, comparing scenarios (e.g., adopting green logistics versus maintaining status quo). Sensitivity analysis tests the impact of variables like regulatory changes or technology costs, addressing uncertainties in ASEAN’s dynamic environment.</w:t>
      </w:r>
    </w:p>
    <w:p w14:paraId="52FA7201"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Toc208057195"/>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3.3.3 Integration and Validation</w:t>
      </w:r>
      <w:bookmarkEnd w:id="16"/>
    </w:p>
    <w:p w14:paraId="6CF46CE6"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Qualitative and quantitative findings are integrated using a convergent approach, where themes (e.g., cost barriers) are cross-referenced with metrics (e.g., </w:t>
      </w:r>
      <w:r w:rsidRPr="00634056">
        <w:rPr>
          <w:rFonts w:ascii="Times New Roman" w:hAnsi="Times New Roman" w:cs="Times New Roman"/>
          <w:sz w:val="28"/>
          <w:szCs w:val="28"/>
        </w:rPr>
        <w:lastRenderedPageBreak/>
        <w:t>implementation costs) to provide a comprehensive analysis. Cross-case synthesis identifies commonalities (e.g., consumer demand as a driver) and differences (e.g., industry-specific practices). Validation is achieved through triangulation across data sources and peer debriefing with academic colleagues to ensure analytical rigor.</w:t>
      </w:r>
    </w:p>
    <w:p w14:paraId="780299E7"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208057196"/>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Limitations</w:t>
      </w:r>
      <w:bookmarkEnd w:id="17"/>
    </w:p>
    <w:p w14:paraId="16D737EB"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The qualitative case study approach limits generalizability due to its context-specific focus on three firms. Quantitative analysis depends on the availability and quality of secondary data, which may vary across firms and countries. Potential biases in self-reported interview data are mitigated through triangulation and member checking. Future research could expand the sample size or incorporate longitudinal data to assess SSCM impacts over time, particularly in response to 2025’s evolving sustainability policies.</w:t>
      </w:r>
    </w:p>
    <w:p w14:paraId="5988F5BB" w14:textId="6F8FB0A3" w:rsidR="00634056" w:rsidRDefault="00634056" w:rsidP="00634056">
      <w:pPr>
        <w:jc w:val="both"/>
        <w:rPr>
          <w:rFonts w:ascii="Times New Roman" w:hAnsi="Times New Roman" w:cs="Times New Roman"/>
          <w:sz w:val="28"/>
          <w:szCs w:val="28"/>
        </w:rPr>
      </w:pPr>
      <w:r>
        <w:rPr>
          <w:rFonts w:ascii="Times New Roman" w:hAnsi="Times New Roman" w:cs="Times New Roman"/>
          <w:sz w:val="28"/>
          <w:szCs w:val="28"/>
        </w:rPr>
        <w:t xml:space="preserve"> </w:t>
      </w:r>
    </w:p>
    <w:p w14:paraId="7647EC15" w14:textId="77777777" w:rsidR="00634056" w:rsidRPr="003A42BF" w:rsidRDefault="00634056" w:rsidP="003A42BF">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208057197"/>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Analysis and Findings</w:t>
      </w:r>
      <w:bookmarkEnd w:id="18"/>
    </w:p>
    <w:p w14:paraId="4038EA13"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This section presents the findings from a mixed-methods study integrating ecological economics into sustainable supply chain management (SSCM) practices in Southeast Asian manufacturing, focusing on three case studies: an electronics manufacturer in Vietnam, a textile producer in Thailand, and an automotive firm in Malaysia. Thematic analysis of qualitative data (interviews with supply chain managers, n=20) and quantitative cost-benefit analysis of secondary data (sustainability reports, ASEAN trade statistics, environmental databases) address the research questions: (1) How can ecological economics principles, such as ecosystem service valuation and full-cost accounting, enhance SSCM practices in Southeast Asian manufacturing? (2) What are the ecological and economic trade-offs of adopting these principles across Vietnam, Thailand, and Malaysia? The findings reveal a dynamic SSCM landscape shaped by innovative practices, persistent barriers, and emerging opportunities, with ecological economics offering a robust framework to align ASEAN manufacturing with ecological limits and global sustainability goals, including the United Nations’ SDGs 8 (Decent Work and Economic Growth), 12 (Responsible Consumption and Production), and 13 (Climate Action). Results are organized into three themes: SSCM practices enhanced by ecological economics, barriers to implementation, and</w:t>
      </w:r>
      <w:r>
        <w:rPr>
          <w:rFonts w:ascii="Times New Roman" w:hAnsi="Times New Roman" w:cs="Times New Roman"/>
          <w:sz w:val="28"/>
          <w:szCs w:val="28"/>
        </w:rPr>
        <w:t xml:space="preserve"> opportunities for advancement.</w:t>
      </w:r>
    </w:p>
    <w:p w14:paraId="6278ABE6" w14:textId="77777777" w:rsidR="00634056" w:rsidRPr="003A42BF" w:rsidRDefault="00634056" w:rsidP="003A42BF">
      <w:pPr>
        <w:pStyle w:val="Heading2"/>
        <w:rPr>
          <w:rFonts w:ascii="Times New Roman" w:hAnsi="Times New Roman" w:cs="Times New Roman"/>
          <w:b/>
        </w:rPr>
      </w:pPr>
      <w:bookmarkStart w:id="19" w:name="_Toc208057198"/>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4.1 SSCM Practices Enhanced by Ecological Economics</w:t>
      </w:r>
      <w:bookmarkEnd w:id="19"/>
    </w:p>
    <w:p w14:paraId="4A677DF5"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The application of ecological economics principles, such as ecosystem service valuation and full-cost accounting, significantly enhances SSCM practices across the three cases, tailoring sustainability strategies to industry-</w:t>
      </w:r>
      <w:r>
        <w:rPr>
          <w:rFonts w:ascii="Times New Roman" w:hAnsi="Times New Roman" w:cs="Times New Roman"/>
          <w:sz w:val="28"/>
          <w:szCs w:val="28"/>
        </w:rPr>
        <w:t>specific and regional contexts.</w:t>
      </w:r>
    </w:p>
    <w:p w14:paraId="7F57ECF4"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Toc208057199"/>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4.1.1 Vietnam (Electronics)</w:t>
      </w:r>
      <w:bookmarkEnd w:id="20"/>
    </w:p>
    <w:p w14:paraId="6B2A3B62"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The Vietnamese electronics firm, a key supplier for global tech brands, has adopted green logistics, including route optimization software and low-emission transport, reducing transport-related carbon emissions by approximately 15% over two years (2023-2025), as reported in its sustainability metrics. By applying ecosystem service valuation using the </w:t>
      </w:r>
      <w:proofErr w:type="spellStart"/>
      <w:r w:rsidRPr="00634056">
        <w:rPr>
          <w:rFonts w:ascii="Times New Roman" w:hAnsi="Times New Roman" w:cs="Times New Roman"/>
          <w:sz w:val="28"/>
          <w:szCs w:val="28"/>
        </w:rPr>
        <w:t>InVEST</w:t>
      </w:r>
      <w:proofErr w:type="spellEnd"/>
      <w:r w:rsidRPr="00634056">
        <w:rPr>
          <w:rFonts w:ascii="Times New Roman" w:hAnsi="Times New Roman" w:cs="Times New Roman"/>
          <w:sz w:val="28"/>
          <w:szCs w:val="28"/>
        </w:rPr>
        <w:t xml:space="preserve"> model, the firm quantified the benefits of reduced emissions, estimating water purification and carbon sequestration services at $1.2 million annually due to decreased air pollution (TEEB, 2010). Full-cost accounting revealed that logistics emissions previously unaccounted for added 8% to operational costs, justifying investments in electric delivery vehicles, which yielded a 12% return on investment (ROI) within 18 months. The firm also implemented supplier audits aligned with International </w:t>
      </w:r>
      <w:proofErr w:type="spellStart"/>
      <w:r w:rsidRPr="00634056">
        <w:rPr>
          <w:rFonts w:ascii="Times New Roman" w:hAnsi="Times New Roman" w:cs="Times New Roman"/>
          <w:sz w:val="28"/>
          <w:szCs w:val="28"/>
        </w:rPr>
        <w:t>Labour</w:t>
      </w:r>
      <w:proofErr w:type="spellEnd"/>
      <w:r w:rsidRPr="00634056">
        <w:rPr>
          <w:rFonts w:ascii="Times New Roman" w:hAnsi="Times New Roman" w:cs="Times New Roman"/>
          <w:sz w:val="28"/>
          <w:szCs w:val="28"/>
        </w:rPr>
        <w:t xml:space="preserve"> Organization (ILO) standards, ensuring ethical labor practices and supporting SDG 8. However, cost-efficiency remains a priority, limiting broader adoption of ecological tools to </w:t>
      </w:r>
      <w:r>
        <w:rPr>
          <w:rFonts w:ascii="Times New Roman" w:hAnsi="Times New Roman" w:cs="Times New Roman"/>
          <w:sz w:val="28"/>
          <w:szCs w:val="28"/>
        </w:rPr>
        <w:t>high-impact, low-cost measures.</w:t>
      </w:r>
    </w:p>
    <w:p w14:paraId="4E350A6C"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208057200"/>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4.1.2 Thailand (Textiles)</w:t>
      </w:r>
      <w:bookmarkEnd w:id="21"/>
    </w:p>
    <w:p w14:paraId="63DDB9C2"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The Thai textile manufacturer has embraced circular economy principles, sourcing 25% of raw materials from recycled fabrics, reducing waste by 18% annually, according to its 2025 sustainability report. Ecosystem service valuation highlighted the environmental benefits of waste reduction, estimating $800,000 in annual savings from avoided landfill costs and enhanced soil health due to reduced chemical runoff. Full-cost accounting revealed that textile production’s environmental externalities (e.g., water pollution, energy use) accounted for 15% of total costs, prompting investments in water-efficient dyeing technologies that cut water usage by 20%. Collaboration with local NGOs to train workers on sustainable practices further supports SDG 4 (Quality Education) and SDG 12. However, budget constraints limit advanced recycling technologies, with managers noting a 25% cost overrun</w:t>
      </w:r>
      <w:r>
        <w:rPr>
          <w:rFonts w:ascii="Times New Roman" w:hAnsi="Times New Roman" w:cs="Times New Roman"/>
          <w:sz w:val="28"/>
          <w:szCs w:val="28"/>
        </w:rPr>
        <w:t xml:space="preserve"> for high-efficiency equipment.</w:t>
      </w:r>
    </w:p>
    <w:p w14:paraId="4C2C303A"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 w:name="_Toc208057201"/>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 Malaysia (Automotive)</w:t>
      </w:r>
      <w:bookmarkEnd w:id="22"/>
    </w:p>
    <w:p w14:paraId="5642F85C" w14:textId="77777777" w:rsid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The Malaysian automotive firm has integrated renewable energy, with solar panels powering 30% of its production line, reducing its carbon footprint by 22% </w:t>
      </w:r>
      <w:r w:rsidRPr="00634056">
        <w:rPr>
          <w:rFonts w:ascii="Times New Roman" w:hAnsi="Times New Roman" w:cs="Times New Roman"/>
          <w:sz w:val="28"/>
          <w:szCs w:val="28"/>
        </w:rPr>
        <w:lastRenderedPageBreak/>
        <w:t>over three years (2022-2025), as per company data. Ecosystem service valuation quantified the benefits of this transition, estimating $1.5 million in annual carbon sequestration and air quality improvements. Full-cost accounting showed that fossil fuel reliance previously added 10% to production costs, justifying solar investments with a 15% ROI over two years. The firm’s sustainable sourcing, prioritizing suppliers with ISO 14001 certifications, aligns with SDG 12. Malaysia’s green incentives, including tax breaks for renewable energy, facilitated these investments, unlike the other cases, highlighting the role of supportive policies in enabling ecological economics integration.</w:t>
      </w:r>
    </w:p>
    <w:p w14:paraId="623ED2B6" w14:textId="77777777" w:rsidR="00561B1D" w:rsidRDefault="00561B1D" w:rsidP="00761ED6">
      <w:pPr>
        <w:ind w:firstLine="72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43B4459" wp14:editId="20B9F0C3">
            <wp:extent cx="4334430" cy="25844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put (1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0656" cy="2588162"/>
                    </a:xfrm>
                    <a:prstGeom prst="rect">
                      <a:avLst/>
                    </a:prstGeom>
                  </pic:spPr>
                </pic:pic>
              </a:graphicData>
            </a:graphic>
          </wp:inline>
        </w:drawing>
      </w:r>
    </w:p>
    <w:p w14:paraId="1F268289" w14:textId="77777777" w:rsidR="00761ED6" w:rsidRPr="00761ED6" w:rsidRDefault="00761ED6" w:rsidP="00761ED6">
      <w:pPr>
        <w:ind w:firstLine="720"/>
        <w:jc w:val="center"/>
        <w:rPr>
          <w:rFonts w:ascii="Times New Roman" w:hAnsi="Times New Roman" w:cs="Times New Roman"/>
        </w:rPr>
      </w:pPr>
      <w:r w:rsidRPr="00761ED6">
        <w:rPr>
          <w:rFonts w:ascii="Times New Roman" w:hAnsi="Times New Roman" w:cs="Times New Roman"/>
        </w:rPr>
        <w:t>Figure 3: Bar chart comparing SSCM impacts.</w:t>
      </w:r>
    </w:p>
    <w:p w14:paraId="236A8342"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 w:name="_Toc208057202"/>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Barriers to Implementation</w:t>
      </w:r>
      <w:bookmarkEnd w:id="23"/>
    </w:p>
    <w:p w14:paraId="483A4B60"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Three primary barriers hinder the integration of ecological economics into SSCM across the cases, reflecting ASEAN’s eco</w:t>
      </w:r>
      <w:r>
        <w:rPr>
          <w:rFonts w:ascii="Times New Roman" w:hAnsi="Times New Roman" w:cs="Times New Roman"/>
          <w:sz w:val="28"/>
          <w:szCs w:val="28"/>
        </w:rPr>
        <w:t>nomic and regulatory diversity.</w:t>
      </w:r>
    </w:p>
    <w:p w14:paraId="7F6A77E4"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 w:name="_Toc208057203"/>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4.2.1 Cost Constraints</w:t>
      </w:r>
      <w:bookmarkEnd w:id="24"/>
    </w:p>
    <w:p w14:paraId="328653C0"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High upfront costs for ecological tools and green technologies pose significant barriers, particularly for SMEs. In Thailand, the textile firm reported that advanced recycling systems and </w:t>
      </w:r>
      <w:proofErr w:type="spellStart"/>
      <w:r w:rsidRPr="00634056">
        <w:rPr>
          <w:rFonts w:ascii="Times New Roman" w:hAnsi="Times New Roman" w:cs="Times New Roman"/>
          <w:sz w:val="28"/>
          <w:szCs w:val="28"/>
        </w:rPr>
        <w:t>InVEST</w:t>
      </w:r>
      <w:proofErr w:type="spellEnd"/>
      <w:r w:rsidRPr="00634056">
        <w:rPr>
          <w:rFonts w:ascii="Times New Roman" w:hAnsi="Times New Roman" w:cs="Times New Roman"/>
          <w:sz w:val="28"/>
          <w:szCs w:val="28"/>
        </w:rPr>
        <w:t xml:space="preserve"> modeling software exceed annual budgets by 35%, limiting scalability. Similarly, Vietnam’s electronics firm noted that electric vehicle fleets and ecosystem valuation require initial investments 20% higher than conventional systems, deterring adoption despite long-term savings. These findings echo Govindan et al. (2014), highlighting cost as a universal challenge for SMEs in emerging economies</w:t>
      </w:r>
      <w:r>
        <w:rPr>
          <w:rFonts w:ascii="Times New Roman" w:hAnsi="Times New Roman" w:cs="Times New Roman"/>
          <w:sz w:val="28"/>
          <w:szCs w:val="28"/>
        </w:rPr>
        <w:t>.</w:t>
      </w:r>
    </w:p>
    <w:p w14:paraId="6647B235"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208057204"/>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4.2.2 Regulatory Fragmentation</w:t>
      </w:r>
      <w:bookmarkEnd w:id="25"/>
    </w:p>
    <w:p w14:paraId="678C83B4"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Inconsistent environmental regulations across ASEAN countries complicate SSCM adoption. Vietnam’s lax enforcement of emission standards contrasts with Malaysia’s stringent green certifications, creating uneven incentives. For example, the Malaysian firm benefits from subsidies covering 30% of solar panel costs, while Thailand’s textile firm faces ambiguous waste management regulations, increasing compliance costs by 15%. This fragmentation aligns with Koh et al. (2022), underscoring the need for regional policy harmonization to support ec</w:t>
      </w:r>
      <w:r>
        <w:rPr>
          <w:rFonts w:ascii="Times New Roman" w:hAnsi="Times New Roman" w:cs="Times New Roman"/>
          <w:sz w:val="28"/>
          <w:szCs w:val="28"/>
        </w:rPr>
        <w:t>ological economics integration.</w:t>
      </w:r>
    </w:p>
    <w:p w14:paraId="14A5722D"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 w:name="_Toc208057205"/>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4.2.3 Supply Chain Complexity</w:t>
      </w:r>
      <w:bookmarkEnd w:id="26"/>
    </w:p>
    <w:p w14:paraId="2A19DD66" w14:textId="77777777" w:rsid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Global supply chain disruptions, such as semiconductor shortages and post-COVID logistics delays, hinder sustainable sourcing. The Vietnamese electronics firm reported a 25% increase in sourcing costs due to reliance on non-sustainable suppliers during shortages, reducing the feasibility of ecological audits. Similarly, the Thai textile firm faced delays in recycled material imports, increasing production costs by 10%. These challenges highlight the vulnerability of ASEAN’s globalized supply chains, as noted by Choi et al. (2021).</w:t>
      </w:r>
    </w:p>
    <w:p w14:paraId="3D4F5C9C" w14:textId="77777777" w:rsidR="00561B1D" w:rsidRDefault="00561B1D" w:rsidP="00561B1D">
      <w:pPr>
        <w:ind w:firstLine="72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8562802" wp14:editId="3C498CEC">
            <wp:extent cx="4008408" cy="269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put (1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15929" cy="2697451"/>
                    </a:xfrm>
                    <a:prstGeom prst="rect">
                      <a:avLst/>
                    </a:prstGeom>
                  </pic:spPr>
                </pic:pic>
              </a:graphicData>
            </a:graphic>
          </wp:inline>
        </w:drawing>
      </w:r>
    </w:p>
    <w:p w14:paraId="28A09C3F" w14:textId="77777777" w:rsidR="00761ED6" w:rsidRPr="00761ED6" w:rsidRDefault="00761ED6" w:rsidP="00561B1D">
      <w:pPr>
        <w:ind w:firstLine="720"/>
        <w:jc w:val="center"/>
        <w:rPr>
          <w:rFonts w:ascii="Times New Roman" w:hAnsi="Times New Roman" w:cs="Times New Roman"/>
          <w:sz w:val="20"/>
          <w:szCs w:val="20"/>
        </w:rPr>
      </w:pPr>
      <w:r w:rsidRPr="00761ED6">
        <w:rPr>
          <w:rFonts w:ascii="Times New Roman" w:hAnsi="Times New Roman" w:cs="Times New Roman"/>
          <w:sz w:val="20"/>
          <w:szCs w:val="20"/>
        </w:rPr>
        <w:t>Figure 4: Pie chart of barrier distribution.</w:t>
      </w:r>
    </w:p>
    <w:p w14:paraId="3496F2FB" w14:textId="77777777" w:rsidR="00561B1D" w:rsidRPr="00634056" w:rsidRDefault="00561B1D" w:rsidP="003A42BF">
      <w:pPr>
        <w:ind w:firstLine="720"/>
        <w:jc w:val="both"/>
        <w:rPr>
          <w:rFonts w:ascii="Times New Roman" w:hAnsi="Times New Roman" w:cs="Times New Roman"/>
          <w:sz w:val="28"/>
          <w:szCs w:val="28"/>
        </w:rPr>
      </w:pPr>
    </w:p>
    <w:p w14:paraId="1DF455B6"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208057206"/>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 Opportunities for Advancement</w:t>
      </w:r>
      <w:bookmarkEnd w:id="27"/>
    </w:p>
    <w:p w14:paraId="4188E861"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Three opportunities emerge to advance ecological economics in SSCM, leveraging regional an</w:t>
      </w:r>
      <w:r>
        <w:rPr>
          <w:rFonts w:ascii="Times New Roman" w:hAnsi="Times New Roman" w:cs="Times New Roman"/>
          <w:sz w:val="28"/>
          <w:szCs w:val="28"/>
        </w:rPr>
        <w:t>d technological trends in 2025.</w:t>
      </w:r>
    </w:p>
    <w:p w14:paraId="3C47B318"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Toc208057207"/>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4.3.1 Regional Collaboration</w:t>
      </w:r>
      <w:bookmarkEnd w:id="28"/>
    </w:p>
    <w:p w14:paraId="25AE821A" w14:textId="77777777" w:rsidR="00634056" w:rsidRPr="00634056" w:rsidRDefault="00634056" w:rsidP="00634056">
      <w:pPr>
        <w:jc w:val="both"/>
        <w:rPr>
          <w:rFonts w:ascii="Times New Roman" w:hAnsi="Times New Roman" w:cs="Times New Roman"/>
          <w:sz w:val="28"/>
          <w:szCs w:val="28"/>
        </w:rPr>
      </w:pPr>
      <w:r w:rsidRPr="00634056">
        <w:rPr>
          <w:rFonts w:ascii="Times New Roman" w:hAnsi="Times New Roman" w:cs="Times New Roman"/>
          <w:sz w:val="28"/>
          <w:szCs w:val="28"/>
        </w:rPr>
        <w:t>ASEAN’s platforms, such as the ASEAN Economic Community and free trade agreements, facilitate knowledge-sharing and standardization of ecological metrics. The Malaysian automotive firm participates in regional sustainability forums, adopting Singapore’s blockchain practices to enhance supply chain transparency by 20%. Collaborative initiatives, like ASEAN’s 2025 Circular Economy Framework, could standardize ecosystem service valuation, reducing cos</w:t>
      </w:r>
      <w:r>
        <w:rPr>
          <w:rFonts w:ascii="Times New Roman" w:hAnsi="Times New Roman" w:cs="Times New Roman"/>
          <w:sz w:val="28"/>
          <w:szCs w:val="28"/>
        </w:rPr>
        <w:t>ts for firms across the region.</w:t>
      </w:r>
    </w:p>
    <w:p w14:paraId="32C1E5E1" w14:textId="77777777" w:rsidR="003A42BF" w:rsidRDefault="003A42BF" w:rsidP="00634056">
      <w:pPr>
        <w:jc w:val="both"/>
        <w:rPr>
          <w:rFonts w:ascii="Times New Roman" w:hAnsi="Times New Roman" w:cs="Times New Roman"/>
          <w:sz w:val="28"/>
          <w:szCs w:val="28"/>
        </w:rPr>
      </w:pPr>
    </w:p>
    <w:p w14:paraId="539CB8B0"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9" w:name="_Toc208057208"/>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4.3.2 Consumer Demand</w:t>
      </w:r>
      <w:bookmarkEnd w:id="29"/>
    </w:p>
    <w:p w14:paraId="3E660A82" w14:textId="77777777" w:rsid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Growing demand for sustainable products, particularly among Asia’s younger consumers, drives SSCM adoption. The Thai textile firm reported a 12% sales increase linked to its eco-friendly product line, incentivizing further investment in circular economy practices. Similarly, Vietnam’s electronics firm noted that eco-conscious branding increased market share by 8%, aligning with Jayaram and </w:t>
      </w:r>
      <w:proofErr w:type="spellStart"/>
      <w:r w:rsidRPr="00634056">
        <w:rPr>
          <w:rFonts w:ascii="Times New Roman" w:hAnsi="Times New Roman" w:cs="Times New Roman"/>
          <w:sz w:val="28"/>
          <w:szCs w:val="28"/>
        </w:rPr>
        <w:t>Avittathur</w:t>
      </w:r>
      <w:proofErr w:type="spellEnd"/>
      <w:r w:rsidRPr="00634056">
        <w:rPr>
          <w:rFonts w:ascii="Times New Roman" w:hAnsi="Times New Roman" w:cs="Times New Roman"/>
          <w:sz w:val="28"/>
          <w:szCs w:val="28"/>
        </w:rPr>
        <w:t xml:space="preserve"> (2015). Ecosystem valuation enhances consumer trust by quantifying environmental benefits, supporting SDG 12.</w:t>
      </w:r>
    </w:p>
    <w:p w14:paraId="6BADFD82" w14:textId="77777777" w:rsidR="00561B1D" w:rsidRDefault="00561B1D" w:rsidP="003A42BF">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CB01C6A" wp14:editId="3B3EF0D0">
            <wp:extent cx="4547424" cy="27114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1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48582" cy="2712140"/>
                    </a:xfrm>
                    <a:prstGeom prst="rect">
                      <a:avLst/>
                    </a:prstGeom>
                  </pic:spPr>
                </pic:pic>
              </a:graphicData>
            </a:graphic>
          </wp:inline>
        </w:drawing>
      </w:r>
    </w:p>
    <w:p w14:paraId="0CE34DBB" w14:textId="77777777" w:rsidR="00561B1D" w:rsidRPr="00761ED6" w:rsidRDefault="00761ED6" w:rsidP="00761ED6">
      <w:pPr>
        <w:ind w:firstLine="720"/>
        <w:jc w:val="center"/>
        <w:rPr>
          <w:rFonts w:ascii="Times New Roman" w:hAnsi="Times New Roman" w:cs="Times New Roman"/>
        </w:rPr>
      </w:pPr>
      <w:r w:rsidRPr="00761ED6">
        <w:rPr>
          <w:rFonts w:ascii="Times New Roman" w:hAnsi="Times New Roman" w:cs="Times New Roman"/>
        </w:rPr>
        <w:t>Figure 5: Line chart of consumer demand trends.</w:t>
      </w:r>
    </w:p>
    <w:p w14:paraId="0729A8D3"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Toc208057209"/>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4.3.3 Technology Adoption</w:t>
      </w:r>
      <w:bookmarkEnd w:id="30"/>
    </w:p>
    <w:p w14:paraId="643E485E"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Digital tools like blockchain and AI offer scalable solutions for ecological economics integration. The Vietnamese firm’s blockchain pilot improved supplier compliance tracking by 18%, enabling real-time ecological impact assessments. Malaysia’s automotive firm uses AI-driven demand forecasting to optimize energy </w:t>
      </w:r>
      <w:r w:rsidRPr="00634056">
        <w:rPr>
          <w:rFonts w:ascii="Times New Roman" w:hAnsi="Times New Roman" w:cs="Times New Roman"/>
          <w:sz w:val="28"/>
          <w:szCs w:val="28"/>
        </w:rPr>
        <w:lastRenderedPageBreak/>
        <w:t>use, reducing costs by 10%. These technologies align with Koh et al. (2022), offering cost-effective ways to scale SSCM in ASEAN’s re</w:t>
      </w:r>
      <w:r>
        <w:rPr>
          <w:rFonts w:ascii="Times New Roman" w:hAnsi="Times New Roman" w:cs="Times New Roman"/>
          <w:sz w:val="28"/>
          <w:szCs w:val="28"/>
        </w:rPr>
        <w:t>source-constrained environment.</w:t>
      </w:r>
    </w:p>
    <w:p w14:paraId="446B344F"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 w:name="_Toc208057210"/>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 Cross-Case Comparison</w:t>
      </w:r>
      <w:bookmarkEnd w:id="31"/>
    </w:p>
    <w:p w14:paraId="5FC2A5B2" w14:textId="77777777" w:rsid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Cross-case analysis reveals industry-specific differences and commonalities. Electronics in Vietnam prioritize logistics efficiency due to global supply chain integration, while textiles in Thailand focus on waste reduction under environmental scrutiny. Malaysia’s automotive sector benefits from policy support, enabling bolder ecological investments. Common barriers include cost constraints and regulatory gaps, while consumer demand and technology adoption are universal drivers. These findings underscore the need for tailored strategies supported by regional collaboration to maximize ecological economics’ impact on SSCM.</w:t>
      </w:r>
    </w:p>
    <w:p w14:paraId="495B8630" w14:textId="77777777" w:rsidR="00634056" w:rsidRDefault="00634056" w:rsidP="00634056">
      <w:pPr>
        <w:jc w:val="both"/>
        <w:rPr>
          <w:rFonts w:ascii="Times New Roman" w:hAnsi="Times New Roman" w:cs="Times New Roman"/>
          <w:sz w:val="28"/>
          <w:szCs w:val="28"/>
        </w:rPr>
      </w:pPr>
    </w:p>
    <w:p w14:paraId="5737C830" w14:textId="77777777" w:rsidR="00634056" w:rsidRPr="003A42BF" w:rsidRDefault="00634056" w:rsidP="003A42BF">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2" w:name="_Toc208057211"/>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Discussion</w:t>
      </w:r>
      <w:bookmarkEnd w:id="32"/>
    </w:p>
    <w:p w14:paraId="1207B0BB"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The findings from this mixed-methods study of sustainable supply chain management (SSCM) in Southeast Asian manufacturing—focusing on case studies from Vietnam (electronics), Thailand (textiles), and Malaysia (automotive)—demonstrate the transformative potential of integrating ecological economics principles to address the research questions: (1) How can ecological economics principles, such as ecosystem service valuation and full-cost accounting, enhance SSCM practices in Southeast Asian manufacturing? (2) What are the ecological and economic trade-offs of adopting these principles across Vietnam, Thailand, and Malaysia? The analysis reveals a dynamic SSCM landscape characterized by innovative practices (e.g., green logistics, circular economy principles, renewable energy adoption), persistent barriers (e.g., cost constraints, regulatory fragmentation), and emerging opportunities (e.g., regional collaboration, consumer demand, digital technologies). By embedding ecological economics tools, such as valuing natural capital and internalizing environmental externalities, the study extends the triple bottom line (TBL) framework—people, planet, profit—to align ASEAN manufacturing with ecological limits and global sustainability goals, including the United Nations’ SDGs 8 (Decent Work and Economic Growth), 12 (Responsible Consumption and Production), and 13 (Climate Action) (Elkington, 1997). This section discusses the integration of ecological economics into SSCM, regional and industry-specific nuances, and implications for stakeholders, contributing to both theoretical advancements and practical solutions for sustainable industrial growth in ASEAN.</w:t>
      </w:r>
    </w:p>
    <w:p w14:paraId="4C13C0DD"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 w:name="_Toc208057212"/>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5.1 Integration of Ecological Economics into SSCM</w:t>
      </w:r>
      <w:bookmarkEnd w:id="33"/>
    </w:p>
    <w:p w14:paraId="2CDAAA57"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Ecological economics provides a robust framework for enhancing SSCM by prioritizing ecological limits and natural capital valuation, addressing the shortcomings of traditional SSCM approaches that often focus on short-term economic gains over long-term sustainability (Daly &amp; Farley, 2011). The findings demonstrate that tools like ecosystem service valuation and full-cost accounting enable firms to quantify environmental costs and benefits, thereby justifying investments in sustainable practices. For instance, in Vietnam’s electronics sector, ecosystem service valuation estimated $1.2 million in annual benefits from reduced emissions, while full-cost accounting revealed 8% hidden costs from logistics emissions, supporting investments in electric vehicles with a 12% ROI (TEEB, 2010). Similarly, Thailand’s textile industry quantified $800,000 in savings from waste reduction, aligning with circular economy principles, while Malaysia’s automotive sector leveraged renewable energy to achieve $1.5 million in ecosystem service benefits, including carbon sequestration (Costanza et al., 2014).</w:t>
      </w:r>
    </w:p>
    <w:p w14:paraId="5BC58D17"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These findings extend Seuring and Müller’s (2008) SSCM framework by incorporating ecological economics’ emphasis on sustainable scale and just distribution. By internalizing externalities, firms can align with planetary boundaries, a core tenet of ecological economics, which contrasts with neoclassical economics’ growth-centric paradigm (Daly, 1996). The integration also supports stakeholder theory, as quantifying ecosystem services enhances transparency for consumers, regulators, and investors, fostering trust and accountability (Carter &amp; Rogers, 2008). However, the application of these tools requires technical expertise and data availability, which may challenge resource-constrained firms, particularly SMEs. This underscores the need for capacity-building and knowledge transfer, potentially through ASEAN’s regional platforms, to scale ecological economics in SSCM.</w:t>
      </w:r>
    </w:p>
    <w:p w14:paraId="44C2A21E"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4" w:name="_Toc208057213"/>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Regional and Industry-Specific Nuances</w:t>
      </w:r>
      <w:bookmarkEnd w:id="34"/>
    </w:p>
    <w:p w14:paraId="79D22EEA"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The study highlights significant regional and industry-specific nuances in SSCM adoption, reflecting ASEAN’s diverse economic, regulatory, and environmental landscapes. In Vietnam, the electronics sector’s focus on green logistics aligns with its integration into global supply chains, where efficiency is critical due to high export volumes (ASEAN Secretariat, 2024). The application of ecological economics tools revealed cost savings but also highlighted cost constraints, as initial investments in electric vehicles were 20% higher than conventional systems. In Thailand, the textile industry’s emphasis on circular </w:t>
      </w:r>
      <w:r w:rsidRPr="00634056">
        <w:rPr>
          <w:rFonts w:ascii="Times New Roman" w:hAnsi="Times New Roman" w:cs="Times New Roman"/>
          <w:sz w:val="28"/>
          <w:szCs w:val="28"/>
        </w:rPr>
        <w:lastRenderedPageBreak/>
        <w:t>economy practices responds to environmental scrutiny, with ecosystem valuation quantifying benefits like soil health improvements from reduced chemical runoff. However, budget limitations restrict advanced recycling technologies, echoing Govindan et al. (2014). Malaysia’s automotive sector benefits from supportive green incentives, enabling bolder investments in renewable energy, with solar adoption reducing carbon footprints by 22% and yielding a 15% ROI. These differences underscore the need for tailored SSCM strategies that account for industry-specific demands and regional contexts.</w:t>
      </w:r>
    </w:p>
    <w:p w14:paraId="0F5EB4EE" w14:textId="77777777" w:rsidR="00561B1D" w:rsidRDefault="00561B1D" w:rsidP="003A42BF">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8A94163" wp14:editId="103E6D67">
            <wp:extent cx="469067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put (1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3106" cy="2858984"/>
                    </a:xfrm>
                    <a:prstGeom prst="rect">
                      <a:avLst/>
                    </a:prstGeom>
                  </pic:spPr>
                </pic:pic>
              </a:graphicData>
            </a:graphic>
          </wp:inline>
        </w:drawing>
      </w:r>
    </w:p>
    <w:p w14:paraId="3F4FD3EB" w14:textId="77777777" w:rsidR="00561B1D" w:rsidRPr="00761ED6" w:rsidRDefault="00761ED6" w:rsidP="00761ED6">
      <w:pPr>
        <w:jc w:val="center"/>
        <w:rPr>
          <w:rFonts w:ascii="Times New Roman" w:hAnsi="Times New Roman" w:cs="Times New Roman"/>
        </w:rPr>
      </w:pPr>
      <w:r w:rsidRPr="00761ED6">
        <w:rPr>
          <w:rFonts w:ascii="Times New Roman" w:hAnsi="Times New Roman" w:cs="Times New Roman"/>
        </w:rPr>
        <w:t>Figure 6: Bar chart of costs vs. benefits.</w:t>
      </w:r>
    </w:p>
    <w:p w14:paraId="7481C6D1"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Regulatory fragmentation across ASEAN complicates uniform SSCM adoption. Malaysia’s stringent environmental standards and subsidies contrast with Vietnam’s lax enforcement, creating uneven incentives (Koh et al., 2022). Thailand’s ambiguous waste management regulations increase compliance costs for textile firms, highlighting the need for regional harmonization. Global supply chain disruptions, such as semiconductor shortages, further exacerbate challenges, as seen in Vietnam’s 25% sourcing cost increase. These findings extend Zhu et al. (2013) by applying ecological economics to ASEAN’s heterogeneous landscape, emphasizing the importance of context-specific frameworks that balance ecological and economic trade-offs.</w:t>
      </w:r>
    </w:p>
    <w:p w14:paraId="31B54812" w14:textId="77777777" w:rsidR="00634056" w:rsidRPr="003A42BF" w:rsidRDefault="00634056" w:rsidP="003A42BF">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 w:name="_Toc208057214"/>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5.3 Implications for Stakeholders</w:t>
      </w:r>
      <w:bookmarkEnd w:id="35"/>
    </w:p>
    <w:p w14:paraId="129AB608" w14:textId="77777777" w:rsidR="003A42BF" w:rsidRDefault="00634056" w:rsidP="00634056">
      <w:pPr>
        <w:jc w:val="both"/>
        <w:rPr>
          <w:rFonts w:ascii="Times New Roman" w:hAnsi="Times New Roman" w:cs="Times New Roman"/>
          <w:sz w:val="28"/>
          <w:szCs w:val="28"/>
        </w:rPr>
      </w:pPr>
      <w:r w:rsidRPr="00634056">
        <w:rPr>
          <w:rFonts w:ascii="Times New Roman" w:hAnsi="Times New Roman" w:cs="Times New Roman"/>
          <w:sz w:val="28"/>
          <w:szCs w:val="28"/>
        </w:rPr>
        <w:t>The integration of ecological economics into SSCM offers significant implications for firms, policymakers, and researchers, addressing both regional challenges and global sustainability goals.</w:t>
      </w:r>
    </w:p>
    <w:p w14:paraId="5445FC10" w14:textId="77777777" w:rsidR="00634056" w:rsidRPr="003A42BF" w:rsidRDefault="00634056" w:rsidP="003A42BF">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6" w:name="_Toc208057215"/>
      <w:r w:rsidRPr="003A42BF">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5.3.1 Implications for Firms</w:t>
      </w:r>
      <w:bookmarkEnd w:id="36"/>
    </w:p>
    <w:p w14:paraId="1BE3E3A2"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Firms can prioritize cost-effective SSCM practices, such as route optimization and supplier audits, enhanced by ecological economics tools. For example, Vietnam’s electronics firm can leverage ecosystem valuation to justify green logistics investments, while Thailand’s textile firm can use full-cost accounting to prioritize water-efficient technologies. Collaborative models, such as shared technology platforms, can reduce costs for SMEs, enabling scalability. Firms should also capitalize on consumer demand for eco-friendly products, as seen in Thailand’s 12% sales increase from sustainable lines, to enhance market competitiveness (Jayaram &amp; </w:t>
      </w:r>
      <w:proofErr w:type="spellStart"/>
      <w:r w:rsidRPr="00634056">
        <w:rPr>
          <w:rFonts w:ascii="Times New Roman" w:hAnsi="Times New Roman" w:cs="Times New Roman"/>
          <w:sz w:val="28"/>
          <w:szCs w:val="28"/>
        </w:rPr>
        <w:t>Avittathur</w:t>
      </w:r>
      <w:proofErr w:type="spellEnd"/>
      <w:r w:rsidRPr="00634056">
        <w:rPr>
          <w:rFonts w:ascii="Times New Roman" w:hAnsi="Times New Roman" w:cs="Times New Roman"/>
          <w:sz w:val="28"/>
          <w:szCs w:val="28"/>
        </w:rPr>
        <w:t>, 2015).</w:t>
      </w:r>
    </w:p>
    <w:p w14:paraId="10A06DF5" w14:textId="77777777" w:rsidR="00634056" w:rsidRPr="008C4745" w:rsidRDefault="00634056" w:rsidP="008C4745">
      <w:pPr>
        <w:pStyle w:val="Heading3"/>
        <w:rPr>
          <w:rFonts w:ascii="Times New Roman" w:hAnsi="Times New Roman" w:cs="Times New Roman"/>
          <w:b/>
        </w:rPr>
      </w:pPr>
      <w:bookmarkStart w:id="37" w:name="_Toc208057216"/>
      <w:r w:rsidRPr="008C4745">
        <w:rPr>
          <w:rFonts w:ascii="Times New Roman" w:hAnsi="Times New Roman" w:cs="Times New Roman"/>
          <w:b/>
        </w:rPr>
        <w:t>5.3.2 Implications for Policymakers</w:t>
      </w:r>
      <w:bookmarkEnd w:id="37"/>
    </w:p>
    <w:p w14:paraId="75A71B01" w14:textId="77777777" w:rsidR="00634056" w:rsidRPr="00634056" w:rsidRDefault="00634056" w:rsidP="003A42BF">
      <w:pPr>
        <w:ind w:firstLine="720"/>
        <w:jc w:val="both"/>
        <w:rPr>
          <w:rFonts w:ascii="Times New Roman" w:hAnsi="Times New Roman" w:cs="Times New Roman"/>
          <w:sz w:val="28"/>
          <w:szCs w:val="28"/>
        </w:rPr>
      </w:pPr>
      <w:r w:rsidRPr="00634056">
        <w:rPr>
          <w:rFonts w:ascii="Times New Roman" w:hAnsi="Times New Roman" w:cs="Times New Roman"/>
          <w:sz w:val="28"/>
          <w:szCs w:val="28"/>
        </w:rPr>
        <w:t>Policymakers should harmonize environmental regulations across ASEAN to reduce compliance costs and incentivize SSCM adoption. Malaysia’s green subsidies, covering 30% of solar panel costs, serve as a model for Vietnam and Thailand to encourage renewable energy and ecological assessments. Regional platforms like the ASEAN Economic Community can standardize ecosystem service valuation metrics, aligning with the 2025 Circular Economy Framework. Post-COP30 carbon neutrality commitments further emphasize the need for policies that support digital tools, such as blockchain, to enhance supply chain transparency (Koh et al., 2022).</w:t>
      </w:r>
    </w:p>
    <w:p w14:paraId="26C3EEC0" w14:textId="77777777" w:rsidR="00634056" w:rsidRPr="008C4745" w:rsidRDefault="00634056" w:rsidP="008C4745">
      <w:pPr>
        <w:pStyle w:val="Heading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 w:name="_Toc208057217"/>
      <w:r w:rsidRPr="008C4745">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5.3.3 Implications for Researchers</w:t>
      </w:r>
      <w:bookmarkEnd w:id="38"/>
    </w:p>
    <w:p w14:paraId="45AAF91E" w14:textId="77777777" w:rsidR="00634056" w:rsidRPr="00634056"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t>This study opens avenues for future research, including quantitative analyses of ecological economics’ impact on firm performance in ASEAN, such as ROI from ecosystem service valuation. Comparative studies with other regions (e.g., EU, China) could explore global applicability, while longitudinal studies could assess SSCM evolution in response to 2025’s sustainability policies. The integration of AI-driven ecological modeling, such as predictive analytics for resource use, offers a novel research direction, building on Koh et al. (2022).</w:t>
      </w:r>
    </w:p>
    <w:p w14:paraId="4B23C4AC" w14:textId="77777777" w:rsidR="00634056"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t xml:space="preserve">In conclusion, integrating ecological economics into SSCM enhances ASEAN’s manufacturing sustainability by quantifying environmental costs and benefits, addressing regional barriers, and leveraging opportunities like consumer </w:t>
      </w:r>
      <w:r w:rsidRPr="00634056">
        <w:rPr>
          <w:rFonts w:ascii="Times New Roman" w:hAnsi="Times New Roman" w:cs="Times New Roman"/>
          <w:sz w:val="28"/>
          <w:szCs w:val="28"/>
        </w:rPr>
        <w:lastRenderedPageBreak/>
        <w:t>demand and digital technologies. These findings contribute to the global SSCM discourse while providing a regionally relevant framework for sustainable industrial growth, aligning with SDGs 8, 12, and 13.</w:t>
      </w:r>
      <w:r>
        <w:rPr>
          <w:rFonts w:ascii="Times New Roman" w:hAnsi="Times New Roman" w:cs="Times New Roman"/>
          <w:sz w:val="28"/>
          <w:szCs w:val="28"/>
        </w:rPr>
        <w:t xml:space="preserve"> </w:t>
      </w:r>
    </w:p>
    <w:p w14:paraId="363CCCFB" w14:textId="77777777" w:rsidR="00634056" w:rsidRDefault="00634056" w:rsidP="00634056">
      <w:pPr>
        <w:jc w:val="both"/>
        <w:rPr>
          <w:rFonts w:ascii="Times New Roman" w:hAnsi="Times New Roman" w:cs="Times New Roman"/>
          <w:sz w:val="28"/>
          <w:szCs w:val="28"/>
        </w:rPr>
      </w:pPr>
    </w:p>
    <w:p w14:paraId="5590927F" w14:textId="77777777" w:rsidR="00634056" w:rsidRPr="008C4745" w:rsidRDefault="00634056" w:rsidP="008C4745">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9" w:name="_Toc208057218"/>
      <w:r w:rsidRPr="008C4745">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Conclusion</w:t>
      </w:r>
      <w:bookmarkEnd w:id="39"/>
    </w:p>
    <w:p w14:paraId="2650FFC2" w14:textId="77777777" w:rsidR="00634056" w:rsidRPr="00634056"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t>This study has explored the integration of ecological economics principles into sustainable supply chain management (SSCM) practices in Southeast Asian manufacturing, drawing on case studies from Vietnam (electronics), Thailand (textiles), and Malaysia (automotive). Addressing the research questions</w:t>
      </w:r>
      <w:proofErr w:type="gramStart"/>
      <w:r w:rsidRPr="00634056">
        <w:rPr>
          <w:rFonts w:ascii="Times New Roman" w:hAnsi="Times New Roman" w:cs="Times New Roman"/>
          <w:sz w:val="28"/>
          <w:szCs w:val="28"/>
        </w:rPr>
        <w:t>—(</w:t>
      </w:r>
      <w:proofErr w:type="gramEnd"/>
      <w:r w:rsidRPr="00634056">
        <w:rPr>
          <w:rFonts w:ascii="Times New Roman" w:hAnsi="Times New Roman" w:cs="Times New Roman"/>
          <w:sz w:val="28"/>
          <w:szCs w:val="28"/>
        </w:rPr>
        <w:t>1) How can ecological economics principles, such as ecosystem service valuation and full-cost accounting, enhance SSCM practices in Southeast Asian manufacturing? and (2) What are the ecological and economic trade-offs of adopting these principles across Vietnam, Thailand, and Malaysia?—the findings demonstrate a diverse and evolving SSCM landscape in ASEAN. Key practices, including green logistics in Vietnam, circular economy principles in Thailand, and renewable energy adoption in Malaysia, have been enhanced through ecological economics tools, enabling the quantification of environmental costs (e.g., carbon emissions accounting for 8-15% of operational costs) and benefits (e.g., ecosystem services valued at $800,000 to $1.5 million annually across cases). These integrations align with the triple bottom line framework, balancing economic viability with ecological limits and social equity, while contributing to the United Nations’ Sustainable Development Goals (SDGs 8, 12, and 13) (Elkington, 1997; Costanza et al., 2014).</w:t>
      </w:r>
    </w:p>
    <w:p w14:paraId="0C70855B" w14:textId="77777777" w:rsidR="00634056" w:rsidRPr="00634056"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t>The analysis reveals significant barriers, such as high upfront costs (e.g., 20-35% budget overruns for green technologies), regulatory fragmentation across ASEAN countries, and supply chain complexities exacerbated by global disruptions like semiconductor shortages. However, opportunities abound, including regional collaboration through ASEAN platforms, growing consumer demand for sustainable products (driving 8-12% sales increases), and digital technologies like blockchain for enhanced transparency and traceability. Cross-case comparisons underscore industry-specific nuances: Vietnam’s cost-driven efficiency in electronics, Thailand’s environmental focus in textiles, and Malaysia’s policy-supported innovation in automotive production. By applying ecological economics, firms can internalize externalities and achieve trade-offs that favor long-term sustainability, such as 12-15% ROI from renewable investments, despite initial economic challenges.</w:t>
      </w:r>
    </w:p>
    <w:p w14:paraId="53B8994C" w14:textId="77777777" w:rsidR="00634056" w:rsidRPr="00634056"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lastRenderedPageBreak/>
        <w:t xml:space="preserve">This research addresses a critical gap in the SSCM literature by providing an ASEAN-specific perspective, where prior studies have predominantly focused on larger economies like China and India (Zhu et al., 2013). By highlighting the role of ecological economics in quantifying natural capital and respecting planetary boundaries, it enriches the global discourse on sustainable supply chains, emphasizing the need for context-specific strategies in emerging economies (Daly &amp; Farley, 2011). For firms, the study recommends adopting cost-effective tools like </w:t>
      </w:r>
      <w:proofErr w:type="spellStart"/>
      <w:r w:rsidRPr="00634056">
        <w:rPr>
          <w:rFonts w:ascii="Times New Roman" w:hAnsi="Times New Roman" w:cs="Times New Roman"/>
          <w:sz w:val="28"/>
          <w:szCs w:val="28"/>
        </w:rPr>
        <w:t>InVEST</w:t>
      </w:r>
      <w:proofErr w:type="spellEnd"/>
      <w:r w:rsidRPr="00634056">
        <w:rPr>
          <w:rFonts w:ascii="Times New Roman" w:hAnsi="Times New Roman" w:cs="Times New Roman"/>
          <w:sz w:val="28"/>
          <w:szCs w:val="28"/>
        </w:rPr>
        <w:t xml:space="preserve"> for ecosystem valuation and fostering collaborations to share technology costs. Policymakers are urged to harmonize regional regulations, extend green incentives (e.g., Malaysia’s subsidies as a model), and support digital infrastructure to align with 2025’s post-COP30 carbon neutrality commitments and ASEAN’s Circular Economy Framework. Researchers can build on this by conducting quantitative longitudinal studies or comparative analyses with other regions, incorporating emerging technologies like AI for predictive ecological modeling.</w:t>
      </w:r>
    </w:p>
    <w:p w14:paraId="6BDDDD03" w14:textId="77777777" w:rsidR="00220E83" w:rsidRDefault="00634056" w:rsidP="008C4745">
      <w:pPr>
        <w:ind w:firstLine="720"/>
        <w:jc w:val="both"/>
        <w:rPr>
          <w:rFonts w:ascii="Times New Roman" w:hAnsi="Times New Roman" w:cs="Times New Roman"/>
          <w:sz w:val="28"/>
          <w:szCs w:val="28"/>
        </w:rPr>
      </w:pPr>
      <w:r w:rsidRPr="00634056">
        <w:rPr>
          <w:rFonts w:ascii="Times New Roman" w:hAnsi="Times New Roman" w:cs="Times New Roman"/>
          <w:sz w:val="28"/>
          <w:szCs w:val="28"/>
        </w:rPr>
        <w:t>In conclusion, advancing SSCM in Southeast Asian manufacturing demands a paradigm shift toward ecological economics, recognizing economies as subsystems of the biosphere. By overcoming barriers through collaborative and innovative approaches, ASEAN manufacturers can enhance resilience, competitiveness, and environmental stewardship. This study underscores the importance of region-specific research in driving sustainable industrial growth, positioning ASEAN as a leader in the global transition to a low-carbon, equitable economy amid the sustainability imperatives of 2025 and beyond.</w:t>
      </w:r>
      <w:r w:rsidR="00220E83">
        <w:rPr>
          <w:rFonts w:ascii="Times New Roman" w:hAnsi="Times New Roman" w:cs="Times New Roman"/>
          <w:sz w:val="28"/>
          <w:szCs w:val="28"/>
        </w:rPr>
        <w:br w:type="page"/>
      </w:r>
    </w:p>
    <w:p w14:paraId="3974A537" w14:textId="77777777" w:rsidR="008C4745" w:rsidRPr="008C4745" w:rsidRDefault="008C4745" w:rsidP="008C4745">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0" w:name="_Toc208057219"/>
      <w:r w:rsidRPr="008C4745">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 References</w:t>
      </w:r>
      <w:bookmarkEnd w:id="40"/>
    </w:p>
    <w:p w14:paraId="4AF302D3"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ASEAN Secretariat. (2024). ASEAN Economic Outlook 2024. ASEAN Publications.</w:t>
      </w:r>
    </w:p>
    <w:p w14:paraId="67C03C4E"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Braun, V., &amp; Clarke, V. (2006). Using thematic analysis in psychology. Qualitative Resear</w:t>
      </w:r>
      <w:r w:rsidR="008C4745" w:rsidRPr="008C4745">
        <w:rPr>
          <w:rFonts w:ascii="Times New Roman" w:hAnsi="Times New Roman" w:cs="Times New Roman"/>
          <w:sz w:val="28"/>
          <w:szCs w:val="28"/>
        </w:rPr>
        <w:t xml:space="preserve">ch in Psychology, 3(2), 77–101. </w:t>
      </w:r>
      <w:r w:rsidRPr="008C4745">
        <w:rPr>
          <w:rFonts w:ascii="Times New Roman" w:hAnsi="Times New Roman" w:cs="Times New Roman"/>
          <w:sz w:val="28"/>
          <w:szCs w:val="28"/>
        </w:rPr>
        <w:t>https://doi.org/10.1191/1478088706qp063oa</w:t>
      </w:r>
    </w:p>
    <w:p w14:paraId="54D66C81"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Carter, C. R., &amp; Rogers, D. S. (2008). A framework of sustainable supply chain management: Moving toward new theory. International Journal of Physical Distribution &amp; Logist</w:t>
      </w:r>
      <w:r w:rsidR="008C4745" w:rsidRPr="008C4745">
        <w:rPr>
          <w:rFonts w:ascii="Times New Roman" w:hAnsi="Times New Roman" w:cs="Times New Roman"/>
          <w:sz w:val="28"/>
          <w:szCs w:val="28"/>
        </w:rPr>
        <w:t xml:space="preserve">ics Management, 38(5), 360–387. </w:t>
      </w:r>
      <w:r w:rsidRPr="008C4745">
        <w:rPr>
          <w:rFonts w:ascii="Times New Roman" w:hAnsi="Times New Roman" w:cs="Times New Roman"/>
          <w:sz w:val="28"/>
          <w:szCs w:val="28"/>
        </w:rPr>
        <w:t xml:space="preserve"> https://doi.org/10.1108/09600030810882816</w:t>
      </w:r>
    </w:p>
    <w:p w14:paraId="410D677B"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Choi, T. M., et al. (2021). Global supply chain disruptions and mitigation strategies: A review. Transportation Research Part E: Logistics and Transporta</w:t>
      </w:r>
      <w:r w:rsidR="008C4745" w:rsidRPr="008C4745">
        <w:rPr>
          <w:rFonts w:ascii="Times New Roman" w:hAnsi="Times New Roman" w:cs="Times New Roman"/>
          <w:sz w:val="28"/>
          <w:szCs w:val="28"/>
        </w:rPr>
        <w:t xml:space="preserve">tion Review, 146, 102256. </w:t>
      </w:r>
      <w:r w:rsidRPr="008C4745">
        <w:rPr>
          <w:rFonts w:ascii="Times New Roman" w:hAnsi="Times New Roman" w:cs="Times New Roman"/>
          <w:sz w:val="28"/>
          <w:szCs w:val="28"/>
        </w:rPr>
        <w:t>https://doi.org/10.1016/j.tre.2020.102256</w:t>
      </w:r>
    </w:p>
    <w:p w14:paraId="3A47B2A0"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Costanza, R., et al. (2014). An Introduction to E</w:t>
      </w:r>
      <w:r w:rsidR="008C4745" w:rsidRPr="008C4745">
        <w:rPr>
          <w:rFonts w:ascii="Times New Roman" w:hAnsi="Times New Roman" w:cs="Times New Roman"/>
          <w:sz w:val="28"/>
          <w:szCs w:val="28"/>
        </w:rPr>
        <w:t xml:space="preserve">cological Economics. CRC Press. </w:t>
      </w:r>
      <w:r w:rsidRPr="008C4745">
        <w:rPr>
          <w:rFonts w:ascii="Times New Roman" w:hAnsi="Times New Roman" w:cs="Times New Roman"/>
          <w:sz w:val="28"/>
          <w:szCs w:val="28"/>
        </w:rPr>
        <w:t>ISBN: 978-1-56670-684-1</w:t>
      </w:r>
    </w:p>
    <w:p w14:paraId="6B9C6EE7"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Creswell, J. W., &amp; Plano Clark, V. L. (2017). Designing and Conducting Mixed Metho</w:t>
      </w:r>
      <w:r w:rsidR="008C4745" w:rsidRPr="008C4745">
        <w:rPr>
          <w:rFonts w:ascii="Times New Roman" w:hAnsi="Times New Roman" w:cs="Times New Roman"/>
          <w:sz w:val="28"/>
          <w:szCs w:val="28"/>
        </w:rPr>
        <w:t xml:space="preserve">ds Research. Sage Publications. </w:t>
      </w:r>
      <w:r w:rsidRPr="008C4745">
        <w:rPr>
          <w:rFonts w:ascii="Times New Roman" w:hAnsi="Times New Roman" w:cs="Times New Roman"/>
          <w:sz w:val="28"/>
          <w:szCs w:val="28"/>
        </w:rPr>
        <w:t>ISBN: 978-1-4833-4701-1</w:t>
      </w:r>
    </w:p>
    <w:p w14:paraId="6B577865"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Daly, H. E. (1996). Beyond Growth: The Economics of Sustain</w:t>
      </w:r>
      <w:r w:rsidR="008C4745" w:rsidRPr="008C4745">
        <w:rPr>
          <w:rFonts w:ascii="Times New Roman" w:hAnsi="Times New Roman" w:cs="Times New Roman"/>
          <w:sz w:val="28"/>
          <w:szCs w:val="28"/>
        </w:rPr>
        <w:t xml:space="preserve">able Development. Beacon Press. </w:t>
      </w:r>
      <w:r w:rsidRPr="008C4745">
        <w:rPr>
          <w:rFonts w:ascii="Times New Roman" w:hAnsi="Times New Roman" w:cs="Times New Roman"/>
          <w:sz w:val="28"/>
          <w:szCs w:val="28"/>
        </w:rPr>
        <w:t>ISBN: 978-0-8070-4709-5</w:t>
      </w:r>
    </w:p>
    <w:p w14:paraId="15B2AADD"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 xml:space="preserve">Daly, H. E., &amp; Farley, J. (2011). Ecological Economics: Principles </w:t>
      </w:r>
      <w:r w:rsidR="008C4745" w:rsidRPr="008C4745">
        <w:rPr>
          <w:rFonts w:ascii="Times New Roman" w:hAnsi="Times New Roman" w:cs="Times New Roman"/>
          <w:sz w:val="28"/>
          <w:szCs w:val="28"/>
        </w:rPr>
        <w:t xml:space="preserve">and Applications. Island Press. </w:t>
      </w:r>
      <w:r w:rsidRPr="008C4745">
        <w:rPr>
          <w:rFonts w:ascii="Times New Roman" w:hAnsi="Times New Roman" w:cs="Times New Roman"/>
          <w:sz w:val="28"/>
          <w:szCs w:val="28"/>
        </w:rPr>
        <w:t>ISBN: 978-1-59726-681-9</w:t>
      </w:r>
    </w:p>
    <w:p w14:paraId="0251909E"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Elkington, J. (1997). Cannibals with Forks: The Triple Bottom Line of 2</w:t>
      </w:r>
      <w:r w:rsidR="008C4745" w:rsidRPr="008C4745">
        <w:rPr>
          <w:rFonts w:ascii="Times New Roman" w:hAnsi="Times New Roman" w:cs="Times New Roman"/>
          <w:sz w:val="28"/>
          <w:szCs w:val="28"/>
        </w:rPr>
        <w:t xml:space="preserve">1st Century Business. Capstone. </w:t>
      </w:r>
      <w:r w:rsidRPr="008C4745">
        <w:rPr>
          <w:rFonts w:ascii="Times New Roman" w:hAnsi="Times New Roman" w:cs="Times New Roman"/>
          <w:sz w:val="28"/>
          <w:szCs w:val="28"/>
        </w:rPr>
        <w:t>ISBN: 978-1-900961-27-1</w:t>
      </w:r>
    </w:p>
    <w:p w14:paraId="0E25B6F2"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Ellen MacArthur Foundation. (2021). Circular Economy in Textiles: Opportunities and Challenges. EMF Publications.</w:t>
      </w:r>
    </w:p>
    <w:p w14:paraId="57E82893"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Farley, J., &amp; Costanza, R. (2010). Payments for ecosystem services: From local to global. Ecologica</w:t>
      </w:r>
      <w:r w:rsidR="008C4745" w:rsidRPr="008C4745">
        <w:rPr>
          <w:rFonts w:ascii="Times New Roman" w:hAnsi="Times New Roman" w:cs="Times New Roman"/>
          <w:sz w:val="28"/>
          <w:szCs w:val="28"/>
        </w:rPr>
        <w:t xml:space="preserve">l Economics, 69(11), 2060–2068. </w:t>
      </w:r>
      <w:r w:rsidRPr="008C4745">
        <w:rPr>
          <w:rFonts w:ascii="Times New Roman" w:hAnsi="Times New Roman" w:cs="Times New Roman"/>
          <w:sz w:val="28"/>
          <w:szCs w:val="28"/>
        </w:rPr>
        <w:t xml:space="preserve"> https://doi.org/10.1016/j.ecolecon.2010.06.010</w:t>
      </w:r>
    </w:p>
    <w:p w14:paraId="006964E6" w14:textId="77777777" w:rsidR="00B830D8" w:rsidRPr="00220E83" w:rsidRDefault="00B830D8" w:rsidP="00B830D8">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Govindan, K., et al. (2014). Barriers analysis for green supply chain management implementation in Indian industries. Journal of C</w:t>
      </w:r>
      <w:r w:rsidR="008C4745" w:rsidRPr="008C4745">
        <w:rPr>
          <w:rFonts w:ascii="Times New Roman" w:hAnsi="Times New Roman" w:cs="Times New Roman"/>
          <w:sz w:val="28"/>
          <w:szCs w:val="28"/>
        </w:rPr>
        <w:t xml:space="preserve">leaner Production, 75, 214–223. </w:t>
      </w:r>
      <w:r w:rsidRPr="008C4745">
        <w:rPr>
          <w:rFonts w:ascii="Times New Roman" w:hAnsi="Times New Roman" w:cs="Times New Roman"/>
          <w:sz w:val="28"/>
          <w:szCs w:val="28"/>
        </w:rPr>
        <w:t>https://doi.org/10.1016/j.jclepro.2014.04.012</w:t>
      </w:r>
    </w:p>
    <w:p w14:paraId="665088B2"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 xml:space="preserve">International </w:t>
      </w:r>
      <w:proofErr w:type="spellStart"/>
      <w:r w:rsidRPr="008C4745">
        <w:rPr>
          <w:rFonts w:ascii="Times New Roman" w:hAnsi="Times New Roman" w:cs="Times New Roman"/>
          <w:sz w:val="28"/>
          <w:szCs w:val="28"/>
        </w:rPr>
        <w:t>Labour</w:t>
      </w:r>
      <w:proofErr w:type="spellEnd"/>
      <w:r w:rsidRPr="008C4745">
        <w:rPr>
          <w:rFonts w:ascii="Times New Roman" w:hAnsi="Times New Roman" w:cs="Times New Roman"/>
          <w:sz w:val="28"/>
          <w:szCs w:val="28"/>
        </w:rPr>
        <w:t xml:space="preserve"> Organization. (2020). International </w:t>
      </w:r>
      <w:proofErr w:type="spellStart"/>
      <w:r w:rsidRPr="008C4745">
        <w:rPr>
          <w:rFonts w:ascii="Times New Roman" w:hAnsi="Times New Roman" w:cs="Times New Roman"/>
          <w:sz w:val="28"/>
          <w:szCs w:val="28"/>
        </w:rPr>
        <w:t>Labour</w:t>
      </w:r>
      <w:proofErr w:type="spellEnd"/>
      <w:r w:rsidRPr="008C4745">
        <w:rPr>
          <w:rFonts w:ascii="Times New Roman" w:hAnsi="Times New Roman" w:cs="Times New Roman"/>
          <w:sz w:val="28"/>
          <w:szCs w:val="28"/>
        </w:rPr>
        <w:t xml:space="preserve"> Standards. ILO Publications.</w:t>
      </w:r>
    </w:p>
    <w:p w14:paraId="3A98F6E6"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IPCC. (2022). Climate Change 2022: Mitigation of Climate Change. Intergovern</w:t>
      </w:r>
      <w:r w:rsidR="008C4745" w:rsidRPr="008C4745">
        <w:rPr>
          <w:rFonts w:ascii="Times New Roman" w:hAnsi="Times New Roman" w:cs="Times New Roman"/>
          <w:sz w:val="28"/>
          <w:szCs w:val="28"/>
        </w:rPr>
        <w:t xml:space="preserve">mental Panel on Climate Change. </w:t>
      </w:r>
      <w:r w:rsidRPr="008C4745">
        <w:rPr>
          <w:rFonts w:ascii="Times New Roman" w:hAnsi="Times New Roman" w:cs="Times New Roman"/>
          <w:sz w:val="28"/>
          <w:szCs w:val="28"/>
        </w:rPr>
        <w:t xml:space="preserve"> https://doi.org/10.1017/9781009157926</w:t>
      </w:r>
    </w:p>
    <w:p w14:paraId="19449C71"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lastRenderedPageBreak/>
        <w:t xml:space="preserve">Jayaram, J., &amp; </w:t>
      </w:r>
      <w:proofErr w:type="spellStart"/>
      <w:r w:rsidRPr="008C4745">
        <w:rPr>
          <w:rFonts w:ascii="Times New Roman" w:hAnsi="Times New Roman" w:cs="Times New Roman"/>
          <w:sz w:val="28"/>
          <w:szCs w:val="28"/>
        </w:rPr>
        <w:t>Avittathur</w:t>
      </w:r>
      <w:proofErr w:type="spellEnd"/>
      <w:r w:rsidRPr="008C4745">
        <w:rPr>
          <w:rFonts w:ascii="Times New Roman" w:hAnsi="Times New Roman" w:cs="Times New Roman"/>
          <w:sz w:val="28"/>
          <w:szCs w:val="28"/>
        </w:rPr>
        <w:t>, B. (2015). Green supply chains: A perspective from an emerging economy. International Journal of Prod</w:t>
      </w:r>
      <w:r w:rsidR="008C4745" w:rsidRPr="008C4745">
        <w:rPr>
          <w:rFonts w:ascii="Times New Roman" w:hAnsi="Times New Roman" w:cs="Times New Roman"/>
          <w:sz w:val="28"/>
          <w:szCs w:val="28"/>
        </w:rPr>
        <w:t xml:space="preserve">uction Economics, 164, 234–244. </w:t>
      </w:r>
      <w:r w:rsidRPr="008C4745">
        <w:rPr>
          <w:rFonts w:ascii="Times New Roman" w:hAnsi="Times New Roman" w:cs="Times New Roman"/>
          <w:sz w:val="28"/>
          <w:szCs w:val="28"/>
        </w:rPr>
        <w:t>https://doi.org/10.1016/j.ijpe.2015.01.010</w:t>
      </w:r>
    </w:p>
    <w:p w14:paraId="78324814"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Koh, L., et al. (2022). Blockchain applications in sustainable supply chain management: Evidence from ASEAN. Supply Chain Management: An Interna</w:t>
      </w:r>
      <w:r w:rsidR="008C4745" w:rsidRPr="008C4745">
        <w:rPr>
          <w:rFonts w:ascii="Times New Roman" w:hAnsi="Times New Roman" w:cs="Times New Roman"/>
          <w:sz w:val="28"/>
          <w:szCs w:val="28"/>
        </w:rPr>
        <w:t xml:space="preserve">tional Journal, 27(4), 512–526. </w:t>
      </w:r>
      <w:r w:rsidRPr="008C4745">
        <w:rPr>
          <w:rFonts w:ascii="Times New Roman" w:hAnsi="Times New Roman" w:cs="Times New Roman"/>
          <w:sz w:val="28"/>
          <w:szCs w:val="28"/>
        </w:rPr>
        <w:t xml:space="preserve"> https://doi.org/10.1108/SCM-03-2021-0138</w:t>
      </w:r>
    </w:p>
    <w:p w14:paraId="3C042DD6"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Seuring, S., &amp; Müller, M. (2008). From a literature review to a conceptual framework for sustainable supply chain management. Journal of Cleaner</w:t>
      </w:r>
      <w:r w:rsidR="008C4745" w:rsidRPr="008C4745">
        <w:rPr>
          <w:rFonts w:ascii="Times New Roman" w:hAnsi="Times New Roman" w:cs="Times New Roman"/>
          <w:sz w:val="28"/>
          <w:szCs w:val="28"/>
        </w:rPr>
        <w:t xml:space="preserve"> Production, 16(15), 1699–1710.</w:t>
      </w:r>
      <w:r w:rsidRPr="008C4745">
        <w:rPr>
          <w:rFonts w:ascii="Times New Roman" w:hAnsi="Times New Roman" w:cs="Times New Roman"/>
          <w:sz w:val="28"/>
          <w:szCs w:val="28"/>
        </w:rPr>
        <w:t xml:space="preserve"> https://doi.org/10.1016/j.jclepro.2008.04.020</w:t>
      </w:r>
    </w:p>
    <w:p w14:paraId="075F4D47"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TEEB. (2010). The Economics of Ecosystems and Biodiversity: Mainstreaming the Economics of Nature. UNEP.</w:t>
      </w:r>
    </w:p>
    <w:p w14:paraId="6E244ACC"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World Resources Institute. (2020). Reducing Supply Chain Emissions: A Guide for Businesses. WRI Publications.</w:t>
      </w:r>
    </w:p>
    <w:p w14:paraId="0156622F" w14:textId="77777777" w:rsidR="00B830D8" w:rsidRPr="008C4745" w:rsidRDefault="00B830D8" w:rsidP="008C4745">
      <w:pPr>
        <w:pStyle w:val="ListParagraph"/>
        <w:numPr>
          <w:ilvl w:val="0"/>
          <w:numId w:val="6"/>
        </w:numPr>
        <w:jc w:val="both"/>
        <w:rPr>
          <w:rFonts w:ascii="Times New Roman" w:hAnsi="Times New Roman" w:cs="Times New Roman"/>
          <w:sz w:val="28"/>
          <w:szCs w:val="28"/>
        </w:rPr>
      </w:pPr>
      <w:r w:rsidRPr="008C4745">
        <w:rPr>
          <w:rFonts w:ascii="Times New Roman" w:hAnsi="Times New Roman" w:cs="Times New Roman"/>
          <w:sz w:val="28"/>
          <w:szCs w:val="28"/>
        </w:rPr>
        <w:t xml:space="preserve">Yin, R. K. (2014). Case Study Research: Design </w:t>
      </w:r>
      <w:r w:rsidR="008C4745" w:rsidRPr="008C4745">
        <w:rPr>
          <w:rFonts w:ascii="Times New Roman" w:hAnsi="Times New Roman" w:cs="Times New Roman"/>
          <w:sz w:val="28"/>
          <w:szCs w:val="28"/>
        </w:rPr>
        <w:t xml:space="preserve">and Methods. Sage Publications. </w:t>
      </w:r>
      <w:r w:rsidRPr="008C4745">
        <w:rPr>
          <w:rFonts w:ascii="Times New Roman" w:hAnsi="Times New Roman" w:cs="Times New Roman"/>
          <w:sz w:val="28"/>
          <w:szCs w:val="28"/>
        </w:rPr>
        <w:t>ISBN: 978-1-4522-4256-9</w:t>
      </w:r>
    </w:p>
    <w:sectPr w:rsidR="00B830D8" w:rsidRPr="008C474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060D5" w14:textId="77777777" w:rsidR="007531A5" w:rsidRDefault="007531A5" w:rsidP="007B6391">
      <w:pPr>
        <w:spacing w:after="0" w:line="240" w:lineRule="auto"/>
      </w:pPr>
      <w:r>
        <w:separator/>
      </w:r>
    </w:p>
  </w:endnote>
  <w:endnote w:type="continuationSeparator" w:id="0">
    <w:p w14:paraId="1536E399" w14:textId="77777777" w:rsidR="007531A5" w:rsidRDefault="007531A5" w:rsidP="007B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39B4" w14:textId="77777777" w:rsidR="007B6391" w:rsidRDefault="007B6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3DD73" w14:textId="77777777" w:rsidR="007B6391" w:rsidRDefault="007B6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C993" w14:textId="77777777" w:rsidR="007B6391" w:rsidRDefault="007B6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FFECC" w14:textId="77777777" w:rsidR="007531A5" w:rsidRDefault="007531A5" w:rsidP="007B6391">
      <w:pPr>
        <w:spacing w:after="0" w:line="240" w:lineRule="auto"/>
      </w:pPr>
      <w:r>
        <w:separator/>
      </w:r>
    </w:p>
  </w:footnote>
  <w:footnote w:type="continuationSeparator" w:id="0">
    <w:p w14:paraId="34449251" w14:textId="77777777" w:rsidR="007531A5" w:rsidRDefault="007531A5" w:rsidP="007B6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9676" w14:textId="543FA4BC" w:rsidR="007B6391" w:rsidRDefault="007B6391">
    <w:pPr>
      <w:pStyle w:val="Header"/>
    </w:pPr>
    <w:r>
      <w:rPr>
        <w:noProof/>
      </w:rPr>
      <w:pict w14:anchorId="33E0D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84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CF8A" w14:textId="47679749" w:rsidR="007B6391" w:rsidRDefault="007B6391">
    <w:pPr>
      <w:pStyle w:val="Header"/>
    </w:pPr>
    <w:r>
      <w:rPr>
        <w:noProof/>
      </w:rPr>
      <w:pict w14:anchorId="0A10F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84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9B7C0" w14:textId="78F4D1DD" w:rsidR="007B6391" w:rsidRDefault="007B6391">
    <w:pPr>
      <w:pStyle w:val="Header"/>
    </w:pPr>
    <w:r>
      <w:rPr>
        <w:noProof/>
      </w:rPr>
      <w:pict w14:anchorId="1BADE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84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1A49"/>
    <w:multiLevelType w:val="hybridMultilevel"/>
    <w:tmpl w:val="34D2C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A04A9"/>
    <w:multiLevelType w:val="hybridMultilevel"/>
    <w:tmpl w:val="1462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0736B"/>
    <w:multiLevelType w:val="hybridMultilevel"/>
    <w:tmpl w:val="673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F1BE4"/>
    <w:multiLevelType w:val="hybridMultilevel"/>
    <w:tmpl w:val="553083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16C3F"/>
    <w:multiLevelType w:val="hybridMultilevel"/>
    <w:tmpl w:val="01C6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C1C52"/>
    <w:multiLevelType w:val="hybridMultilevel"/>
    <w:tmpl w:val="4F1C4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46"/>
    <w:rsid w:val="001633F5"/>
    <w:rsid w:val="00220E83"/>
    <w:rsid w:val="00294623"/>
    <w:rsid w:val="002A5C4C"/>
    <w:rsid w:val="003A3C46"/>
    <w:rsid w:val="003A42BF"/>
    <w:rsid w:val="00507ABF"/>
    <w:rsid w:val="00561B1D"/>
    <w:rsid w:val="00634056"/>
    <w:rsid w:val="007531A5"/>
    <w:rsid w:val="00761ED6"/>
    <w:rsid w:val="007B6391"/>
    <w:rsid w:val="00880906"/>
    <w:rsid w:val="0089431C"/>
    <w:rsid w:val="008C4745"/>
    <w:rsid w:val="008E1D07"/>
    <w:rsid w:val="009C1515"/>
    <w:rsid w:val="00A71E0A"/>
    <w:rsid w:val="00AD7C8F"/>
    <w:rsid w:val="00B830D8"/>
    <w:rsid w:val="00B9416F"/>
    <w:rsid w:val="00C165FE"/>
    <w:rsid w:val="00D2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BE7ACD"/>
  <w15:chartTrackingRefBased/>
  <w15:docId w15:val="{2A918A2A-8508-4E0C-AA9D-1340162C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0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7C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D7C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3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0D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30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D7C8F"/>
    <w:pPr>
      <w:ind w:left="720"/>
      <w:contextualSpacing/>
    </w:pPr>
  </w:style>
  <w:style w:type="character" w:customStyle="1" w:styleId="Heading2Char">
    <w:name w:val="Heading 2 Char"/>
    <w:basedOn w:val="DefaultParagraphFont"/>
    <w:link w:val="Heading2"/>
    <w:uiPriority w:val="9"/>
    <w:rsid w:val="00AD7C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D7C8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8C4745"/>
    <w:pPr>
      <w:outlineLvl w:val="9"/>
    </w:pPr>
  </w:style>
  <w:style w:type="paragraph" w:styleId="TOC1">
    <w:name w:val="toc 1"/>
    <w:basedOn w:val="Normal"/>
    <w:next w:val="Normal"/>
    <w:autoRedefine/>
    <w:uiPriority w:val="39"/>
    <w:unhideWhenUsed/>
    <w:rsid w:val="008C4745"/>
    <w:pPr>
      <w:spacing w:after="100"/>
    </w:pPr>
  </w:style>
  <w:style w:type="paragraph" w:styleId="TOC2">
    <w:name w:val="toc 2"/>
    <w:basedOn w:val="Normal"/>
    <w:next w:val="Normal"/>
    <w:autoRedefine/>
    <w:uiPriority w:val="39"/>
    <w:unhideWhenUsed/>
    <w:rsid w:val="008C4745"/>
    <w:pPr>
      <w:spacing w:after="100"/>
      <w:ind w:left="220"/>
    </w:pPr>
  </w:style>
  <w:style w:type="paragraph" w:styleId="TOC3">
    <w:name w:val="toc 3"/>
    <w:basedOn w:val="Normal"/>
    <w:next w:val="Normal"/>
    <w:autoRedefine/>
    <w:uiPriority w:val="39"/>
    <w:unhideWhenUsed/>
    <w:rsid w:val="008C4745"/>
    <w:pPr>
      <w:spacing w:after="100"/>
      <w:ind w:left="440"/>
    </w:pPr>
  </w:style>
  <w:style w:type="character" w:styleId="Hyperlink">
    <w:name w:val="Hyperlink"/>
    <w:basedOn w:val="DefaultParagraphFont"/>
    <w:uiPriority w:val="99"/>
    <w:unhideWhenUsed/>
    <w:rsid w:val="008C4745"/>
    <w:rPr>
      <w:color w:val="0563C1" w:themeColor="hyperlink"/>
      <w:u w:val="single"/>
    </w:rPr>
  </w:style>
  <w:style w:type="character" w:styleId="UnresolvedMention">
    <w:name w:val="Unresolved Mention"/>
    <w:basedOn w:val="DefaultParagraphFont"/>
    <w:uiPriority w:val="99"/>
    <w:semiHidden/>
    <w:unhideWhenUsed/>
    <w:rsid w:val="00294623"/>
    <w:rPr>
      <w:color w:val="605E5C"/>
      <w:shd w:val="clear" w:color="auto" w:fill="E1DFDD"/>
    </w:rPr>
  </w:style>
  <w:style w:type="paragraph" w:styleId="Header">
    <w:name w:val="header"/>
    <w:basedOn w:val="Normal"/>
    <w:link w:val="HeaderChar"/>
    <w:uiPriority w:val="99"/>
    <w:unhideWhenUsed/>
    <w:rsid w:val="007B6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91"/>
  </w:style>
  <w:style w:type="paragraph" w:styleId="Footer">
    <w:name w:val="footer"/>
    <w:basedOn w:val="Normal"/>
    <w:link w:val="FooterChar"/>
    <w:uiPriority w:val="99"/>
    <w:unhideWhenUsed/>
    <w:rsid w:val="007B6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304A7-4024-408C-8F09-C85E96B5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24</Pages>
  <Words>7370</Words>
  <Characters>42012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dc:creator>
  <cp:keywords/>
  <dc:description/>
  <cp:lastModifiedBy>SDI 1180</cp:lastModifiedBy>
  <cp:revision>11</cp:revision>
  <dcterms:created xsi:type="dcterms:W3CDTF">2025-09-06T02:43:00Z</dcterms:created>
  <dcterms:modified xsi:type="dcterms:W3CDTF">2025-09-06T11:19:00Z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76f196e8-be20-4282-aafd-46bfc0b5a64a</vt:lpwstr>
  </property>
</Properties>
</file>