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BB8F07" w14:textId="77777777" w:rsidR="00885121" w:rsidRDefault="00885121">
      <w:pPr>
        <w:pStyle w:val="Heading1"/>
        <w:keepNext w:val="0"/>
        <w:keepLines w:val="0"/>
        <w:spacing w:before="480" w:line="360" w:lineRule="auto"/>
        <w:jc w:val="both"/>
        <w:rPr>
          <w:rFonts w:ascii="Times New Roman" w:eastAsia="Times New Roman" w:hAnsi="Times New Roman" w:cs="Times New Roman"/>
          <w:b/>
          <w:bCs/>
          <w:sz w:val="24"/>
          <w:szCs w:val="24"/>
        </w:rPr>
      </w:pPr>
      <w:r w:rsidRPr="00885121">
        <w:rPr>
          <w:rFonts w:ascii="Times New Roman" w:eastAsia="Times New Roman" w:hAnsi="Times New Roman" w:cs="Times New Roman"/>
          <w:b/>
          <w:bCs/>
          <w:sz w:val="24"/>
          <w:szCs w:val="24"/>
        </w:rPr>
        <w:t xml:space="preserve">Original Research Article </w:t>
      </w:r>
    </w:p>
    <w:p w14:paraId="00000001" w14:textId="0A6AF5C9" w:rsidR="004A2C61" w:rsidRDefault="00242988">
      <w:pPr>
        <w:pStyle w:val="Heading1"/>
        <w:keepNext w:val="0"/>
        <w:keepLines w:val="0"/>
        <w:spacing w:before="48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Employee Well-Being as a Pillar of Sustainability</w:t>
      </w:r>
    </w:p>
    <w:p w14:paraId="5EF9C1A4" w14:textId="77777777" w:rsidR="00885121" w:rsidRPr="00885121" w:rsidRDefault="00885121" w:rsidP="00885121">
      <w:bookmarkStart w:id="0" w:name="_GoBack"/>
      <w:bookmarkEnd w:id="0"/>
    </w:p>
    <w:p w14:paraId="00000005" w14:textId="77777777" w:rsidR="004A2C61" w:rsidRDefault="004A2C61">
      <w:pPr>
        <w:spacing w:line="360" w:lineRule="auto"/>
      </w:pPr>
    </w:p>
    <w:p w14:paraId="00000006" w14:textId="77777777" w:rsidR="004A2C61" w:rsidRDefault="004A2C61">
      <w:pPr>
        <w:spacing w:line="360" w:lineRule="auto"/>
      </w:pPr>
    </w:p>
    <w:p w14:paraId="00000007" w14:textId="77777777" w:rsidR="004A2C61" w:rsidRDefault="0024298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00000008" w14:textId="77777777" w:rsidR="004A2C61" w:rsidRDefault="004A2C61">
      <w:pPr>
        <w:spacing w:line="360" w:lineRule="auto"/>
        <w:jc w:val="both"/>
        <w:rPr>
          <w:rFonts w:ascii="Times New Roman" w:eastAsia="Times New Roman" w:hAnsi="Times New Roman" w:cs="Times New Roman"/>
          <w:sz w:val="24"/>
          <w:szCs w:val="24"/>
        </w:rPr>
      </w:pPr>
    </w:p>
    <w:p w14:paraId="00000009" w14:textId="77777777" w:rsidR="004A2C61" w:rsidRDefault="0024298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Sustainability has become a multidimensional phenomenon that includes economic sustainability, environmental su</w:t>
      </w:r>
      <w:r>
        <w:rPr>
          <w:rFonts w:ascii="Times New Roman" w:eastAsia="Times New Roman" w:hAnsi="Times New Roman" w:cs="Times New Roman"/>
          <w:sz w:val="24"/>
          <w:szCs w:val="24"/>
        </w:rPr>
        <w:t>stainability and social equity. Over the last few years, the social aspect of sustainability, especially employee welfare, has been in the spotlight with organizations realizing the importance of human capital in ensuring long-term sustainability and perfo</w:t>
      </w:r>
      <w:r>
        <w:rPr>
          <w:rFonts w:ascii="Times New Roman" w:eastAsia="Times New Roman" w:hAnsi="Times New Roman" w:cs="Times New Roman"/>
          <w:sz w:val="24"/>
          <w:szCs w:val="24"/>
        </w:rPr>
        <w:t xml:space="preserve">rmance. The article reviewed is a synthesis of theoretical and empirical sources that </w:t>
      </w:r>
      <w:proofErr w:type="spellStart"/>
      <w:r>
        <w:rPr>
          <w:rFonts w:ascii="Times New Roman" w:eastAsia="Times New Roman" w:hAnsi="Times New Roman" w:cs="Times New Roman"/>
          <w:sz w:val="24"/>
          <w:szCs w:val="24"/>
        </w:rPr>
        <w:t>analyse</w:t>
      </w:r>
      <w:proofErr w:type="spellEnd"/>
      <w:r>
        <w:rPr>
          <w:rFonts w:ascii="Times New Roman" w:eastAsia="Times New Roman" w:hAnsi="Times New Roman" w:cs="Times New Roman"/>
          <w:sz w:val="24"/>
          <w:szCs w:val="24"/>
        </w:rPr>
        <w:t xml:space="preserve"> the correlation between sustainability practices and employee well-being and pays more attention to post-COVID changes in workplaces.</w:t>
      </w:r>
    </w:p>
    <w:p w14:paraId="0000000A" w14:textId="77777777" w:rsidR="004A2C61" w:rsidRDefault="004A2C61">
      <w:pPr>
        <w:spacing w:line="360" w:lineRule="auto"/>
        <w:jc w:val="both"/>
        <w:rPr>
          <w:rFonts w:ascii="Times New Roman" w:eastAsia="Times New Roman" w:hAnsi="Times New Roman" w:cs="Times New Roman"/>
          <w:sz w:val="24"/>
          <w:szCs w:val="24"/>
        </w:rPr>
      </w:pPr>
    </w:p>
    <w:p w14:paraId="0000000B" w14:textId="77777777" w:rsidR="004A2C61" w:rsidRDefault="0024298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review is based on the established frameworks including the theories of sustainability-related organization practices, namely the triple bottom line theory, stakeholder theory, social exchange theory, the job demands-resources theory, and self-determin</w:t>
      </w:r>
      <w:r>
        <w:rPr>
          <w:rFonts w:ascii="Times New Roman" w:eastAsia="Times New Roman" w:hAnsi="Times New Roman" w:cs="Times New Roman"/>
          <w:sz w:val="24"/>
          <w:szCs w:val="24"/>
        </w:rPr>
        <w:t>ation theory, and reflects how the organization practice of sustainability can affect the physical, psychological, and social well-being of employees. The review marries both the international literature and the literature on the Indian context and uncover</w:t>
      </w:r>
      <w:r>
        <w:rPr>
          <w:rFonts w:ascii="Times New Roman" w:eastAsia="Times New Roman" w:hAnsi="Times New Roman" w:cs="Times New Roman"/>
          <w:sz w:val="24"/>
          <w:szCs w:val="24"/>
        </w:rPr>
        <w:t>s a balanced and contextually pertinent picture of the sustainability-well-being nexus. Special focus is made on sustainable human resource management practices, leadership, flexible work arrangements, and mental health initiatives that become more popular</w:t>
      </w:r>
      <w:r>
        <w:rPr>
          <w:rFonts w:ascii="Times New Roman" w:eastAsia="Times New Roman" w:hAnsi="Times New Roman" w:cs="Times New Roman"/>
          <w:sz w:val="24"/>
          <w:szCs w:val="24"/>
        </w:rPr>
        <w:t xml:space="preserve"> in the course of and after the COVID-19 pandemic.</w:t>
      </w:r>
    </w:p>
    <w:p w14:paraId="0000000C" w14:textId="77777777" w:rsidR="004A2C61" w:rsidRDefault="004A2C61">
      <w:pPr>
        <w:spacing w:line="360" w:lineRule="auto"/>
        <w:jc w:val="both"/>
        <w:rPr>
          <w:rFonts w:ascii="Times New Roman" w:eastAsia="Times New Roman" w:hAnsi="Times New Roman" w:cs="Times New Roman"/>
          <w:sz w:val="24"/>
          <w:szCs w:val="24"/>
        </w:rPr>
      </w:pPr>
    </w:p>
    <w:p w14:paraId="0000000D" w14:textId="77777777" w:rsidR="004A2C61" w:rsidRDefault="0024298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have shown that there is a positive and significant correlation between sustainability-oriented organizational behavior and employee performance in the form of job satisfaction, engagement, wo</w:t>
      </w:r>
      <w:r>
        <w:rPr>
          <w:rFonts w:ascii="Times New Roman" w:eastAsia="Times New Roman" w:hAnsi="Times New Roman" w:cs="Times New Roman"/>
          <w:sz w:val="24"/>
          <w:szCs w:val="24"/>
        </w:rPr>
        <w:t xml:space="preserve">rk-life balance, and psychological well-being. Companies that incorporate employee welfare in its sustainability initiatives are in a better position to boost organizational </w:t>
      </w:r>
      <w:r>
        <w:rPr>
          <w:rFonts w:ascii="Times New Roman" w:eastAsia="Times New Roman" w:hAnsi="Times New Roman" w:cs="Times New Roman"/>
          <w:sz w:val="24"/>
          <w:szCs w:val="24"/>
        </w:rPr>
        <w:lastRenderedPageBreak/>
        <w:t>commitment, burnout and long-term organizational resilience. Nevertheless, the rev</w:t>
      </w:r>
      <w:r>
        <w:rPr>
          <w:rFonts w:ascii="Times New Roman" w:eastAsia="Times New Roman" w:hAnsi="Times New Roman" w:cs="Times New Roman"/>
          <w:sz w:val="24"/>
          <w:szCs w:val="24"/>
        </w:rPr>
        <w:t>iew also singles out such challenges as work intensity and role overload in case of poor implementation of sustainability initiatives.</w:t>
      </w:r>
    </w:p>
    <w:p w14:paraId="0000000E" w14:textId="77777777" w:rsidR="004A2C61" w:rsidRDefault="004A2C61">
      <w:pPr>
        <w:spacing w:line="360" w:lineRule="auto"/>
        <w:jc w:val="both"/>
        <w:rPr>
          <w:rFonts w:ascii="Times New Roman" w:eastAsia="Times New Roman" w:hAnsi="Times New Roman" w:cs="Times New Roman"/>
          <w:sz w:val="24"/>
          <w:szCs w:val="24"/>
        </w:rPr>
      </w:pPr>
    </w:p>
    <w:p w14:paraId="0000000F" w14:textId="77777777" w:rsidR="004A2C61" w:rsidRDefault="0024298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article adds to the literature by strengthening the employee well-being as a result and a cause of organizational su</w:t>
      </w:r>
      <w:r>
        <w:rPr>
          <w:rFonts w:ascii="Times New Roman" w:eastAsia="Times New Roman" w:hAnsi="Times New Roman" w:cs="Times New Roman"/>
          <w:sz w:val="24"/>
          <w:szCs w:val="24"/>
        </w:rPr>
        <w:t>stainability. It provides useful information to managers and policymakers who will aim to formulate human-oriented sustainability policies and points to future research directions, such as the necessity of longitudinal research and more emphasis on emergin</w:t>
      </w:r>
      <w:r>
        <w:rPr>
          <w:rFonts w:ascii="Times New Roman" w:eastAsia="Times New Roman" w:hAnsi="Times New Roman" w:cs="Times New Roman"/>
          <w:sz w:val="24"/>
          <w:szCs w:val="24"/>
        </w:rPr>
        <w:t>g economies.</w:t>
      </w:r>
    </w:p>
    <w:p w14:paraId="00000010" w14:textId="77777777" w:rsidR="004A2C61" w:rsidRDefault="0024298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Keywords: Employee well-being, organizational sustainability, social sustainability, sustainable human resource management, post-COVID workplace practices</w:t>
      </w:r>
    </w:p>
    <w:p w14:paraId="00000011" w14:textId="77777777" w:rsidR="004A2C61" w:rsidRDefault="00242988">
      <w:pPr>
        <w:pStyle w:val="Heading2"/>
        <w:keepNext w:val="0"/>
        <w:keepLines w:val="0"/>
        <w:spacing w:after="80" w:line="360" w:lineRule="auto"/>
        <w:jc w:val="both"/>
        <w:rPr>
          <w:rFonts w:ascii="Times New Roman" w:eastAsia="Times New Roman" w:hAnsi="Times New Roman" w:cs="Times New Roman"/>
          <w:b/>
          <w:bCs/>
          <w:sz w:val="24"/>
          <w:szCs w:val="24"/>
        </w:rPr>
      </w:pPr>
      <w:bookmarkStart w:id="1" w:name="_22u9oh3qbfzf" w:colFirst="0" w:colLast="0"/>
      <w:bookmarkEnd w:id="1"/>
      <w:r>
        <w:rPr>
          <w:rFonts w:ascii="Times New Roman" w:eastAsia="Times New Roman" w:hAnsi="Times New Roman" w:cs="Times New Roman"/>
          <w:b/>
          <w:bCs/>
          <w:sz w:val="24"/>
          <w:szCs w:val="24"/>
        </w:rPr>
        <w:t>Introduction</w:t>
      </w:r>
    </w:p>
    <w:p w14:paraId="00000012" w14:textId="77777777" w:rsidR="004A2C61" w:rsidRDefault="00242988">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Sustainability has become one of the key organizing concepts in the new </w:t>
      </w:r>
      <w:r>
        <w:rPr>
          <w:rFonts w:ascii="Times New Roman" w:eastAsia="Times New Roman" w:hAnsi="Times New Roman" w:cs="Times New Roman"/>
          <w:sz w:val="24"/>
          <w:szCs w:val="24"/>
        </w:rPr>
        <w:t xml:space="preserve">organizational discourse, way beyond its initial environmental focus, to include economic feasibility and social justice. The contemporary explanations focus more and more on the triple bottom line (TBL) approach which states that long term organizational </w:t>
      </w:r>
      <w:r>
        <w:rPr>
          <w:rFonts w:ascii="Times New Roman" w:eastAsia="Times New Roman" w:hAnsi="Times New Roman" w:cs="Times New Roman"/>
          <w:sz w:val="24"/>
          <w:szCs w:val="24"/>
        </w:rPr>
        <w:t>prosperity rests on balanced approach to economic performance, environmental care, and social accountability (Elkington, 1997). In this context, the social aspect of sustainability, especially the welfare of the employees has been re-emphasized where organ</w:t>
      </w:r>
      <w:r>
        <w:rPr>
          <w:rFonts w:ascii="Times New Roman" w:eastAsia="Times New Roman" w:hAnsi="Times New Roman" w:cs="Times New Roman"/>
          <w:sz w:val="24"/>
          <w:szCs w:val="24"/>
        </w:rPr>
        <w:t>izations have considered human capital as a primary resilience factor, productivity and long-term competitiveness.</w:t>
      </w:r>
    </w:p>
    <w:p w14:paraId="00000013" w14:textId="77777777" w:rsidR="004A2C61" w:rsidRDefault="004A2C61">
      <w:pPr>
        <w:spacing w:before="240" w:after="240" w:line="360" w:lineRule="auto"/>
        <w:jc w:val="both"/>
        <w:rPr>
          <w:rFonts w:ascii="Times New Roman" w:eastAsia="Times New Roman" w:hAnsi="Times New Roman" w:cs="Times New Roman"/>
          <w:sz w:val="24"/>
          <w:szCs w:val="24"/>
        </w:rPr>
      </w:pPr>
    </w:p>
    <w:p w14:paraId="00000014" w14:textId="77777777" w:rsidR="004A2C61" w:rsidRDefault="00242988">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concept of employee well-being is multidimensional because it involves physical health, psychological well-being, job satisfaction, work</w:t>
      </w:r>
      <w:r>
        <w:rPr>
          <w:rFonts w:ascii="Times New Roman" w:eastAsia="Times New Roman" w:hAnsi="Times New Roman" w:cs="Times New Roman"/>
          <w:sz w:val="24"/>
          <w:szCs w:val="24"/>
        </w:rPr>
        <w:t>-life balance, and purpose at work (Guest, 2017). Recent studies indicate that companies that focus on the well-being of the employees can have more engagement and commitment levels as well as better performance that may in turn decrease absenteeism and tu</w:t>
      </w:r>
      <w:r>
        <w:rPr>
          <w:rFonts w:ascii="Times New Roman" w:eastAsia="Times New Roman" w:hAnsi="Times New Roman" w:cs="Times New Roman"/>
          <w:sz w:val="24"/>
          <w:szCs w:val="24"/>
        </w:rPr>
        <w:t>rnover (Harter et al., 2002). In the perspective of sustainability, this highlights the reason why employee well-being is not an ethical requirement but a strategic requirement in the overall attainment of organizational sustainability in the long-term (Pf</w:t>
      </w:r>
      <w:r>
        <w:rPr>
          <w:rFonts w:ascii="Times New Roman" w:eastAsia="Times New Roman" w:hAnsi="Times New Roman" w:cs="Times New Roman"/>
          <w:sz w:val="24"/>
          <w:szCs w:val="24"/>
        </w:rPr>
        <w:t>effer, 2010).</w:t>
      </w:r>
    </w:p>
    <w:p w14:paraId="00000015" w14:textId="77777777" w:rsidR="004A2C61" w:rsidRDefault="00242988">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Rationale of the Study</w:t>
      </w:r>
    </w:p>
    <w:p w14:paraId="00000016" w14:textId="77777777" w:rsidR="004A2C61" w:rsidRDefault="00242988">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argument behind conducting the current study is that employee well-being is gradually being considered as a determinant as well as outcome of organizational sustainability. Although the sustainability initiatives ar</w:t>
      </w:r>
      <w:r>
        <w:rPr>
          <w:rFonts w:ascii="Times New Roman" w:eastAsia="Times New Roman" w:hAnsi="Times New Roman" w:cs="Times New Roman"/>
          <w:sz w:val="24"/>
          <w:szCs w:val="24"/>
        </w:rPr>
        <w:t>e commonly created to respond to the environmental issues or the demands of the external stakeholders, the level of their effectiveness is highly dependent on the acceptance, motivation, and engagement of the employees. In the absence of a healthy, engaged</w:t>
      </w:r>
      <w:r>
        <w:rPr>
          <w:rFonts w:ascii="Times New Roman" w:eastAsia="Times New Roman" w:hAnsi="Times New Roman" w:cs="Times New Roman"/>
          <w:sz w:val="24"/>
          <w:szCs w:val="24"/>
        </w:rPr>
        <w:t>, and motivated workforce, the sustainability effort will be kept only as a form of symbolic or short-term (</w:t>
      </w:r>
      <w:proofErr w:type="spellStart"/>
      <w:r>
        <w:rPr>
          <w:rFonts w:ascii="Times New Roman" w:eastAsia="Times New Roman" w:hAnsi="Times New Roman" w:cs="Times New Roman"/>
          <w:sz w:val="24"/>
          <w:szCs w:val="24"/>
        </w:rPr>
        <w:t>Dyllick</w:t>
      </w:r>
      <w:proofErr w:type="spellEnd"/>
      <w:r>
        <w:rPr>
          <w:rFonts w:ascii="Times New Roman" w:eastAsia="Times New Roman" w:hAnsi="Times New Roman" w:cs="Times New Roman"/>
          <w:sz w:val="24"/>
          <w:szCs w:val="24"/>
        </w:rPr>
        <w:t xml:space="preserve"> and Muff, 2016).</w:t>
      </w:r>
    </w:p>
    <w:p w14:paraId="00000017" w14:textId="77777777" w:rsidR="004A2C61" w:rsidRDefault="00242988">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COVID-19 pandemic also contributed to heightening this relationship, revealing the vulnerable situation in the workplac</w:t>
      </w:r>
      <w:r>
        <w:rPr>
          <w:rFonts w:ascii="Times New Roman" w:eastAsia="Times New Roman" w:hAnsi="Times New Roman" w:cs="Times New Roman"/>
          <w:sz w:val="24"/>
          <w:szCs w:val="24"/>
        </w:rPr>
        <w:t>e systems regarding job security, mental health, workload, and work-life balance. The swift changes to remote and hybrid work patterns provided more flexibility opportunities but also generated the problems of the intensification of work and digital exhaus</w:t>
      </w:r>
      <w:r>
        <w:rPr>
          <w:rFonts w:ascii="Times New Roman" w:eastAsia="Times New Roman" w:hAnsi="Times New Roman" w:cs="Times New Roman"/>
          <w:sz w:val="24"/>
          <w:szCs w:val="24"/>
        </w:rPr>
        <w:t>tion, as well as work-family boundaries (Allen et al., 2015). These changes have increased the value of integrating employee welfare in the sustainability plans instead of considering it as a marginal human resource issue.</w:t>
      </w:r>
    </w:p>
    <w:p w14:paraId="00000018" w14:textId="77777777" w:rsidR="004A2C61" w:rsidRDefault="00242988">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spite of this increased topica</w:t>
      </w:r>
      <w:r>
        <w:rPr>
          <w:rFonts w:ascii="Times New Roman" w:eastAsia="Times New Roman" w:hAnsi="Times New Roman" w:cs="Times New Roman"/>
          <w:sz w:val="24"/>
          <w:szCs w:val="24"/>
        </w:rPr>
        <w:t>lity, the current literature is still rather fragmented in terms of disciplines (management, organizational psychology and sustainability studies). Numerous studies emphasize specific components of well-being or sustainability, but little is done to combin</w:t>
      </w:r>
      <w:r>
        <w:rPr>
          <w:rFonts w:ascii="Times New Roman" w:eastAsia="Times New Roman" w:hAnsi="Times New Roman" w:cs="Times New Roman"/>
          <w:sz w:val="24"/>
          <w:szCs w:val="24"/>
        </w:rPr>
        <w:t xml:space="preserve">e them into a cohesive understanding of how sustainability practices of the organizations have a systematic impact on employee well-being, especially in post-pandemic conditions and developing economies. This gap gives a solid rationale of having a review </w:t>
      </w:r>
      <w:r>
        <w:rPr>
          <w:rFonts w:ascii="Times New Roman" w:eastAsia="Times New Roman" w:hAnsi="Times New Roman" w:cs="Times New Roman"/>
          <w:sz w:val="24"/>
          <w:szCs w:val="24"/>
        </w:rPr>
        <w:t>and synthesis of theoretical and empirical literature concerning sustainability-well-being nexus.</w:t>
      </w:r>
    </w:p>
    <w:p w14:paraId="00000019" w14:textId="77777777" w:rsidR="004A2C61" w:rsidRDefault="004A2C61">
      <w:pPr>
        <w:spacing w:before="240" w:after="240" w:line="360" w:lineRule="auto"/>
        <w:jc w:val="both"/>
        <w:rPr>
          <w:rFonts w:ascii="Times New Roman" w:eastAsia="Times New Roman" w:hAnsi="Times New Roman" w:cs="Times New Roman"/>
          <w:sz w:val="24"/>
          <w:szCs w:val="24"/>
        </w:rPr>
      </w:pPr>
    </w:p>
    <w:p w14:paraId="0000001A" w14:textId="77777777" w:rsidR="004A2C61" w:rsidRDefault="00242988">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Problem Statement</w:t>
      </w:r>
    </w:p>
    <w:p w14:paraId="0000001B" w14:textId="77777777" w:rsidR="004A2C61" w:rsidRDefault="00242988">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 common agreement that sustainability is a multidimensional concept, organization sustainability programs tend to promote enviro</w:t>
      </w:r>
      <w:r>
        <w:rPr>
          <w:rFonts w:ascii="Times New Roman" w:eastAsia="Times New Roman" w:hAnsi="Times New Roman" w:cs="Times New Roman"/>
          <w:sz w:val="24"/>
          <w:szCs w:val="24"/>
        </w:rPr>
        <w:t xml:space="preserve">nmental and economic objectives at the cost of employee welfare. Sustainability-motivated performance pressures, restructuring, or efficiency-promoting strategies in most instances unintentionally escalate work pressures, role overload and </w:t>
      </w:r>
      <w:r>
        <w:rPr>
          <w:rFonts w:ascii="Times New Roman" w:eastAsia="Times New Roman" w:hAnsi="Times New Roman" w:cs="Times New Roman"/>
          <w:sz w:val="24"/>
          <w:szCs w:val="24"/>
        </w:rPr>
        <w:lastRenderedPageBreak/>
        <w:t>stress, thus com</w:t>
      </w:r>
      <w:r>
        <w:rPr>
          <w:rFonts w:ascii="Times New Roman" w:eastAsia="Times New Roman" w:hAnsi="Times New Roman" w:cs="Times New Roman"/>
          <w:sz w:val="24"/>
          <w:szCs w:val="24"/>
        </w:rPr>
        <w:t xml:space="preserve">promising the welfare of the employees (Bakker and </w:t>
      </w:r>
      <w:proofErr w:type="spellStart"/>
      <w:r>
        <w:rPr>
          <w:rFonts w:ascii="Times New Roman" w:eastAsia="Times New Roman" w:hAnsi="Times New Roman" w:cs="Times New Roman"/>
          <w:sz w:val="24"/>
          <w:szCs w:val="24"/>
        </w:rPr>
        <w:t>Demerouti</w:t>
      </w:r>
      <w:proofErr w:type="spellEnd"/>
      <w:r>
        <w:rPr>
          <w:rFonts w:ascii="Times New Roman" w:eastAsia="Times New Roman" w:hAnsi="Times New Roman" w:cs="Times New Roman"/>
          <w:sz w:val="24"/>
          <w:szCs w:val="24"/>
        </w:rPr>
        <w:t>, 2017). This paradox gives a very important question which is: Can organizations be really said to be sustainable when the well-being of the employees is compromised in the process?</w:t>
      </w:r>
    </w:p>
    <w:p w14:paraId="0000001C" w14:textId="77777777" w:rsidR="004A2C61" w:rsidRDefault="00242988">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Moreover, the</w:t>
      </w:r>
      <w:r>
        <w:rPr>
          <w:rFonts w:ascii="Times New Roman" w:eastAsia="Times New Roman" w:hAnsi="Times New Roman" w:cs="Times New Roman"/>
          <w:sz w:val="24"/>
          <w:szCs w:val="24"/>
        </w:rPr>
        <w:t xml:space="preserve"> available empirical evidence is mostly based on developed economies and this limits its application in various institutional and cultural settings. Emerging market research, such as India, is a relatively rare case of study, even though there are a lot of</w:t>
      </w:r>
      <w:r>
        <w:rPr>
          <w:rFonts w:ascii="Times New Roman" w:eastAsia="Times New Roman" w:hAnsi="Times New Roman" w:cs="Times New Roman"/>
          <w:sz w:val="24"/>
          <w:szCs w:val="24"/>
        </w:rPr>
        <w:t xml:space="preserve"> differences in terms of labor markets, organizational practices, and social protection systems. The post-COVID working environment has also only added complexity to this picture, and now there is an urgent need to re-evaluate previous beliefs regarding su</w:t>
      </w:r>
      <w:r>
        <w:rPr>
          <w:rFonts w:ascii="Times New Roman" w:eastAsia="Times New Roman" w:hAnsi="Times New Roman" w:cs="Times New Roman"/>
          <w:sz w:val="24"/>
          <w:szCs w:val="24"/>
        </w:rPr>
        <w:t>stainability and well-being considering the changing work set-ups and expectations of employees.</w:t>
      </w:r>
    </w:p>
    <w:p w14:paraId="0000001D" w14:textId="77777777" w:rsidR="004A2C61" w:rsidRDefault="00242988">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Conceptual Background</w:t>
      </w:r>
    </w:p>
    <w:p w14:paraId="0000001E" w14:textId="77777777" w:rsidR="004A2C61" w:rsidRDefault="00242988">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theoretical basis of this study is based on various theoretical approaches, which respectively explain the relationship between susta</w:t>
      </w:r>
      <w:r>
        <w:rPr>
          <w:rFonts w:ascii="Times New Roman" w:eastAsia="Times New Roman" w:hAnsi="Times New Roman" w:cs="Times New Roman"/>
          <w:sz w:val="24"/>
          <w:szCs w:val="24"/>
        </w:rPr>
        <w:t>inability practices and employee well-being. The triple bottom line model places the wellbeing of employees under the social pillar of sustainability with its focus on labor rights, equity, health and quality of working life as a part of a sustainable deve</w:t>
      </w:r>
      <w:r>
        <w:rPr>
          <w:rFonts w:ascii="Times New Roman" w:eastAsia="Times New Roman" w:hAnsi="Times New Roman" w:cs="Times New Roman"/>
          <w:sz w:val="24"/>
          <w:szCs w:val="24"/>
        </w:rPr>
        <w:t>lopment (Elkington, 1997). To supply this, stakeholder theory believes that employees are the most important stakeholders whose interests should be protected to make organizations become legitimate and trusted.</w:t>
      </w:r>
    </w:p>
    <w:p w14:paraId="0000001F" w14:textId="77777777" w:rsidR="004A2C61" w:rsidRDefault="00242988">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a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level, social exchange theor</w:t>
      </w:r>
      <w:r>
        <w:rPr>
          <w:rFonts w:ascii="Times New Roman" w:eastAsia="Times New Roman" w:hAnsi="Times New Roman" w:cs="Times New Roman"/>
          <w:sz w:val="24"/>
          <w:szCs w:val="24"/>
        </w:rPr>
        <w:t>y indicates that the more organizations are concerned with the well-being of their employees by treating them fairly and supporting, the more employees would be committed and engaged (</w:t>
      </w:r>
      <w:proofErr w:type="spellStart"/>
      <w:r>
        <w:rPr>
          <w:rFonts w:ascii="Times New Roman" w:eastAsia="Times New Roman" w:hAnsi="Times New Roman" w:cs="Times New Roman"/>
          <w:sz w:val="24"/>
          <w:szCs w:val="24"/>
        </w:rPr>
        <w:t>Cropanzano</w:t>
      </w:r>
      <w:proofErr w:type="spellEnd"/>
      <w:r>
        <w:rPr>
          <w:rFonts w:ascii="Times New Roman" w:eastAsia="Times New Roman" w:hAnsi="Times New Roman" w:cs="Times New Roman"/>
          <w:sz w:val="24"/>
          <w:szCs w:val="24"/>
        </w:rPr>
        <w:t xml:space="preserve"> and Mitchell, 2005). Analogously, another helpful framework t</w:t>
      </w:r>
      <w:r>
        <w:rPr>
          <w:rFonts w:ascii="Times New Roman" w:eastAsia="Times New Roman" w:hAnsi="Times New Roman" w:cs="Times New Roman"/>
          <w:sz w:val="24"/>
          <w:szCs w:val="24"/>
        </w:rPr>
        <w:t>o interpret the influence of sustainable work environment on minimizing the job demands including stress, insecurity, and maximizing the work resources, including autonomy, social support, and development prospects, is the Job Demands Resources (JD-R) mode</w:t>
      </w:r>
      <w:r>
        <w:rPr>
          <w:rFonts w:ascii="Times New Roman" w:eastAsia="Times New Roman" w:hAnsi="Times New Roman" w:cs="Times New Roman"/>
          <w:sz w:val="24"/>
          <w:szCs w:val="24"/>
        </w:rPr>
        <w:t xml:space="preserve">l (Bakker and </w:t>
      </w:r>
      <w:proofErr w:type="spellStart"/>
      <w:r>
        <w:rPr>
          <w:rFonts w:ascii="Times New Roman" w:eastAsia="Times New Roman" w:hAnsi="Times New Roman" w:cs="Times New Roman"/>
          <w:sz w:val="24"/>
          <w:szCs w:val="24"/>
        </w:rPr>
        <w:t>Demerouti</w:t>
      </w:r>
      <w:proofErr w:type="spellEnd"/>
      <w:r>
        <w:rPr>
          <w:rFonts w:ascii="Times New Roman" w:eastAsia="Times New Roman" w:hAnsi="Times New Roman" w:cs="Times New Roman"/>
          <w:sz w:val="24"/>
          <w:szCs w:val="24"/>
        </w:rPr>
        <w:t>, 2017).</w:t>
      </w:r>
    </w:p>
    <w:p w14:paraId="00000020" w14:textId="77777777" w:rsidR="004A2C61" w:rsidRDefault="00242988">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Also, self-determination theory emphasizes the need to satisfy fundamental psychological needs such as autonomy, competence and relatedness to create intrinsic drive and well-being (Deci and Ryan, 2000). Involving, learning,</w:t>
      </w:r>
      <w:r>
        <w:rPr>
          <w:rFonts w:ascii="Times New Roman" w:eastAsia="Times New Roman" w:hAnsi="Times New Roman" w:cs="Times New Roman"/>
          <w:sz w:val="24"/>
          <w:szCs w:val="24"/>
        </w:rPr>
        <w:t xml:space="preserve"> and being inclusive are part of sustainable human resource </w:t>
      </w:r>
      <w:r>
        <w:rPr>
          <w:rFonts w:ascii="Times New Roman" w:eastAsia="Times New Roman" w:hAnsi="Times New Roman" w:cs="Times New Roman"/>
          <w:sz w:val="24"/>
          <w:szCs w:val="24"/>
        </w:rPr>
        <w:lastRenderedPageBreak/>
        <w:t>management practices that may contribute significantly to the fulfillment of these needs, strengthening the well-being of employees and the sustainability of an organization (</w:t>
      </w:r>
      <w:proofErr w:type="spellStart"/>
      <w:r>
        <w:rPr>
          <w:rFonts w:ascii="Times New Roman" w:eastAsia="Times New Roman" w:hAnsi="Times New Roman" w:cs="Times New Roman"/>
          <w:sz w:val="24"/>
          <w:szCs w:val="24"/>
        </w:rPr>
        <w:t>Kramar</w:t>
      </w:r>
      <w:proofErr w:type="spellEnd"/>
      <w:r>
        <w:rPr>
          <w:rFonts w:ascii="Times New Roman" w:eastAsia="Times New Roman" w:hAnsi="Times New Roman" w:cs="Times New Roman"/>
          <w:sz w:val="24"/>
          <w:szCs w:val="24"/>
        </w:rPr>
        <w:t>, 2014).</w:t>
      </w:r>
    </w:p>
    <w:p w14:paraId="00000021" w14:textId="77777777" w:rsidR="004A2C61" w:rsidRDefault="00242988">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Object</w:t>
      </w:r>
      <w:r>
        <w:rPr>
          <w:rFonts w:ascii="Times New Roman" w:eastAsia="Times New Roman" w:hAnsi="Times New Roman" w:cs="Times New Roman"/>
          <w:b/>
          <w:bCs/>
          <w:sz w:val="24"/>
          <w:szCs w:val="24"/>
        </w:rPr>
        <w:t>ives of the Study</w:t>
      </w:r>
    </w:p>
    <w:p w14:paraId="00000022" w14:textId="77777777" w:rsidR="004A2C61" w:rsidRDefault="00242988">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With the underlying justification and conceptual basis provided above, the following research aims are aimed to be realized in the current study:</w:t>
      </w:r>
    </w:p>
    <w:p w14:paraId="00000023" w14:textId="77777777" w:rsidR="004A2C61" w:rsidRDefault="00242988">
      <w:pPr>
        <w:numPr>
          <w:ilvl w:val="0"/>
          <w:numId w:val="1"/>
        </w:num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assess conceptual and theoretical relationships between the organizational sustainability</w:t>
      </w:r>
      <w:r>
        <w:rPr>
          <w:rFonts w:ascii="Times New Roman" w:eastAsia="Times New Roman" w:hAnsi="Times New Roman" w:cs="Times New Roman"/>
          <w:sz w:val="24"/>
          <w:szCs w:val="24"/>
        </w:rPr>
        <w:t xml:space="preserve"> and employee well-being.</w:t>
      </w:r>
    </w:p>
    <w:p w14:paraId="00000024" w14:textId="77777777" w:rsidR="004A2C61" w:rsidRDefault="00242988">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generalize available empirical data on the effect of sustainability-focused organizational and HR practices on employee well-being outcomes.</w:t>
      </w:r>
    </w:p>
    <w:p w14:paraId="00000025" w14:textId="77777777" w:rsidR="004A2C61" w:rsidRDefault="00242988">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determine whether post-COVID workplace changes can be considered as implications on</w:t>
      </w:r>
      <w:r>
        <w:rPr>
          <w:rFonts w:ascii="Times New Roman" w:eastAsia="Times New Roman" w:hAnsi="Times New Roman" w:cs="Times New Roman"/>
          <w:sz w:val="24"/>
          <w:szCs w:val="24"/>
        </w:rPr>
        <w:t xml:space="preserve"> sustainability-well-being relationship.</w:t>
      </w:r>
    </w:p>
    <w:p w14:paraId="00000026" w14:textId="77777777" w:rsidR="004A2C61" w:rsidRDefault="00242988">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order to find out gaps in the existing literature, especially in the sphere of emerging economies.</w:t>
      </w:r>
    </w:p>
    <w:p w14:paraId="00000027" w14:textId="77777777" w:rsidR="004A2C61" w:rsidRDefault="00242988">
      <w:pPr>
        <w:numPr>
          <w:ilvl w:val="0"/>
          <w:numId w:val="1"/>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draw practical and policy-based implications to include employee well-being in the organizational sustainabili</w:t>
      </w:r>
      <w:r>
        <w:rPr>
          <w:rFonts w:ascii="Times New Roman" w:eastAsia="Times New Roman" w:hAnsi="Times New Roman" w:cs="Times New Roman"/>
          <w:sz w:val="24"/>
          <w:szCs w:val="24"/>
        </w:rPr>
        <w:t>ty strategies.</w:t>
      </w:r>
    </w:p>
    <w:p w14:paraId="00000028" w14:textId="77777777" w:rsidR="004A2C61" w:rsidRDefault="004A2C61">
      <w:pPr>
        <w:spacing w:before="240" w:after="240" w:line="360" w:lineRule="auto"/>
        <w:jc w:val="both"/>
        <w:rPr>
          <w:rFonts w:ascii="Times New Roman" w:eastAsia="Times New Roman" w:hAnsi="Times New Roman" w:cs="Times New Roman"/>
          <w:sz w:val="24"/>
          <w:szCs w:val="24"/>
        </w:rPr>
      </w:pPr>
    </w:p>
    <w:p w14:paraId="00000029" w14:textId="77777777" w:rsidR="004A2C61" w:rsidRDefault="00242988">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Significance of the Study</w:t>
      </w:r>
    </w:p>
    <w:p w14:paraId="0000002A" w14:textId="77777777" w:rsidR="004A2C61" w:rsidRDefault="00242988">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can be used to contribute to the increasing discussion of human-centered sustainability by combining different theoretical approaches and empirical evidence. It supports the thesis that employee </w:t>
      </w:r>
      <w:proofErr w:type="spellStart"/>
      <w:r>
        <w:rPr>
          <w:rFonts w:ascii="Times New Roman" w:eastAsia="Times New Roman" w:hAnsi="Times New Roman" w:cs="Times New Roman"/>
          <w:sz w:val="24"/>
          <w:szCs w:val="24"/>
        </w:rPr>
        <w:t>well being</w:t>
      </w:r>
      <w:proofErr w:type="spellEnd"/>
      <w:r>
        <w:rPr>
          <w:rFonts w:ascii="Times New Roman" w:eastAsia="Times New Roman" w:hAnsi="Times New Roman" w:cs="Times New Roman"/>
          <w:sz w:val="24"/>
          <w:szCs w:val="24"/>
        </w:rPr>
        <w:t xml:space="preserve"> is not only a social outcome of desirab</w:t>
      </w:r>
      <w:r>
        <w:rPr>
          <w:rFonts w:ascii="Times New Roman" w:eastAsia="Times New Roman" w:hAnsi="Times New Roman" w:cs="Times New Roman"/>
          <w:sz w:val="24"/>
          <w:szCs w:val="24"/>
        </w:rPr>
        <w:t>le character but a critical enabling factor of sustainable organizational performance. The research is worth reading to managers, policymakers, and researchers who are planning on how to create sustainable strategies that are effective and humane, especial</w:t>
      </w:r>
      <w:r>
        <w:rPr>
          <w:rFonts w:ascii="Times New Roman" w:eastAsia="Times New Roman" w:hAnsi="Times New Roman" w:cs="Times New Roman"/>
          <w:sz w:val="24"/>
          <w:szCs w:val="24"/>
        </w:rPr>
        <w:t>ly in a post-pandemic world, which is uncertain and rapidly changing.</w:t>
      </w:r>
    </w:p>
    <w:p w14:paraId="0000002B" w14:textId="77777777" w:rsidR="004A2C61" w:rsidRDefault="004A2C61">
      <w:pPr>
        <w:spacing w:before="240" w:after="240" w:line="360" w:lineRule="auto"/>
        <w:jc w:val="both"/>
        <w:rPr>
          <w:rFonts w:ascii="Times New Roman" w:eastAsia="Times New Roman" w:hAnsi="Times New Roman" w:cs="Times New Roman"/>
          <w:sz w:val="24"/>
          <w:szCs w:val="24"/>
        </w:rPr>
      </w:pPr>
    </w:p>
    <w:p w14:paraId="0000002C" w14:textId="77777777" w:rsidR="004A2C61" w:rsidRDefault="0024298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Review of Literature</w:t>
      </w:r>
    </w:p>
    <w:p w14:paraId="0000002D" w14:textId="77777777" w:rsidR="004A2C61" w:rsidRDefault="00242988">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conceptual framework of sustainability in organizations can be explained as follows.</w:t>
      </w:r>
    </w:p>
    <w:p w14:paraId="0000002E" w14:textId="77777777" w:rsidR="004A2C61" w:rsidRDefault="00242988">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understanding of sustainability in the context of organizations is ofte</w:t>
      </w:r>
      <w:r>
        <w:rPr>
          <w:rFonts w:ascii="Times New Roman" w:eastAsia="Times New Roman" w:hAnsi="Times New Roman" w:cs="Times New Roman"/>
          <w:sz w:val="24"/>
          <w:szCs w:val="24"/>
        </w:rPr>
        <w:t>n framed in the concept known as the triple bottom line (TBL) that focuses on economic, environmental, and social performance. Where economic sustainability is concerned with long term profitability and competitiveness, environmental sustainability is conc</w:t>
      </w:r>
      <w:r>
        <w:rPr>
          <w:rFonts w:ascii="Times New Roman" w:eastAsia="Times New Roman" w:hAnsi="Times New Roman" w:cs="Times New Roman"/>
          <w:sz w:val="24"/>
          <w:szCs w:val="24"/>
        </w:rPr>
        <w:t xml:space="preserve">erned with resource efficiency, reduction of pollution, and responsibility towards climate. Social sustainability which is not clearly defined contains labor rights, equity, diversity, health, safety, and </w:t>
      </w:r>
      <w:proofErr w:type="spellStart"/>
      <w:r>
        <w:rPr>
          <w:rFonts w:ascii="Times New Roman" w:eastAsia="Times New Roman" w:hAnsi="Times New Roman" w:cs="Times New Roman"/>
          <w:sz w:val="24"/>
          <w:szCs w:val="24"/>
        </w:rPr>
        <w:t>well being</w:t>
      </w:r>
      <w:proofErr w:type="spellEnd"/>
      <w:r>
        <w:rPr>
          <w:rFonts w:ascii="Times New Roman" w:eastAsia="Times New Roman" w:hAnsi="Times New Roman" w:cs="Times New Roman"/>
          <w:sz w:val="24"/>
          <w:szCs w:val="24"/>
        </w:rPr>
        <w:t xml:space="preserve"> of the employees.</w:t>
      </w:r>
    </w:p>
    <w:p w14:paraId="0000002F" w14:textId="77777777" w:rsidR="004A2C61" w:rsidRDefault="00242988">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recent research is</w:t>
      </w:r>
      <w:r>
        <w:rPr>
          <w:rFonts w:ascii="Times New Roman" w:eastAsia="Times New Roman" w:hAnsi="Times New Roman" w:cs="Times New Roman"/>
          <w:sz w:val="24"/>
          <w:szCs w:val="24"/>
        </w:rPr>
        <w:t xml:space="preserve"> of the view that social sustainability is not a supportive aspect but a pillar that supports environmental and economic sustainability. The employees play a major role as stakeholders and change agents in the application of sustainable practices. It is in</w:t>
      </w:r>
      <w:r>
        <w:rPr>
          <w:rFonts w:ascii="Times New Roman" w:eastAsia="Times New Roman" w:hAnsi="Times New Roman" w:cs="Times New Roman"/>
          <w:sz w:val="24"/>
          <w:szCs w:val="24"/>
        </w:rPr>
        <w:t xml:space="preserve"> vain to expect sustainability efforts to turn out to be superficial or temporary without motivated, healthy, and engaged employees. Therefore, the well-being of the employees is becoming a sensitive issue that is perceived as a result and a cause of susta</w:t>
      </w:r>
      <w:r>
        <w:rPr>
          <w:rFonts w:ascii="Times New Roman" w:eastAsia="Times New Roman" w:hAnsi="Times New Roman" w:cs="Times New Roman"/>
          <w:sz w:val="24"/>
          <w:szCs w:val="24"/>
        </w:rPr>
        <w:t>inable organizational performance.</w:t>
      </w:r>
    </w:p>
    <w:p w14:paraId="00000030" w14:textId="77777777" w:rsidR="004A2C61" w:rsidRDefault="004A2C61">
      <w:pPr>
        <w:spacing w:line="360" w:lineRule="auto"/>
        <w:jc w:val="both"/>
        <w:rPr>
          <w:rFonts w:ascii="Times New Roman" w:eastAsia="Times New Roman" w:hAnsi="Times New Roman" w:cs="Times New Roman"/>
          <w:b/>
          <w:bCs/>
          <w:sz w:val="24"/>
          <w:szCs w:val="24"/>
        </w:rPr>
      </w:pPr>
    </w:p>
    <w:p w14:paraId="00000031" w14:textId="77777777" w:rsidR="004A2C61" w:rsidRDefault="0024298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Sustainability and Social Aspects of Organizations.</w:t>
      </w:r>
    </w:p>
    <w:p w14:paraId="00000032" w14:textId="77777777" w:rsidR="004A2C61" w:rsidRDefault="004A2C61">
      <w:pPr>
        <w:spacing w:line="360" w:lineRule="auto"/>
        <w:jc w:val="both"/>
        <w:rPr>
          <w:rFonts w:ascii="Times New Roman" w:eastAsia="Times New Roman" w:hAnsi="Times New Roman" w:cs="Times New Roman"/>
          <w:sz w:val="24"/>
          <w:szCs w:val="24"/>
        </w:rPr>
      </w:pPr>
    </w:p>
    <w:p w14:paraId="00000033" w14:textId="77777777" w:rsidR="004A2C61" w:rsidRDefault="0024298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Sustainability has changed its definition to a multidimensional model that includes economic, environmental, and social pillars in addition to being an environment-</w:t>
      </w:r>
      <w:proofErr w:type="spellStart"/>
      <w:r>
        <w:rPr>
          <w:rFonts w:ascii="Times New Roman" w:eastAsia="Times New Roman" w:hAnsi="Times New Roman" w:cs="Times New Roman"/>
          <w:sz w:val="24"/>
          <w:szCs w:val="24"/>
        </w:rPr>
        <w:t>cen</w:t>
      </w:r>
      <w:r>
        <w:rPr>
          <w:rFonts w:ascii="Times New Roman" w:eastAsia="Times New Roman" w:hAnsi="Times New Roman" w:cs="Times New Roman"/>
          <w:sz w:val="24"/>
          <w:szCs w:val="24"/>
        </w:rPr>
        <w:t>tred</w:t>
      </w:r>
      <w:proofErr w:type="spellEnd"/>
      <w:r>
        <w:rPr>
          <w:rFonts w:ascii="Times New Roman" w:eastAsia="Times New Roman" w:hAnsi="Times New Roman" w:cs="Times New Roman"/>
          <w:sz w:val="24"/>
          <w:szCs w:val="24"/>
        </w:rPr>
        <w:t xml:space="preserve"> agenda. The triple bottom line model outlines the fact that the </w:t>
      </w:r>
      <w:proofErr w:type="gramStart"/>
      <w:r>
        <w:rPr>
          <w:rFonts w:ascii="Times New Roman" w:eastAsia="Times New Roman" w:hAnsi="Times New Roman" w:cs="Times New Roman"/>
          <w:sz w:val="24"/>
          <w:szCs w:val="24"/>
        </w:rPr>
        <w:t>long term</w:t>
      </w:r>
      <w:proofErr w:type="gramEnd"/>
      <w:r>
        <w:rPr>
          <w:rFonts w:ascii="Times New Roman" w:eastAsia="Times New Roman" w:hAnsi="Times New Roman" w:cs="Times New Roman"/>
          <w:sz w:val="24"/>
          <w:szCs w:val="24"/>
        </w:rPr>
        <w:t xml:space="preserve"> success of an organization lies in balancing profitability with environmental accountability and equity with the society (Elkington, 1997). In this context, the social aspect, e</w:t>
      </w:r>
      <w:r>
        <w:rPr>
          <w:rFonts w:ascii="Times New Roman" w:eastAsia="Times New Roman" w:hAnsi="Times New Roman" w:cs="Times New Roman"/>
          <w:sz w:val="24"/>
          <w:szCs w:val="24"/>
        </w:rPr>
        <w:t>specially the well-being of employees has been receiving more and more focus as a factor in sustainable performance of an organization.</w:t>
      </w:r>
    </w:p>
    <w:p w14:paraId="00000034" w14:textId="77777777" w:rsidR="004A2C61" w:rsidRDefault="004A2C61">
      <w:pPr>
        <w:spacing w:line="360" w:lineRule="auto"/>
        <w:jc w:val="both"/>
        <w:rPr>
          <w:rFonts w:ascii="Times New Roman" w:eastAsia="Times New Roman" w:hAnsi="Times New Roman" w:cs="Times New Roman"/>
          <w:sz w:val="24"/>
          <w:szCs w:val="24"/>
        </w:rPr>
      </w:pPr>
    </w:p>
    <w:p w14:paraId="00000035" w14:textId="77777777" w:rsidR="004A2C61" w:rsidRDefault="0024298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report of the Brundtland Commission Our Common Future emphasized that it is necessary not to damage the future gene</w:t>
      </w:r>
      <w:r>
        <w:rPr>
          <w:rFonts w:ascii="Times New Roman" w:eastAsia="Times New Roman" w:hAnsi="Times New Roman" w:cs="Times New Roman"/>
          <w:sz w:val="24"/>
          <w:szCs w:val="24"/>
        </w:rPr>
        <w:t xml:space="preserve">ration at the expense of current needs, and implicitly saw human well-being as the main issue of sustainability (Brundtland, 1987). Based on this premise, </w:t>
      </w:r>
      <w:proofErr w:type="spellStart"/>
      <w:r>
        <w:rPr>
          <w:rFonts w:ascii="Times New Roman" w:eastAsia="Times New Roman" w:hAnsi="Times New Roman" w:cs="Times New Roman"/>
          <w:sz w:val="24"/>
          <w:szCs w:val="24"/>
        </w:rPr>
        <w:t>Dyllick</w:t>
      </w:r>
      <w:proofErr w:type="spellEnd"/>
      <w:r>
        <w:rPr>
          <w:rFonts w:ascii="Times New Roman" w:eastAsia="Times New Roman" w:hAnsi="Times New Roman" w:cs="Times New Roman"/>
          <w:sz w:val="24"/>
          <w:szCs w:val="24"/>
        </w:rPr>
        <w:t xml:space="preserve"> and Muff (2016) claimed that, indeed, sustainable businesses are not merely in compliance and</w:t>
      </w:r>
      <w:r>
        <w:rPr>
          <w:rFonts w:ascii="Times New Roman" w:eastAsia="Times New Roman" w:hAnsi="Times New Roman" w:cs="Times New Roman"/>
          <w:sz w:val="24"/>
          <w:szCs w:val="24"/>
        </w:rPr>
        <w:t xml:space="preserve"> risk management but in the generation of positive value to various stakeholders, such as employees. The move is an indication of increased awareness of the fact that sustainability efforts </w:t>
      </w:r>
      <w:r>
        <w:rPr>
          <w:rFonts w:ascii="Times New Roman" w:eastAsia="Times New Roman" w:hAnsi="Times New Roman" w:cs="Times New Roman"/>
          <w:sz w:val="24"/>
          <w:szCs w:val="24"/>
        </w:rPr>
        <w:lastRenderedPageBreak/>
        <w:t xml:space="preserve">should be integrated into </w:t>
      </w:r>
      <w:proofErr w:type="spellStart"/>
      <w:r>
        <w:rPr>
          <w:rFonts w:ascii="Times New Roman" w:eastAsia="Times New Roman" w:hAnsi="Times New Roman" w:cs="Times New Roman"/>
          <w:sz w:val="24"/>
          <w:szCs w:val="24"/>
        </w:rPr>
        <w:t>co-ordinated</w:t>
      </w:r>
      <w:proofErr w:type="spellEnd"/>
      <w:r>
        <w:rPr>
          <w:rFonts w:ascii="Times New Roman" w:eastAsia="Times New Roman" w:hAnsi="Times New Roman" w:cs="Times New Roman"/>
          <w:sz w:val="24"/>
          <w:szCs w:val="24"/>
        </w:rPr>
        <w:t xml:space="preserve"> and internal organizational</w:t>
      </w:r>
      <w:r>
        <w:rPr>
          <w:rFonts w:ascii="Times New Roman" w:eastAsia="Times New Roman" w:hAnsi="Times New Roman" w:cs="Times New Roman"/>
          <w:sz w:val="24"/>
          <w:szCs w:val="24"/>
        </w:rPr>
        <w:t xml:space="preserve"> efforts rather than being just restricted to external environmental efforts.</w:t>
      </w:r>
    </w:p>
    <w:p w14:paraId="00000036" w14:textId="77777777" w:rsidR="004A2C61" w:rsidRDefault="004A2C61">
      <w:pPr>
        <w:spacing w:line="360" w:lineRule="auto"/>
        <w:jc w:val="both"/>
        <w:rPr>
          <w:rFonts w:ascii="Times New Roman" w:eastAsia="Times New Roman" w:hAnsi="Times New Roman" w:cs="Times New Roman"/>
          <w:sz w:val="24"/>
          <w:szCs w:val="24"/>
        </w:rPr>
      </w:pPr>
    </w:p>
    <w:p w14:paraId="00000037" w14:textId="77777777" w:rsidR="004A2C61" w:rsidRDefault="0024298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Employee Well-Being: Concept and Importance.</w:t>
      </w:r>
    </w:p>
    <w:p w14:paraId="00000038" w14:textId="77777777" w:rsidR="004A2C61" w:rsidRDefault="004A2C61">
      <w:pPr>
        <w:spacing w:line="360" w:lineRule="auto"/>
        <w:jc w:val="both"/>
        <w:rPr>
          <w:rFonts w:ascii="Times New Roman" w:eastAsia="Times New Roman" w:hAnsi="Times New Roman" w:cs="Times New Roman"/>
          <w:sz w:val="24"/>
          <w:szCs w:val="24"/>
        </w:rPr>
      </w:pPr>
    </w:p>
    <w:p w14:paraId="00000039" w14:textId="77777777" w:rsidR="004A2C61" w:rsidRDefault="0024298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multidimensional construct of employee well-being concept includes physical health, psychological well-being, job satisfaction,</w:t>
      </w:r>
      <w:r>
        <w:rPr>
          <w:rFonts w:ascii="Times New Roman" w:eastAsia="Times New Roman" w:hAnsi="Times New Roman" w:cs="Times New Roman"/>
          <w:sz w:val="24"/>
          <w:szCs w:val="24"/>
        </w:rPr>
        <w:t xml:space="preserve"> and work-life balance. Guest (2017) pointed out that well-being must be regarded as an essential result of human resource management, and not as a secondary or indirect gain. Positive organizational performance improvement in terms of better performance, </w:t>
      </w:r>
      <w:r>
        <w:rPr>
          <w:rFonts w:ascii="Times New Roman" w:eastAsia="Times New Roman" w:hAnsi="Times New Roman" w:cs="Times New Roman"/>
          <w:sz w:val="24"/>
          <w:szCs w:val="24"/>
        </w:rPr>
        <w:t>reduced absenteeism and turnover intention has always been linked to high employee well-being (Harter et al., 2002).</w:t>
      </w:r>
    </w:p>
    <w:p w14:paraId="0000003A" w14:textId="77777777" w:rsidR="004A2C61" w:rsidRDefault="004A2C61">
      <w:pPr>
        <w:spacing w:line="360" w:lineRule="auto"/>
        <w:jc w:val="both"/>
        <w:rPr>
          <w:rFonts w:ascii="Times New Roman" w:eastAsia="Times New Roman" w:hAnsi="Times New Roman" w:cs="Times New Roman"/>
          <w:sz w:val="24"/>
          <w:szCs w:val="24"/>
        </w:rPr>
      </w:pPr>
    </w:p>
    <w:p w14:paraId="0000003B" w14:textId="77777777" w:rsidR="004A2C61" w:rsidRDefault="0024298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a great extent, Pfeffer (2010) criticized models of organization that work towards the financial results without </w:t>
      </w:r>
      <w:proofErr w:type="gramStart"/>
      <w:r>
        <w:rPr>
          <w:rFonts w:ascii="Times New Roman" w:eastAsia="Times New Roman" w:hAnsi="Times New Roman" w:cs="Times New Roman"/>
          <w:sz w:val="24"/>
          <w:szCs w:val="24"/>
        </w:rPr>
        <w:t>taking into account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employee health, citing that compromising on human sustainability compromises organizational sustainability in the long run. In this light, the welfare of the employees is not only a moral obligation but a long-term competitiveness position.</w:t>
      </w:r>
    </w:p>
    <w:p w14:paraId="0000003C" w14:textId="77777777" w:rsidR="004A2C61" w:rsidRDefault="004A2C61">
      <w:pPr>
        <w:spacing w:line="360" w:lineRule="auto"/>
        <w:jc w:val="both"/>
        <w:rPr>
          <w:rFonts w:ascii="Times New Roman" w:eastAsia="Times New Roman" w:hAnsi="Times New Roman" w:cs="Times New Roman"/>
          <w:sz w:val="24"/>
          <w:szCs w:val="24"/>
        </w:rPr>
      </w:pPr>
    </w:p>
    <w:p w14:paraId="0000003D" w14:textId="77777777" w:rsidR="004A2C61" w:rsidRDefault="0024298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Theoretical L</w:t>
      </w:r>
      <w:r>
        <w:rPr>
          <w:rFonts w:ascii="Times New Roman" w:eastAsia="Times New Roman" w:hAnsi="Times New Roman" w:cs="Times New Roman"/>
          <w:b/>
          <w:bCs/>
          <w:sz w:val="24"/>
          <w:szCs w:val="24"/>
        </w:rPr>
        <w:t>enses between Sustainability and Well -Being.</w:t>
      </w:r>
    </w:p>
    <w:p w14:paraId="0000003E" w14:textId="77777777" w:rsidR="004A2C61" w:rsidRDefault="004A2C61">
      <w:pPr>
        <w:spacing w:line="360" w:lineRule="auto"/>
        <w:jc w:val="both"/>
        <w:rPr>
          <w:rFonts w:ascii="Times New Roman" w:eastAsia="Times New Roman" w:hAnsi="Times New Roman" w:cs="Times New Roman"/>
          <w:sz w:val="24"/>
          <w:szCs w:val="24"/>
        </w:rPr>
      </w:pPr>
    </w:p>
    <w:p w14:paraId="0000003F" w14:textId="77777777" w:rsidR="004A2C61" w:rsidRDefault="0024298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a number of theoretical frameworks to explain the connection between sustainability practices and employee well-being. According to the stakeholder theory, employees are one of the stakeholders whose</w:t>
      </w:r>
      <w:r>
        <w:rPr>
          <w:rFonts w:ascii="Times New Roman" w:eastAsia="Times New Roman" w:hAnsi="Times New Roman" w:cs="Times New Roman"/>
          <w:sz w:val="24"/>
          <w:szCs w:val="24"/>
        </w:rPr>
        <w:t xml:space="preserve"> interests should be safeguarded by the companies to maintain their legitimacy and trust. In line with this opinion, the social exchange theory argues that in the case where employees feel that organizational practices are friendly and equitable, they will</w:t>
      </w:r>
      <w:r>
        <w:rPr>
          <w:rFonts w:ascii="Times New Roman" w:eastAsia="Times New Roman" w:hAnsi="Times New Roman" w:cs="Times New Roman"/>
          <w:sz w:val="24"/>
          <w:szCs w:val="24"/>
        </w:rPr>
        <w:t xml:space="preserve"> return the favor by becoming more committed and engaged (</w:t>
      </w:r>
      <w:proofErr w:type="spellStart"/>
      <w:r>
        <w:rPr>
          <w:rFonts w:ascii="Times New Roman" w:eastAsia="Times New Roman" w:hAnsi="Times New Roman" w:cs="Times New Roman"/>
          <w:sz w:val="24"/>
          <w:szCs w:val="24"/>
        </w:rPr>
        <w:t>Cropanzano</w:t>
      </w:r>
      <w:proofErr w:type="spellEnd"/>
      <w:r>
        <w:rPr>
          <w:rFonts w:ascii="Times New Roman" w:eastAsia="Times New Roman" w:hAnsi="Times New Roman" w:cs="Times New Roman"/>
          <w:sz w:val="24"/>
          <w:szCs w:val="24"/>
        </w:rPr>
        <w:t xml:space="preserve"> and Mitchell, 2005).</w:t>
      </w:r>
    </w:p>
    <w:p w14:paraId="00000040" w14:textId="77777777" w:rsidR="004A2C61" w:rsidRDefault="004A2C61">
      <w:pPr>
        <w:spacing w:line="360" w:lineRule="auto"/>
        <w:jc w:val="both"/>
        <w:rPr>
          <w:rFonts w:ascii="Times New Roman" w:eastAsia="Times New Roman" w:hAnsi="Times New Roman" w:cs="Times New Roman"/>
          <w:sz w:val="24"/>
          <w:szCs w:val="24"/>
        </w:rPr>
      </w:pPr>
    </w:p>
    <w:p w14:paraId="00000041" w14:textId="77777777" w:rsidR="004A2C61" w:rsidRDefault="0024298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Job Demands- Resources (JD-R) model offers a solid explanation of the impact of sustainable work environment on the welfare of employees. Bakker and </w:t>
      </w:r>
      <w:proofErr w:type="spellStart"/>
      <w:r>
        <w:rPr>
          <w:rFonts w:ascii="Times New Roman" w:eastAsia="Times New Roman" w:hAnsi="Times New Roman" w:cs="Times New Roman"/>
          <w:sz w:val="24"/>
          <w:szCs w:val="24"/>
        </w:rPr>
        <w:t>Demerouti</w:t>
      </w:r>
      <w:proofErr w:type="spellEnd"/>
      <w:r>
        <w:rPr>
          <w:rFonts w:ascii="Times New Roman" w:eastAsia="Times New Roman" w:hAnsi="Times New Roman" w:cs="Times New Roman"/>
          <w:sz w:val="24"/>
          <w:szCs w:val="24"/>
        </w:rPr>
        <w:t xml:space="preserve"> (2</w:t>
      </w:r>
      <w:r>
        <w:rPr>
          <w:rFonts w:ascii="Times New Roman" w:eastAsia="Times New Roman" w:hAnsi="Times New Roman" w:cs="Times New Roman"/>
          <w:sz w:val="24"/>
          <w:szCs w:val="24"/>
        </w:rPr>
        <w:t xml:space="preserve">017) observe that high work demands that include work pressure and job insecurity are causes of burnout, and job resources in the form of autonomy, social support, and development opportunities contribute to </w:t>
      </w:r>
      <w:r>
        <w:rPr>
          <w:rFonts w:ascii="Times New Roman" w:eastAsia="Times New Roman" w:hAnsi="Times New Roman" w:cs="Times New Roman"/>
          <w:sz w:val="24"/>
          <w:szCs w:val="24"/>
        </w:rPr>
        <w:lastRenderedPageBreak/>
        <w:t>motivation and well-being. Organizations that ar</w:t>
      </w:r>
      <w:r>
        <w:rPr>
          <w:rFonts w:ascii="Times New Roman" w:eastAsia="Times New Roman" w:hAnsi="Times New Roman" w:cs="Times New Roman"/>
          <w:sz w:val="24"/>
          <w:szCs w:val="24"/>
        </w:rPr>
        <w:t>e sustainability oriented are more likely to aim at diminishing the bad demands and empowering resources to ensure healthy work places.</w:t>
      </w:r>
    </w:p>
    <w:p w14:paraId="00000042" w14:textId="77777777" w:rsidR="004A2C61" w:rsidRDefault="0024298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Also, the self-determination theory focuses on the achievement of autonomy, competence, and relatedness as some of the e</w:t>
      </w:r>
      <w:r>
        <w:rPr>
          <w:rFonts w:ascii="Times New Roman" w:eastAsia="Times New Roman" w:hAnsi="Times New Roman" w:cs="Times New Roman"/>
          <w:sz w:val="24"/>
          <w:szCs w:val="24"/>
        </w:rPr>
        <w:t>ssential psychological needs (Deci and Ryan, 2000). The needs are supported by sustainable HR practices that promote participation, skill development, and inclusive cultures that would contribute to intrinsic motivation and well-being.</w:t>
      </w:r>
    </w:p>
    <w:p w14:paraId="00000043" w14:textId="77777777" w:rsidR="004A2C61" w:rsidRDefault="004A2C61">
      <w:pPr>
        <w:spacing w:line="360" w:lineRule="auto"/>
        <w:jc w:val="both"/>
        <w:rPr>
          <w:rFonts w:ascii="Times New Roman" w:eastAsia="Times New Roman" w:hAnsi="Times New Roman" w:cs="Times New Roman"/>
          <w:sz w:val="24"/>
          <w:szCs w:val="24"/>
        </w:rPr>
      </w:pPr>
    </w:p>
    <w:p w14:paraId="00000044" w14:textId="77777777" w:rsidR="004A2C61" w:rsidRDefault="0024298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Sustainable Human R</w:t>
      </w:r>
      <w:r>
        <w:rPr>
          <w:rFonts w:ascii="Times New Roman" w:eastAsia="Times New Roman" w:hAnsi="Times New Roman" w:cs="Times New Roman"/>
          <w:b/>
          <w:bCs/>
          <w:sz w:val="24"/>
          <w:szCs w:val="24"/>
        </w:rPr>
        <w:t>esource Management and Well-Being.</w:t>
      </w:r>
    </w:p>
    <w:p w14:paraId="00000045" w14:textId="77777777" w:rsidR="004A2C61" w:rsidRDefault="004A2C61">
      <w:pPr>
        <w:spacing w:line="360" w:lineRule="auto"/>
        <w:jc w:val="both"/>
        <w:rPr>
          <w:rFonts w:ascii="Times New Roman" w:eastAsia="Times New Roman" w:hAnsi="Times New Roman" w:cs="Times New Roman"/>
          <w:sz w:val="24"/>
          <w:szCs w:val="24"/>
        </w:rPr>
      </w:pPr>
    </w:p>
    <w:p w14:paraId="00000046" w14:textId="77777777" w:rsidR="004A2C61" w:rsidRDefault="0024298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Sustainable human resource management (HRM) has become a very important connection between sustainability and human well-being. </w:t>
      </w:r>
      <w:proofErr w:type="spellStart"/>
      <w:r>
        <w:rPr>
          <w:rFonts w:ascii="Times New Roman" w:eastAsia="Times New Roman" w:hAnsi="Times New Roman" w:cs="Times New Roman"/>
          <w:sz w:val="24"/>
          <w:szCs w:val="24"/>
        </w:rPr>
        <w:t>Kramar</w:t>
      </w:r>
      <w:proofErr w:type="spellEnd"/>
      <w:r>
        <w:rPr>
          <w:rFonts w:ascii="Times New Roman" w:eastAsia="Times New Roman" w:hAnsi="Times New Roman" w:cs="Times New Roman"/>
          <w:sz w:val="24"/>
          <w:szCs w:val="24"/>
        </w:rPr>
        <w:t xml:space="preserve"> (2014) suggested that sustainable HRM is an improvement of traditional strategic HRM </w:t>
      </w:r>
      <w:r>
        <w:rPr>
          <w:rFonts w:ascii="Times New Roman" w:eastAsia="Times New Roman" w:hAnsi="Times New Roman" w:cs="Times New Roman"/>
          <w:sz w:val="24"/>
          <w:szCs w:val="24"/>
        </w:rPr>
        <w:t>because it looks after the long-term welfare of the employees, social justice and environmental responsibility should be included in HR policies. The core of this approach is the fair compensation, safe working conditions, involvement of employees, and con</w:t>
      </w:r>
      <w:r>
        <w:rPr>
          <w:rFonts w:ascii="Times New Roman" w:eastAsia="Times New Roman" w:hAnsi="Times New Roman" w:cs="Times New Roman"/>
          <w:sz w:val="24"/>
          <w:szCs w:val="24"/>
        </w:rPr>
        <w:t>tinuous learning.</w:t>
      </w:r>
    </w:p>
    <w:p w14:paraId="00000047" w14:textId="77777777" w:rsidR="004A2C61" w:rsidRDefault="004A2C61">
      <w:pPr>
        <w:spacing w:line="360" w:lineRule="auto"/>
        <w:jc w:val="both"/>
        <w:rPr>
          <w:rFonts w:ascii="Times New Roman" w:eastAsia="Times New Roman" w:hAnsi="Times New Roman" w:cs="Times New Roman"/>
          <w:sz w:val="24"/>
          <w:szCs w:val="24"/>
        </w:rPr>
      </w:pPr>
    </w:p>
    <w:p w14:paraId="00000048" w14:textId="77777777" w:rsidR="004A2C61" w:rsidRDefault="0024298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Renwick et al. (2013) also emphasized the importance of green practices in the HRM as attitude and behavior shapers of employees. Although green HRM has been associated with transforming the environment, it is revealed to positively infl</w:t>
      </w:r>
      <w:r>
        <w:rPr>
          <w:rFonts w:ascii="Times New Roman" w:eastAsia="Times New Roman" w:hAnsi="Times New Roman" w:cs="Times New Roman"/>
          <w:sz w:val="24"/>
          <w:szCs w:val="24"/>
        </w:rPr>
        <w:t>uence employee pride, organizational identification, and psychological well-being through aligning personal values with organizational sustainability objectives.</w:t>
      </w:r>
    </w:p>
    <w:p w14:paraId="00000049" w14:textId="77777777" w:rsidR="004A2C61" w:rsidRDefault="004A2C61">
      <w:pPr>
        <w:spacing w:line="360" w:lineRule="auto"/>
        <w:jc w:val="both"/>
        <w:rPr>
          <w:rFonts w:ascii="Times New Roman" w:eastAsia="Times New Roman" w:hAnsi="Times New Roman" w:cs="Times New Roman"/>
          <w:sz w:val="24"/>
          <w:szCs w:val="24"/>
        </w:rPr>
      </w:pPr>
    </w:p>
    <w:p w14:paraId="0000004A" w14:textId="77777777" w:rsidR="004A2C61" w:rsidRDefault="0024298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Workplace Changes and Well-Being of Employees in the Post-COVID.</w:t>
      </w:r>
    </w:p>
    <w:p w14:paraId="0000004B" w14:textId="77777777" w:rsidR="004A2C61" w:rsidRDefault="004A2C61">
      <w:pPr>
        <w:spacing w:line="360" w:lineRule="auto"/>
        <w:jc w:val="both"/>
        <w:rPr>
          <w:rFonts w:ascii="Times New Roman" w:eastAsia="Times New Roman" w:hAnsi="Times New Roman" w:cs="Times New Roman"/>
          <w:sz w:val="24"/>
          <w:szCs w:val="24"/>
        </w:rPr>
      </w:pPr>
    </w:p>
    <w:p w14:paraId="0000004C" w14:textId="77777777" w:rsidR="004A2C61" w:rsidRDefault="0024298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pandemic has completely</w:t>
      </w:r>
      <w:r>
        <w:rPr>
          <w:rFonts w:ascii="Times New Roman" w:eastAsia="Times New Roman" w:hAnsi="Times New Roman" w:cs="Times New Roman"/>
          <w:sz w:val="24"/>
          <w:szCs w:val="24"/>
        </w:rPr>
        <w:t xml:space="preserve"> changed the working conditions and raised the issue of the well-being of workers. Allen et al. (2015) also showed that telecommuting as a flexible working arrangement can lead to job satisfaction and decrease in work-family conflict when managed effective</w:t>
      </w:r>
      <w:r>
        <w:rPr>
          <w:rFonts w:ascii="Times New Roman" w:eastAsia="Times New Roman" w:hAnsi="Times New Roman" w:cs="Times New Roman"/>
          <w:sz w:val="24"/>
          <w:szCs w:val="24"/>
        </w:rPr>
        <w:t xml:space="preserve">ly. Biju et al. (2022) observed that work-from-home working conditions enhanced the </w:t>
      </w:r>
      <w:proofErr w:type="spellStart"/>
      <w:r>
        <w:rPr>
          <w:rFonts w:ascii="Times New Roman" w:eastAsia="Times New Roman" w:hAnsi="Times New Roman" w:cs="Times New Roman"/>
          <w:sz w:val="24"/>
          <w:szCs w:val="24"/>
        </w:rPr>
        <w:t>worklife</w:t>
      </w:r>
      <w:proofErr w:type="spellEnd"/>
      <w:r>
        <w:rPr>
          <w:rFonts w:ascii="Times New Roman" w:eastAsia="Times New Roman" w:hAnsi="Times New Roman" w:cs="Times New Roman"/>
          <w:sz w:val="24"/>
          <w:szCs w:val="24"/>
        </w:rPr>
        <w:t xml:space="preserve"> and job satisfaction of IT professionals in the Indian context, though the results were different depending on the job title and family settings.</w:t>
      </w:r>
    </w:p>
    <w:p w14:paraId="0000004D" w14:textId="77777777" w:rsidR="004A2C61" w:rsidRDefault="004A2C61">
      <w:pPr>
        <w:spacing w:line="360" w:lineRule="auto"/>
        <w:jc w:val="both"/>
        <w:rPr>
          <w:rFonts w:ascii="Times New Roman" w:eastAsia="Times New Roman" w:hAnsi="Times New Roman" w:cs="Times New Roman"/>
          <w:sz w:val="24"/>
          <w:szCs w:val="24"/>
        </w:rPr>
      </w:pPr>
    </w:p>
    <w:p w14:paraId="0000004E" w14:textId="77777777" w:rsidR="004A2C61" w:rsidRDefault="0024298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Comparative evid</w:t>
      </w:r>
      <w:r>
        <w:rPr>
          <w:rFonts w:ascii="Times New Roman" w:eastAsia="Times New Roman" w:hAnsi="Times New Roman" w:cs="Times New Roman"/>
          <w:sz w:val="24"/>
          <w:szCs w:val="24"/>
        </w:rPr>
        <w:t xml:space="preserve">ence of this article was presented by </w:t>
      </w:r>
      <w:proofErr w:type="spellStart"/>
      <w:r>
        <w:rPr>
          <w:rFonts w:ascii="Times New Roman" w:eastAsia="Times New Roman" w:hAnsi="Times New Roman" w:cs="Times New Roman"/>
          <w:sz w:val="24"/>
          <w:szCs w:val="24"/>
        </w:rPr>
        <w:t>Pardawala</w:t>
      </w:r>
      <w:proofErr w:type="spellEnd"/>
      <w:r>
        <w:rPr>
          <w:rFonts w:ascii="Times New Roman" w:eastAsia="Times New Roman" w:hAnsi="Times New Roman" w:cs="Times New Roman"/>
          <w:sz w:val="24"/>
          <w:szCs w:val="24"/>
        </w:rPr>
        <w:t xml:space="preserve"> et al. (2024) on an Indian population, where overall employee well-being declined after the COVID, with a higher level of stress and mental health issues. Nevertheless, it was also observed in the study that </w:t>
      </w:r>
      <w:r>
        <w:rPr>
          <w:rFonts w:ascii="Times New Roman" w:eastAsia="Times New Roman" w:hAnsi="Times New Roman" w:cs="Times New Roman"/>
          <w:sz w:val="24"/>
          <w:szCs w:val="24"/>
        </w:rPr>
        <w:t>the negative outcomes were partially reduced by the hybrid work models and organizational support mechanisms. These results highlight how critical it is to consider the aspect of well-being as a part of the sustainability strategies, especially when the si</w:t>
      </w:r>
      <w:r>
        <w:rPr>
          <w:rFonts w:ascii="Times New Roman" w:eastAsia="Times New Roman" w:hAnsi="Times New Roman" w:cs="Times New Roman"/>
          <w:sz w:val="24"/>
          <w:szCs w:val="24"/>
        </w:rPr>
        <w:t>tuation is one of crisis and transition.</w:t>
      </w:r>
    </w:p>
    <w:p w14:paraId="0000004F" w14:textId="77777777" w:rsidR="004A2C61" w:rsidRDefault="004A2C61">
      <w:pPr>
        <w:spacing w:line="360" w:lineRule="auto"/>
        <w:jc w:val="both"/>
        <w:rPr>
          <w:rFonts w:ascii="Times New Roman" w:eastAsia="Times New Roman" w:hAnsi="Times New Roman" w:cs="Times New Roman"/>
          <w:sz w:val="24"/>
          <w:szCs w:val="24"/>
        </w:rPr>
      </w:pPr>
    </w:p>
    <w:p w14:paraId="00000050" w14:textId="77777777" w:rsidR="004A2C61" w:rsidRDefault="0024298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Agencies dealing with global health have also focused on the well-being of the workplace as one of the sustainability concerns. In the article by the World Health Organization (2024), it was emphasized that mental </w:t>
      </w:r>
      <w:r>
        <w:rPr>
          <w:rFonts w:ascii="Times New Roman" w:eastAsia="Times New Roman" w:hAnsi="Times New Roman" w:cs="Times New Roman"/>
          <w:sz w:val="24"/>
          <w:szCs w:val="24"/>
        </w:rPr>
        <w:t>health in the workplace should be promoted in order to achieve sustainable economic growth, productivity, and social inclusion.</w:t>
      </w:r>
    </w:p>
    <w:p w14:paraId="00000051" w14:textId="77777777" w:rsidR="004A2C61" w:rsidRDefault="004A2C61">
      <w:pPr>
        <w:spacing w:line="360" w:lineRule="auto"/>
        <w:jc w:val="both"/>
        <w:rPr>
          <w:rFonts w:ascii="Times New Roman" w:eastAsia="Times New Roman" w:hAnsi="Times New Roman" w:cs="Times New Roman"/>
          <w:sz w:val="24"/>
          <w:szCs w:val="24"/>
        </w:rPr>
      </w:pPr>
    </w:p>
    <w:p w14:paraId="00000052" w14:textId="77777777" w:rsidR="004A2C61" w:rsidRDefault="0024298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Organizational Outcomes and Human Sustainability.</w:t>
      </w:r>
    </w:p>
    <w:p w14:paraId="00000053" w14:textId="77777777" w:rsidR="004A2C61" w:rsidRDefault="004A2C61">
      <w:pPr>
        <w:spacing w:line="360" w:lineRule="auto"/>
        <w:jc w:val="both"/>
        <w:rPr>
          <w:rFonts w:ascii="Times New Roman" w:eastAsia="Times New Roman" w:hAnsi="Times New Roman" w:cs="Times New Roman"/>
          <w:sz w:val="24"/>
          <w:szCs w:val="24"/>
        </w:rPr>
      </w:pPr>
    </w:p>
    <w:p w14:paraId="00000054" w14:textId="77777777" w:rsidR="004A2C61" w:rsidRDefault="00242988">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Spreitzer</w:t>
      </w:r>
      <w:proofErr w:type="spellEnd"/>
      <w:r>
        <w:rPr>
          <w:rFonts w:ascii="Times New Roman" w:eastAsia="Times New Roman" w:hAnsi="Times New Roman" w:cs="Times New Roman"/>
          <w:sz w:val="24"/>
          <w:szCs w:val="24"/>
        </w:rPr>
        <w:t xml:space="preserve"> et al. (2012) also came up with the human sustainability concept w</w:t>
      </w:r>
      <w:r>
        <w:rPr>
          <w:rFonts w:ascii="Times New Roman" w:eastAsia="Times New Roman" w:hAnsi="Times New Roman" w:cs="Times New Roman"/>
          <w:sz w:val="24"/>
          <w:szCs w:val="24"/>
        </w:rPr>
        <w:t>ith focus on employee vitality and learning as the most important outcome of sustainable organizations. This view holds that companies who are well-being oriented in their employees establish virtuous cycles of energy, engagement, and flexibility. This mak</w:t>
      </w:r>
      <w:r>
        <w:rPr>
          <w:rFonts w:ascii="Times New Roman" w:eastAsia="Times New Roman" w:hAnsi="Times New Roman" w:cs="Times New Roman"/>
          <w:sz w:val="24"/>
          <w:szCs w:val="24"/>
        </w:rPr>
        <w:t>es such organizations more responsive to environmental, technological and economic disruptions.</w:t>
      </w:r>
    </w:p>
    <w:p w14:paraId="00000055" w14:textId="77777777" w:rsidR="004A2C61" w:rsidRDefault="004A2C61">
      <w:pPr>
        <w:spacing w:line="360" w:lineRule="auto"/>
        <w:jc w:val="both"/>
        <w:rPr>
          <w:rFonts w:ascii="Times New Roman" w:eastAsia="Times New Roman" w:hAnsi="Times New Roman" w:cs="Times New Roman"/>
          <w:sz w:val="24"/>
          <w:szCs w:val="24"/>
        </w:rPr>
      </w:pPr>
    </w:p>
    <w:p w14:paraId="00000056" w14:textId="77777777" w:rsidR="004A2C61" w:rsidRDefault="0024298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general, the literature hints that there is a strong and positive correlation between the sustainability-oriented practices and employee well-being. Neverth</w:t>
      </w:r>
      <w:r>
        <w:rPr>
          <w:rFonts w:ascii="Times New Roman" w:eastAsia="Times New Roman" w:hAnsi="Times New Roman" w:cs="Times New Roman"/>
          <w:sz w:val="24"/>
          <w:szCs w:val="24"/>
        </w:rPr>
        <w:t>eless, there is also empirical evidence that potential tensions can occur in case the sustainability initiatives are imposed on workload or performance without proper support. This brings out the importance of the employee-focused sustainability policies.</w:t>
      </w:r>
    </w:p>
    <w:p w14:paraId="00000057" w14:textId="77777777" w:rsidR="004A2C61" w:rsidRDefault="00242988">
      <w:pPr>
        <w:pStyle w:val="Heading2"/>
        <w:keepNext w:val="0"/>
        <w:keepLines w:val="0"/>
        <w:spacing w:after="80" w:line="360" w:lineRule="auto"/>
        <w:jc w:val="both"/>
        <w:rPr>
          <w:rFonts w:ascii="Times New Roman" w:eastAsia="Times New Roman" w:hAnsi="Times New Roman" w:cs="Times New Roman"/>
          <w:b/>
          <w:bCs/>
          <w:sz w:val="24"/>
          <w:szCs w:val="24"/>
        </w:rPr>
      </w:pPr>
      <w:bookmarkStart w:id="2" w:name="_prch6om6lnur" w:colFirst="0" w:colLast="0"/>
      <w:bookmarkEnd w:id="2"/>
      <w:r>
        <w:rPr>
          <w:rFonts w:ascii="Times New Roman" w:eastAsia="Times New Roman" w:hAnsi="Times New Roman" w:cs="Times New Roman"/>
          <w:b/>
          <w:bCs/>
          <w:sz w:val="24"/>
          <w:szCs w:val="24"/>
        </w:rPr>
        <w:t>Research Methodology</w:t>
      </w:r>
    </w:p>
    <w:p w14:paraId="00000058" w14:textId="77777777" w:rsidR="004A2C61" w:rsidRDefault="00242988">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article has taken a narrative review approach where a synthesis of available theoretical and empirical knowledge concerning sustainability and employee well-being has been undertaken. The peer reviewed journal articles, books, and </w:t>
      </w:r>
      <w:r>
        <w:rPr>
          <w:rFonts w:ascii="Times New Roman" w:eastAsia="Times New Roman" w:hAnsi="Times New Roman" w:cs="Times New Roman"/>
          <w:sz w:val="24"/>
          <w:szCs w:val="24"/>
        </w:rPr>
        <w:t xml:space="preserve">policy reports published mostly in the past 20 years were </w:t>
      </w:r>
      <w:r>
        <w:rPr>
          <w:rFonts w:ascii="Times New Roman" w:eastAsia="Times New Roman" w:hAnsi="Times New Roman" w:cs="Times New Roman"/>
          <w:sz w:val="24"/>
          <w:szCs w:val="24"/>
        </w:rPr>
        <w:lastRenderedPageBreak/>
        <w:t>reviewed. The review concentrates on interdisciplinary studies in the field of management, organizational psychology, economics and sustainability studies.</w:t>
      </w:r>
    </w:p>
    <w:p w14:paraId="00000059" w14:textId="77777777" w:rsidR="004A2C61" w:rsidRDefault="00242988">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academic databases used to find litera</w:t>
      </w:r>
      <w:r>
        <w:rPr>
          <w:rFonts w:ascii="Times New Roman" w:eastAsia="Times New Roman" w:hAnsi="Times New Roman" w:cs="Times New Roman"/>
          <w:sz w:val="24"/>
          <w:szCs w:val="24"/>
        </w:rPr>
        <w:t>ture using keywords like sustainability, employee well-being, social sustainability, sustainable HRM, and work place well-being in Scopus, Web of science and Google scholar. The selection of studies was done according to relevance, theoretical contribution</w:t>
      </w:r>
      <w:r>
        <w:rPr>
          <w:rFonts w:ascii="Times New Roman" w:eastAsia="Times New Roman" w:hAnsi="Times New Roman" w:cs="Times New Roman"/>
          <w:sz w:val="24"/>
          <w:szCs w:val="24"/>
        </w:rPr>
        <w:t xml:space="preserve"> and rigor of the methodology. Both conceptual and empirical studies were enclosed in order to have a vivid picture of the topic.</w:t>
      </w:r>
    </w:p>
    <w:p w14:paraId="0000005A" w14:textId="77777777" w:rsidR="004A2C61" w:rsidRDefault="00242988">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literature conducted a review was analyzed thematically, which allowed tracing the common patterns, theoretical frameworks</w:t>
      </w:r>
      <w:r>
        <w:rPr>
          <w:rFonts w:ascii="Times New Roman" w:eastAsia="Times New Roman" w:hAnsi="Times New Roman" w:cs="Times New Roman"/>
          <w:sz w:val="24"/>
          <w:szCs w:val="24"/>
        </w:rPr>
        <w:t>, and empirical results. This will enable the incorporation of various views and point out gaps and discrepancies in already existing studies.</w:t>
      </w:r>
    </w:p>
    <w:p w14:paraId="0000005B" w14:textId="77777777" w:rsidR="004A2C61" w:rsidRDefault="00242988">
      <w:pPr>
        <w:pStyle w:val="Heading2"/>
        <w:keepNext w:val="0"/>
        <w:keepLines w:val="0"/>
        <w:spacing w:after="80" w:line="360" w:lineRule="auto"/>
        <w:jc w:val="both"/>
        <w:rPr>
          <w:rFonts w:ascii="Times New Roman" w:eastAsia="Times New Roman" w:hAnsi="Times New Roman" w:cs="Times New Roman"/>
          <w:b/>
          <w:bCs/>
          <w:sz w:val="24"/>
          <w:szCs w:val="24"/>
        </w:rPr>
      </w:pPr>
      <w:bookmarkStart w:id="3" w:name="_rvawgy86epeh" w:colFirst="0" w:colLast="0"/>
      <w:bookmarkEnd w:id="3"/>
      <w:r>
        <w:rPr>
          <w:rFonts w:ascii="Times New Roman" w:eastAsia="Times New Roman" w:hAnsi="Times New Roman" w:cs="Times New Roman"/>
          <w:b/>
          <w:bCs/>
          <w:sz w:val="24"/>
          <w:szCs w:val="24"/>
        </w:rPr>
        <w:t>Data Analysis and Interpretation</w:t>
      </w:r>
    </w:p>
    <w:p w14:paraId="0000005C" w14:textId="77777777" w:rsidR="004A2C61" w:rsidRDefault="00242988">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review of the studies under consideration shows that there are a few common </w:t>
      </w:r>
      <w:r>
        <w:rPr>
          <w:rFonts w:ascii="Times New Roman" w:eastAsia="Times New Roman" w:hAnsi="Times New Roman" w:cs="Times New Roman"/>
          <w:sz w:val="24"/>
          <w:szCs w:val="24"/>
        </w:rPr>
        <w:t xml:space="preserve">patterns. To begin with, it can be said that there is a substantial amount of evidence demonstrating the positive correlation between sustainability-focused organizational activities and employee well-being outcomes including job satisfaction, engagement, </w:t>
      </w:r>
      <w:r>
        <w:rPr>
          <w:rFonts w:ascii="Times New Roman" w:eastAsia="Times New Roman" w:hAnsi="Times New Roman" w:cs="Times New Roman"/>
          <w:sz w:val="24"/>
          <w:szCs w:val="24"/>
        </w:rPr>
        <w:t>and mental health. Companies that incorporate social sustainability in their policies also have lower turnover intentions and commitment by their employees.</w:t>
      </w:r>
    </w:p>
    <w:p w14:paraId="0000005D" w14:textId="77777777" w:rsidR="004A2C61" w:rsidRDefault="00242988">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Second, the critical mediating role goes to leadership. The connection between sustainability effor</w:t>
      </w:r>
      <w:r>
        <w:rPr>
          <w:rFonts w:ascii="Times New Roman" w:eastAsia="Times New Roman" w:hAnsi="Times New Roman" w:cs="Times New Roman"/>
          <w:sz w:val="24"/>
          <w:szCs w:val="24"/>
        </w:rPr>
        <w:t xml:space="preserve">ts and employee welfare is enhanced through transformational and ethical leadership styles which promote trust, fairness and shared purpose. When leaders maintain consistency in their values and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then the employees tend to see sustainability eff</w:t>
      </w:r>
      <w:r>
        <w:rPr>
          <w:rFonts w:ascii="Times New Roman" w:eastAsia="Times New Roman" w:hAnsi="Times New Roman" w:cs="Times New Roman"/>
          <w:sz w:val="24"/>
          <w:szCs w:val="24"/>
        </w:rPr>
        <w:t>orts as real.</w:t>
      </w:r>
    </w:p>
    <w:p w14:paraId="0000005E" w14:textId="77777777" w:rsidR="004A2C61" w:rsidRDefault="00242988">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Third, organizational forces, including the industry type, the size of an organization, and the national culture, affect results. To illustrate, sustainability practices can have greater well-being advantages in the knowledge-intensive </w:t>
      </w:r>
      <w:r>
        <w:rPr>
          <w:rFonts w:ascii="Times New Roman" w:eastAsia="Times New Roman" w:hAnsi="Times New Roman" w:cs="Times New Roman"/>
          <w:sz w:val="24"/>
          <w:szCs w:val="24"/>
        </w:rPr>
        <w:t>industries and in institutions where labor protections are high.</w:t>
      </w:r>
    </w:p>
    <w:p w14:paraId="0000005F" w14:textId="77777777" w:rsidR="004A2C61" w:rsidRDefault="00242988">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Lastly, there are methodological limitations. Cross-sectional surveys are the basis of a lot of research, and this restricts causation. The number of studies by developed economies is also </w:t>
      </w:r>
      <w:r>
        <w:rPr>
          <w:rFonts w:ascii="Times New Roman" w:eastAsia="Times New Roman" w:hAnsi="Times New Roman" w:cs="Times New Roman"/>
          <w:sz w:val="24"/>
          <w:szCs w:val="24"/>
        </w:rPr>
        <w:lastRenderedPageBreak/>
        <w:t>ov</w:t>
      </w:r>
      <w:r>
        <w:rPr>
          <w:rFonts w:ascii="Times New Roman" w:eastAsia="Times New Roman" w:hAnsi="Times New Roman" w:cs="Times New Roman"/>
          <w:sz w:val="24"/>
          <w:szCs w:val="24"/>
        </w:rPr>
        <w:t>errepresented, and additional studies should be conducted in the environment of emerging and developing countries.</w:t>
      </w:r>
    </w:p>
    <w:p w14:paraId="00000060" w14:textId="77777777" w:rsidR="004A2C61" w:rsidRDefault="00242988">
      <w:pPr>
        <w:pStyle w:val="Heading2"/>
        <w:keepNext w:val="0"/>
        <w:keepLines w:val="0"/>
        <w:spacing w:after="80" w:line="360" w:lineRule="auto"/>
        <w:jc w:val="both"/>
        <w:rPr>
          <w:rFonts w:ascii="Times New Roman" w:eastAsia="Times New Roman" w:hAnsi="Times New Roman" w:cs="Times New Roman"/>
          <w:b/>
          <w:bCs/>
          <w:sz w:val="24"/>
          <w:szCs w:val="24"/>
        </w:rPr>
      </w:pPr>
      <w:bookmarkStart w:id="4" w:name="_buumsd172448" w:colFirst="0" w:colLast="0"/>
      <w:bookmarkEnd w:id="4"/>
      <w:r>
        <w:rPr>
          <w:rFonts w:ascii="Times New Roman" w:eastAsia="Times New Roman" w:hAnsi="Times New Roman" w:cs="Times New Roman"/>
          <w:b/>
          <w:bCs/>
          <w:sz w:val="24"/>
          <w:szCs w:val="24"/>
        </w:rPr>
        <w:t>Discussion and Implications</w:t>
      </w:r>
    </w:p>
    <w:p w14:paraId="00000061" w14:textId="77777777" w:rsidR="004A2C61" w:rsidRDefault="00242988">
      <w:pPr>
        <w:pStyle w:val="Heading3"/>
        <w:keepNext w:val="0"/>
        <w:keepLines w:val="0"/>
        <w:spacing w:before="28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Practical Implications</w:t>
      </w:r>
    </w:p>
    <w:p w14:paraId="00000062" w14:textId="77777777" w:rsidR="004A2C61" w:rsidRDefault="00242988">
      <w:pPr>
        <w:pStyle w:val="Heading3"/>
        <w:keepNext w:val="0"/>
        <w:keepLines w:val="0"/>
        <w:spacing w:before="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practitioners, the review shows that employee well-being should be integrated in </w:t>
      </w:r>
      <w:r>
        <w:rPr>
          <w:rFonts w:ascii="Times New Roman" w:eastAsia="Times New Roman" w:hAnsi="Times New Roman" w:cs="Times New Roman"/>
          <w:color w:val="000000"/>
          <w:sz w:val="24"/>
          <w:szCs w:val="24"/>
        </w:rPr>
        <w:t xml:space="preserve">sustainability strategies as opposed to it being viewed as an isolated HR </w:t>
      </w:r>
      <w:proofErr w:type="spellStart"/>
      <w:r>
        <w:rPr>
          <w:rFonts w:ascii="Times New Roman" w:eastAsia="Times New Roman" w:hAnsi="Times New Roman" w:cs="Times New Roman"/>
          <w:color w:val="000000"/>
          <w:sz w:val="24"/>
          <w:szCs w:val="24"/>
        </w:rPr>
        <w:t>programme</w:t>
      </w:r>
      <w:proofErr w:type="spellEnd"/>
      <w:r>
        <w:rPr>
          <w:rFonts w:ascii="Times New Roman" w:eastAsia="Times New Roman" w:hAnsi="Times New Roman" w:cs="Times New Roman"/>
          <w:color w:val="000000"/>
          <w:sz w:val="24"/>
          <w:szCs w:val="24"/>
        </w:rPr>
        <w:t xml:space="preserve">. Organizations need to embrace holistic methods that would bring the environment-related objectives in line with the social and human factors. Investments in employee </w:t>
      </w:r>
      <w:proofErr w:type="spellStart"/>
      <w:r>
        <w:rPr>
          <w:rFonts w:ascii="Times New Roman" w:eastAsia="Times New Roman" w:hAnsi="Times New Roman" w:cs="Times New Roman"/>
          <w:color w:val="000000"/>
          <w:sz w:val="24"/>
          <w:szCs w:val="24"/>
        </w:rPr>
        <w:t xml:space="preserve">well </w:t>
      </w:r>
      <w:r>
        <w:rPr>
          <w:rFonts w:ascii="Times New Roman" w:eastAsia="Times New Roman" w:hAnsi="Times New Roman" w:cs="Times New Roman"/>
          <w:color w:val="000000"/>
          <w:sz w:val="24"/>
          <w:szCs w:val="24"/>
        </w:rPr>
        <w:t>being</w:t>
      </w:r>
      <w:proofErr w:type="spellEnd"/>
      <w:r>
        <w:rPr>
          <w:rFonts w:ascii="Times New Roman" w:eastAsia="Times New Roman" w:hAnsi="Times New Roman" w:cs="Times New Roman"/>
          <w:color w:val="000000"/>
          <w:sz w:val="24"/>
          <w:szCs w:val="24"/>
        </w:rPr>
        <w:t xml:space="preserve"> should be considered as </w:t>
      </w:r>
      <w:proofErr w:type="gramStart"/>
      <w:r>
        <w:rPr>
          <w:rFonts w:ascii="Times New Roman" w:eastAsia="Times New Roman" w:hAnsi="Times New Roman" w:cs="Times New Roman"/>
          <w:color w:val="000000"/>
          <w:sz w:val="24"/>
          <w:szCs w:val="24"/>
        </w:rPr>
        <w:t>long term</w:t>
      </w:r>
      <w:proofErr w:type="gramEnd"/>
      <w:r>
        <w:rPr>
          <w:rFonts w:ascii="Times New Roman" w:eastAsia="Times New Roman" w:hAnsi="Times New Roman" w:cs="Times New Roman"/>
          <w:color w:val="000000"/>
          <w:sz w:val="24"/>
          <w:szCs w:val="24"/>
        </w:rPr>
        <w:t xml:space="preserve"> investments in sustainability and not short term expenditure- like mental health support, flexible work arrangements and inclusion.</w:t>
      </w:r>
    </w:p>
    <w:p w14:paraId="00000063" w14:textId="77777777" w:rsidR="004A2C61" w:rsidRDefault="00242988">
      <w:pPr>
        <w:pStyle w:val="Heading3"/>
        <w:keepNext w:val="0"/>
        <w:keepLines w:val="0"/>
        <w:spacing w:before="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There is also the possibility of tension between performance pressures and well-bein</w:t>
      </w:r>
      <w:r>
        <w:rPr>
          <w:rFonts w:ascii="Times New Roman" w:eastAsia="Times New Roman" w:hAnsi="Times New Roman" w:cs="Times New Roman"/>
          <w:color w:val="000000"/>
          <w:sz w:val="24"/>
          <w:szCs w:val="24"/>
        </w:rPr>
        <w:t>g that should be identified by managers and policymakers. Sustainable organizations must strike a balance between efficiency and humane working practice as sustainability objectives should not make the stress and inequality levels unknowingly.</w:t>
      </w:r>
    </w:p>
    <w:p w14:paraId="00000064" w14:textId="77777777" w:rsidR="004A2C61" w:rsidRDefault="00242988">
      <w:pPr>
        <w:pStyle w:val="Heading3"/>
        <w:keepNext w:val="0"/>
        <w:keepLines w:val="0"/>
        <w:spacing w:before="28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Theoretical </w:t>
      </w:r>
      <w:r>
        <w:rPr>
          <w:rFonts w:ascii="Times New Roman" w:eastAsia="Times New Roman" w:hAnsi="Times New Roman" w:cs="Times New Roman"/>
          <w:b/>
          <w:bCs/>
          <w:color w:val="000000"/>
          <w:sz w:val="24"/>
          <w:szCs w:val="24"/>
        </w:rPr>
        <w:t>Implications</w:t>
      </w:r>
    </w:p>
    <w:p w14:paraId="00000065" w14:textId="77777777" w:rsidR="004A2C61" w:rsidRDefault="00242988">
      <w:pPr>
        <w:pStyle w:val="Heading3"/>
        <w:keepNext w:val="0"/>
        <w:keepLines w:val="0"/>
        <w:spacing w:before="28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The review adds to the theory by supporting the perception that employee well-being is a cause and a consequence of sustainability. By becoming more explicit in the sustainability systems, well-being can be integrated into the existing theorie</w:t>
      </w:r>
      <w:r>
        <w:rPr>
          <w:rFonts w:ascii="Times New Roman" w:eastAsia="Times New Roman" w:hAnsi="Times New Roman" w:cs="Times New Roman"/>
          <w:color w:val="000000"/>
          <w:sz w:val="24"/>
          <w:szCs w:val="24"/>
        </w:rPr>
        <w:t>s to enhance their holistic approaches to organizational performance. Further theoretical research needs to be conducted on dynamic and longitudinal correlations between sustainability programs and well-being outcomes.</w:t>
      </w:r>
    </w:p>
    <w:p w14:paraId="00000066" w14:textId="77777777" w:rsidR="004A2C61" w:rsidRDefault="00242988">
      <w:pPr>
        <w:pStyle w:val="Heading3"/>
        <w:keepNext w:val="0"/>
        <w:keepLines w:val="0"/>
        <w:spacing w:before="28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Conclusion and Future Research Direct</w:t>
      </w:r>
      <w:r>
        <w:rPr>
          <w:rFonts w:ascii="Times New Roman" w:eastAsia="Times New Roman" w:hAnsi="Times New Roman" w:cs="Times New Roman"/>
          <w:b/>
          <w:bCs/>
          <w:color w:val="000000"/>
          <w:sz w:val="24"/>
          <w:szCs w:val="24"/>
        </w:rPr>
        <w:t>ion</w:t>
      </w:r>
    </w:p>
    <w:p w14:paraId="00000067" w14:textId="77777777" w:rsidR="004A2C61" w:rsidRDefault="00242988">
      <w:pPr>
        <w:pStyle w:val="Heading3"/>
        <w:keepNext w:val="0"/>
        <w:keepLines w:val="0"/>
        <w:spacing w:before="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review highlights the increased appreciation of employee well-being as a key component of organizational sustainability. Combining both theoretical insights and empirical data, the article explains that sustainable practices and the well-being of </w:t>
      </w:r>
      <w:r>
        <w:rPr>
          <w:rFonts w:ascii="Times New Roman" w:eastAsia="Times New Roman" w:hAnsi="Times New Roman" w:cs="Times New Roman"/>
          <w:color w:val="000000"/>
          <w:sz w:val="24"/>
          <w:szCs w:val="24"/>
        </w:rPr>
        <w:t>employees go hand in hand. Companies focusing on well-being are in a better position to realize long-term resilience, legitimacy and performance.</w:t>
      </w:r>
    </w:p>
    <w:p w14:paraId="00000068" w14:textId="77777777" w:rsidR="004A2C61" w:rsidRDefault="00242988">
      <w:pPr>
        <w:pStyle w:val="Heading3"/>
        <w:keepNext w:val="0"/>
        <w:keepLines w:val="0"/>
        <w:spacing w:before="280" w:line="360" w:lineRule="auto"/>
        <w:jc w:val="both"/>
        <w:rPr>
          <w:rFonts w:ascii="Times New Roman" w:eastAsia="Times New Roman" w:hAnsi="Times New Roman" w:cs="Times New Roman"/>
          <w:color w:val="000000"/>
          <w:sz w:val="24"/>
          <w:szCs w:val="24"/>
        </w:rPr>
      </w:pPr>
      <w:bookmarkStart w:id="5" w:name="_gnk19gppmvzh" w:colFirst="0" w:colLast="0"/>
      <w:bookmarkEnd w:id="5"/>
      <w:r>
        <w:rPr>
          <w:rFonts w:ascii="Times New Roman" w:eastAsia="Times New Roman" w:hAnsi="Times New Roman" w:cs="Times New Roman"/>
          <w:color w:val="000000"/>
          <w:sz w:val="24"/>
          <w:szCs w:val="24"/>
        </w:rPr>
        <w:lastRenderedPageBreak/>
        <w:t>There are a number of gaps that need to be filled in future research. Causal relationships should be done thro</w:t>
      </w:r>
      <w:r>
        <w:rPr>
          <w:rFonts w:ascii="Times New Roman" w:eastAsia="Times New Roman" w:hAnsi="Times New Roman" w:cs="Times New Roman"/>
          <w:color w:val="000000"/>
          <w:sz w:val="24"/>
          <w:szCs w:val="24"/>
        </w:rPr>
        <w:t>ugh longitudinal and experimental research. More effort needs to be put on various institutional and cultural settings, especially in the developing economies. Furthermore, the potential research in the future might be focused on how digitalization, remote</w:t>
      </w:r>
      <w:r>
        <w:rPr>
          <w:rFonts w:ascii="Times New Roman" w:eastAsia="Times New Roman" w:hAnsi="Times New Roman" w:cs="Times New Roman"/>
          <w:color w:val="000000"/>
          <w:sz w:val="24"/>
          <w:szCs w:val="24"/>
        </w:rPr>
        <w:t xml:space="preserve"> working, and climate-related issues transform the sustainability-well-being nexus.</w:t>
      </w:r>
    </w:p>
    <w:p w14:paraId="00000069" w14:textId="77777777" w:rsidR="004A2C61" w:rsidRDefault="00242988">
      <w:pPr>
        <w:pStyle w:val="Heading3"/>
        <w:keepNext w:val="0"/>
        <w:keepLines w:val="0"/>
        <w:spacing w:before="280" w:line="360" w:lineRule="auto"/>
        <w:jc w:val="both"/>
        <w:rPr>
          <w:rFonts w:ascii="Times New Roman" w:eastAsia="Times New Roman" w:hAnsi="Times New Roman" w:cs="Times New Roman"/>
          <w:color w:val="000000"/>
          <w:sz w:val="24"/>
          <w:szCs w:val="24"/>
        </w:rPr>
      </w:pPr>
      <w:bookmarkStart w:id="6" w:name="_27ckdjg248l" w:colFirst="0" w:colLast="0"/>
      <w:bookmarkEnd w:id="6"/>
      <w:r>
        <w:rPr>
          <w:rFonts w:ascii="Times New Roman" w:eastAsia="Times New Roman" w:hAnsi="Times New Roman" w:cs="Times New Roman"/>
          <w:color w:val="000000"/>
          <w:sz w:val="24"/>
          <w:szCs w:val="24"/>
        </w:rPr>
        <w:t>To sum up, to proceed with sustainability, one must stop focusing on environmental indicators and adopt human-centered solutions. It is an ethical requirement but also a st</w:t>
      </w:r>
      <w:r>
        <w:rPr>
          <w:rFonts w:ascii="Times New Roman" w:eastAsia="Times New Roman" w:hAnsi="Times New Roman" w:cs="Times New Roman"/>
          <w:color w:val="000000"/>
          <w:sz w:val="24"/>
          <w:szCs w:val="24"/>
        </w:rPr>
        <w:t>rategic requirement to ensure that organizations are really sustainable in terms of employee well-being.</w:t>
      </w:r>
    </w:p>
    <w:p w14:paraId="0000006A" w14:textId="69A45058" w:rsidR="004A2C61" w:rsidRDefault="00BF5F80">
      <w:pPr>
        <w:pStyle w:val="Heading3"/>
        <w:keepNext w:val="0"/>
        <w:keepLines w:val="0"/>
        <w:spacing w:before="280" w:line="360" w:lineRule="auto"/>
        <w:jc w:val="both"/>
        <w:rPr>
          <w:rFonts w:ascii="Times New Roman" w:eastAsia="Times New Roman" w:hAnsi="Times New Roman" w:cs="Times New Roman"/>
          <w:color w:val="000000"/>
          <w:sz w:val="24"/>
          <w:szCs w:val="24"/>
        </w:rPr>
      </w:pPr>
      <w:bookmarkStart w:id="7" w:name="_btq2w2i5q6ct" w:colFirst="0" w:colLast="0"/>
      <w:bookmarkEnd w:id="7"/>
      <w:r>
        <w:rPr>
          <w:rFonts w:ascii="Times New Roman" w:eastAsia="Times New Roman" w:hAnsi="Times New Roman" w:cs="Times New Roman"/>
          <w:color w:val="000000"/>
          <w:sz w:val="24"/>
          <w:szCs w:val="24"/>
        </w:rPr>
        <w:t>REFERENCES</w:t>
      </w:r>
    </w:p>
    <w:p w14:paraId="0000006B" w14:textId="77777777" w:rsidR="004A2C61" w:rsidRDefault="00242988">
      <w:pPr>
        <w:spacing w:before="240" w:after="240" w:line="360"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Allen, T. D., Golden, T. D., &amp; Shockley, K. M. (2015). How effective is telecommuting? Assessing the status of our scientific findings. </w:t>
      </w:r>
      <w:r>
        <w:rPr>
          <w:rFonts w:ascii="Times New Roman" w:eastAsia="Times New Roman" w:hAnsi="Times New Roman" w:cs="Times New Roman"/>
          <w:i/>
          <w:iCs/>
          <w:sz w:val="24"/>
          <w:szCs w:val="24"/>
        </w:rPr>
        <w:t>Psyc</w:t>
      </w:r>
      <w:r>
        <w:rPr>
          <w:rFonts w:ascii="Times New Roman" w:eastAsia="Times New Roman" w:hAnsi="Times New Roman" w:cs="Times New Roman"/>
          <w:i/>
          <w:iCs/>
          <w:sz w:val="24"/>
          <w:szCs w:val="24"/>
        </w:rPr>
        <w:t>hological Science in the Public Interest, 16</w:t>
      </w:r>
      <w:r>
        <w:rPr>
          <w:rFonts w:ascii="Times New Roman" w:eastAsia="Times New Roman" w:hAnsi="Times New Roman" w:cs="Times New Roman"/>
          <w:sz w:val="24"/>
          <w:szCs w:val="24"/>
        </w:rPr>
        <w:t>(2), 40–68.</w:t>
      </w:r>
      <w:hyperlink r:id="rId7">
        <w:r w:rsidR="004A2C61">
          <w:rPr>
            <w:rFonts w:ascii="Times New Roman" w:eastAsia="Times New Roman" w:hAnsi="Times New Roman" w:cs="Times New Roman"/>
            <w:sz w:val="24"/>
            <w:szCs w:val="24"/>
          </w:rPr>
          <w:t xml:space="preserve"> </w:t>
        </w:r>
      </w:hyperlink>
      <w:hyperlink r:id="rId8">
        <w:r w:rsidR="004A2C61">
          <w:rPr>
            <w:rFonts w:ascii="Times New Roman" w:eastAsia="Times New Roman" w:hAnsi="Times New Roman" w:cs="Times New Roman"/>
            <w:color w:val="1155CC"/>
            <w:sz w:val="24"/>
            <w:szCs w:val="24"/>
            <w:u w:val="single"/>
          </w:rPr>
          <w:t>https://doi.org/10.1177/1529100615593273</w:t>
        </w:r>
      </w:hyperlink>
    </w:p>
    <w:p w14:paraId="0000006C" w14:textId="77777777" w:rsidR="004A2C61" w:rsidRDefault="00242988">
      <w:pPr>
        <w:spacing w:before="240" w:after="240" w:line="360"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Bakker, A. B., &amp; </w:t>
      </w:r>
      <w:proofErr w:type="spellStart"/>
      <w:r>
        <w:rPr>
          <w:rFonts w:ascii="Times New Roman" w:eastAsia="Times New Roman" w:hAnsi="Times New Roman" w:cs="Times New Roman"/>
          <w:sz w:val="24"/>
          <w:szCs w:val="24"/>
        </w:rPr>
        <w:t>Demerouti</w:t>
      </w:r>
      <w:proofErr w:type="spellEnd"/>
      <w:r>
        <w:rPr>
          <w:rFonts w:ascii="Times New Roman" w:eastAsia="Times New Roman" w:hAnsi="Times New Roman" w:cs="Times New Roman"/>
          <w:sz w:val="24"/>
          <w:szCs w:val="24"/>
        </w:rPr>
        <w:t xml:space="preserve">, E. (2017). </w:t>
      </w:r>
      <w:r>
        <w:rPr>
          <w:rFonts w:ascii="Times New Roman" w:eastAsia="Times New Roman" w:hAnsi="Times New Roman" w:cs="Times New Roman"/>
          <w:sz w:val="24"/>
          <w:szCs w:val="24"/>
        </w:rPr>
        <w:t xml:space="preserve">Job demands–resources theory: Taking stock and looking forward. </w:t>
      </w:r>
      <w:r>
        <w:rPr>
          <w:rFonts w:ascii="Times New Roman" w:eastAsia="Times New Roman" w:hAnsi="Times New Roman" w:cs="Times New Roman"/>
          <w:i/>
          <w:iCs/>
          <w:sz w:val="24"/>
          <w:szCs w:val="24"/>
        </w:rPr>
        <w:t>Journal of Occupational Health Psychology, 22</w:t>
      </w:r>
      <w:r>
        <w:rPr>
          <w:rFonts w:ascii="Times New Roman" w:eastAsia="Times New Roman" w:hAnsi="Times New Roman" w:cs="Times New Roman"/>
          <w:sz w:val="24"/>
          <w:szCs w:val="24"/>
        </w:rPr>
        <w:t>(3), 273–285.</w:t>
      </w:r>
      <w:hyperlink r:id="rId9">
        <w:r w:rsidR="004A2C61">
          <w:rPr>
            <w:rFonts w:ascii="Times New Roman" w:eastAsia="Times New Roman" w:hAnsi="Times New Roman" w:cs="Times New Roman"/>
            <w:sz w:val="24"/>
            <w:szCs w:val="24"/>
          </w:rPr>
          <w:t xml:space="preserve"> </w:t>
        </w:r>
      </w:hyperlink>
      <w:hyperlink r:id="rId10">
        <w:r w:rsidR="004A2C61">
          <w:rPr>
            <w:rFonts w:ascii="Times New Roman" w:eastAsia="Times New Roman" w:hAnsi="Times New Roman" w:cs="Times New Roman"/>
            <w:color w:val="1155CC"/>
            <w:sz w:val="24"/>
            <w:szCs w:val="24"/>
            <w:u w:val="single"/>
          </w:rPr>
          <w:t>https://doi.org/10.1037/ocp0000056</w:t>
        </w:r>
      </w:hyperlink>
    </w:p>
    <w:p w14:paraId="0000006D" w14:textId="77777777" w:rsidR="004A2C61" w:rsidRDefault="00242988">
      <w:pPr>
        <w:spacing w:before="240" w:after="240" w:line="360"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Biju, A. V., Vijaya Kumar, M., &amp; Akhil, M. P. (2022). Assessing the effect of work from home on the work–life balance of IT employees. </w:t>
      </w:r>
      <w:r>
        <w:rPr>
          <w:rFonts w:ascii="Times New Roman" w:eastAsia="Times New Roman" w:hAnsi="Times New Roman" w:cs="Times New Roman"/>
          <w:i/>
          <w:iCs/>
          <w:sz w:val="24"/>
          <w:szCs w:val="24"/>
        </w:rPr>
        <w:t>International Journal of Human Capital and Information Technology Professionals, 13</w:t>
      </w:r>
      <w:r>
        <w:rPr>
          <w:rFonts w:ascii="Times New Roman" w:eastAsia="Times New Roman" w:hAnsi="Times New Roman" w:cs="Times New Roman"/>
          <w:sz w:val="24"/>
          <w:szCs w:val="24"/>
        </w:rPr>
        <w:t>(1)</w:t>
      </w:r>
      <w:r>
        <w:rPr>
          <w:rFonts w:ascii="Times New Roman" w:eastAsia="Times New Roman" w:hAnsi="Times New Roman" w:cs="Times New Roman"/>
          <w:sz w:val="24"/>
          <w:szCs w:val="24"/>
        </w:rPr>
        <w:t>.</w:t>
      </w:r>
      <w:hyperlink r:id="rId11">
        <w:r w:rsidR="004A2C61">
          <w:rPr>
            <w:rFonts w:ascii="Times New Roman" w:eastAsia="Times New Roman" w:hAnsi="Times New Roman" w:cs="Times New Roman"/>
            <w:sz w:val="24"/>
            <w:szCs w:val="24"/>
          </w:rPr>
          <w:t xml:space="preserve"> </w:t>
        </w:r>
      </w:hyperlink>
      <w:hyperlink r:id="rId12">
        <w:r w:rsidR="004A2C61">
          <w:rPr>
            <w:rFonts w:ascii="Times New Roman" w:eastAsia="Times New Roman" w:hAnsi="Times New Roman" w:cs="Times New Roman"/>
            <w:color w:val="1155CC"/>
            <w:sz w:val="24"/>
            <w:szCs w:val="24"/>
            <w:u w:val="single"/>
          </w:rPr>
          <w:t>https://doi.org/10.4018/IJHCITP.303951</w:t>
        </w:r>
      </w:hyperlink>
    </w:p>
    <w:p w14:paraId="0000006E" w14:textId="77777777" w:rsidR="004A2C61" w:rsidRDefault="00242988">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Brundtland, G. H. (1987). </w:t>
      </w:r>
      <w:r>
        <w:rPr>
          <w:rFonts w:ascii="Times New Roman" w:eastAsia="Times New Roman" w:hAnsi="Times New Roman" w:cs="Times New Roman"/>
          <w:i/>
          <w:iCs/>
          <w:sz w:val="24"/>
          <w:szCs w:val="24"/>
        </w:rPr>
        <w:t>Our common future</w:t>
      </w:r>
      <w:r>
        <w:rPr>
          <w:rFonts w:ascii="Times New Roman" w:eastAsia="Times New Roman" w:hAnsi="Times New Roman" w:cs="Times New Roman"/>
          <w:sz w:val="24"/>
          <w:szCs w:val="24"/>
        </w:rPr>
        <w:t>. Oxford University Press.</w:t>
      </w:r>
    </w:p>
    <w:p w14:paraId="0000006F" w14:textId="77777777" w:rsidR="004A2C61" w:rsidRDefault="00242988">
      <w:pPr>
        <w:spacing w:before="240" w:after="240" w:line="360" w:lineRule="auto"/>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sz w:val="24"/>
          <w:szCs w:val="24"/>
        </w:rPr>
        <w:t>Cropanzano</w:t>
      </w:r>
      <w:proofErr w:type="spellEnd"/>
      <w:r>
        <w:rPr>
          <w:rFonts w:ascii="Times New Roman" w:eastAsia="Times New Roman" w:hAnsi="Times New Roman" w:cs="Times New Roman"/>
          <w:sz w:val="24"/>
          <w:szCs w:val="24"/>
        </w:rPr>
        <w:t>, R., &amp; Mitchell, M</w:t>
      </w:r>
      <w:r>
        <w:rPr>
          <w:rFonts w:ascii="Times New Roman" w:eastAsia="Times New Roman" w:hAnsi="Times New Roman" w:cs="Times New Roman"/>
          <w:sz w:val="24"/>
          <w:szCs w:val="24"/>
        </w:rPr>
        <w:t xml:space="preserve">. S. (2005). Social exchange theory: An interdisciplinary review. </w:t>
      </w:r>
      <w:r>
        <w:rPr>
          <w:rFonts w:ascii="Times New Roman" w:eastAsia="Times New Roman" w:hAnsi="Times New Roman" w:cs="Times New Roman"/>
          <w:i/>
          <w:iCs/>
          <w:sz w:val="24"/>
          <w:szCs w:val="24"/>
        </w:rPr>
        <w:t>Journal of Management, 31</w:t>
      </w:r>
      <w:r>
        <w:rPr>
          <w:rFonts w:ascii="Times New Roman" w:eastAsia="Times New Roman" w:hAnsi="Times New Roman" w:cs="Times New Roman"/>
          <w:sz w:val="24"/>
          <w:szCs w:val="24"/>
        </w:rPr>
        <w:t>(6), 874–900.</w:t>
      </w:r>
      <w:hyperlink r:id="rId13">
        <w:r w:rsidR="004A2C61">
          <w:rPr>
            <w:rFonts w:ascii="Times New Roman" w:eastAsia="Times New Roman" w:hAnsi="Times New Roman" w:cs="Times New Roman"/>
            <w:sz w:val="24"/>
            <w:szCs w:val="24"/>
          </w:rPr>
          <w:t xml:space="preserve"> </w:t>
        </w:r>
      </w:hyperlink>
      <w:hyperlink r:id="rId14">
        <w:r w:rsidR="004A2C61">
          <w:rPr>
            <w:rFonts w:ascii="Times New Roman" w:eastAsia="Times New Roman" w:hAnsi="Times New Roman" w:cs="Times New Roman"/>
            <w:color w:val="1155CC"/>
            <w:sz w:val="24"/>
            <w:szCs w:val="24"/>
            <w:u w:val="single"/>
          </w:rPr>
          <w:t>https://doi.org/10.1177/0149206305279602</w:t>
        </w:r>
      </w:hyperlink>
    </w:p>
    <w:p w14:paraId="00000070" w14:textId="77777777" w:rsidR="004A2C61" w:rsidRDefault="00242988">
      <w:pPr>
        <w:spacing w:before="240" w:after="240" w:line="360"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Deci, E. L., &amp; Ryan, R. M. (2000). The “what” and “why” of goal pursuits: Human needs and the self-determination of behavior. </w:t>
      </w:r>
      <w:r>
        <w:rPr>
          <w:rFonts w:ascii="Times New Roman" w:eastAsia="Times New Roman" w:hAnsi="Times New Roman" w:cs="Times New Roman"/>
          <w:i/>
          <w:iCs/>
          <w:sz w:val="24"/>
          <w:szCs w:val="24"/>
        </w:rPr>
        <w:t>Psychological Inquiry, 11</w:t>
      </w:r>
      <w:r>
        <w:rPr>
          <w:rFonts w:ascii="Times New Roman" w:eastAsia="Times New Roman" w:hAnsi="Times New Roman" w:cs="Times New Roman"/>
          <w:sz w:val="24"/>
          <w:szCs w:val="24"/>
        </w:rPr>
        <w:t>(4), 227–268.</w:t>
      </w:r>
      <w:hyperlink r:id="rId15">
        <w:r w:rsidR="004A2C61">
          <w:rPr>
            <w:rFonts w:ascii="Times New Roman" w:eastAsia="Times New Roman" w:hAnsi="Times New Roman" w:cs="Times New Roman"/>
            <w:sz w:val="24"/>
            <w:szCs w:val="24"/>
          </w:rPr>
          <w:t xml:space="preserve"> </w:t>
        </w:r>
      </w:hyperlink>
      <w:hyperlink r:id="rId16">
        <w:r w:rsidR="004A2C61">
          <w:rPr>
            <w:rFonts w:ascii="Times New Roman" w:eastAsia="Times New Roman" w:hAnsi="Times New Roman" w:cs="Times New Roman"/>
            <w:color w:val="1155CC"/>
            <w:sz w:val="24"/>
            <w:szCs w:val="24"/>
            <w:u w:val="single"/>
          </w:rPr>
          <w:t>https://doi.org/10.1207/S15327965PLI1104_01</w:t>
        </w:r>
      </w:hyperlink>
    </w:p>
    <w:p w14:paraId="00000071" w14:textId="77777777" w:rsidR="004A2C61" w:rsidRDefault="00242988">
      <w:pPr>
        <w:spacing w:before="240" w:after="240" w:line="360" w:lineRule="auto"/>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sz w:val="24"/>
          <w:szCs w:val="24"/>
        </w:rPr>
        <w:lastRenderedPageBreak/>
        <w:t>Dyllick</w:t>
      </w:r>
      <w:proofErr w:type="spellEnd"/>
      <w:r>
        <w:rPr>
          <w:rFonts w:ascii="Times New Roman" w:eastAsia="Times New Roman" w:hAnsi="Times New Roman" w:cs="Times New Roman"/>
          <w:sz w:val="24"/>
          <w:szCs w:val="24"/>
        </w:rPr>
        <w:t xml:space="preserve">, T., &amp; Muff, K. (2016). Clarifying the meaning of sustainable business: Introducing a typology from business-as-usual to true business sustainability. </w:t>
      </w:r>
      <w:r>
        <w:rPr>
          <w:rFonts w:ascii="Times New Roman" w:eastAsia="Times New Roman" w:hAnsi="Times New Roman" w:cs="Times New Roman"/>
          <w:i/>
          <w:iCs/>
          <w:sz w:val="24"/>
          <w:szCs w:val="24"/>
        </w:rPr>
        <w:t>Organiza</w:t>
      </w:r>
      <w:r>
        <w:rPr>
          <w:rFonts w:ascii="Times New Roman" w:eastAsia="Times New Roman" w:hAnsi="Times New Roman" w:cs="Times New Roman"/>
          <w:i/>
          <w:iCs/>
          <w:sz w:val="24"/>
          <w:szCs w:val="24"/>
        </w:rPr>
        <w:t>tion &amp; Environment, 29</w:t>
      </w:r>
      <w:r>
        <w:rPr>
          <w:rFonts w:ascii="Times New Roman" w:eastAsia="Times New Roman" w:hAnsi="Times New Roman" w:cs="Times New Roman"/>
          <w:sz w:val="24"/>
          <w:szCs w:val="24"/>
        </w:rPr>
        <w:t>(2), 156–174.</w:t>
      </w:r>
      <w:hyperlink r:id="rId17">
        <w:r w:rsidR="004A2C61">
          <w:rPr>
            <w:rFonts w:ascii="Times New Roman" w:eastAsia="Times New Roman" w:hAnsi="Times New Roman" w:cs="Times New Roman"/>
            <w:sz w:val="24"/>
            <w:szCs w:val="24"/>
          </w:rPr>
          <w:t xml:space="preserve"> </w:t>
        </w:r>
      </w:hyperlink>
      <w:hyperlink r:id="rId18">
        <w:r w:rsidR="004A2C61">
          <w:rPr>
            <w:rFonts w:ascii="Times New Roman" w:eastAsia="Times New Roman" w:hAnsi="Times New Roman" w:cs="Times New Roman"/>
            <w:color w:val="1155CC"/>
            <w:sz w:val="24"/>
            <w:szCs w:val="24"/>
            <w:u w:val="single"/>
          </w:rPr>
          <w:t>https://doi.org/10.1177/1086026615575176</w:t>
        </w:r>
      </w:hyperlink>
    </w:p>
    <w:p w14:paraId="00000072" w14:textId="77777777" w:rsidR="004A2C61" w:rsidRDefault="00242988">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Elkington, J. (1997). </w:t>
      </w:r>
      <w:r>
        <w:rPr>
          <w:rFonts w:ascii="Times New Roman" w:eastAsia="Times New Roman" w:hAnsi="Times New Roman" w:cs="Times New Roman"/>
          <w:i/>
          <w:iCs/>
          <w:sz w:val="24"/>
          <w:szCs w:val="24"/>
        </w:rPr>
        <w:t>Cannibals with forks: The triple bott</w:t>
      </w:r>
      <w:r>
        <w:rPr>
          <w:rFonts w:ascii="Times New Roman" w:eastAsia="Times New Roman" w:hAnsi="Times New Roman" w:cs="Times New Roman"/>
          <w:i/>
          <w:iCs/>
          <w:sz w:val="24"/>
          <w:szCs w:val="24"/>
        </w:rPr>
        <w:t>om line of 21st century business</w:t>
      </w:r>
      <w:r>
        <w:rPr>
          <w:rFonts w:ascii="Times New Roman" w:eastAsia="Times New Roman" w:hAnsi="Times New Roman" w:cs="Times New Roman"/>
          <w:sz w:val="24"/>
          <w:szCs w:val="24"/>
        </w:rPr>
        <w:t>. Capstone.</w:t>
      </w:r>
    </w:p>
    <w:p w14:paraId="00000073" w14:textId="77777777" w:rsidR="004A2C61" w:rsidRDefault="00242988">
      <w:pPr>
        <w:spacing w:before="240" w:after="240" w:line="360"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Guest, D. E. (2017). Human resource management and employee well-being: Towards a new analytic framework. </w:t>
      </w:r>
      <w:r>
        <w:rPr>
          <w:rFonts w:ascii="Times New Roman" w:eastAsia="Times New Roman" w:hAnsi="Times New Roman" w:cs="Times New Roman"/>
          <w:i/>
          <w:iCs/>
          <w:sz w:val="24"/>
          <w:szCs w:val="24"/>
        </w:rPr>
        <w:t>Human Resource Management Journal, 27</w:t>
      </w:r>
      <w:r>
        <w:rPr>
          <w:rFonts w:ascii="Times New Roman" w:eastAsia="Times New Roman" w:hAnsi="Times New Roman" w:cs="Times New Roman"/>
          <w:sz w:val="24"/>
          <w:szCs w:val="24"/>
        </w:rPr>
        <w:t>(1), 22–38.</w:t>
      </w:r>
      <w:hyperlink r:id="rId19">
        <w:r w:rsidR="004A2C61">
          <w:rPr>
            <w:rFonts w:ascii="Times New Roman" w:eastAsia="Times New Roman" w:hAnsi="Times New Roman" w:cs="Times New Roman"/>
            <w:sz w:val="24"/>
            <w:szCs w:val="24"/>
          </w:rPr>
          <w:t xml:space="preserve"> </w:t>
        </w:r>
      </w:hyperlink>
      <w:hyperlink r:id="rId20">
        <w:r w:rsidR="004A2C61">
          <w:rPr>
            <w:rFonts w:ascii="Times New Roman" w:eastAsia="Times New Roman" w:hAnsi="Times New Roman" w:cs="Times New Roman"/>
            <w:color w:val="1155CC"/>
            <w:sz w:val="24"/>
            <w:szCs w:val="24"/>
            <w:u w:val="single"/>
          </w:rPr>
          <w:t>https://doi.org/10.1111/1748-8583.12139</w:t>
        </w:r>
      </w:hyperlink>
    </w:p>
    <w:p w14:paraId="00000074" w14:textId="77777777" w:rsidR="004A2C61" w:rsidRDefault="00242988">
      <w:pPr>
        <w:spacing w:before="240" w:after="240" w:line="360"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Harter, J. K., Schmidt, F. L., &amp; Hayes, T. L. (2002). Business-unit-level relationship between employee satisfaction, employee engagement, and business outcomes: A meta-analysis. </w:t>
      </w:r>
      <w:r>
        <w:rPr>
          <w:rFonts w:ascii="Times New Roman" w:eastAsia="Times New Roman" w:hAnsi="Times New Roman" w:cs="Times New Roman"/>
          <w:i/>
          <w:iCs/>
          <w:sz w:val="24"/>
          <w:szCs w:val="24"/>
        </w:rPr>
        <w:t>Journal of Applied Psychology, 87</w:t>
      </w:r>
      <w:r>
        <w:rPr>
          <w:rFonts w:ascii="Times New Roman" w:eastAsia="Times New Roman" w:hAnsi="Times New Roman" w:cs="Times New Roman"/>
          <w:sz w:val="24"/>
          <w:szCs w:val="24"/>
        </w:rPr>
        <w:t>(2), 268–279.</w:t>
      </w:r>
      <w:hyperlink r:id="rId21">
        <w:r w:rsidR="004A2C61">
          <w:rPr>
            <w:rFonts w:ascii="Times New Roman" w:eastAsia="Times New Roman" w:hAnsi="Times New Roman" w:cs="Times New Roman"/>
            <w:sz w:val="24"/>
            <w:szCs w:val="24"/>
          </w:rPr>
          <w:t xml:space="preserve"> </w:t>
        </w:r>
      </w:hyperlink>
      <w:hyperlink r:id="rId22">
        <w:r w:rsidR="004A2C61">
          <w:rPr>
            <w:rFonts w:ascii="Times New Roman" w:eastAsia="Times New Roman" w:hAnsi="Times New Roman" w:cs="Times New Roman"/>
            <w:color w:val="1155CC"/>
            <w:sz w:val="24"/>
            <w:szCs w:val="24"/>
            <w:u w:val="single"/>
          </w:rPr>
          <w:t>https://doi.org/10.1037/0021-9010.87.2.268</w:t>
        </w:r>
      </w:hyperlink>
    </w:p>
    <w:p w14:paraId="00000075" w14:textId="77777777" w:rsidR="004A2C61" w:rsidRDefault="00242988">
      <w:pPr>
        <w:spacing w:before="240" w:after="240" w:line="360" w:lineRule="auto"/>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sz w:val="24"/>
          <w:szCs w:val="24"/>
        </w:rPr>
        <w:t>Kramar</w:t>
      </w:r>
      <w:proofErr w:type="spellEnd"/>
      <w:r>
        <w:rPr>
          <w:rFonts w:ascii="Times New Roman" w:eastAsia="Times New Roman" w:hAnsi="Times New Roman" w:cs="Times New Roman"/>
          <w:sz w:val="24"/>
          <w:szCs w:val="24"/>
        </w:rPr>
        <w:t>, R. (2014). Beyond strategic human resource management: Is sustainable human resource management the next approa</w:t>
      </w:r>
      <w:r>
        <w:rPr>
          <w:rFonts w:ascii="Times New Roman" w:eastAsia="Times New Roman" w:hAnsi="Times New Roman" w:cs="Times New Roman"/>
          <w:sz w:val="24"/>
          <w:szCs w:val="24"/>
        </w:rPr>
        <w:t xml:space="preserve">ch? </w:t>
      </w:r>
      <w:r>
        <w:rPr>
          <w:rFonts w:ascii="Times New Roman" w:eastAsia="Times New Roman" w:hAnsi="Times New Roman" w:cs="Times New Roman"/>
          <w:i/>
          <w:iCs/>
          <w:sz w:val="24"/>
          <w:szCs w:val="24"/>
        </w:rPr>
        <w:t>The International Journal of Human Resource Management, 25</w:t>
      </w:r>
      <w:r>
        <w:rPr>
          <w:rFonts w:ascii="Times New Roman" w:eastAsia="Times New Roman" w:hAnsi="Times New Roman" w:cs="Times New Roman"/>
          <w:sz w:val="24"/>
          <w:szCs w:val="24"/>
        </w:rPr>
        <w:t>(8), 1069–1089.</w:t>
      </w:r>
      <w:hyperlink r:id="rId23">
        <w:r w:rsidR="004A2C61">
          <w:rPr>
            <w:rFonts w:ascii="Times New Roman" w:eastAsia="Times New Roman" w:hAnsi="Times New Roman" w:cs="Times New Roman"/>
            <w:sz w:val="24"/>
            <w:szCs w:val="24"/>
          </w:rPr>
          <w:t xml:space="preserve"> </w:t>
        </w:r>
      </w:hyperlink>
      <w:hyperlink r:id="rId24">
        <w:r w:rsidR="004A2C61">
          <w:rPr>
            <w:rFonts w:ascii="Times New Roman" w:eastAsia="Times New Roman" w:hAnsi="Times New Roman" w:cs="Times New Roman"/>
            <w:color w:val="1155CC"/>
            <w:sz w:val="24"/>
            <w:szCs w:val="24"/>
            <w:u w:val="single"/>
          </w:rPr>
          <w:t>https://doi.org/10.1080/09585192.2013.816863</w:t>
        </w:r>
      </w:hyperlink>
    </w:p>
    <w:p w14:paraId="00000076" w14:textId="77777777" w:rsidR="004A2C61" w:rsidRDefault="00242988">
      <w:pPr>
        <w:spacing w:before="240" w:after="240" w:line="360" w:lineRule="auto"/>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sz w:val="24"/>
          <w:szCs w:val="24"/>
        </w:rPr>
        <w:t>Parda</w:t>
      </w:r>
      <w:r>
        <w:rPr>
          <w:rFonts w:ascii="Times New Roman" w:eastAsia="Times New Roman" w:hAnsi="Times New Roman" w:cs="Times New Roman"/>
          <w:sz w:val="24"/>
          <w:szCs w:val="24"/>
        </w:rPr>
        <w:t>wala</w:t>
      </w:r>
      <w:proofErr w:type="spellEnd"/>
      <w:r>
        <w:rPr>
          <w:rFonts w:ascii="Times New Roman" w:eastAsia="Times New Roman" w:hAnsi="Times New Roman" w:cs="Times New Roman"/>
          <w:sz w:val="24"/>
          <w:szCs w:val="24"/>
        </w:rPr>
        <w:t xml:space="preserve">, A., Nath, B., Mukherjee, D., Pant, M., Doshi, N., </w:t>
      </w:r>
      <w:proofErr w:type="spellStart"/>
      <w:r>
        <w:rPr>
          <w:rFonts w:ascii="Times New Roman" w:eastAsia="Times New Roman" w:hAnsi="Times New Roman" w:cs="Times New Roman"/>
          <w:sz w:val="24"/>
          <w:szCs w:val="24"/>
        </w:rPr>
        <w:t>Arudkar</w:t>
      </w:r>
      <w:proofErr w:type="spellEnd"/>
      <w:r>
        <w:rPr>
          <w:rFonts w:ascii="Times New Roman" w:eastAsia="Times New Roman" w:hAnsi="Times New Roman" w:cs="Times New Roman"/>
          <w:sz w:val="24"/>
          <w:szCs w:val="24"/>
        </w:rPr>
        <w:t xml:space="preserve">, R., Mehta, A., &amp; Vaidya, A. (2024). Workplace well-being in India pre- and post-COVID-19: A comparative study. </w:t>
      </w:r>
      <w:r>
        <w:rPr>
          <w:rFonts w:ascii="Times New Roman" w:eastAsia="Times New Roman" w:hAnsi="Times New Roman" w:cs="Times New Roman"/>
          <w:i/>
          <w:iCs/>
          <w:sz w:val="24"/>
          <w:szCs w:val="24"/>
        </w:rPr>
        <w:t>International Journal of Contemporary Research in Multidisciplinary, 3</w:t>
      </w:r>
      <w:r>
        <w:rPr>
          <w:rFonts w:ascii="Times New Roman" w:eastAsia="Times New Roman" w:hAnsi="Times New Roman" w:cs="Times New Roman"/>
          <w:sz w:val="24"/>
          <w:szCs w:val="24"/>
        </w:rPr>
        <w:t>(2), 175–1</w:t>
      </w:r>
      <w:r>
        <w:rPr>
          <w:rFonts w:ascii="Times New Roman" w:eastAsia="Times New Roman" w:hAnsi="Times New Roman" w:cs="Times New Roman"/>
          <w:sz w:val="24"/>
          <w:szCs w:val="24"/>
        </w:rPr>
        <w:t>82.</w:t>
      </w:r>
      <w:hyperlink r:id="rId25">
        <w:r w:rsidR="004A2C61">
          <w:rPr>
            <w:rFonts w:ascii="Times New Roman" w:eastAsia="Times New Roman" w:hAnsi="Times New Roman" w:cs="Times New Roman"/>
            <w:sz w:val="24"/>
            <w:szCs w:val="24"/>
          </w:rPr>
          <w:t xml:space="preserve"> </w:t>
        </w:r>
      </w:hyperlink>
      <w:hyperlink r:id="rId26">
        <w:r w:rsidR="004A2C61">
          <w:rPr>
            <w:rFonts w:ascii="Times New Roman" w:eastAsia="Times New Roman" w:hAnsi="Times New Roman" w:cs="Times New Roman"/>
            <w:color w:val="1155CC"/>
            <w:sz w:val="24"/>
            <w:szCs w:val="24"/>
            <w:u w:val="single"/>
          </w:rPr>
          <w:t>https://doi.org/10.5281/zenodo.11003638</w:t>
        </w:r>
      </w:hyperlink>
    </w:p>
    <w:p w14:paraId="00000077" w14:textId="77777777" w:rsidR="004A2C61" w:rsidRDefault="00242988">
      <w:pPr>
        <w:spacing w:before="240" w:after="240" w:line="360"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Pfeffer, J. (2010). Building sustainable organizations: The human factor. </w:t>
      </w:r>
      <w:r>
        <w:rPr>
          <w:rFonts w:ascii="Times New Roman" w:eastAsia="Times New Roman" w:hAnsi="Times New Roman" w:cs="Times New Roman"/>
          <w:i/>
          <w:iCs/>
          <w:sz w:val="24"/>
          <w:szCs w:val="24"/>
        </w:rPr>
        <w:t xml:space="preserve">Academy of </w:t>
      </w:r>
      <w:r>
        <w:rPr>
          <w:rFonts w:ascii="Times New Roman" w:eastAsia="Times New Roman" w:hAnsi="Times New Roman" w:cs="Times New Roman"/>
          <w:i/>
          <w:iCs/>
          <w:sz w:val="24"/>
          <w:szCs w:val="24"/>
        </w:rPr>
        <w:t>Management Perspectives, 24</w:t>
      </w:r>
      <w:r>
        <w:rPr>
          <w:rFonts w:ascii="Times New Roman" w:eastAsia="Times New Roman" w:hAnsi="Times New Roman" w:cs="Times New Roman"/>
          <w:sz w:val="24"/>
          <w:szCs w:val="24"/>
        </w:rPr>
        <w:t>(1), 34–45.</w:t>
      </w:r>
      <w:hyperlink r:id="rId27">
        <w:r w:rsidR="004A2C61">
          <w:rPr>
            <w:rFonts w:ascii="Times New Roman" w:eastAsia="Times New Roman" w:hAnsi="Times New Roman" w:cs="Times New Roman"/>
            <w:sz w:val="24"/>
            <w:szCs w:val="24"/>
          </w:rPr>
          <w:t xml:space="preserve"> </w:t>
        </w:r>
      </w:hyperlink>
      <w:hyperlink r:id="rId28">
        <w:r w:rsidR="004A2C61">
          <w:rPr>
            <w:rFonts w:ascii="Times New Roman" w:eastAsia="Times New Roman" w:hAnsi="Times New Roman" w:cs="Times New Roman"/>
            <w:color w:val="1155CC"/>
            <w:sz w:val="24"/>
            <w:szCs w:val="24"/>
            <w:u w:val="single"/>
          </w:rPr>
          <w:t>https://doi.org/10.5465/amp.24.1.34</w:t>
        </w:r>
      </w:hyperlink>
    </w:p>
    <w:p w14:paraId="00000078" w14:textId="77777777" w:rsidR="004A2C61" w:rsidRDefault="00242988">
      <w:pPr>
        <w:spacing w:before="240" w:after="240" w:line="360"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Renwick, D. W., Redman, T., &amp; Maguire, S. (2013). Green human resource </w:t>
      </w:r>
      <w:r>
        <w:rPr>
          <w:rFonts w:ascii="Times New Roman" w:eastAsia="Times New Roman" w:hAnsi="Times New Roman" w:cs="Times New Roman"/>
          <w:sz w:val="24"/>
          <w:szCs w:val="24"/>
        </w:rPr>
        <w:t xml:space="preserve">management: A review and research agenda. </w:t>
      </w:r>
      <w:r>
        <w:rPr>
          <w:rFonts w:ascii="Times New Roman" w:eastAsia="Times New Roman" w:hAnsi="Times New Roman" w:cs="Times New Roman"/>
          <w:i/>
          <w:iCs/>
          <w:sz w:val="24"/>
          <w:szCs w:val="24"/>
        </w:rPr>
        <w:t>International Journal of Management Reviews, 15</w:t>
      </w:r>
      <w:r>
        <w:rPr>
          <w:rFonts w:ascii="Times New Roman" w:eastAsia="Times New Roman" w:hAnsi="Times New Roman" w:cs="Times New Roman"/>
          <w:sz w:val="24"/>
          <w:szCs w:val="24"/>
        </w:rPr>
        <w:t>(1), 1–14.</w:t>
      </w:r>
      <w:hyperlink r:id="rId29">
        <w:r w:rsidR="004A2C61">
          <w:rPr>
            <w:rFonts w:ascii="Times New Roman" w:eastAsia="Times New Roman" w:hAnsi="Times New Roman" w:cs="Times New Roman"/>
            <w:sz w:val="24"/>
            <w:szCs w:val="24"/>
          </w:rPr>
          <w:t xml:space="preserve"> </w:t>
        </w:r>
      </w:hyperlink>
      <w:hyperlink r:id="rId30">
        <w:r w:rsidR="004A2C61">
          <w:rPr>
            <w:rFonts w:ascii="Times New Roman" w:eastAsia="Times New Roman" w:hAnsi="Times New Roman" w:cs="Times New Roman"/>
            <w:color w:val="1155CC"/>
            <w:sz w:val="24"/>
            <w:szCs w:val="24"/>
            <w:u w:val="single"/>
          </w:rPr>
          <w:t>https://doi.org/10.1111/j.1468-2370.2011.00328.x</w:t>
        </w:r>
      </w:hyperlink>
    </w:p>
    <w:p w14:paraId="00000079" w14:textId="77777777" w:rsidR="004A2C61" w:rsidRDefault="00242988">
      <w:pPr>
        <w:spacing w:before="240" w:after="240" w:line="360" w:lineRule="auto"/>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sz w:val="24"/>
          <w:szCs w:val="24"/>
        </w:rPr>
        <w:t>Spreitzer</w:t>
      </w:r>
      <w:proofErr w:type="spellEnd"/>
      <w:r>
        <w:rPr>
          <w:rFonts w:ascii="Times New Roman" w:eastAsia="Times New Roman" w:hAnsi="Times New Roman" w:cs="Times New Roman"/>
          <w:sz w:val="24"/>
          <w:szCs w:val="24"/>
        </w:rPr>
        <w:t xml:space="preserve">, G., Porath, C., &amp; Gibson, C. (2012). Toward human sustainability: How to enable more thriving at work. </w:t>
      </w:r>
      <w:r>
        <w:rPr>
          <w:rFonts w:ascii="Times New Roman" w:eastAsia="Times New Roman" w:hAnsi="Times New Roman" w:cs="Times New Roman"/>
          <w:i/>
          <w:iCs/>
          <w:sz w:val="24"/>
          <w:szCs w:val="24"/>
        </w:rPr>
        <w:t>Organization Dynamics, 41</w:t>
      </w:r>
      <w:r>
        <w:rPr>
          <w:rFonts w:ascii="Times New Roman" w:eastAsia="Times New Roman" w:hAnsi="Times New Roman" w:cs="Times New Roman"/>
          <w:sz w:val="24"/>
          <w:szCs w:val="24"/>
        </w:rPr>
        <w:t>(2), 155–162.</w:t>
      </w:r>
      <w:hyperlink r:id="rId31">
        <w:r w:rsidR="004A2C61">
          <w:rPr>
            <w:rFonts w:ascii="Times New Roman" w:eastAsia="Times New Roman" w:hAnsi="Times New Roman" w:cs="Times New Roman"/>
            <w:sz w:val="24"/>
            <w:szCs w:val="24"/>
          </w:rPr>
          <w:t xml:space="preserve"> </w:t>
        </w:r>
      </w:hyperlink>
      <w:hyperlink r:id="rId32">
        <w:r w:rsidR="004A2C61">
          <w:rPr>
            <w:rFonts w:ascii="Times New Roman" w:eastAsia="Times New Roman" w:hAnsi="Times New Roman" w:cs="Times New Roman"/>
            <w:color w:val="1155CC"/>
            <w:sz w:val="24"/>
            <w:szCs w:val="24"/>
            <w:u w:val="single"/>
          </w:rPr>
          <w:t>https://doi.org/10.1016/j.orgdyn.2012.01.003</w:t>
        </w:r>
      </w:hyperlink>
    </w:p>
    <w:p w14:paraId="0000007A" w14:textId="77777777" w:rsidR="004A2C61" w:rsidRDefault="00242988">
      <w:pPr>
        <w:spacing w:before="240" w:after="240" w:line="360"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lastRenderedPageBreak/>
        <w:t xml:space="preserve">World Health Organization. (2024). </w:t>
      </w:r>
      <w:r>
        <w:rPr>
          <w:rFonts w:ascii="Times New Roman" w:eastAsia="Times New Roman" w:hAnsi="Times New Roman" w:cs="Times New Roman"/>
          <w:i/>
          <w:iCs/>
          <w:sz w:val="24"/>
          <w:szCs w:val="24"/>
        </w:rPr>
        <w:t>Mental health at work</w:t>
      </w:r>
      <w:r>
        <w:rPr>
          <w:rFonts w:ascii="Times New Roman" w:eastAsia="Times New Roman" w:hAnsi="Times New Roman" w:cs="Times New Roman"/>
          <w:sz w:val="24"/>
          <w:szCs w:val="24"/>
        </w:rPr>
        <w:t xml:space="preserve"> [Fact sheet].</w:t>
      </w:r>
      <w:hyperlink r:id="rId33">
        <w:r w:rsidR="004A2C61">
          <w:rPr>
            <w:rFonts w:ascii="Times New Roman" w:eastAsia="Times New Roman" w:hAnsi="Times New Roman" w:cs="Times New Roman"/>
            <w:sz w:val="24"/>
            <w:szCs w:val="24"/>
          </w:rPr>
          <w:t xml:space="preserve"> </w:t>
        </w:r>
      </w:hyperlink>
      <w:hyperlink r:id="rId34">
        <w:r w:rsidR="004A2C61">
          <w:rPr>
            <w:rFonts w:ascii="Times New Roman" w:eastAsia="Times New Roman" w:hAnsi="Times New Roman" w:cs="Times New Roman"/>
            <w:color w:val="1155CC"/>
            <w:sz w:val="24"/>
            <w:szCs w:val="24"/>
            <w:u w:val="single"/>
          </w:rPr>
          <w:t>https://www.who.int/news-room/fact-sheets/detail/mental-health-at-work</w:t>
        </w:r>
      </w:hyperlink>
    </w:p>
    <w:p w14:paraId="0000007B" w14:textId="77777777" w:rsidR="004A2C61" w:rsidRDefault="00242988">
      <w:pPr>
        <w:spacing w:before="240" w:after="240" w:line="360"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Allen, T. D., Golden, T. D., &amp; Shockley, K. M. (2015). How effective is telecommuting? Assessing the status of our scientific findings. </w:t>
      </w:r>
      <w:r>
        <w:rPr>
          <w:rFonts w:ascii="Times New Roman" w:eastAsia="Times New Roman" w:hAnsi="Times New Roman" w:cs="Times New Roman"/>
          <w:i/>
          <w:iCs/>
          <w:sz w:val="24"/>
          <w:szCs w:val="24"/>
        </w:rPr>
        <w:t>Psychological Science in the Public Interest, 16</w:t>
      </w:r>
      <w:r>
        <w:rPr>
          <w:rFonts w:ascii="Times New Roman" w:eastAsia="Times New Roman" w:hAnsi="Times New Roman" w:cs="Times New Roman"/>
          <w:sz w:val="24"/>
          <w:szCs w:val="24"/>
        </w:rPr>
        <w:t>(2), 40–68.</w:t>
      </w:r>
      <w:hyperlink r:id="rId35">
        <w:r w:rsidR="004A2C61">
          <w:rPr>
            <w:rFonts w:ascii="Times New Roman" w:eastAsia="Times New Roman" w:hAnsi="Times New Roman" w:cs="Times New Roman"/>
            <w:sz w:val="24"/>
            <w:szCs w:val="24"/>
          </w:rPr>
          <w:t xml:space="preserve"> </w:t>
        </w:r>
      </w:hyperlink>
      <w:hyperlink r:id="rId36">
        <w:r w:rsidR="004A2C61">
          <w:rPr>
            <w:rFonts w:ascii="Times New Roman" w:eastAsia="Times New Roman" w:hAnsi="Times New Roman" w:cs="Times New Roman"/>
            <w:color w:val="1155CC"/>
            <w:sz w:val="24"/>
            <w:szCs w:val="24"/>
            <w:u w:val="single"/>
          </w:rPr>
          <w:t>https://doi.org/10.1177/1529100615593273</w:t>
        </w:r>
      </w:hyperlink>
    </w:p>
    <w:p w14:paraId="0000007C" w14:textId="77777777" w:rsidR="004A2C61" w:rsidRDefault="00242988">
      <w:pPr>
        <w:spacing w:before="240" w:after="240" w:line="360"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Bakker, A. B., &amp; </w:t>
      </w:r>
      <w:proofErr w:type="spellStart"/>
      <w:r>
        <w:rPr>
          <w:rFonts w:ascii="Times New Roman" w:eastAsia="Times New Roman" w:hAnsi="Times New Roman" w:cs="Times New Roman"/>
          <w:sz w:val="24"/>
          <w:szCs w:val="24"/>
        </w:rPr>
        <w:t>Demerouti</w:t>
      </w:r>
      <w:proofErr w:type="spellEnd"/>
      <w:r>
        <w:rPr>
          <w:rFonts w:ascii="Times New Roman" w:eastAsia="Times New Roman" w:hAnsi="Times New Roman" w:cs="Times New Roman"/>
          <w:sz w:val="24"/>
          <w:szCs w:val="24"/>
        </w:rPr>
        <w:t xml:space="preserve">, E. (2017). Job demands–resources theory: Taking stock and looking forward. </w:t>
      </w:r>
      <w:r>
        <w:rPr>
          <w:rFonts w:ascii="Times New Roman" w:eastAsia="Times New Roman" w:hAnsi="Times New Roman" w:cs="Times New Roman"/>
          <w:i/>
          <w:iCs/>
          <w:sz w:val="24"/>
          <w:szCs w:val="24"/>
        </w:rPr>
        <w:t>Journal of Occupational Health Psychology, 22</w:t>
      </w:r>
      <w:r>
        <w:rPr>
          <w:rFonts w:ascii="Times New Roman" w:eastAsia="Times New Roman" w:hAnsi="Times New Roman" w:cs="Times New Roman"/>
          <w:sz w:val="24"/>
          <w:szCs w:val="24"/>
        </w:rPr>
        <w:t>(3), 27</w:t>
      </w:r>
      <w:r>
        <w:rPr>
          <w:rFonts w:ascii="Times New Roman" w:eastAsia="Times New Roman" w:hAnsi="Times New Roman" w:cs="Times New Roman"/>
          <w:sz w:val="24"/>
          <w:szCs w:val="24"/>
        </w:rPr>
        <w:t>3–285.</w:t>
      </w:r>
      <w:hyperlink r:id="rId37">
        <w:r w:rsidR="004A2C61">
          <w:rPr>
            <w:rFonts w:ascii="Times New Roman" w:eastAsia="Times New Roman" w:hAnsi="Times New Roman" w:cs="Times New Roman"/>
            <w:sz w:val="24"/>
            <w:szCs w:val="24"/>
          </w:rPr>
          <w:t xml:space="preserve"> </w:t>
        </w:r>
      </w:hyperlink>
      <w:hyperlink r:id="rId38">
        <w:r w:rsidR="004A2C61">
          <w:rPr>
            <w:rFonts w:ascii="Times New Roman" w:eastAsia="Times New Roman" w:hAnsi="Times New Roman" w:cs="Times New Roman"/>
            <w:color w:val="1155CC"/>
            <w:sz w:val="24"/>
            <w:szCs w:val="24"/>
            <w:u w:val="single"/>
          </w:rPr>
          <w:t>https://doi.org/10.1037/ocp0000056</w:t>
        </w:r>
      </w:hyperlink>
    </w:p>
    <w:p w14:paraId="0000007D" w14:textId="77777777" w:rsidR="004A2C61" w:rsidRDefault="00242988">
      <w:pPr>
        <w:spacing w:before="240" w:after="240" w:line="360" w:lineRule="auto"/>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sz w:val="24"/>
          <w:szCs w:val="24"/>
        </w:rPr>
        <w:t>Cropanzano</w:t>
      </w:r>
      <w:proofErr w:type="spellEnd"/>
      <w:r>
        <w:rPr>
          <w:rFonts w:ascii="Times New Roman" w:eastAsia="Times New Roman" w:hAnsi="Times New Roman" w:cs="Times New Roman"/>
          <w:sz w:val="24"/>
          <w:szCs w:val="24"/>
        </w:rPr>
        <w:t xml:space="preserve">, R., &amp; Mitchell, M. S. (2005). Social exchange theory: An interdisciplinary review. </w:t>
      </w:r>
      <w:r>
        <w:rPr>
          <w:rFonts w:ascii="Times New Roman" w:eastAsia="Times New Roman" w:hAnsi="Times New Roman" w:cs="Times New Roman"/>
          <w:i/>
          <w:iCs/>
          <w:sz w:val="24"/>
          <w:szCs w:val="24"/>
        </w:rPr>
        <w:t xml:space="preserve">Journal of </w:t>
      </w:r>
      <w:r>
        <w:rPr>
          <w:rFonts w:ascii="Times New Roman" w:eastAsia="Times New Roman" w:hAnsi="Times New Roman" w:cs="Times New Roman"/>
          <w:i/>
          <w:iCs/>
          <w:sz w:val="24"/>
          <w:szCs w:val="24"/>
        </w:rPr>
        <w:t>Management, 31</w:t>
      </w:r>
      <w:r>
        <w:rPr>
          <w:rFonts w:ascii="Times New Roman" w:eastAsia="Times New Roman" w:hAnsi="Times New Roman" w:cs="Times New Roman"/>
          <w:sz w:val="24"/>
          <w:szCs w:val="24"/>
        </w:rPr>
        <w:t>(6), 874–900.</w:t>
      </w:r>
      <w:hyperlink r:id="rId39">
        <w:r w:rsidR="004A2C61">
          <w:rPr>
            <w:rFonts w:ascii="Times New Roman" w:eastAsia="Times New Roman" w:hAnsi="Times New Roman" w:cs="Times New Roman"/>
            <w:sz w:val="24"/>
            <w:szCs w:val="24"/>
          </w:rPr>
          <w:t xml:space="preserve"> </w:t>
        </w:r>
      </w:hyperlink>
      <w:hyperlink r:id="rId40">
        <w:r w:rsidR="004A2C61">
          <w:rPr>
            <w:rFonts w:ascii="Times New Roman" w:eastAsia="Times New Roman" w:hAnsi="Times New Roman" w:cs="Times New Roman"/>
            <w:color w:val="1155CC"/>
            <w:sz w:val="24"/>
            <w:szCs w:val="24"/>
            <w:u w:val="single"/>
          </w:rPr>
          <w:t>https://doi.org/10.1177/0149206305279602</w:t>
        </w:r>
      </w:hyperlink>
    </w:p>
    <w:p w14:paraId="0000007E" w14:textId="77777777" w:rsidR="004A2C61" w:rsidRDefault="00242988">
      <w:pPr>
        <w:spacing w:before="240" w:after="240" w:line="360"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Deci, E. L., &amp; Ryan, R. M. (2000). The “what” and “why” of goal pur</w:t>
      </w:r>
      <w:r>
        <w:rPr>
          <w:rFonts w:ascii="Times New Roman" w:eastAsia="Times New Roman" w:hAnsi="Times New Roman" w:cs="Times New Roman"/>
          <w:sz w:val="24"/>
          <w:szCs w:val="24"/>
        </w:rPr>
        <w:t xml:space="preserve">suits: Human needs and the self-determination of behavior. </w:t>
      </w:r>
      <w:r>
        <w:rPr>
          <w:rFonts w:ascii="Times New Roman" w:eastAsia="Times New Roman" w:hAnsi="Times New Roman" w:cs="Times New Roman"/>
          <w:i/>
          <w:iCs/>
          <w:sz w:val="24"/>
          <w:szCs w:val="24"/>
        </w:rPr>
        <w:t>Psychological Inquiry, 11</w:t>
      </w:r>
      <w:r>
        <w:rPr>
          <w:rFonts w:ascii="Times New Roman" w:eastAsia="Times New Roman" w:hAnsi="Times New Roman" w:cs="Times New Roman"/>
          <w:sz w:val="24"/>
          <w:szCs w:val="24"/>
        </w:rPr>
        <w:t>(4), 227–268.</w:t>
      </w:r>
      <w:hyperlink r:id="rId41">
        <w:r w:rsidR="004A2C61">
          <w:rPr>
            <w:rFonts w:ascii="Times New Roman" w:eastAsia="Times New Roman" w:hAnsi="Times New Roman" w:cs="Times New Roman"/>
            <w:sz w:val="24"/>
            <w:szCs w:val="24"/>
          </w:rPr>
          <w:t xml:space="preserve"> </w:t>
        </w:r>
      </w:hyperlink>
      <w:hyperlink r:id="rId42">
        <w:r w:rsidR="004A2C61">
          <w:rPr>
            <w:rFonts w:ascii="Times New Roman" w:eastAsia="Times New Roman" w:hAnsi="Times New Roman" w:cs="Times New Roman"/>
            <w:color w:val="1155CC"/>
            <w:sz w:val="24"/>
            <w:szCs w:val="24"/>
            <w:u w:val="single"/>
          </w:rPr>
          <w:t>https://doi.org/10.1207/S15327965PLI1104_01</w:t>
        </w:r>
      </w:hyperlink>
    </w:p>
    <w:p w14:paraId="0000007F" w14:textId="77777777" w:rsidR="004A2C61" w:rsidRDefault="00242988">
      <w:pPr>
        <w:spacing w:before="240" w:after="240" w:line="360" w:lineRule="auto"/>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sz w:val="24"/>
          <w:szCs w:val="24"/>
        </w:rPr>
        <w:t>Dyllick</w:t>
      </w:r>
      <w:proofErr w:type="spellEnd"/>
      <w:r>
        <w:rPr>
          <w:rFonts w:ascii="Times New Roman" w:eastAsia="Times New Roman" w:hAnsi="Times New Roman" w:cs="Times New Roman"/>
          <w:sz w:val="24"/>
          <w:szCs w:val="24"/>
        </w:rPr>
        <w:t xml:space="preserve">, T., &amp; Muff, K. (2016). Clarifying the meaning of sustainable business: Introducing a typology from business-as-usual to true business sustainability. </w:t>
      </w:r>
      <w:r>
        <w:rPr>
          <w:rFonts w:ascii="Times New Roman" w:eastAsia="Times New Roman" w:hAnsi="Times New Roman" w:cs="Times New Roman"/>
          <w:i/>
          <w:iCs/>
          <w:sz w:val="24"/>
          <w:szCs w:val="24"/>
        </w:rPr>
        <w:t>Organization &amp; Environment, 29</w:t>
      </w:r>
      <w:r>
        <w:rPr>
          <w:rFonts w:ascii="Times New Roman" w:eastAsia="Times New Roman" w:hAnsi="Times New Roman" w:cs="Times New Roman"/>
          <w:sz w:val="24"/>
          <w:szCs w:val="24"/>
        </w:rPr>
        <w:t>(2), 156–174.</w:t>
      </w:r>
      <w:hyperlink r:id="rId43">
        <w:r w:rsidR="004A2C61">
          <w:rPr>
            <w:rFonts w:ascii="Times New Roman" w:eastAsia="Times New Roman" w:hAnsi="Times New Roman" w:cs="Times New Roman"/>
            <w:sz w:val="24"/>
            <w:szCs w:val="24"/>
          </w:rPr>
          <w:t xml:space="preserve"> </w:t>
        </w:r>
      </w:hyperlink>
      <w:hyperlink r:id="rId44">
        <w:r w:rsidR="004A2C61">
          <w:rPr>
            <w:rFonts w:ascii="Times New Roman" w:eastAsia="Times New Roman" w:hAnsi="Times New Roman" w:cs="Times New Roman"/>
            <w:color w:val="1155CC"/>
            <w:sz w:val="24"/>
            <w:szCs w:val="24"/>
            <w:u w:val="single"/>
          </w:rPr>
          <w:t>https://doi.org/10.1177/1086026615575176</w:t>
        </w:r>
      </w:hyperlink>
    </w:p>
    <w:p w14:paraId="00000080" w14:textId="77777777" w:rsidR="004A2C61" w:rsidRDefault="00242988">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Elkington, J. (1997). </w:t>
      </w:r>
      <w:r>
        <w:rPr>
          <w:rFonts w:ascii="Times New Roman" w:eastAsia="Times New Roman" w:hAnsi="Times New Roman" w:cs="Times New Roman"/>
          <w:i/>
          <w:iCs/>
          <w:sz w:val="24"/>
          <w:szCs w:val="24"/>
        </w:rPr>
        <w:t>Cannibals with forks: The triple bottom line of 21st century business</w:t>
      </w:r>
      <w:r>
        <w:rPr>
          <w:rFonts w:ascii="Times New Roman" w:eastAsia="Times New Roman" w:hAnsi="Times New Roman" w:cs="Times New Roman"/>
          <w:sz w:val="24"/>
          <w:szCs w:val="24"/>
        </w:rPr>
        <w:t>. Capstone.</w:t>
      </w:r>
    </w:p>
    <w:p w14:paraId="00000081" w14:textId="77777777" w:rsidR="004A2C61" w:rsidRDefault="00242988">
      <w:pPr>
        <w:spacing w:before="240" w:after="240" w:line="360"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Guest, D. E. (2017). Human resour</w:t>
      </w:r>
      <w:r>
        <w:rPr>
          <w:rFonts w:ascii="Times New Roman" w:eastAsia="Times New Roman" w:hAnsi="Times New Roman" w:cs="Times New Roman"/>
          <w:sz w:val="24"/>
          <w:szCs w:val="24"/>
        </w:rPr>
        <w:t xml:space="preserve">ce management and employee well-being: Towards a new analytic framework. </w:t>
      </w:r>
      <w:r>
        <w:rPr>
          <w:rFonts w:ascii="Times New Roman" w:eastAsia="Times New Roman" w:hAnsi="Times New Roman" w:cs="Times New Roman"/>
          <w:i/>
          <w:iCs/>
          <w:sz w:val="24"/>
          <w:szCs w:val="24"/>
        </w:rPr>
        <w:t>Human Resource Management Journal, 27</w:t>
      </w:r>
      <w:r>
        <w:rPr>
          <w:rFonts w:ascii="Times New Roman" w:eastAsia="Times New Roman" w:hAnsi="Times New Roman" w:cs="Times New Roman"/>
          <w:sz w:val="24"/>
          <w:szCs w:val="24"/>
        </w:rPr>
        <w:t>(1), 22–38.</w:t>
      </w:r>
      <w:hyperlink r:id="rId45">
        <w:r w:rsidR="004A2C61">
          <w:rPr>
            <w:rFonts w:ascii="Times New Roman" w:eastAsia="Times New Roman" w:hAnsi="Times New Roman" w:cs="Times New Roman"/>
            <w:sz w:val="24"/>
            <w:szCs w:val="24"/>
          </w:rPr>
          <w:t xml:space="preserve"> </w:t>
        </w:r>
      </w:hyperlink>
      <w:hyperlink r:id="rId46">
        <w:r w:rsidR="004A2C61">
          <w:rPr>
            <w:rFonts w:ascii="Times New Roman" w:eastAsia="Times New Roman" w:hAnsi="Times New Roman" w:cs="Times New Roman"/>
            <w:color w:val="1155CC"/>
            <w:sz w:val="24"/>
            <w:szCs w:val="24"/>
            <w:u w:val="single"/>
          </w:rPr>
          <w:t>https://doi.org/10.1111/1748-8583.12139</w:t>
        </w:r>
      </w:hyperlink>
    </w:p>
    <w:p w14:paraId="00000082" w14:textId="77777777" w:rsidR="004A2C61" w:rsidRDefault="00242988">
      <w:pPr>
        <w:spacing w:before="240" w:after="240" w:line="360"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Harter, J. K., Schmidt, F. L., &amp; Hayes, T. L. (2002). Business-unit-level relationship between employee satisfaction, employee engagement, and business outcomes: A meta-analysis. </w:t>
      </w:r>
      <w:r>
        <w:rPr>
          <w:rFonts w:ascii="Times New Roman" w:eastAsia="Times New Roman" w:hAnsi="Times New Roman" w:cs="Times New Roman"/>
          <w:i/>
          <w:iCs/>
          <w:sz w:val="24"/>
          <w:szCs w:val="24"/>
        </w:rPr>
        <w:t>Journal of Applied Psychology, 87</w:t>
      </w:r>
      <w:r>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268–279.</w:t>
      </w:r>
      <w:hyperlink r:id="rId47">
        <w:r w:rsidR="004A2C61">
          <w:rPr>
            <w:rFonts w:ascii="Times New Roman" w:eastAsia="Times New Roman" w:hAnsi="Times New Roman" w:cs="Times New Roman"/>
            <w:sz w:val="24"/>
            <w:szCs w:val="24"/>
          </w:rPr>
          <w:t xml:space="preserve"> </w:t>
        </w:r>
      </w:hyperlink>
      <w:hyperlink r:id="rId48">
        <w:r w:rsidR="004A2C61">
          <w:rPr>
            <w:rFonts w:ascii="Times New Roman" w:eastAsia="Times New Roman" w:hAnsi="Times New Roman" w:cs="Times New Roman"/>
            <w:color w:val="1155CC"/>
            <w:sz w:val="24"/>
            <w:szCs w:val="24"/>
            <w:u w:val="single"/>
          </w:rPr>
          <w:t>https://doi.org/10.1037/0021-9010.87.2.268</w:t>
        </w:r>
      </w:hyperlink>
    </w:p>
    <w:p w14:paraId="00000083" w14:textId="77777777" w:rsidR="004A2C61" w:rsidRDefault="00242988">
      <w:pPr>
        <w:spacing w:before="240" w:after="240" w:line="360" w:lineRule="auto"/>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sz w:val="24"/>
          <w:szCs w:val="24"/>
        </w:rPr>
        <w:lastRenderedPageBreak/>
        <w:t>Kramar</w:t>
      </w:r>
      <w:proofErr w:type="spellEnd"/>
      <w:r>
        <w:rPr>
          <w:rFonts w:ascii="Times New Roman" w:eastAsia="Times New Roman" w:hAnsi="Times New Roman" w:cs="Times New Roman"/>
          <w:sz w:val="24"/>
          <w:szCs w:val="24"/>
        </w:rPr>
        <w:t>, R. (2014). Beyond strategic human resource management: Is sustainable h</w:t>
      </w:r>
      <w:r>
        <w:rPr>
          <w:rFonts w:ascii="Times New Roman" w:eastAsia="Times New Roman" w:hAnsi="Times New Roman" w:cs="Times New Roman"/>
          <w:sz w:val="24"/>
          <w:szCs w:val="24"/>
        </w:rPr>
        <w:t xml:space="preserve">uman resource management the next approach? </w:t>
      </w:r>
      <w:r>
        <w:rPr>
          <w:rFonts w:ascii="Times New Roman" w:eastAsia="Times New Roman" w:hAnsi="Times New Roman" w:cs="Times New Roman"/>
          <w:i/>
          <w:iCs/>
          <w:sz w:val="24"/>
          <w:szCs w:val="24"/>
        </w:rPr>
        <w:t>The International Journal of Human Resource Management, 25</w:t>
      </w:r>
      <w:r>
        <w:rPr>
          <w:rFonts w:ascii="Times New Roman" w:eastAsia="Times New Roman" w:hAnsi="Times New Roman" w:cs="Times New Roman"/>
          <w:sz w:val="24"/>
          <w:szCs w:val="24"/>
        </w:rPr>
        <w:t>(8), 1069–1089.</w:t>
      </w:r>
      <w:hyperlink r:id="rId49">
        <w:r w:rsidR="004A2C61">
          <w:rPr>
            <w:rFonts w:ascii="Times New Roman" w:eastAsia="Times New Roman" w:hAnsi="Times New Roman" w:cs="Times New Roman"/>
            <w:sz w:val="24"/>
            <w:szCs w:val="24"/>
          </w:rPr>
          <w:t xml:space="preserve"> </w:t>
        </w:r>
      </w:hyperlink>
      <w:hyperlink r:id="rId50">
        <w:r w:rsidR="004A2C61">
          <w:rPr>
            <w:rFonts w:ascii="Times New Roman" w:eastAsia="Times New Roman" w:hAnsi="Times New Roman" w:cs="Times New Roman"/>
            <w:color w:val="1155CC"/>
            <w:sz w:val="24"/>
            <w:szCs w:val="24"/>
            <w:u w:val="single"/>
          </w:rPr>
          <w:t>https://doi.org/10.1080/09585192.2013.816863</w:t>
        </w:r>
      </w:hyperlink>
    </w:p>
    <w:p w14:paraId="00000084" w14:textId="77777777" w:rsidR="004A2C61" w:rsidRDefault="00242988">
      <w:pPr>
        <w:spacing w:before="240" w:after="240" w:line="360"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Pfeffer, J. (2010). Building sustainable organizations: The human factor. </w:t>
      </w:r>
      <w:r>
        <w:rPr>
          <w:rFonts w:ascii="Times New Roman" w:eastAsia="Times New Roman" w:hAnsi="Times New Roman" w:cs="Times New Roman"/>
          <w:i/>
          <w:iCs/>
          <w:sz w:val="24"/>
          <w:szCs w:val="24"/>
        </w:rPr>
        <w:t>Academy of Management Perspectives, 24</w:t>
      </w:r>
      <w:r>
        <w:rPr>
          <w:rFonts w:ascii="Times New Roman" w:eastAsia="Times New Roman" w:hAnsi="Times New Roman" w:cs="Times New Roman"/>
          <w:sz w:val="24"/>
          <w:szCs w:val="24"/>
        </w:rPr>
        <w:t>(1), 34–45.</w:t>
      </w:r>
      <w:hyperlink r:id="rId51">
        <w:r w:rsidR="004A2C61">
          <w:rPr>
            <w:rFonts w:ascii="Times New Roman" w:eastAsia="Times New Roman" w:hAnsi="Times New Roman" w:cs="Times New Roman"/>
            <w:sz w:val="24"/>
            <w:szCs w:val="24"/>
          </w:rPr>
          <w:t xml:space="preserve"> </w:t>
        </w:r>
      </w:hyperlink>
      <w:hyperlink r:id="rId52">
        <w:r w:rsidR="004A2C61">
          <w:rPr>
            <w:rFonts w:ascii="Times New Roman" w:eastAsia="Times New Roman" w:hAnsi="Times New Roman" w:cs="Times New Roman"/>
            <w:color w:val="1155CC"/>
            <w:sz w:val="24"/>
            <w:szCs w:val="24"/>
            <w:u w:val="single"/>
          </w:rPr>
          <w:t>https://doi.org/10.5465/amp.24.1.34</w:t>
        </w:r>
      </w:hyperlink>
    </w:p>
    <w:p w14:paraId="00000085" w14:textId="77777777" w:rsidR="004A2C61" w:rsidRDefault="004A2C61">
      <w:pPr>
        <w:spacing w:before="240" w:after="240" w:line="360" w:lineRule="auto"/>
        <w:jc w:val="both"/>
        <w:rPr>
          <w:rFonts w:ascii="Times New Roman" w:eastAsia="Times New Roman" w:hAnsi="Times New Roman" w:cs="Times New Roman"/>
          <w:sz w:val="24"/>
          <w:szCs w:val="24"/>
        </w:rPr>
      </w:pPr>
    </w:p>
    <w:p w14:paraId="00000086" w14:textId="77777777" w:rsidR="004A2C61" w:rsidRDefault="004A2C61">
      <w:pPr>
        <w:spacing w:line="360" w:lineRule="auto"/>
        <w:jc w:val="both"/>
        <w:rPr>
          <w:rFonts w:ascii="Times New Roman" w:eastAsia="Times New Roman" w:hAnsi="Times New Roman" w:cs="Times New Roman"/>
          <w:sz w:val="24"/>
          <w:szCs w:val="24"/>
        </w:rPr>
      </w:pPr>
    </w:p>
    <w:sectPr w:rsidR="004A2C61">
      <w:headerReference w:type="even" r:id="rId53"/>
      <w:headerReference w:type="default" r:id="rId54"/>
      <w:footerReference w:type="even" r:id="rId55"/>
      <w:footerReference w:type="default" r:id="rId56"/>
      <w:headerReference w:type="first" r:id="rId57"/>
      <w:footerReference w:type="first" r:id="rId5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95D745" w14:textId="77777777" w:rsidR="00242988" w:rsidRDefault="00242988" w:rsidP="00C70A1B">
      <w:pPr>
        <w:spacing w:line="240" w:lineRule="auto"/>
      </w:pPr>
      <w:r>
        <w:separator/>
      </w:r>
    </w:p>
  </w:endnote>
  <w:endnote w:type="continuationSeparator" w:id="0">
    <w:p w14:paraId="79C6164D" w14:textId="77777777" w:rsidR="00242988" w:rsidRDefault="00242988" w:rsidP="00C70A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B9A57E1-8837-457C-A7B2-7650DC275996}"/>
  </w:font>
  <w:font w:name="Cambria">
    <w:panose1 w:val="02040503050406030204"/>
    <w:charset w:val="00"/>
    <w:family w:val="roman"/>
    <w:pitch w:val="variable"/>
    <w:sig w:usb0="E00006FF" w:usb1="420024FF" w:usb2="02000000" w:usb3="00000000" w:csb0="0000019F" w:csb1="00000000"/>
    <w:embedRegular r:id="rId2" w:fontKey="{1E126BFB-41F2-423E-A40C-9A16ADEC39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D79FF" w14:textId="77777777" w:rsidR="00C70A1B" w:rsidRDefault="00C70A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BFA84" w14:textId="77777777" w:rsidR="00C70A1B" w:rsidRDefault="00C70A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9422E" w14:textId="77777777" w:rsidR="00C70A1B" w:rsidRDefault="00C70A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4D11DE" w14:textId="77777777" w:rsidR="00242988" w:rsidRDefault="00242988" w:rsidP="00C70A1B">
      <w:pPr>
        <w:spacing w:line="240" w:lineRule="auto"/>
      </w:pPr>
      <w:r>
        <w:separator/>
      </w:r>
    </w:p>
  </w:footnote>
  <w:footnote w:type="continuationSeparator" w:id="0">
    <w:p w14:paraId="54A3E2C9" w14:textId="77777777" w:rsidR="00242988" w:rsidRDefault="00242988" w:rsidP="00C70A1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9415B" w14:textId="10C24BC2" w:rsidR="00C70A1B" w:rsidRDefault="00C70A1B">
    <w:pPr>
      <w:pStyle w:val="Header"/>
    </w:pPr>
    <w:r>
      <w:rPr>
        <w:noProof/>
      </w:rPr>
      <w:pict w14:anchorId="720A50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2FED1" w14:textId="3D89D51E" w:rsidR="00C70A1B" w:rsidRDefault="00C70A1B">
    <w:pPr>
      <w:pStyle w:val="Header"/>
    </w:pPr>
    <w:r>
      <w:rPr>
        <w:noProof/>
      </w:rPr>
      <w:pict w14:anchorId="4D57D4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30EA7" w14:textId="667F1C94" w:rsidR="00C70A1B" w:rsidRDefault="00C70A1B">
    <w:pPr>
      <w:pStyle w:val="Header"/>
    </w:pPr>
    <w:r>
      <w:rPr>
        <w:noProof/>
      </w:rPr>
      <w:pict w14:anchorId="1178E8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E30554"/>
    <w:multiLevelType w:val="multilevel"/>
    <w:tmpl w:val="100025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2C61"/>
    <w:rsid w:val="00011EE3"/>
    <w:rsid w:val="000A0C16"/>
    <w:rsid w:val="00242988"/>
    <w:rsid w:val="004A2C61"/>
    <w:rsid w:val="00885121"/>
    <w:rsid w:val="00A33808"/>
    <w:rsid w:val="00BF5F80"/>
    <w:rsid w:val="00C70A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F7D4423"/>
  <w15:docId w15:val="{698C9489-869D-4D91-A9B1-1AA0DE966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885121"/>
    <w:rPr>
      <w:color w:val="0000FF" w:themeColor="hyperlink"/>
      <w:u w:val="single"/>
    </w:rPr>
  </w:style>
  <w:style w:type="character" w:styleId="UnresolvedMention">
    <w:name w:val="Unresolved Mention"/>
    <w:basedOn w:val="DefaultParagraphFont"/>
    <w:uiPriority w:val="99"/>
    <w:semiHidden/>
    <w:unhideWhenUsed/>
    <w:rsid w:val="00885121"/>
    <w:rPr>
      <w:color w:val="605E5C"/>
      <w:shd w:val="clear" w:color="auto" w:fill="E1DFDD"/>
    </w:rPr>
  </w:style>
  <w:style w:type="paragraph" w:styleId="Header">
    <w:name w:val="header"/>
    <w:basedOn w:val="Normal"/>
    <w:link w:val="HeaderChar"/>
    <w:uiPriority w:val="99"/>
    <w:unhideWhenUsed/>
    <w:rsid w:val="00C70A1B"/>
    <w:pPr>
      <w:tabs>
        <w:tab w:val="center" w:pos="4680"/>
        <w:tab w:val="right" w:pos="9360"/>
      </w:tabs>
      <w:spacing w:line="240" w:lineRule="auto"/>
    </w:pPr>
  </w:style>
  <w:style w:type="character" w:customStyle="1" w:styleId="HeaderChar">
    <w:name w:val="Header Char"/>
    <w:basedOn w:val="DefaultParagraphFont"/>
    <w:link w:val="Header"/>
    <w:uiPriority w:val="99"/>
    <w:rsid w:val="00C70A1B"/>
  </w:style>
  <w:style w:type="paragraph" w:styleId="Footer">
    <w:name w:val="footer"/>
    <w:basedOn w:val="Normal"/>
    <w:link w:val="FooterChar"/>
    <w:uiPriority w:val="99"/>
    <w:unhideWhenUsed/>
    <w:rsid w:val="00C70A1B"/>
    <w:pPr>
      <w:tabs>
        <w:tab w:val="center" w:pos="4680"/>
        <w:tab w:val="right" w:pos="9360"/>
      </w:tabs>
      <w:spacing w:line="240" w:lineRule="auto"/>
    </w:pPr>
  </w:style>
  <w:style w:type="character" w:customStyle="1" w:styleId="FooterChar">
    <w:name w:val="Footer Char"/>
    <w:basedOn w:val="DefaultParagraphFont"/>
    <w:link w:val="Footer"/>
    <w:uiPriority w:val="99"/>
    <w:rsid w:val="00C70A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doi.org/10.1177/0149206305279602" TargetMode="External"/><Relationship Id="rId18" Type="http://schemas.openxmlformats.org/officeDocument/2006/relationships/hyperlink" Target="https://doi.org/10.1177/1086026615575176" TargetMode="External"/><Relationship Id="rId26" Type="http://schemas.openxmlformats.org/officeDocument/2006/relationships/hyperlink" Target="https://doi.org/10.5281/zenodo.11003638" TargetMode="External"/><Relationship Id="rId39" Type="http://schemas.openxmlformats.org/officeDocument/2006/relationships/hyperlink" Target="https://doi.org/10.1177/0149206305279602" TargetMode="External"/><Relationship Id="rId21" Type="http://schemas.openxmlformats.org/officeDocument/2006/relationships/hyperlink" Target="https://doi.org/10.1037/0021-9010.87.2.268" TargetMode="External"/><Relationship Id="rId34" Type="http://schemas.openxmlformats.org/officeDocument/2006/relationships/hyperlink" Target="https://www.who.int/news-room/fact-sheets/detail/mental-health-at-work" TargetMode="External"/><Relationship Id="rId42" Type="http://schemas.openxmlformats.org/officeDocument/2006/relationships/hyperlink" Target="https://doi.org/10.1207/S15327965PLI1104_01" TargetMode="External"/><Relationship Id="rId47" Type="http://schemas.openxmlformats.org/officeDocument/2006/relationships/hyperlink" Target="https://doi.org/10.1037/0021-9010.87.2.268" TargetMode="External"/><Relationship Id="rId50" Type="http://schemas.openxmlformats.org/officeDocument/2006/relationships/hyperlink" Target="https://doi.org/10.1080/09585192.2013.816863" TargetMode="External"/><Relationship Id="rId55" Type="http://schemas.openxmlformats.org/officeDocument/2006/relationships/footer" Target="footer1.xml"/><Relationship Id="rId7" Type="http://schemas.openxmlformats.org/officeDocument/2006/relationships/hyperlink" Target="https://doi.org/10.1177/1529100615593273" TargetMode="External"/><Relationship Id="rId2" Type="http://schemas.openxmlformats.org/officeDocument/2006/relationships/styles" Target="styles.xml"/><Relationship Id="rId16" Type="http://schemas.openxmlformats.org/officeDocument/2006/relationships/hyperlink" Target="https://doi.org/10.1207/S15327965PLI1104_01" TargetMode="External"/><Relationship Id="rId29" Type="http://schemas.openxmlformats.org/officeDocument/2006/relationships/hyperlink" Target="https://doi.org/10.1111/j.1468-2370.2011.00328.x" TargetMode="External"/><Relationship Id="rId11" Type="http://schemas.openxmlformats.org/officeDocument/2006/relationships/hyperlink" Target="https://doi.org/10.4018/IJHCITP.303951" TargetMode="External"/><Relationship Id="rId24" Type="http://schemas.openxmlformats.org/officeDocument/2006/relationships/hyperlink" Target="https://doi.org/10.1080/09585192.2013.816863" TargetMode="External"/><Relationship Id="rId32" Type="http://schemas.openxmlformats.org/officeDocument/2006/relationships/hyperlink" Target="https://doi.org/10.1016/j.orgdyn.2012.01.003" TargetMode="External"/><Relationship Id="rId37" Type="http://schemas.openxmlformats.org/officeDocument/2006/relationships/hyperlink" Target="https://doi.org/10.1037/ocp0000056" TargetMode="External"/><Relationship Id="rId40" Type="http://schemas.openxmlformats.org/officeDocument/2006/relationships/hyperlink" Target="https://doi.org/10.1177/0149206305279602" TargetMode="External"/><Relationship Id="rId45" Type="http://schemas.openxmlformats.org/officeDocument/2006/relationships/hyperlink" Target="https://doi.org/10.1111/1748-8583.12139" TargetMode="Externa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footnotes" Target="footnotes.xml"/><Relationship Id="rId19" Type="http://schemas.openxmlformats.org/officeDocument/2006/relationships/hyperlink" Target="https://doi.org/10.1111/1748-8583.12139" TargetMode="External"/><Relationship Id="rId4" Type="http://schemas.openxmlformats.org/officeDocument/2006/relationships/webSettings" Target="webSettings.xml"/><Relationship Id="rId9" Type="http://schemas.openxmlformats.org/officeDocument/2006/relationships/hyperlink" Target="https://doi.org/10.1037/ocp0000056" TargetMode="External"/><Relationship Id="rId14" Type="http://schemas.openxmlformats.org/officeDocument/2006/relationships/hyperlink" Target="https://doi.org/10.1177/0149206305279602" TargetMode="External"/><Relationship Id="rId22" Type="http://schemas.openxmlformats.org/officeDocument/2006/relationships/hyperlink" Target="https://doi.org/10.1037/0021-9010.87.2.268" TargetMode="External"/><Relationship Id="rId27" Type="http://schemas.openxmlformats.org/officeDocument/2006/relationships/hyperlink" Target="https://doi.org/10.5465/amp.24.1.34" TargetMode="External"/><Relationship Id="rId30" Type="http://schemas.openxmlformats.org/officeDocument/2006/relationships/hyperlink" Target="https://doi.org/10.1111/j.1468-2370.2011.00328.x" TargetMode="External"/><Relationship Id="rId35" Type="http://schemas.openxmlformats.org/officeDocument/2006/relationships/hyperlink" Target="https://doi.org/10.1177/1529100615593273" TargetMode="External"/><Relationship Id="rId43" Type="http://schemas.openxmlformats.org/officeDocument/2006/relationships/hyperlink" Target="https://doi.org/10.1177/1086026615575176" TargetMode="External"/><Relationship Id="rId48" Type="http://schemas.openxmlformats.org/officeDocument/2006/relationships/hyperlink" Target="https://doi.org/10.1037/0021-9010.87.2.268" TargetMode="External"/><Relationship Id="rId56" Type="http://schemas.openxmlformats.org/officeDocument/2006/relationships/footer" Target="footer2.xml"/><Relationship Id="rId8" Type="http://schemas.openxmlformats.org/officeDocument/2006/relationships/hyperlink" Target="https://doi.org/10.1177/1529100615593273" TargetMode="External"/><Relationship Id="rId51" Type="http://schemas.openxmlformats.org/officeDocument/2006/relationships/hyperlink" Target="https://doi.org/10.5465/amp.24.1.34" TargetMode="External"/><Relationship Id="rId3" Type="http://schemas.openxmlformats.org/officeDocument/2006/relationships/settings" Target="settings.xml"/><Relationship Id="rId12" Type="http://schemas.openxmlformats.org/officeDocument/2006/relationships/hyperlink" Target="https://doi.org/10.4018/IJHCITP.303951" TargetMode="External"/><Relationship Id="rId17" Type="http://schemas.openxmlformats.org/officeDocument/2006/relationships/hyperlink" Target="https://doi.org/10.1177/1086026615575176" TargetMode="External"/><Relationship Id="rId25" Type="http://schemas.openxmlformats.org/officeDocument/2006/relationships/hyperlink" Target="https://doi.org/10.5281/zenodo.11003638" TargetMode="External"/><Relationship Id="rId33" Type="http://schemas.openxmlformats.org/officeDocument/2006/relationships/hyperlink" Target="https://www.who.int/news-room/fact-sheets/detail/mental-health-at-work" TargetMode="External"/><Relationship Id="rId38" Type="http://schemas.openxmlformats.org/officeDocument/2006/relationships/hyperlink" Target="https://doi.org/10.1037/ocp0000056" TargetMode="External"/><Relationship Id="rId46" Type="http://schemas.openxmlformats.org/officeDocument/2006/relationships/hyperlink" Target="https://doi.org/10.1111/1748-8583.12139" TargetMode="External"/><Relationship Id="rId59" Type="http://schemas.openxmlformats.org/officeDocument/2006/relationships/fontTable" Target="fontTable.xml"/><Relationship Id="rId20" Type="http://schemas.openxmlformats.org/officeDocument/2006/relationships/hyperlink" Target="https://doi.org/10.1111/1748-8583.12139" TargetMode="External"/><Relationship Id="rId41" Type="http://schemas.openxmlformats.org/officeDocument/2006/relationships/hyperlink" Target="https://doi.org/10.1207/S15327965PLI1104_01" TargetMode="External"/><Relationship Id="rId54"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207/S15327965PLI1104_01" TargetMode="External"/><Relationship Id="rId23" Type="http://schemas.openxmlformats.org/officeDocument/2006/relationships/hyperlink" Target="https://doi.org/10.1080/09585192.2013.816863" TargetMode="External"/><Relationship Id="rId28" Type="http://schemas.openxmlformats.org/officeDocument/2006/relationships/hyperlink" Target="https://doi.org/10.5465/amp.24.1.34" TargetMode="External"/><Relationship Id="rId36" Type="http://schemas.openxmlformats.org/officeDocument/2006/relationships/hyperlink" Target="https://doi.org/10.1177/1529100615593273" TargetMode="External"/><Relationship Id="rId49" Type="http://schemas.openxmlformats.org/officeDocument/2006/relationships/hyperlink" Target="https://doi.org/10.1080/09585192.2013.816863" TargetMode="External"/><Relationship Id="rId57" Type="http://schemas.openxmlformats.org/officeDocument/2006/relationships/header" Target="header3.xml"/><Relationship Id="rId10" Type="http://schemas.openxmlformats.org/officeDocument/2006/relationships/hyperlink" Target="https://doi.org/10.1037/ocp0000056" TargetMode="External"/><Relationship Id="rId31" Type="http://schemas.openxmlformats.org/officeDocument/2006/relationships/hyperlink" Target="https://doi.org/10.1016/j.orgdyn.2012.01.003" TargetMode="External"/><Relationship Id="rId44" Type="http://schemas.openxmlformats.org/officeDocument/2006/relationships/hyperlink" Target="https://doi.org/10.1177/1086026615575176" TargetMode="External"/><Relationship Id="rId52" Type="http://schemas.openxmlformats.org/officeDocument/2006/relationships/hyperlink" Target="https://doi.org/10.5465/amp.24.1.34" TargetMode="External"/><Relationship Id="rId60"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15</Pages>
  <Words>4769</Words>
  <Characters>27185</Characters>
  <Application>Microsoft Office Word</Application>
  <DocSecurity>0</DocSecurity>
  <Lines>226</Lines>
  <Paragraphs>63</Paragraphs>
  <ScaleCrop>false</ScaleCrop>
  <Company/>
  <LinksUpToDate>false</LinksUpToDate>
  <CharactersWithSpaces>31891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6</cp:revision>
  <dcterms:created xsi:type="dcterms:W3CDTF">2026-02-06T11:48:00Z</dcterms:created>
  <dcterms:modified xsi:type="dcterms:W3CDTF">2026-02-07T06:48:00Z</dcterms:modified>
</cp:coreProperties>
</file>