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46968F" w14:textId="77777777" w:rsidR="00590E31" w:rsidRDefault="00590E31">
      <w:pPr>
        <w:pStyle w:val="Heading1"/>
        <w:spacing w:before="240" w:after="240" w:line="360" w:lineRule="auto"/>
        <w:jc w:val="both"/>
        <w:rPr>
          <w:rFonts w:ascii="Times New Roman" w:eastAsia="Times New Roman" w:hAnsi="Times New Roman" w:cs="Times New Roman"/>
          <w:b/>
          <w:bCs/>
          <w:sz w:val="24"/>
          <w:szCs w:val="24"/>
        </w:rPr>
      </w:pPr>
      <w:r w:rsidRPr="00590E31">
        <w:rPr>
          <w:rFonts w:ascii="Times New Roman" w:eastAsia="Times New Roman" w:hAnsi="Times New Roman" w:cs="Times New Roman"/>
          <w:b/>
          <w:bCs/>
          <w:sz w:val="24"/>
          <w:szCs w:val="24"/>
        </w:rPr>
        <w:t xml:space="preserve">Original Research Article </w:t>
      </w:r>
    </w:p>
    <w:p w14:paraId="53F0C0F1" w14:textId="77777777" w:rsidR="00590E31" w:rsidRDefault="00590E31">
      <w:pPr>
        <w:pStyle w:val="Heading1"/>
        <w:spacing w:before="240" w:after="240" w:line="360" w:lineRule="auto"/>
        <w:jc w:val="both"/>
        <w:rPr>
          <w:rFonts w:ascii="Times New Roman" w:eastAsia="Times New Roman" w:hAnsi="Times New Roman" w:cs="Times New Roman"/>
          <w:b/>
          <w:bCs/>
          <w:sz w:val="24"/>
          <w:szCs w:val="24"/>
        </w:rPr>
      </w:pPr>
    </w:p>
    <w:p w14:paraId="375A4FF2" w14:textId="570AC9E9" w:rsidR="00705872" w:rsidRDefault="00987F92">
      <w:pPr>
        <w:pStyle w:val="Heading1"/>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Sustainable Leisure Consumption Patterns in Urban Mumbai (2022–2025)</w:t>
      </w:r>
    </w:p>
    <w:p w14:paraId="511F79C7" w14:textId="77777777" w:rsidR="006A6C50" w:rsidRDefault="006A6C50">
      <w:pPr>
        <w:pStyle w:val="Heading2"/>
        <w:spacing w:after="80" w:line="240" w:lineRule="auto"/>
        <w:jc w:val="both"/>
        <w:rPr>
          <w:rFonts w:ascii="Times New Roman" w:eastAsia="Times New Roman" w:hAnsi="Times New Roman" w:cs="Times New Roman"/>
          <w:b/>
          <w:bCs/>
          <w:sz w:val="24"/>
          <w:szCs w:val="24"/>
        </w:rPr>
      </w:pPr>
      <w:bookmarkStart w:id="0" w:name="_heading=h.o9mpucbn7bi8" w:colFirst="0" w:colLast="0"/>
      <w:bookmarkEnd w:id="0"/>
    </w:p>
    <w:p w14:paraId="7200192B" w14:textId="0E3CE4BA" w:rsidR="00705872" w:rsidRDefault="00987F92">
      <w:pPr>
        <w:pStyle w:val="Heading2"/>
        <w:spacing w:after="80" w:line="240" w:lineRule="auto"/>
        <w:jc w:val="both"/>
        <w:rPr>
          <w:rFonts w:ascii="Times New Roman" w:eastAsia="Times New Roman" w:hAnsi="Times New Roman" w:cs="Times New Roman"/>
          <w:b/>
          <w:bCs/>
          <w:sz w:val="24"/>
          <w:szCs w:val="24"/>
        </w:rPr>
      </w:pPr>
      <w:bookmarkStart w:id="1" w:name="_GoBack"/>
      <w:bookmarkEnd w:id="1"/>
      <w:r>
        <w:rPr>
          <w:rFonts w:ascii="Times New Roman" w:eastAsia="Times New Roman" w:hAnsi="Times New Roman" w:cs="Times New Roman"/>
          <w:b/>
          <w:bCs/>
          <w:sz w:val="24"/>
          <w:szCs w:val="24"/>
        </w:rPr>
        <w:t>Abstract</w:t>
      </w:r>
    </w:p>
    <w:p w14:paraId="5BB82CF7" w14:textId="2D9D0489" w:rsidR="00AF775C" w:rsidRDefault="00AF775C" w:rsidP="00AF775C">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Rapid urbanization and higher incomes have changed how people in India's big cities spend their money.</w:t>
      </w:r>
      <w:r w:rsidRPr="00AF77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This study considers leisure expenditure as a significant indicator of urban lifestyle, rather than merely an inconsequential expense. Current research on household consumption in India predominantly emphasizes food, health, or overall non-food expenditures, with insufficient focus on leisure expenditures as a separate category. Moreover, leisure spending is rarely </w:t>
      </w:r>
      <w:proofErr w:type="spellStart"/>
      <w:r>
        <w:rPr>
          <w:rFonts w:ascii="Times New Roman" w:eastAsia="Times New Roman" w:hAnsi="Times New Roman" w:cs="Times New Roman"/>
          <w:sz w:val="24"/>
          <w:szCs w:val="24"/>
        </w:rPr>
        <w:t>analysed</w:t>
      </w:r>
      <w:proofErr w:type="spellEnd"/>
      <w:r>
        <w:rPr>
          <w:rFonts w:ascii="Times New Roman" w:eastAsia="Times New Roman" w:hAnsi="Times New Roman" w:cs="Times New Roman"/>
          <w:sz w:val="24"/>
          <w:szCs w:val="24"/>
        </w:rPr>
        <w:t xml:space="preserve"> through a sustainability lens, despite its growing environmental and social footprint in large cities. Mumbai, as India’s financial and commercial capital, provides an appropriate urban context to examine these emerging consumption patterns. The paper analyzes household data from Mumbai spanning 2022 to 2025, investigating the socio-economic factors that affect leisure expenditure and elucidating the relationship between these trends and sustainable urban development.</w:t>
      </w:r>
      <w:r w:rsidRPr="00AF77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case study of leisure spending of urban households in Mumbai between 2022 and 2025 shows that the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definitely shifts in the post-pandemic world. Leisure spending which encompasses expenditure on eating out, recreation and vacations comes out as a growing proportion of household budgets, which indicate economic recovery as well as change in the lifestyles of the urban population. Regression diagnostics show a moderate explanatory capacity over the four years, and the values of R 2 vary between 0.151 in 2025 and 0.290 in 2022. Although leisure spending is discretionary in nature, and experiencing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heterogeneity, the values indicate that the socio-economic and demographic factors play a significant role in explaining differences in leisure consumption. Placing leisure spending in a sustainability context, the paper has indicated that discretionary consumption is an area that should be re-conceived as a policy-relevant area. Sustainable leisure does not mean limitations to pleasure but is the repositioning of city consumption that would ensure that economic activity, social inclusion and environmental stewardship are balanced.</w:t>
      </w:r>
    </w:p>
    <w:p w14:paraId="10A1F1C8" w14:textId="77777777" w:rsidR="00705872" w:rsidRDefault="00987F92">
      <w:pPr>
        <w:spacing w:after="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Keywords: Sustainable consumption; Leisure expenditure; Urban households; Eating out; Recreation; Vacations; Mumbai</w:t>
      </w:r>
    </w:p>
    <w:p w14:paraId="3F721964" w14:textId="77777777" w:rsidR="00705872" w:rsidRDefault="00987F92">
      <w:pPr>
        <w:pStyle w:val="Heading2"/>
        <w:spacing w:after="80" w:line="360" w:lineRule="auto"/>
        <w:jc w:val="both"/>
        <w:rPr>
          <w:rFonts w:ascii="Times New Roman" w:eastAsia="Times New Roman" w:hAnsi="Times New Roman" w:cs="Times New Roman"/>
          <w:b/>
          <w:bCs/>
          <w:sz w:val="24"/>
          <w:szCs w:val="24"/>
        </w:rPr>
      </w:pPr>
      <w:bookmarkStart w:id="2" w:name="_heading=h.psd5s5iw106a" w:colFirst="0" w:colLast="0"/>
      <w:bookmarkEnd w:id="2"/>
      <w:r>
        <w:rPr>
          <w:rFonts w:ascii="Times New Roman" w:eastAsia="Times New Roman" w:hAnsi="Times New Roman" w:cs="Times New Roman"/>
          <w:b/>
          <w:bCs/>
          <w:sz w:val="24"/>
          <w:szCs w:val="24"/>
        </w:rPr>
        <w:lastRenderedPageBreak/>
        <w:t>Introduction</w:t>
      </w:r>
    </w:p>
    <w:p w14:paraId="1744E0C1" w14:textId="77777777" w:rsidR="00705872" w:rsidRDefault="00987F92">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recent years, the way people in Indian cities spend their money has been greatly impacted by changes in family structures, incomes, and lifestyles. In addition to meeting their basic needs, people in cities are spending more on things like going out to eat, going on vacation, and having fun. This spending makes life better, but it also puts more stress on the city's infrastructure, transportation systems, food supply chains, and energy use.</w:t>
      </w:r>
    </w:p>
    <w:p w14:paraId="486F1445" w14:textId="77777777" w:rsidR="00705872" w:rsidRDefault="00987F92">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Leisure consumption can help or hurt sustainability. It helps the economy grow and people get to know each other better, which is a good thing. It creates more trash, pollution, and unfair access to city services, which is not good. Sustainable policy planning should include travel and recreational activities since they greatly increase environmental pressures. Global tourism, which includes flights, ground transportation, lodging, and activities, accounts for approximately 8% of total greenhouse gas emissions.</w:t>
      </w:r>
    </w:p>
    <w:p w14:paraId="686971D5" w14:textId="77777777" w:rsidR="00705872" w:rsidRDefault="00987F92">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financial and environmental costs associated with eating out. Every step of the food supply chain, from production and transportation to storage and cooking, requires energy, and this process produces waste in the form of food leftovers and packaging. Single-use plastics and food waste put more strain on waste management systems that are already under a lot of stress in cities that are growing quickly, like **Mumbai**. From an economic point of view, these problems are related to how people spend their money. People who travel a lot and eat out a lot use more energy and make more trash.</w:t>
      </w:r>
    </w:p>
    <w:p w14:paraId="3040DF42" w14:textId="77777777" w:rsidR="00705872" w:rsidRDefault="00987F92">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Policymakers need to know how people in big cities like **Mumbai** spend their free time and money on things like travel, eating out, and the environment in order to make good policies. This knowledge can help city planners find a balance between protecting the environment, boosting the economy, and improving people's lives.</w:t>
      </w:r>
    </w:p>
    <w:p w14:paraId="43C1A983" w14:textId="77777777" w:rsidR="00705872" w:rsidRDefault="00987F92">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considers leisure expenditure as a significant indicator of urban lifestyle, rather than merely an inconsequential expense. The paper analyzes household data from Mumbai spanning 2022 to 2025, investigating the socio-economic factors that affect leisure expenditure and elucidating the relationship between these trends and sustainable urban development.</w:t>
      </w:r>
    </w:p>
    <w:p w14:paraId="7790EBD1" w14:textId="77777777" w:rsidR="00705872" w:rsidRDefault="00987F92">
      <w:pPr>
        <w:pStyle w:val="Heading2"/>
        <w:keepNext w:val="0"/>
        <w:keepLines w:val="0"/>
        <w:spacing w:after="80" w:line="360" w:lineRule="auto"/>
        <w:jc w:val="both"/>
        <w:rPr>
          <w:rFonts w:ascii="Times New Roman" w:eastAsia="Times New Roman" w:hAnsi="Times New Roman" w:cs="Times New Roman"/>
          <w:b/>
          <w:bCs/>
          <w:sz w:val="24"/>
          <w:szCs w:val="24"/>
        </w:rPr>
      </w:pPr>
      <w:bookmarkStart w:id="3" w:name="_heading=h.z812rjtc7tz9" w:colFirst="0" w:colLast="0"/>
      <w:bookmarkEnd w:id="3"/>
      <w:r>
        <w:rPr>
          <w:rFonts w:ascii="Times New Roman" w:eastAsia="Times New Roman" w:hAnsi="Times New Roman" w:cs="Times New Roman"/>
          <w:b/>
          <w:bCs/>
          <w:sz w:val="24"/>
          <w:szCs w:val="24"/>
        </w:rPr>
        <w:lastRenderedPageBreak/>
        <w:t>Rationale of the Study</w:t>
      </w:r>
    </w:p>
    <w:p w14:paraId="0DB399FB" w14:textId="77777777" w:rsidR="00705872" w:rsidRDefault="00987F9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Rapid urbanization and higher incomes have changed how people in India's big cities spend their money. Now, they spend more on leisure activities like eating out, traveling, and going to the movies. This is good for the service sector and quality of life, but it also raises concerns about sustainability when it comes to energy use, waste, pollution, and pressure on urban infrastructure. This shows how important it is to have balanced and sustainable urban development.</w:t>
      </w:r>
    </w:p>
    <w:p w14:paraId="3E26D8C6" w14:textId="77777777" w:rsidR="00705872" w:rsidRDefault="00987F9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Current research on household consumption in India predominantly emphasizes food, health, or overall non-food expenditures, with insufficient focus on leisure expenditures as a separate category. Moreover, leisure spending is rarely </w:t>
      </w:r>
      <w:proofErr w:type="spellStart"/>
      <w:r>
        <w:rPr>
          <w:rFonts w:ascii="Times New Roman" w:eastAsia="Times New Roman" w:hAnsi="Times New Roman" w:cs="Times New Roman"/>
          <w:sz w:val="24"/>
          <w:szCs w:val="24"/>
        </w:rPr>
        <w:t>analysed</w:t>
      </w:r>
      <w:proofErr w:type="spellEnd"/>
      <w:r>
        <w:rPr>
          <w:rFonts w:ascii="Times New Roman" w:eastAsia="Times New Roman" w:hAnsi="Times New Roman" w:cs="Times New Roman"/>
          <w:sz w:val="24"/>
          <w:szCs w:val="24"/>
        </w:rPr>
        <w:t xml:space="preserve"> through a sustainability lens, despite its growing environmental and social footprint in large cities. Mumbai, as India’s financial and commercial capital, provides an appropriate urban context to examine these emerging consumption patterns.</w:t>
      </w:r>
    </w:p>
    <w:p w14:paraId="7356EC4F" w14:textId="77777777" w:rsidR="00705872" w:rsidRDefault="00987F9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period from 2022 to 2025 is particularly relevant, as it captures the post-pandemic phase marked by economic recovery, renewed mobility, and a resurgence of discretionary spending. Understanding the socio-economic determinants of leisure expenditure during this phase is essential for designing urban policies that encourage responsible consumption and align household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with the principles of sustainable development. This study therefore seeks to bridge the gap between empirical consumption analysis and sustainability-oriented urban policy discourse.</w:t>
      </w:r>
    </w:p>
    <w:p w14:paraId="68B47E5E" w14:textId="77777777" w:rsidR="00705872" w:rsidRDefault="00987F92">
      <w:pPr>
        <w:pStyle w:val="Heading2"/>
        <w:keepNext w:val="0"/>
        <w:keepLines w:val="0"/>
        <w:spacing w:after="80" w:line="360" w:lineRule="auto"/>
        <w:jc w:val="both"/>
        <w:rPr>
          <w:rFonts w:ascii="Times New Roman" w:eastAsia="Times New Roman" w:hAnsi="Times New Roman" w:cs="Times New Roman"/>
          <w:b/>
          <w:bCs/>
          <w:sz w:val="24"/>
          <w:szCs w:val="24"/>
        </w:rPr>
      </w:pPr>
      <w:bookmarkStart w:id="4" w:name="_heading=h.7hc70wopozgz" w:colFirst="0" w:colLast="0"/>
      <w:bookmarkEnd w:id="4"/>
      <w:r>
        <w:rPr>
          <w:rFonts w:ascii="Times New Roman" w:eastAsia="Times New Roman" w:hAnsi="Times New Roman" w:cs="Times New Roman"/>
          <w:b/>
          <w:bCs/>
          <w:sz w:val="24"/>
          <w:szCs w:val="24"/>
        </w:rPr>
        <w:t>Objectives of the Study</w:t>
      </w:r>
    </w:p>
    <w:p w14:paraId="6F60DD19" w14:textId="77777777" w:rsidR="00705872" w:rsidRDefault="00987F92">
      <w:pPr>
        <w:numPr>
          <w:ilvl w:val="0"/>
          <w:numId w:val="1"/>
        </w:numPr>
        <w:spacing w:before="240" w:line="360" w:lineRule="auto"/>
        <w:jc w:val="both"/>
        <w:rPr>
          <w:sz w:val="24"/>
          <w:szCs w:val="24"/>
        </w:rPr>
      </w:pPr>
      <w:r>
        <w:rPr>
          <w:rFonts w:ascii="Times New Roman" w:eastAsia="Times New Roman" w:hAnsi="Times New Roman" w:cs="Times New Roman"/>
          <w:sz w:val="24"/>
          <w:szCs w:val="24"/>
        </w:rPr>
        <w:t>To study how much urban households in Mumbai spent on leisure activities such as eating out, recreation, and vacations during 2022–2025.</w:t>
      </w:r>
    </w:p>
    <w:p w14:paraId="720EF912" w14:textId="77777777" w:rsidR="00705872" w:rsidRDefault="00987F92">
      <w:pPr>
        <w:numPr>
          <w:ilvl w:val="0"/>
          <w:numId w:val="1"/>
        </w:numPr>
        <w:spacing w:line="360" w:lineRule="auto"/>
        <w:jc w:val="both"/>
        <w:rPr>
          <w:sz w:val="24"/>
          <w:szCs w:val="24"/>
        </w:rPr>
      </w:pPr>
      <w:r>
        <w:rPr>
          <w:rFonts w:ascii="Times New Roman" w:eastAsia="Times New Roman" w:hAnsi="Times New Roman" w:cs="Times New Roman"/>
          <w:sz w:val="24"/>
          <w:szCs w:val="24"/>
        </w:rPr>
        <w:t>To identify the main social and economic factors that influence leisure spending, especially income, type of job, education, age, gender, and family size.</w:t>
      </w:r>
    </w:p>
    <w:p w14:paraId="43762472" w14:textId="77777777" w:rsidR="00705872" w:rsidRDefault="00987F92">
      <w:pPr>
        <w:numPr>
          <w:ilvl w:val="0"/>
          <w:numId w:val="1"/>
        </w:numPr>
        <w:spacing w:line="360" w:lineRule="auto"/>
        <w:jc w:val="both"/>
        <w:rPr>
          <w:sz w:val="24"/>
          <w:szCs w:val="24"/>
        </w:rPr>
      </w:pPr>
      <w:r>
        <w:rPr>
          <w:rFonts w:ascii="Times New Roman" w:eastAsia="Times New Roman" w:hAnsi="Times New Roman" w:cs="Times New Roman"/>
          <w:sz w:val="24"/>
          <w:szCs w:val="24"/>
        </w:rPr>
        <w:t>To understand leisure spending from a sustainability point of view and explain its importance for responsible consumption and urban policy.</w:t>
      </w:r>
    </w:p>
    <w:p w14:paraId="2660FB76" w14:textId="77777777" w:rsidR="00705872" w:rsidRDefault="00987F92">
      <w:pPr>
        <w:numPr>
          <w:ilvl w:val="0"/>
          <w:numId w:val="1"/>
        </w:numPr>
        <w:spacing w:after="240" w:line="360" w:lineRule="auto"/>
        <w:jc w:val="both"/>
        <w:rPr>
          <w:sz w:val="24"/>
          <w:szCs w:val="24"/>
        </w:rPr>
      </w:pPr>
      <w:r>
        <w:rPr>
          <w:rFonts w:ascii="Times New Roman" w:eastAsia="Times New Roman" w:hAnsi="Times New Roman" w:cs="Times New Roman"/>
          <w:sz w:val="24"/>
          <w:szCs w:val="24"/>
        </w:rPr>
        <w:t xml:space="preserve">To examine changes in leisure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in the post-pandemic period, reflecting evolving urban lifestyles and discretionary spending patterns.</w:t>
      </w:r>
    </w:p>
    <w:p w14:paraId="719BB3BB" w14:textId="77777777" w:rsidR="00705872" w:rsidRDefault="00987F92">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Review of Literature</w:t>
      </w:r>
    </w:p>
    <w:p w14:paraId="7D4B1347" w14:textId="77777777" w:rsidR="00705872" w:rsidRDefault="00987F9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systematic review of existing literature was conducted to examine studies related to household leisure expenditure, non-food consumption, and sustainability in urban contexts. Peer-reviewed journal articles, policy reports, and empirical studies published over the last two decades were reviewed, with particular emphasis on urban India and emerging economies. Early studies on household consumption consistently identify income as the strongest determinant of non-food and leisure expenditure. Deaton and </w:t>
      </w:r>
      <w:proofErr w:type="spellStart"/>
      <w:r>
        <w:rPr>
          <w:rFonts w:ascii="Times New Roman" w:eastAsia="Times New Roman" w:hAnsi="Times New Roman" w:cs="Times New Roman"/>
          <w:sz w:val="24"/>
          <w:szCs w:val="24"/>
        </w:rPr>
        <w:t>Muellbauer</w:t>
      </w:r>
      <w:proofErr w:type="spellEnd"/>
      <w:r>
        <w:rPr>
          <w:rFonts w:ascii="Times New Roman" w:eastAsia="Times New Roman" w:hAnsi="Times New Roman" w:cs="Times New Roman"/>
          <w:sz w:val="24"/>
          <w:szCs w:val="24"/>
        </w:rPr>
        <w:t xml:space="preserve"> (1980) and Engel curve–based analyses demonstrate that as income rises, households allocate a greater proportion of expenditure to discretionary items, including recreation and travel. Banks et al. (1997) back up this finding in developing countries by showing that spending on leisure is very sensitive to </w:t>
      </w:r>
      <w:proofErr w:type="spellStart"/>
      <w:proofErr w:type="gramStart"/>
      <w:r>
        <w:rPr>
          <w:rFonts w:ascii="Times New Roman" w:eastAsia="Times New Roman" w:hAnsi="Times New Roman" w:cs="Times New Roman"/>
          <w:sz w:val="24"/>
          <w:szCs w:val="24"/>
        </w:rPr>
        <w:t>income.There</w:t>
      </w:r>
      <w:proofErr w:type="spellEnd"/>
      <w:proofErr w:type="gramEnd"/>
      <w:r>
        <w:rPr>
          <w:rFonts w:ascii="Times New Roman" w:eastAsia="Times New Roman" w:hAnsi="Times New Roman" w:cs="Times New Roman"/>
          <w:sz w:val="24"/>
          <w:szCs w:val="24"/>
        </w:rPr>
        <w:t xml:space="preserve"> have been a lot of studies in India about how people in cities spend money on things other than food, like going out to eat and having fun. These studies show that things like what kind of job someone has, how much school they have, and how big their family is are very important. People who work in offices tend to spend more on leisure activities because their pay is higher and more stable. People who have more education also tend to spend more on things that make their lives better. Families with more members often spend more because more people are involved in social and recreational </w:t>
      </w:r>
      <w:proofErr w:type="spellStart"/>
      <w:proofErr w:type="gramStart"/>
      <w:r>
        <w:rPr>
          <w:rFonts w:ascii="Times New Roman" w:eastAsia="Times New Roman" w:hAnsi="Times New Roman" w:cs="Times New Roman"/>
          <w:sz w:val="24"/>
          <w:szCs w:val="24"/>
        </w:rPr>
        <w:t>activities.Chakraborty</w:t>
      </w:r>
      <w:proofErr w:type="spellEnd"/>
      <w:proofErr w:type="gramEnd"/>
      <w:r>
        <w:rPr>
          <w:rFonts w:ascii="Times New Roman" w:eastAsia="Times New Roman" w:hAnsi="Times New Roman" w:cs="Times New Roman"/>
          <w:sz w:val="24"/>
          <w:szCs w:val="24"/>
        </w:rPr>
        <w:t xml:space="preserve"> and Singh (2018) also note that nuclear families in urban India spend more on leisure activities per person than larger </w:t>
      </w:r>
      <w:proofErr w:type="spellStart"/>
      <w:r>
        <w:rPr>
          <w:rFonts w:ascii="Times New Roman" w:eastAsia="Times New Roman" w:hAnsi="Times New Roman" w:cs="Times New Roman"/>
          <w:sz w:val="24"/>
          <w:szCs w:val="24"/>
        </w:rPr>
        <w:t>families.Studies</w:t>
      </w:r>
      <w:proofErr w:type="spellEnd"/>
      <w:r>
        <w:rPr>
          <w:rFonts w:ascii="Times New Roman" w:eastAsia="Times New Roman" w:hAnsi="Times New Roman" w:cs="Times New Roman"/>
          <w:sz w:val="24"/>
          <w:szCs w:val="24"/>
        </w:rPr>
        <w:t xml:space="preserve"> done after the pandemic show that people are spending more money on things they don't need. Agarwal et al. (2022) state that urban households spent more on eating out and traveling short distances after COVID-19 restrictions were lifted, but the gap in access to leisure activities grew. Bhattacharya and Roy (2023) demonstrate that leisure consumption rebounded more rapidly within higher-income urban demographics, thereby exacerbating income-based </w:t>
      </w:r>
      <w:proofErr w:type="spellStart"/>
      <w:proofErr w:type="gramStart"/>
      <w:r>
        <w:rPr>
          <w:rFonts w:ascii="Times New Roman" w:eastAsia="Times New Roman" w:hAnsi="Times New Roman" w:cs="Times New Roman"/>
          <w:sz w:val="24"/>
          <w:szCs w:val="24"/>
        </w:rPr>
        <w:t>disparities.From</w:t>
      </w:r>
      <w:proofErr w:type="spellEnd"/>
      <w:proofErr w:type="gramEnd"/>
      <w:r>
        <w:rPr>
          <w:rFonts w:ascii="Times New Roman" w:eastAsia="Times New Roman" w:hAnsi="Times New Roman" w:cs="Times New Roman"/>
          <w:sz w:val="24"/>
          <w:szCs w:val="24"/>
        </w:rPr>
        <w:t xml:space="preserve"> a sustainability standpoint, global literature is progressively associating leisure and tourism consumption with environmental stresses. </w:t>
      </w:r>
      <w:proofErr w:type="spellStart"/>
      <w:r>
        <w:rPr>
          <w:rFonts w:ascii="Times New Roman" w:eastAsia="Times New Roman" w:hAnsi="Times New Roman" w:cs="Times New Roman"/>
          <w:sz w:val="24"/>
          <w:szCs w:val="24"/>
        </w:rPr>
        <w:t>Gössling</w:t>
      </w:r>
      <w:proofErr w:type="spellEnd"/>
      <w:r>
        <w:rPr>
          <w:rFonts w:ascii="Times New Roman" w:eastAsia="Times New Roman" w:hAnsi="Times New Roman" w:cs="Times New Roman"/>
          <w:sz w:val="24"/>
          <w:szCs w:val="24"/>
        </w:rPr>
        <w:t xml:space="preserve"> et al. (2015) show that leisure travel adds a lot to carbon emissions, and food services create a lot of waste. In the Indian context, NITI Aayog (2022) recognizes that increasing urban consumption, especially in hospitality and tourism, presents challenges for sustainable resource utilization, yet it lacks micro-level household evidence.</w:t>
      </w:r>
    </w:p>
    <w:p w14:paraId="442F7EDB" w14:textId="77777777" w:rsidR="00705872" w:rsidRDefault="00987F92">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There is still not much research that directly links sustainability to household leisure spending. Jackson (2009) asserts that research on sustainable consumption has primarily focused on production rather than consumption patterns. Lorek and Fuchs (2013) assert that comprehending sustainability transitions necessitates an examination of quotidian consumption categories, such as leisure.</w:t>
      </w:r>
    </w:p>
    <w:p w14:paraId="6D227F55" w14:textId="77777777" w:rsidR="00705872" w:rsidRDefault="00987F92">
      <w:pPr>
        <w:pStyle w:val="Heading2"/>
        <w:spacing w:after="80" w:line="360" w:lineRule="auto"/>
        <w:jc w:val="both"/>
        <w:rPr>
          <w:rFonts w:ascii="Times New Roman" w:eastAsia="Times New Roman" w:hAnsi="Times New Roman" w:cs="Times New Roman"/>
          <w:b/>
          <w:bCs/>
          <w:sz w:val="24"/>
          <w:szCs w:val="24"/>
        </w:rPr>
      </w:pPr>
      <w:bookmarkStart w:id="5" w:name="_heading=h.4n579t731cvw" w:colFirst="0" w:colLast="0"/>
      <w:bookmarkEnd w:id="5"/>
      <w:r>
        <w:rPr>
          <w:rFonts w:ascii="Times New Roman" w:eastAsia="Times New Roman" w:hAnsi="Times New Roman" w:cs="Times New Roman"/>
          <w:b/>
          <w:bCs/>
          <w:sz w:val="24"/>
          <w:szCs w:val="24"/>
        </w:rPr>
        <w:t xml:space="preserve">Research Gaps </w:t>
      </w:r>
    </w:p>
    <w:p w14:paraId="5F7BCFAC" w14:textId="77777777" w:rsidR="00705872" w:rsidRDefault="00987F92">
      <w:pPr>
        <w:pStyle w:val="Heading1"/>
        <w:numPr>
          <w:ilvl w:val="0"/>
          <w:numId w:val="4"/>
        </w:num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Limited focus on leisure as a distinct category of expenditure: Most Indian studies amalgamate leisure with non-food expenditures, obscuring its specific causes and effects.</w:t>
      </w:r>
    </w:p>
    <w:p w14:paraId="2BDAD3A0" w14:textId="77777777" w:rsidR="00705872" w:rsidRDefault="00987F92">
      <w:pPr>
        <w:pStyle w:val="Heading1"/>
        <w:numPr>
          <w:ilvl w:val="0"/>
          <w:numId w:val="4"/>
        </w:numPr>
        <w:spacing w:before="0" w:after="0" w:line="360" w:lineRule="auto"/>
        <w:jc w:val="both"/>
        <w:rPr>
          <w:rFonts w:ascii="Times New Roman" w:eastAsia="Times New Roman" w:hAnsi="Times New Roman" w:cs="Times New Roman"/>
          <w:sz w:val="24"/>
          <w:szCs w:val="24"/>
        </w:rPr>
      </w:pPr>
      <w:bookmarkStart w:id="6" w:name="_heading=h.6ef56p14k5ec" w:colFirst="0" w:colLast="0"/>
      <w:bookmarkEnd w:id="6"/>
      <w:r>
        <w:rPr>
          <w:rFonts w:ascii="Times New Roman" w:eastAsia="Times New Roman" w:hAnsi="Times New Roman" w:cs="Times New Roman"/>
          <w:sz w:val="24"/>
          <w:szCs w:val="24"/>
        </w:rPr>
        <w:t>Insufficient integration of sustainability perspectives: Limited empirical research has investigated leisure expenditure in relation to frameworks for responsible consumption or environmental sustainability.</w:t>
      </w:r>
    </w:p>
    <w:p w14:paraId="04F56850" w14:textId="77777777" w:rsidR="00705872" w:rsidRDefault="00987F92">
      <w:pPr>
        <w:pStyle w:val="Heading1"/>
        <w:numPr>
          <w:ilvl w:val="0"/>
          <w:numId w:val="4"/>
        </w:numPr>
        <w:spacing w:before="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Insufficient post-pandemic urban evidence: Limited studies, particularly those utilizing recent household-level data, examine leisure spending behavior in the post-COVID period.</w:t>
      </w:r>
    </w:p>
    <w:p w14:paraId="55AF679A" w14:textId="77777777" w:rsidR="00705872" w:rsidRDefault="00987F92">
      <w:pPr>
        <w:pStyle w:val="Heading1"/>
        <w:numPr>
          <w:ilvl w:val="0"/>
          <w:numId w:val="4"/>
        </w:numPr>
        <w:spacing w:before="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Absence of city-specific micro-level analysis: Despite playing a crucial role in influencing consumption trends, major cities like Mumbai continue to receive little attention.</w:t>
      </w:r>
    </w:p>
    <w:p w14:paraId="45267508" w14:textId="77777777" w:rsidR="00705872" w:rsidRDefault="00987F92">
      <w:pPr>
        <w:pStyle w:val="Heading1"/>
        <w:numPr>
          <w:ilvl w:val="0"/>
          <w:numId w:val="4"/>
        </w:numPr>
        <w:spacing w:before="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Policy relevance is neglected: Urban planning and sustainability-focused policy recommendations are rarely connected to empirical findings.</w:t>
      </w:r>
    </w:p>
    <w:p w14:paraId="6F6497EF" w14:textId="77777777" w:rsidR="00705872" w:rsidRDefault="00987F92">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 filling in these gaps, the current study strengthens the empirical basis for responsible urban consumption policies by providing a post-pandemic, city-specific, sustainability-focused analysis of leisure expenditure.</w:t>
      </w:r>
    </w:p>
    <w:p w14:paraId="01259879" w14:textId="77777777" w:rsidR="00705872" w:rsidRDefault="00987F92">
      <w:pPr>
        <w:pStyle w:val="Heading2"/>
        <w:spacing w:after="80" w:line="360" w:lineRule="auto"/>
        <w:jc w:val="both"/>
        <w:rPr>
          <w:rFonts w:ascii="Times New Roman" w:eastAsia="Times New Roman" w:hAnsi="Times New Roman" w:cs="Times New Roman"/>
          <w:b/>
          <w:bCs/>
          <w:sz w:val="24"/>
          <w:szCs w:val="24"/>
        </w:rPr>
      </w:pPr>
      <w:bookmarkStart w:id="7" w:name="_heading=h.xbr6r5dtaill" w:colFirst="0" w:colLast="0"/>
      <w:bookmarkEnd w:id="7"/>
      <w:r>
        <w:rPr>
          <w:rFonts w:ascii="Times New Roman" w:eastAsia="Times New Roman" w:hAnsi="Times New Roman" w:cs="Times New Roman"/>
          <w:b/>
          <w:bCs/>
          <w:sz w:val="24"/>
          <w:szCs w:val="24"/>
        </w:rPr>
        <w:t>Data Source and Methodology</w:t>
      </w:r>
    </w:p>
    <w:p w14:paraId="1A571C1F" w14:textId="77777777" w:rsidR="00705872" w:rsidRDefault="00987F92">
      <w:pPr>
        <w:pStyle w:val="Heading3"/>
        <w:spacing w:before="280" w:line="360" w:lineRule="auto"/>
        <w:jc w:val="both"/>
        <w:rPr>
          <w:rFonts w:ascii="Times New Roman" w:eastAsia="Times New Roman" w:hAnsi="Times New Roman" w:cs="Times New Roman"/>
          <w:b/>
          <w:bCs/>
          <w:color w:val="000000"/>
          <w:sz w:val="24"/>
          <w:szCs w:val="24"/>
        </w:rPr>
      </w:pPr>
      <w:bookmarkStart w:id="8" w:name="_heading=h.d60dh3odms6" w:colFirst="0" w:colLast="0"/>
      <w:bookmarkEnd w:id="8"/>
      <w:r>
        <w:rPr>
          <w:rFonts w:ascii="Times New Roman" w:eastAsia="Times New Roman" w:hAnsi="Times New Roman" w:cs="Times New Roman"/>
          <w:b/>
          <w:bCs/>
          <w:color w:val="000000"/>
          <w:sz w:val="24"/>
          <w:szCs w:val="24"/>
        </w:rPr>
        <w:t>Data Source</w:t>
      </w:r>
    </w:p>
    <w:p w14:paraId="1ADE93A7" w14:textId="77777777" w:rsidR="00705872" w:rsidRDefault="00987F92">
      <w:pPr>
        <w:pStyle w:val="Heading1"/>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The study uses secondary household-level data for urban Mumbai covering the period 2022–2025. Leisure expenditure is defined as a composite of spending on eating out, recreation, and vacations. The demographic and economic characteristics of households are </w:t>
      </w:r>
      <w:proofErr w:type="spellStart"/>
      <w:r>
        <w:rPr>
          <w:rFonts w:ascii="Times New Roman" w:eastAsia="Times New Roman" w:hAnsi="Times New Roman" w:cs="Times New Roman"/>
          <w:sz w:val="24"/>
          <w:szCs w:val="24"/>
        </w:rPr>
        <w:t>summarised</w:t>
      </w:r>
      <w:proofErr w:type="spellEnd"/>
      <w:r>
        <w:rPr>
          <w:rFonts w:ascii="Times New Roman" w:eastAsia="Times New Roman" w:hAnsi="Times New Roman" w:cs="Times New Roman"/>
          <w:sz w:val="24"/>
          <w:szCs w:val="24"/>
        </w:rPr>
        <w:t xml:space="preserve"> annually</w:t>
      </w:r>
    </w:p>
    <w:p w14:paraId="67D32A18" w14:textId="77777777" w:rsidR="00705872" w:rsidRDefault="00987F92">
      <w:pPr>
        <w:pStyle w:val="Heading2"/>
        <w:spacing w:after="80" w:line="360" w:lineRule="auto"/>
        <w:jc w:val="both"/>
        <w:rPr>
          <w:rFonts w:ascii="Times New Roman" w:eastAsia="Times New Roman" w:hAnsi="Times New Roman" w:cs="Times New Roman"/>
          <w:b/>
          <w:bCs/>
          <w:sz w:val="24"/>
          <w:szCs w:val="24"/>
        </w:rPr>
      </w:pPr>
      <w:bookmarkStart w:id="9" w:name="_heading=h.g7md5yylku7k" w:colFirst="0" w:colLast="0"/>
      <w:bookmarkEnd w:id="9"/>
      <w:r>
        <w:rPr>
          <w:rFonts w:ascii="Times New Roman" w:eastAsia="Times New Roman" w:hAnsi="Times New Roman" w:cs="Times New Roman"/>
          <w:b/>
          <w:bCs/>
          <w:sz w:val="24"/>
          <w:szCs w:val="24"/>
        </w:rPr>
        <w:t>Variables Used in the Study</w:t>
      </w:r>
    </w:p>
    <w:p w14:paraId="2B02DAA9" w14:textId="77777777" w:rsidR="00705872" w:rsidRDefault="00987F92">
      <w:pPr>
        <w:pStyle w:val="Heading3"/>
        <w:spacing w:before="280" w:line="360" w:lineRule="auto"/>
        <w:ind w:left="360"/>
        <w:jc w:val="both"/>
        <w:rPr>
          <w:rFonts w:ascii="Times New Roman" w:eastAsia="Times New Roman" w:hAnsi="Times New Roman" w:cs="Times New Roman"/>
          <w:b/>
          <w:bCs/>
          <w:color w:val="000000"/>
          <w:sz w:val="24"/>
          <w:szCs w:val="24"/>
        </w:rPr>
      </w:pPr>
      <w:bookmarkStart w:id="10" w:name="_heading=h.9ky3t2wrz2y5" w:colFirst="0" w:colLast="0"/>
      <w:bookmarkEnd w:id="10"/>
      <w:r>
        <w:rPr>
          <w:rFonts w:ascii="Times New Roman" w:eastAsia="Times New Roman" w:hAnsi="Times New Roman" w:cs="Times New Roman"/>
          <w:b/>
          <w:bCs/>
          <w:color w:val="000000"/>
          <w:sz w:val="24"/>
          <w:szCs w:val="24"/>
        </w:rPr>
        <w:lastRenderedPageBreak/>
        <w:t>Dependent Variable</w:t>
      </w:r>
    </w:p>
    <w:p w14:paraId="278B51D3" w14:textId="77777777" w:rsidR="00705872" w:rsidRDefault="00987F92">
      <w:pPr>
        <w:pStyle w:val="Heading1"/>
        <w:numPr>
          <w:ilvl w:val="0"/>
          <w:numId w:val="3"/>
        </w:numPr>
        <w:spacing w:before="240" w:after="240" w:line="360" w:lineRule="auto"/>
        <w:jc w:val="both"/>
        <w:rPr>
          <w:rFonts w:ascii="Calibri" w:eastAsia="Calibri" w:hAnsi="Calibri" w:cs="Calibri"/>
          <w:sz w:val="24"/>
          <w:szCs w:val="24"/>
        </w:rPr>
      </w:pPr>
      <w:r>
        <w:rPr>
          <w:rFonts w:ascii="Times New Roman" w:eastAsia="Times New Roman" w:hAnsi="Times New Roman" w:cs="Times New Roman"/>
          <w:b/>
          <w:bCs/>
          <w:sz w:val="24"/>
          <w:szCs w:val="24"/>
        </w:rPr>
        <w:t>Leisure Expenditure (LEISURE):</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Monthly household expenditure on leisure activities, defined as a composite measure including spending on eating out, recreation, and vacations. This variable represents discretionary consumption and serves as a proxy for lifestyle-oriented spending in urban households.</w:t>
      </w:r>
    </w:p>
    <w:p w14:paraId="26CEC99F" w14:textId="77777777" w:rsidR="00705872" w:rsidRDefault="00987F92">
      <w:pPr>
        <w:pStyle w:val="Heading3"/>
        <w:spacing w:before="280" w:line="360" w:lineRule="auto"/>
        <w:ind w:left="720" w:hanging="360"/>
        <w:jc w:val="both"/>
        <w:rPr>
          <w:rFonts w:ascii="Times New Roman" w:eastAsia="Times New Roman" w:hAnsi="Times New Roman" w:cs="Times New Roman"/>
          <w:b/>
          <w:bCs/>
          <w:color w:val="000000"/>
          <w:sz w:val="24"/>
          <w:szCs w:val="24"/>
        </w:rPr>
      </w:pPr>
      <w:bookmarkStart w:id="11" w:name="_heading=h.smq8q05gw6jr" w:colFirst="0" w:colLast="0"/>
      <w:bookmarkEnd w:id="11"/>
      <w:r>
        <w:rPr>
          <w:rFonts w:ascii="Times New Roman" w:eastAsia="Times New Roman" w:hAnsi="Times New Roman" w:cs="Times New Roman"/>
          <w:b/>
          <w:bCs/>
          <w:color w:val="000000"/>
          <w:sz w:val="24"/>
          <w:szCs w:val="24"/>
        </w:rPr>
        <w:t>Independent Variables</w:t>
      </w:r>
    </w:p>
    <w:p w14:paraId="6619948D" w14:textId="77777777" w:rsidR="00705872" w:rsidRDefault="00987F92">
      <w:pPr>
        <w:pStyle w:val="Heading1"/>
        <w:numPr>
          <w:ilvl w:val="0"/>
          <w:numId w:val="2"/>
        </w:numPr>
        <w:spacing w:before="240" w:after="0" w:line="360" w:lineRule="auto"/>
        <w:jc w:val="both"/>
        <w:rPr>
          <w:rFonts w:ascii="Calibri" w:eastAsia="Calibri" w:hAnsi="Calibri" w:cs="Calibri"/>
          <w:sz w:val="24"/>
          <w:szCs w:val="24"/>
        </w:rPr>
      </w:pPr>
      <w:r>
        <w:rPr>
          <w:rFonts w:ascii="Times New Roman" w:eastAsia="Times New Roman" w:hAnsi="Times New Roman" w:cs="Times New Roman"/>
          <w:b/>
          <w:bCs/>
          <w:sz w:val="24"/>
          <w:szCs w:val="24"/>
        </w:rPr>
        <w:t>Total Income (INCOME):</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Monthly household income, representing purchasing power and economic capacity.</w:t>
      </w:r>
    </w:p>
    <w:p w14:paraId="7E64E379" w14:textId="77777777" w:rsidR="00705872" w:rsidRDefault="00987F92">
      <w:pPr>
        <w:pStyle w:val="Heading1"/>
        <w:numPr>
          <w:ilvl w:val="0"/>
          <w:numId w:val="2"/>
        </w:numPr>
        <w:spacing w:before="0" w:after="0" w:line="360" w:lineRule="auto"/>
        <w:jc w:val="both"/>
        <w:rPr>
          <w:rFonts w:ascii="Calibri" w:eastAsia="Calibri" w:hAnsi="Calibri" w:cs="Calibri"/>
          <w:sz w:val="24"/>
          <w:szCs w:val="24"/>
        </w:rPr>
      </w:pPr>
      <w:r>
        <w:rPr>
          <w:rFonts w:ascii="Times New Roman" w:eastAsia="Times New Roman" w:hAnsi="Times New Roman" w:cs="Times New Roman"/>
          <w:b/>
          <w:bCs/>
          <w:sz w:val="24"/>
          <w:szCs w:val="24"/>
        </w:rPr>
        <w:t>Age Group (AGE_GROUP):</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Categorised</w:t>
      </w:r>
      <w:proofErr w:type="spellEnd"/>
      <w:r>
        <w:rPr>
          <w:rFonts w:ascii="Times New Roman" w:eastAsia="Times New Roman" w:hAnsi="Times New Roman" w:cs="Times New Roman"/>
          <w:sz w:val="24"/>
          <w:szCs w:val="24"/>
        </w:rPr>
        <w:t xml:space="preserve"> age of the household head to capture life-cycle effects on leisure consumption.</w:t>
      </w:r>
    </w:p>
    <w:p w14:paraId="7F779BA1" w14:textId="77777777" w:rsidR="00705872" w:rsidRDefault="00987F92">
      <w:pPr>
        <w:pStyle w:val="Heading1"/>
        <w:numPr>
          <w:ilvl w:val="0"/>
          <w:numId w:val="2"/>
        </w:numPr>
        <w:spacing w:before="0" w:after="0" w:line="360" w:lineRule="auto"/>
        <w:jc w:val="both"/>
        <w:rPr>
          <w:rFonts w:ascii="Calibri" w:eastAsia="Calibri" w:hAnsi="Calibri" w:cs="Calibri"/>
          <w:sz w:val="24"/>
          <w:szCs w:val="24"/>
        </w:rPr>
      </w:pPr>
      <w:r>
        <w:rPr>
          <w:rFonts w:ascii="Times New Roman" w:eastAsia="Times New Roman" w:hAnsi="Times New Roman" w:cs="Times New Roman"/>
          <w:b/>
          <w:bCs/>
          <w:sz w:val="24"/>
          <w:szCs w:val="24"/>
        </w:rPr>
        <w:t>Gender Group (GENDER_GROUP):</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Gender of the household head, reflecting differences in decision-making and consumption priorities.</w:t>
      </w:r>
    </w:p>
    <w:p w14:paraId="2A9A674D" w14:textId="77777777" w:rsidR="00705872" w:rsidRDefault="00987F92">
      <w:pPr>
        <w:pStyle w:val="Heading1"/>
        <w:numPr>
          <w:ilvl w:val="0"/>
          <w:numId w:val="2"/>
        </w:numPr>
        <w:spacing w:before="0" w:after="0" w:line="360" w:lineRule="auto"/>
        <w:jc w:val="both"/>
        <w:rPr>
          <w:rFonts w:ascii="Calibri" w:eastAsia="Calibri" w:hAnsi="Calibri" w:cs="Calibri"/>
          <w:sz w:val="24"/>
          <w:szCs w:val="24"/>
        </w:rPr>
      </w:pPr>
      <w:r>
        <w:rPr>
          <w:rFonts w:ascii="Times New Roman" w:eastAsia="Times New Roman" w:hAnsi="Times New Roman" w:cs="Times New Roman"/>
          <w:b/>
          <w:bCs/>
          <w:sz w:val="24"/>
          <w:szCs w:val="24"/>
        </w:rPr>
        <w:t>Occupation Group (OCCUPATION_GROUP):</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Employment category of the household head, indicating job stability and socio-economic status.</w:t>
      </w:r>
    </w:p>
    <w:p w14:paraId="0079B989" w14:textId="77777777" w:rsidR="00705872" w:rsidRDefault="00987F92">
      <w:pPr>
        <w:pStyle w:val="Heading1"/>
        <w:numPr>
          <w:ilvl w:val="0"/>
          <w:numId w:val="2"/>
        </w:numPr>
        <w:spacing w:before="0" w:after="0" w:line="360" w:lineRule="auto"/>
        <w:jc w:val="both"/>
        <w:rPr>
          <w:rFonts w:ascii="Calibri" w:eastAsia="Calibri" w:hAnsi="Calibri" w:cs="Calibri"/>
          <w:sz w:val="24"/>
          <w:szCs w:val="24"/>
        </w:rPr>
      </w:pPr>
      <w:r>
        <w:rPr>
          <w:rFonts w:ascii="Times New Roman" w:eastAsia="Times New Roman" w:hAnsi="Times New Roman" w:cs="Times New Roman"/>
          <w:b/>
          <w:bCs/>
          <w:sz w:val="24"/>
          <w:szCs w:val="24"/>
        </w:rPr>
        <w:t>Education Group (EDU_GROUP):</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Educational attainment of the household head, representing human capital and awareness levels.</w:t>
      </w:r>
    </w:p>
    <w:p w14:paraId="58CF77F6" w14:textId="77777777" w:rsidR="00705872" w:rsidRDefault="00987F92">
      <w:pPr>
        <w:pStyle w:val="Heading1"/>
        <w:numPr>
          <w:ilvl w:val="0"/>
          <w:numId w:val="2"/>
        </w:numPr>
        <w:spacing w:before="0" w:after="240" w:line="360" w:lineRule="auto"/>
        <w:jc w:val="both"/>
        <w:rPr>
          <w:rFonts w:ascii="Calibri" w:eastAsia="Calibri" w:hAnsi="Calibri" w:cs="Calibri"/>
          <w:sz w:val="24"/>
          <w:szCs w:val="24"/>
        </w:rPr>
      </w:pPr>
      <w:r>
        <w:rPr>
          <w:rFonts w:ascii="Times New Roman" w:eastAsia="Times New Roman" w:hAnsi="Times New Roman" w:cs="Times New Roman"/>
          <w:b/>
          <w:bCs/>
          <w:sz w:val="24"/>
          <w:szCs w:val="24"/>
        </w:rPr>
        <w:t>Household Size (SIZE_GROUP):</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Number of household members, capturing dependency and budget allocation constraints.</w:t>
      </w:r>
    </w:p>
    <w:p w14:paraId="2A3A053E" w14:textId="77777777" w:rsidR="00705872" w:rsidRDefault="00987F92">
      <w:pPr>
        <w:pStyle w:val="Heading1"/>
        <w:spacing w:before="240" w:after="240" w:line="360" w:lineRule="auto"/>
        <w:jc w:val="both"/>
        <w:rPr>
          <w:rFonts w:ascii="Times New Roman" w:eastAsia="Times New Roman" w:hAnsi="Times New Roman" w:cs="Times New Roman"/>
          <w:sz w:val="24"/>
          <w:szCs w:val="24"/>
        </w:rPr>
      </w:pPr>
      <w:bookmarkStart w:id="12" w:name="_heading=h.3dwmppfbl9vp" w:colFirst="0" w:colLast="0"/>
      <w:bookmarkEnd w:id="12"/>
      <w:r>
        <w:rPr>
          <w:rFonts w:ascii="Times New Roman" w:eastAsia="Times New Roman" w:hAnsi="Times New Roman" w:cs="Times New Roman"/>
          <w:sz w:val="24"/>
          <w:szCs w:val="24"/>
        </w:rPr>
        <w:t>Categorical variables are transformed into dummy variables with appropriate base categories for regression analysis.</w:t>
      </w:r>
    </w:p>
    <w:p w14:paraId="0EE7D78B" w14:textId="77777777" w:rsidR="00705872" w:rsidRDefault="00987F92">
      <w:pPr>
        <w:pStyle w:val="Heading2"/>
        <w:keepNext w:val="0"/>
        <w:keepLines w:val="0"/>
        <w:spacing w:after="80" w:line="360" w:lineRule="auto"/>
        <w:jc w:val="both"/>
        <w:rPr>
          <w:rFonts w:ascii="Times New Roman" w:eastAsia="Times New Roman" w:hAnsi="Times New Roman" w:cs="Times New Roman"/>
          <w:b/>
          <w:bCs/>
          <w:sz w:val="24"/>
          <w:szCs w:val="24"/>
        </w:rPr>
      </w:pPr>
      <w:bookmarkStart w:id="13" w:name="_heading=h.3q0xsntfosj4" w:colFirst="0" w:colLast="0"/>
      <w:bookmarkEnd w:id="13"/>
      <w:r>
        <w:rPr>
          <w:rFonts w:ascii="Times New Roman" w:eastAsia="Times New Roman" w:hAnsi="Times New Roman" w:cs="Times New Roman"/>
          <w:b/>
          <w:bCs/>
          <w:sz w:val="24"/>
          <w:szCs w:val="24"/>
        </w:rPr>
        <w:t>Period of the Study</w:t>
      </w:r>
    </w:p>
    <w:p w14:paraId="6F44B5ED" w14:textId="77777777" w:rsidR="00705872" w:rsidRDefault="00987F9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covers the period </w:t>
      </w:r>
      <w:r>
        <w:rPr>
          <w:rFonts w:ascii="Times New Roman" w:eastAsia="Times New Roman" w:hAnsi="Times New Roman" w:cs="Times New Roman"/>
          <w:b/>
          <w:bCs/>
          <w:sz w:val="24"/>
          <w:szCs w:val="24"/>
        </w:rPr>
        <w:t>2022 to 2025</w:t>
      </w:r>
      <w:r>
        <w:rPr>
          <w:rFonts w:ascii="Times New Roman" w:eastAsia="Times New Roman" w:hAnsi="Times New Roman" w:cs="Times New Roman"/>
          <w:sz w:val="24"/>
          <w:szCs w:val="24"/>
        </w:rPr>
        <w:t xml:space="preserve">, focusing on urban households in Mumbai. This period represents the post-COVID-19 phase, </w:t>
      </w:r>
      <w:proofErr w:type="spellStart"/>
      <w:r>
        <w:rPr>
          <w:rFonts w:ascii="Times New Roman" w:eastAsia="Times New Roman" w:hAnsi="Times New Roman" w:cs="Times New Roman"/>
          <w:sz w:val="24"/>
          <w:szCs w:val="24"/>
        </w:rPr>
        <w:t>characterised</w:t>
      </w:r>
      <w:proofErr w:type="spellEnd"/>
      <w:r>
        <w:rPr>
          <w:rFonts w:ascii="Times New Roman" w:eastAsia="Times New Roman" w:hAnsi="Times New Roman" w:cs="Times New Roman"/>
          <w:sz w:val="24"/>
          <w:szCs w:val="24"/>
        </w:rPr>
        <w:t xml:space="preserve"> by economic </w:t>
      </w:r>
      <w:proofErr w:type="spellStart"/>
      <w:r>
        <w:rPr>
          <w:rFonts w:ascii="Times New Roman" w:eastAsia="Times New Roman" w:hAnsi="Times New Roman" w:cs="Times New Roman"/>
          <w:sz w:val="24"/>
          <w:szCs w:val="24"/>
        </w:rPr>
        <w:t>normalisation</w:t>
      </w:r>
      <w:proofErr w:type="spellEnd"/>
      <w:r>
        <w:rPr>
          <w:rFonts w:ascii="Times New Roman" w:eastAsia="Times New Roman" w:hAnsi="Times New Roman" w:cs="Times New Roman"/>
          <w:sz w:val="24"/>
          <w:szCs w:val="24"/>
        </w:rPr>
        <w:t xml:space="preserve">, changes in work </w:t>
      </w:r>
      <w:r>
        <w:rPr>
          <w:rFonts w:ascii="Times New Roman" w:eastAsia="Times New Roman" w:hAnsi="Times New Roman" w:cs="Times New Roman"/>
          <w:sz w:val="24"/>
          <w:szCs w:val="24"/>
        </w:rPr>
        <w:lastRenderedPageBreak/>
        <w:t xml:space="preserve">patterns, and renewed participation in leisure activities. </w:t>
      </w:r>
      <w:proofErr w:type="spellStart"/>
      <w:r>
        <w:rPr>
          <w:rFonts w:ascii="Times New Roman" w:eastAsia="Times New Roman" w:hAnsi="Times New Roman" w:cs="Times New Roman"/>
          <w:sz w:val="24"/>
          <w:szCs w:val="24"/>
        </w:rPr>
        <w:t>Analysing</w:t>
      </w:r>
      <w:proofErr w:type="spellEnd"/>
      <w:r>
        <w:rPr>
          <w:rFonts w:ascii="Times New Roman" w:eastAsia="Times New Roman" w:hAnsi="Times New Roman" w:cs="Times New Roman"/>
          <w:sz w:val="24"/>
          <w:szCs w:val="24"/>
        </w:rPr>
        <w:t xml:space="preserve"> this timeframe allows for an assessment of evolving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under new urban and economic conditions.</w:t>
      </w:r>
    </w:p>
    <w:p w14:paraId="3A043B69" w14:textId="77777777" w:rsidR="00705872" w:rsidRDefault="00987F92">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w:t>
      </w:r>
    </w:p>
    <w:p w14:paraId="4F67FDCA" w14:textId="77777777" w:rsidR="00705872" w:rsidRDefault="00987F9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Ordinary Least Squares (OLS) regression is employed separately for each year. Model adequacy is assessed using R, R², Adjusted R², and standard error statistics. Statistical significance is evaluated at the 5 per cent level.</w:t>
      </w:r>
    </w:p>
    <w:p w14:paraId="638015A2" w14:textId="77777777" w:rsidR="00705872" w:rsidRDefault="00987F92">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Results and Discussion</w:t>
      </w:r>
    </w:p>
    <w:p w14:paraId="43CACD3B" w14:textId="77777777" w:rsidR="00705872" w:rsidRDefault="00987F92">
      <w:pPr>
        <w:pStyle w:val="Heading2"/>
        <w:spacing w:before="200" w:after="0" w:line="360" w:lineRule="auto"/>
        <w:jc w:val="both"/>
        <w:rPr>
          <w:rFonts w:ascii="Times New Roman" w:eastAsia="Times New Roman" w:hAnsi="Times New Roman" w:cs="Times New Roman"/>
          <w:b/>
          <w:bCs/>
          <w:sz w:val="24"/>
          <w:szCs w:val="24"/>
        </w:rPr>
      </w:pPr>
      <w:bookmarkStart w:id="14" w:name="_heading=h.zba5n95hgf01" w:colFirst="0" w:colLast="0"/>
      <w:bookmarkEnd w:id="14"/>
      <w:r>
        <w:rPr>
          <w:rFonts w:ascii="Times New Roman" w:eastAsia="Times New Roman" w:hAnsi="Times New Roman" w:cs="Times New Roman"/>
          <w:b/>
          <w:bCs/>
          <w:sz w:val="24"/>
          <w:szCs w:val="24"/>
        </w:rPr>
        <w:t>Table 1: Demographic Overview of Mumbai Households (2022–2025)</w:t>
      </w:r>
    </w:p>
    <w:tbl>
      <w:tblPr>
        <w:tblStyle w:val="a1"/>
        <w:tblW w:w="8985" w:type="dxa"/>
        <w:tblInd w:w="-115" w:type="dxa"/>
        <w:tblLayout w:type="fixed"/>
        <w:tblLook w:val="0400" w:firstRow="0" w:lastRow="0" w:firstColumn="0" w:lastColumn="0" w:noHBand="0" w:noVBand="1"/>
      </w:tblPr>
      <w:tblGrid>
        <w:gridCol w:w="1230"/>
        <w:gridCol w:w="1575"/>
        <w:gridCol w:w="1080"/>
        <w:gridCol w:w="1035"/>
        <w:gridCol w:w="1230"/>
        <w:gridCol w:w="1395"/>
        <w:gridCol w:w="1440"/>
      </w:tblGrid>
      <w:tr w:rsidR="00705872" w14:paraId="14B379D0" w14:textId="77777777">
        <w:tc>
          <w:tcPr>
            <w:tcW w:w="1230" w:type="dxa"/>
            <w:tcBorders>
              <w:top w:val="single" w:sz="6" w:space="0" w:color="000000"/>
              <w:left w:val="single" w:sz="6" w:space="0" w:color="000000"/>
              <w:bottom w:val="single" w:sz="6" w:space="0" w:color="000000"/>
              <w:right w:val="single" w:sz="6" w:space="0" w:color="000000"/>
            </w:tcBorders>
          </w:tcPr>
          <w:p w14:paraId="5630210E" w14:textId="77777777" w:rsidR="00705872" w:rsidRDefault="00987F92">
            <w:pPr>
              <w:spacing w:after="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Year</w:t>
            </w:r>
          </w:p>
        </w:tc>
        <w:tc>
          <w:tcPr>
            <w:tcW w:w="1575" w:type="dxa"/>
            <w:tcBorders>
              <w:top w:val="single" w:sz="6" w:space="0" w:color="000000"/>
              <w:left w:val="single" w:sz="6" w:space="0" w:color="000000"/>
              <w:bottom w:val="single" w:sz="6" w:space="0" w:color="000000"/>
              <w:right w:val="single" w:sz="6" w:space="0" w:color="000000"/>
            </w:tcBorders>
          </w:tcPr>
          <w:p w14:paraId="0F710103" w14:textId="77777777" w:rsidR="00705872" w:rsidRDefault="00987F92">
            <w:pPr>
              <w:spacing w:after="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Dominant Age Group (%)</w:t>
            </w:r>
          </w:p>
        </w:tc>
        <w:tc>
          <w:tcPr>
            <w:tcW w:w="1080" w:type="dxa"/>
            <w:tcBorders>
              <w:top w:val="single" w:sz="6" w:space="0" w:color="000000"/>
              <w:left w:val="single" w:sz="6" w:space="0" w:color="000000"/>
              <w:bottom w:val="single" w:sz="6" w:space="0" w:color="000000"/>
              <w:right w:val="single" w:sz="6" w:space="0" w:color="000000"/>
            </w:tcBorders>
          </w:tcPr>
          <w:p w14:paraId="7D408B48" w14:textId="77777777" w:rsidR="00705872" w:rsidRDefault="00987F92">
            <w:pPr>
              <w:spacing w:after="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Male Dominant (%)</w:t>
            </w:r>
          </w:p>
        </w:tc>
        <w:tc>
          <w:tcPr>
            <w:tcW w:w="1035" w:type="dxa"/>
            <w:tcBorders>
              <w:top w:val="single" w:sz="6" w:space="0" w:color="000000"/>
              <w:left w:val="single" w:sz="6" w:space="0" w:color="000000"/>
              <w:bottom w:val="single" w:sz="6" w:space="0" w:color="000000"/>
              <w:right w:val="single" w:sz="6" w:space="0" w:color="000000"/>
            </w:tcBorders>
          </w:tcPr>
          <w:p w14:paraId="302C3607" w14:textId="77777777" w:rsidR="00705872" w:rsidRDefault="00987F92">
            <w:pPr>
              <w:spacing w:after="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Female Dominant (%)</w:t>
            </w:r>
          </w:p>
        </w:tc>
        <w:tc>
          <w:tcPr>
            <w:tcW w:w="1230" w:type="dxa"/>
            <w:tcBorders>
              <w:top w:val="single" w:sz="6" w:space="0" w:color="000000"/>
              <w:left w:val="single" w:sz="6" w:space="0" w:color="000000"/>
              <w:bottom w:val="single" w:sz="6" w:space="0" w:color="000000"/>
              <w:right w:val="single" w:sz="6" w:space="0" w:color="000000"/>
            </w:tcBorders>
          </w:tcPr>
          <w:p w14:paraId="2B218189" w14:textId="77777777" w:rsidR="00705872" w:rsidRDefault="00987F92">
            <w:pPr>
              <w:spacing w:after="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White-collar (%)</w:t>
            </w:r>
          </w:p>
        </w:tc>
        <w:tc>
          <w:tcPr>
            <w:tcW w:w="1395" w:type="dxa"/>
            <w:tcBorders>
              <w:top w:val="single" w:sz="6" w:space="0" w:color="000000"/>
              <w:left w:val="single" w:sz="6" w:space="0" w:color="000000"/>
              <w:bottom w:val="single" w:sz="6" w:space="0" w:color="000000"/>
              <w:right w:val="single" w:sz="6" w:space="0" w:color="000000"/>
            </w:tcBorders>
          </w:tcPr>
          <w:p w14:paraId="3F733A30" w14:textId="77777777" w:rsidR="00705872" w:rsidRDefault="00987F92">
            <w:pPr>
              <w:spacing w:after="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Highly Educated (%)</w:t>
            </w:r>
          </w:p>
        </w:tc>
        <w:tc>
          <w:tcPr>
            <w:tcW w:w="1440" w:type="dxa"/>
            <w:tcBorders>
              <w:top w:val="single" w:sz="6" w:space="0" w:color="000000"/>
              <w:left w:val="single" w:sz="6" w:space="0" w:color="000000"/>
              <w:bottom w:val="single" w:sz="6" w:space="0" w:color="000000"/>
              <w:right w:val="single" w:sz="6" w:space="0" w:color="000000"/>
            </w:tcBorders>
          </w:tcPr>
          <w:p w14:paraId="428C1FF9" w14:textId="77777777" w:rsidR="00705872" w:rsidRDefault="00987F92">
            <w:pPr>
              <w:spacing w:after="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Small Households (%)</w:t>
            </w:r>
          </w:p>
        </w:tc>
      </w:tr>
      <w:tr w:rsidR="00705872" w14:paraId="5D66F359" w14:textId="77777777">
        <w:tc>
          <w:tcPr>
            <w:tcW w:w="1230" w:type="dxa"/>
            <w:tcBorders>
              <w:top w:val="single" w:sz="6" w:space="0" w:color="000000"/>
              <w:left w:val="single" w:sz="6" w:space="0" w:color="000000"/>
              <w:bottom w:val="single" w:sz="6" w:space="0" w:color="000000"/>
              <w:right w:val="single" w:sz="6" w:space="0" w:color="000000"/>
            </w:tcBorders>
          </w:tcPr>
          <w:p w14:paraId="4454D8AF" w14:textId="77777777" w:rsidR="00705872" w:rsidRDefault="00987F92">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c>
          <w:tcPr>
            <w:tcW w:w="1575" w:type="dxa"/>
            <w:tcBorders>
              <w:top w:val="single" w:sz="6" w:space="0" w:color="000000"/>
              <w:left w:val="single" w:sz="6" w:space="0" w:color="000000"/>
              <w:bottom w:val="single" w:sz="6" w:space="0" w:color="000000"/>
              <w:right w:val="single" w:sz="6" w:space="0" w:color="000000"/>
            </w:tcBorders>
          </w:tcPr>
          <w:p w14:paraId="06098D4A" w14:textId="77777777" w:rsidR="00705872" w:rsidRDefault="00987F92">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63.16</w:t>
            </w:r>
          </w:p>
        </w:tc>
        <w:tc>
          <w:tcPr>
            <w:tcW w:w="1080" w:type="dxa"/>
            <w:tcBorders>
              <w:top w:val="single" w:sz="6" w:space="0" w:color="000000"/>
              <w:left w:val="single" w:sz="6" w:space="0" w:color="000000"/>
              <w:bottom w:val="single" w:sz="6" w:space="0" w:color="000000"/>
              <w:right w:val="single" w:sz="6" w:space="0" w:color="000000"/>
            </w:tcBorders>
          </w:tcPr>
          <w:p w14:paraId="377E0FF3" w14:textId="77777777" w:rsidR="00705872" w:rsidRDefault="00987F92">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35.43</w:t>
            </w:r>
          </w:p>
        </w:tc>
        <w:tc>
          <w:tcPr>
            <w:tcW w:w="1035" w:type="dxa"/>
            <w:tcBorders>
              <w:top w:val="single" w:sz="6" w:space="0" w:color="000000"/>
              <w:left w:val="single" w:sz="6" w:space="0" w:color="000000"/>
              <w:bottom w:val="single" w:sz="6" w:space="0" w:color="000000"/>
              <w:right w:val="single" w:sz="6" w:space="0" w:color="000000"/>
            </w:tcBorders>
          </w:tcPr>
          <w:p w14:paraId="7A369C5D" w14:textId="77777777" w:rsidR="00705872" w:rsidRDefault="00987F92">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15.38</w:t>
            </w:r>
          </w:p>
        </w:tc>
        <w:tc>
          <w:tcPr>
            <w:tcW w:w="1230" w:type="dxa"/>
            <w:tcBorders>
              <w:top w:val="single" w:sz="6" w:space="0" w:color="000000"/>
              <w:left w:val="single" w:sz="6" w:space="0" w:color="000000"/>
              <w:bottom w:val="single" w:sz="6" w:space="0" w:color="000000"/>
              <w:right w:val="single" w:sz="6" w:space="0" w:color="000000"/>
            </w:tcBorders>
          </w:tcPr>
          <w:p w14:paraId="1C1999BE" w14:textId="77777777" w:rsidR="00705872" w:rsidRDefault="00987F92">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51.82</w:t>
            </w:r>
          </w:p>
        </w:tc>
        <w:tc>
          <w:tcPr>
            <w:tcW w:w="1395" w:type="dxa"/>
            <w:tcBorders>
              <w:top w:val="single" w:sz="6" w:space="0" w:color="000000"/>
              <w:left w:val="single" w:sz="6" w:space="0" w:color="000000"/>
              <w:bottom w:val="single" w:sz="6" w:space="0" w:color="000000"/>
              <w:right w:val="single" w:sz="6" w:space="0" w:color="000000"/>
            </w:tcBorders>
          </w:tcPr>
          <w:p w14:paraId="1D2BCE8A" w14:textId="77777777" w:rsidR="00705872" w:rsidRDefault="00987F92">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43.52</w:t>
            </w:r>
          </w:p>
        </w:tc>
        <w:tc>
          <w:tcPr>
            <w:tcW w:w="1440" w:type="dxa"/>
            <w:tcBorders>
              <w:top w:val="single" w:sz="6" w:space="0" w:color="000000"/>
              <w:left w:val="single" w:sz="6" w:space="0" w:color="000000"/>
              <w:bottom w:val="single" w:sz="6" w:space="0" w:color="000000"/>
              <w:right w:val="single" w:sz="6" w:space="0" w:color="000000"/>
            </w:tcBorders>
          </w:tcPr>
          <w:p w14:paraId="349F46AC" w14:textId="77777777" w:rsidR="00705872" w:rsidRDefault="00987F92">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63.77</w:t>
            </w:r>
          </w:p>
        </w:tc>
      </w:tr>
      <w:tr w:rsidR="00705872" w14:paraId="6528A767" w14:textId="77777777">
        <w:tc>
          <w:tcPr>
            <w:tcW w:w="1230" w:type="dxa"/>
            <w:tcBorders>
              <w:top w:val="single" w:sz="6" w:space="0" w:color="000000"/>
              <w:left w:val="single" w:sz="6" w:space="0" w:color="000000"/>
              <w:bottom w:val="single" w:sz="6" w:space="0" w:color="000000"/>
              <w:right w:val="single" w:sz="6" w:space="0" w:color="000000"/>
            </w:tcBorders>
          </w:tcPr>
          <w:p w14:paraId="51928661" w14:textId="77777777" w:rsidR="00705872" w:rsidRDefault="00987F92">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1575" w:type="dxa"/>
            <w:tcBorders>
              <w:top w:val="single" w:sz="6" w:space="0" w:color="000000"/>
              <w:left w:val="single" w:sz="6" w:space="0" w:color="000000"/>
              <w:bottom w:val="single" w:sz="6" w:space="0" w:color="000000"/>
              <w:right w:val="single" w:sz="6" w:space="0" w:color="000000"/>
            </w:tcBorders>
          </w:tcPr>
          <w:p w14:paraId="7D3A2A66" w14:textId="77777777" w:rsidR="00705872" w:rsidRDefault="00987F92">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63.49</w:t>
            </w:r>
          </w:p>
        </w:tc>
        <w:tc>
          <w:tcPr>
            <w:tcW w:w="1080" w:type="dxa"/>
            <w:tcBorders>
              <w:top w:val="single" w:sz="6" w:space="0" w:color="000000"/>
              <w:left w:val="single" w:sz="6" w:space="0" w:color="000000"/>
              <w:bottom w:val="single" w:sz="6" w:space="0" w:color="000000"/>
              <w:right w:val="single" w:sz="6" w:space="0" w:color="000000"/>
            </w:tcBorders>
          </w:tcPr>
          <w:p w14:paraId="3B79923A" w14:textId="77777777" w:rsidR="00705872" w:rsidRDefault="00987F92">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34.33</w:t>
            </w:r>
          </w:p>
        </w:tc>
        <w:tc>
          <w:tcPr>
            <w:tcW w:w="1035" w:type="dxa"/>
            <w:tcBorders>
              <w:top w:val="single" w:sz="6" w:space="0" w:color="000000"/>
              <w:left w:val="single" w:sz="6" w:space="0" w:color="000000"/>
              <w:bottom w:val="single" w:sz="6" w:space="0" w:color="000000"/>
              <w:right w:val="single" w:sz="6" w:space="0" w:color="000000"/>
            </w:tcBorders>
          </w:tcPr>
          <w:p w14:paraId="41EB889F" w14:textId="77777777" w:rsidR="00705872" w:rsidRDefault="00987F92">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18.26</w:t>
            </w:r>
          </w:p>
        </w:tc>
        <w:tc>
          <w:tcPr>
            <w:tcW w:w="1230" w:type="dxa"/>
            <w:tcBorders>
              <w:top w:val="single" w:sz="6" w:space="0" w:color="000000"/>
              <w:left w:val="single" w:sz="6" w:space="0" w:color="000000"/>
              <w:bottom w:val="single" w:sz="6" w:space="0" w:color="000000"/>
              <w:right w:val="single" w:sz="6" w:space="0" w:color="000000"/>
            </w:tcBorders>
          </w:tcPr>
          <w:p w14:paraId="03E51588" w14:textId="77777777" w:rsidR="00705872" w:rsidRDefault="00987F92">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59.95</w:t>
            </w:r>
          </w:p>
        </w:tc>
        <w:tc>
          <w:tcPr>
            <w:tcW w:w="1395" w:type="dxa"/>
            <w:tcBorders>
              <w:top w:val="single" w:sz="6" w:space="0" w:color="000000"/>
              <w:left w:val="single" w:sz="6" w:space="0" w:color="000000"/>
              <w:bottom w:val="single" w:sz="6" w:space="0" w:color="000000"/>
              <w:right w:val="single" w:sz="6" w:space="0" w:color="000000"/>
            </w:tcBorders>
          </w:tcPr>
          <w:p w14:paraId="0677A6C0" w14:textId="77777777" w:rsidR="00705872" w:rsidRDefault="00987F92">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36.92</w:t>
            </w:r>
          </w:p>
        </w:tc>
        <w:tc>
          <w:tcPr>
            <w:tcW w:w="1440" w:type="dxa"/>
            <w:tcBorders>
              <w:top w:val="single" w:sz="6" w:space="0" w:color="000000"/>
              <w:left w:val="single" w:sz="6" w:space="0" w:color="000000"/>
              <w:bottom w:val="single" w:sz="6" w:space="0" w:color="000000"/>
              <w:right w:val="single" w:sz="6" w:space="0" w:color="000000"/>
            </w:tcBorders>
          </w:tcPr>
          <w:p w14:paraId="3744CAE6" w14:textId="77777777" w:rsidR="00705872" w:rsidRDefault="00987F92">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64.44</w:t>
            </w:r>
          </w:p>
        </w:tc>
      </w:tr>
      <w:tr w:rsidR="00705872" w14:paraId="430E2F4B" w14:textId="77777777">
        <w:tc>
          <w:tcPr>
            <w:tcW w:w="1230" w:type="dxa"/>
            <w:tcBorders>
              <w:top w:val="single" w:sz="6" w:space="0" w:color="000000"/>
              <w:left w:val="single" w:sz="6" w:space="0" w:color="000000"/>
              <w:bottom w:val="single" w:sz="6" w:space="0" w:color="000000"/>
              <w:right w:val="single" w:sz="6" w:space="0" w:color="000000"/>
            </w:tcBorders>
          </w:tcPr>
          <w:p w14:paraId="63AB100E" w14:textId="77777777" w:rsidR="00705872" w:rsidRDefault="00987F92">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2024</w:t>
            </w:r>
          </w:p>
        </w:tc>
        <w:tc>
          <w:tcPr>
            <w:tcW w:w="1575" w:type="dxa"/>
            <w:tcBorders>
              <w:top w:val="single" w:sz="6" w:space="0" w:color="000000"/>
              <w:left w:val="single" w:sz="6" w:space="0" w:color="000000"/>
              <w:bottom w:val="single" w:sz="6" w:space="0" w:color="000000"/>
              <w:right w:val="single" w:sz="6" w:space="0" w:color="000000"/>
            </w:tcBorders>
          </w:tcPr>
          <w:p w14:paraId="3493C9AB" w14:textId="77777777" w:rsidR="00705872" w:rsidRDefault="00987F92">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59.22</w:t>
            </w:r>
          </w:p>
        </w:tc>
        <w:tc>
          <w:tcPr>
            <w:tcW w:w="1080" w:type="dxa"/>
            <w:tcBorders>
              <w:top w:val="single" w:sz="6" w:space="0" w:color="000000"/>
              <w:left w:val="single" w:sz="6" w:space="0" w:color="000000"/>
              <w:bottom w:val="single" w:sz="6" w:space="0" w:color="000000"/>
              <w:right w:val="single" w:sz="6" w:space="0" w:color="000000"/>
            </w:tcBorders>
          </w:tcPr>
          <w:p w14:paraId="24AC8422" w14:textId="77777777" w:rsidR="00705872" w:rsidRDefault="00987F92">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36.20</w:t>
            </w:r>
          </w:p>
        </w:tc>
        <w:tc>
          <w:tcPr>
            <w:tcW w:w="1035" w:type="dxa"/>
            <w:tcBorders>
              <w:top w:val="single" w:sz="6" w:space="0" w:color="000000"/>
              <w:left w:val="single" w:sz="6" w:space="0" w:color="000000"/>
              <w:bottom w:val="single" w:sz="6" w:space="0" w:color="000000"/>
              <w:right w:val="single" w:sz="6" w:space="0" w:color="000000"/>
            </w:tcBorders>
          </w:tcPr>
          <w:p w14:paraId="0955CC1F" w14:textId="77777777" w:rsidR="00705872" w:rsidRDefault="00987F92">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28.57</w:t>
            </w:r>
          </w:p>
        </w:tc>
        <w:tc>
          <w:tcPr>
            <w:tcW w:w="1230" w:type="dxa"/>
            <w:tcBorders>
              <w:top w:val="single" w:sz="6" w:space="0" w:color="000000"/>
              <w:left w:val="single" w:sz="6" w:space="0" w:color="000000"/>
              <w:bottom w:val="single" w:sz="6" w:space="0" w:color="000000"/>
              <w:right w:val="single" w:sz="6" w:space="0" w:color="000000"/>
            </w:tcBorders>
          </w:tcPr>
          <w:p w14:paraId="3B84647B" w14:textId="77777777" w:rsidR="00705872" w:rsidRDefault="00987F92">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58.67</w:t>
            </w:r>
          </w:p>
        </w:tc>
        <w:tc>
          <w:tcPr>
            <w:tcW w:w="1395" w:type="dxa"/>
            <w:tcBorders>
              <w:top w:val="single" w:sz="6" w:space="0" w:color="000000"/>
              <w:left w:val="single" w:sz="6" w:space="0" w:color="000000"/>
              <w:bottom w:val="single" w:sz="6" w:space="0" w:color="000000"/>
              <w:right w:val="single" w:sz="6" w:space="0" w:color="000000"/>
            </w:tcBorders>
          </w:tcPr>
          <w:p w14:paraId="610F8465" w14:textId="77777777" w:rsidR="00705872" w:rsidRDefault="00987F92">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44.80</w:t>
            </w:r>
          </w:p>
        </w:tc>
        <w:tc>
          <w:tcPr>
            <w:tcW w:w="1440" w:type="dxa"/>
            <w:tcBorders>
              <w:top w:val="single" w:sz="6" w:space="0" w:color="000000"/>
              <w:left w:val="single" w:sz="6" w:space="0" w:color="000000"/>
              <w:bottom w:val="single" w:sz="6" w:space="0" w:color="000000"/>
              <w:right w:val="single" w:sz="6" w:space="0" w:color="000000"/>
            </w:tcBorders>
          </w:tcPr>
          <w:p w14:paraId="2B56FBFF" w14:textId="77777777" w:rsidR="00705872" w:rsidRDefault="00987F92">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41.05</w:t>
            </w:r>
          </w:p>
        </w:tc>
      </w:tr>
      <w:tr w:rsidR="00705872" w14:paraId="689A9BB0" w14:textId="77777777">
        <w:tc>
          <w:tcPr>
            <w:tcW w:w="1230" w:type="dxa"/>
            <w:tcBorders>
              <w:top w:val="single" w:sz="6" w:space="0" w:color="000000"/>
              <w:left w:val="single" w:sz="6" w:space="0" w:color="000000"/>
              <w:bottom w:val="single" w:sz="6" w:space="0" w:color="000000"/>
              <w:right w:val="single" w:sz="6" w:space="0" w:color="000000"/>
            </w:tcBorders>
          </w:tcPr>
          <w:p w14:paraId="123918EE" w14:textId="77777777" w:rsidR="00705872" w:rsidRDefault="00987F92">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w:t>
            </w:r>
          </w:p>
        </w:tc>
        <w:tc>
          <w:tcPr>
            <w:tcW w:w="1575" w:type="dxa"/>
            <w:tcBorders>
              <w:top w:val="single" w:sz="6" w:space="0" w:color="000000"/>
              <w:left w:val="single" w:sz="6" w:space="0" w:color="000000"/>
              <w:bottom w:val="single" w:sz="6" w:space="0" w:color="000000"/>
              <w:right w:val="single" w:sz="6" w:space="0" w:color="000000"/>
            </w:tcBorders>
          </w:tcPr>
          <w:p w14:paraId="337E1D48" w14:textId="77777777" w:rsidR="00705872" w:rsidRDefault="00987F92">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61.65</w:t>
            </w:r>
          </w:p>
        </w:tc>
        <w:tc>
          <w:tcPr>
            <w:tcW w:w="1080" w:type="dxa"/>
            <w:tcBorders>
              <w:top w:val="single" w:sz="6" w:space="0" w:color="000000"/>
              <w:left w:val="single" w:sz="6" w:space="0" w:color="000000"/>
              <w:bottom w:val="single" w:sz="6" w:space="0" w:color="000000"/>
              <w:right w:val="single" w:sz="6" w:space="0" w:color="000000"/>
            </w:tcBorders>
          </w:tcPr>
          <w:p w14:paraId="08361D30" w14:textId="77777777" w:rsidR="00705872" w:rsidRDefault="00987F92">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41.06</w:t>
            </w:r>
          </w:p>
        </w:tc>
        <w:tc>
          <w:tcPr>
            <w:tcW w:w="1035" w:type="dxa"/>
            <w:tcBorders>
              <w:top w:val="single" w:sz="6" w:space="0" w:color="000000"/>
              <w:left w:val="single" w:sz="6" w:space="0" w:color="000000"/>
              <w:bottom w:val="single" w:sz="6" w:space="0" w:color="000000"/>
              <w:right w:val="single" w:sz="6" w:space="0" w:color="000000"/>
            </w:tcBorders>
          </w:tcPr>
          <w:p w14:paraId="1F0A7F99" w14:textId="77777777" w:rsidR="00705872" w:rsidRDefault="00987F92">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27.03</w:t>
            </w:r>
          </w:p>
        </w:tc>
        <w:tc>
          <w:tcPr>
            <w:tcW w:w="1230" w:type="dxa"/>
            <w:tcBorders>
              <w:top w:val="single" w:sz="6" w:space="0" w:color="000000"/>
              <w:left w:val="single" w:sz="6" w:space="0" w:color="000000"/>
              <w:bottom w:val="single" w:sz="6" w:space="0" w:color="000000"/>
              <w:right w:val="single" w:sz="6" w:space="0" w:color="000000"/>
            </w:tcBorders>
          </w:tcPr>
          <w:p w14:paraId="70CDDD28" w14:textId="77777777" w:rsidR="00705872" w:rsidRDefault="00987F92">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56.37</w:t>
            </w:r>
          </w:p>
        </w:tc>
        <w:tc>
          <w:tcPr>
            <w:tcW w:w="1395" w:type="dxa"/>
            <w:tcBorders>
              <w:top w:val="single" w:sz="6" w:space="0" w:color="000000"/>
              <w:left w:val="single" w:sz="6" w:space="0" w:color="000000"/>
              <w:bottom w:val="single" w:sz="6" w:space="0" w:color="000000"/>
              <w:right w:val="single" w:sz="6" w:space="0" w:color="000000"/>
            </w:tcBorders>
          </w:tcPr>
          <w:p w14:paraId="24AA39CD" w14:textId="77777777" w:rsidR="00705872" w:rsidRDefault="00987F92">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50.06</w:t>
            </w:r>
          </w:p>
        </w:tc>
        <w:tc>
          <w:tcPr>
            <w:tcW w:w="1440" w:type="dxa"/>
            <w:tcBorders>
              <w:top w:val="single" w:sz="6" w:space="0" w:color="000000"/>
              <w:left w:val="single" w:sz="6" w:space="0" w:color="000000"/>
              <w:bottom w:val="single" w:sz="6" w:space="0" w:color="000000"/>
              <w:right w:val="single" w:sz="6" w:space="0" w:color="000000"/>
            </w:tcBorders>
          </w:tcPr>
          <w:p w14:paraId="31782119" w14:textId="77777777" w:rsidR="00705872" w:rsidRDefault="00987F92">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42.08</w:t>
            </w:r>
          </w:p>
        </w:tc>
      </w:tr>
    </w:tbl>
    <w:p w14:paraId="0E53A674" w14:textId="77777777" w:rsidR="00705872" w:rsidRDefault="00987F92">
      <w:pPr>
        <w:spacing w:line="360" w:lineRule="auto"/>
        <w:jc w:val="both"/>
        <w:rPr>
          <w:rFonts w:ascii="Times New Roman" w:eastAsia="Times New Roman" w:hAnsi="Times New Roman" w:cs="Times New Roman"/>
        </w:rPr>
      </w:pPr>
      <w:r>
        <w:rPr>
          <w:rFonts w:ascii="Times New Roman" w:eastAsia="Times New Roman" w:hAnsi="Times New Roman" w:cs="Times New Roman"/>
          <w:sz w:val="20"/>
          <w:szCs w:val="20"/>
        </w:rPr>
        <w:t xml:space="preserve">Source: </w:t>
      </w:r>
      <w:r>
        <w:rPr>
          <w:rFonts w:ascii="Times New Roman" w:eastAsia="Times New Roman" w:hAnsi="Times New Roman" w:cs="Times New Roman"/>
          <w:i/>
          <w:iCs/>
          <w:sz w:val="20"/>
          <w:szCs w:val="20"/>
        </w:rPr>
        <w:t xml:space="preserve">Data compiled and </w:t>
      </w:r>
      <w:proofErr w:type="spellStart"/>
      <w:r>
        <w:rPr>
          <w:rFonts w:ascii="Times New Roman" w:eastAsia="Times New Roman" w:hAnsi="Times New Roman" w:cs="Times New Roman"/>
          <w:i/>
          <w:iCs/>
          <w:sz w:val="20"/>
          <w:szCs w:val="20"/>
        </w:rPr>
        <w:t>analysed</w:t>
      </w:r>
      <w:proofErr w:type="spellEnd"/>
      <w:r>
        <w:rPr>
          <w:rFonts w:ascii="Times New Roman" w:eastAsia="Times New Roman" w:hAnsi="Times New Roman" w:cs="Times New Roman"/>
          <w:i/>
          <w:iCs/>
          <w:sz w:val="20"/>
          <w:szCs w:val="20"/>
        </w:rPr>
        <w:t xml:space="preserve"> by the authors using CMIE Consumer Pyramid data.</w:t>
      </w:r>
    </w:p>
    <w:p w14:paraId="3A2558C1" w14:textId="77777777" w:rsidR="00705872" w:rsidRDefault="00987F92">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Demographic Characteristics and Urban Households.</w:t>
      </w:r>
    </w:p>
    <w:p w14:paraId="45CAA8D3" w14:textId="77777777" w:rsidR="00705872" w:rsidRDefault="00987F92">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demographic profile in Table 1 points out that urban Mumbai households are also experiencing some structural changes that can be used to provide a valuable background in understanding leisure expenditure patterns. To begin with, the prevalence of working-age families during the study period shows that only the economically active population has a higher influence in leisure consumption. The stable level of the percentage of households in the prime working age group implies the existence of constant income streams and the increased participation in the activities based on the market leisure.</w:t>
      </w:r>
    </w:p>
    <w:p w14:paraId="0ABB6FC9" w14:textId="77777777" w:rsidR="00705872" w:rsidRDefault="00987F92">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Second, the progressive shift in household heads led by women, or dominated by women, which has been on the rise as early as 2022-2024 is an indicator of the shifting gender dynamics in city decision-making. This trend is indicative of greater social changes such as higher participation of women in the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force and more women having increased access to higher levels of education and more independence in household financial decision making. These developments are especially pertinent to the leisure spending that is usually based on the negotiated household preferences, not necessarily on the requirements to survive.</w:t>
      </w:r>
    </w:p>
    <w:p w14:paraId="53BC3049" w14:textId="77777777" w:rsidR="00705872" w:rsidRDefault="00987F92">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Third, the increase in the number of highly educated households particularly by the year 2025 means that there is a growing middle-class in the cities with increased awareness on lifestyle choices, leisure and quality of consumption. Education does not only affect the income potential but also the tendencies of some forms of leisure, including cultural activities, travelling, and </w:t>
      </w:r>
      <w:proofErr w:type="spellStart"/>
      <w:r>
        <w:rPr>
          <w:rFonts w:ascii="Times New Roman" w:eastAsia="Times New Roman" w:hAnsi="Times New Roman" w:cs="Times New Roman"/>
          <w:sz w:val="24"/>
          <w:szCs w:val="24"/>
        </w:rPr>
        <w:t>organised</w:t>
      </w:r>
      <w:proofErr w:type="spellEnd"/>
      <w:r>
        <w:rPr>
          <w:rFonts w:ascii="Times New Roman" w:eastAsia="Times New Roman" w:hAnsi="Times New Roman" w:cs="Times New Roman"/>
          <w:sz w:val="24"/>
          <w:szCs w:val="24"/>
        </w:rPr>
        <w:t xml:space="preserve"> recreation.</w:t>
      </w:r>
    </w:p>
    <w:p w14:paraId="7595382F" w14:textId="77777777" w:rsidR="00705872" w:rsidRDefault="00987F92">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Lastly, the identified reduction in dominance of small households after 2023 is indicative of diversification of households. Nuclear families are still very common but the reappearances of medium-sized families could be evidence of post-pandemic adjustments such as intergenerational cohabitation or delayed fragmentation of households. These structural forces have a direct impact on the leisure budgets because household size determines per capita spending, time allocation and consumption priorities.</w:t>
      </w:r>
    </w:p>
    <w:p w14:paraId="789950D7" w14:textId="77777777" w:rsidR="00705872" w:rsidRDefault="00705872">
      <w:pPr>
        <w:pStyle w:val="Heading1"/>
        <w:spacing w:before="240" w:after="240" w:line="360" w:lineRule="auto"/>
        <w:jc w:val="both"/>
        <w:rPr>
          <w:rFonts w:ascii="Times New Roman" w:eastAsia="Times New Roman" w:hAnsi="Times New Roman" w:cs="Times New Roman"/>
          <w:b/>
          <w:bCs/>
          <w:sz w:val="24"/>
          <w:szCs w:val="24"/>
        </w:rPr>
      </w:pPr>
    </w:p>
    <w:p w14:paraId="2CBF4C5B" w14:textId="77777777" w:rsidR="00705872" w:rsidRDefault="00987F92">
      <w:pPr>
        <w:pStyle w:val="Heading3"/>
        <w:spacing w:before="280" w:line="240" w:lineRule="auto"/>
        <w:jc w:val="both"/>
        <w:rPr>
          <w:rFonts w:ascii="Times New Roman" w:eastAsia="Times New Roman" w:hAnsi="Times New Roman" w:cs="Times New Roman"/>
          <w:b/>
          <w:bCs/>
          <w:color w:val="000000"/>
          <w:sz w:val="24"/>
          <w:szCs w:val="24"/>
        </w:rPr>
      </w:pPr>
      <w:bookmarkStart w:id="15" w:name="_heading=h.uglhgnhabuwo" w:colFirst="0" w:colLast="0"/>
      <w:bookmarkEnd w:id="15"/>
      <w:r>
        <w:rPr>
          <w:rFonts w:ascii="Times New Roman" w:eastAsia="Times New Roman" w:hAnsi="Times New Roman" w:cs="Times New Roman"/>
          <w:b/>
          <w:bCs/>
          <w:color w:val="000000"/>
          <w:sz w:val="24"/>
          <w:szCs w:val="24"/>
        </w:rPr>
        <w:t>Determinants of Leisure Expenditure</w:t>
      </w:r>
    </w:p>
    <w:p w14:paraId="41E10976" w14:textId="30D526A0" w:rsidR="00705872" w:rsidRDefault="00987F92">
      <w:pPr>
        <w:pStyle w:val="Heading1"/>
        <w:spacing w:before="480" w:after="0" w:line="240" w:lineRule="auto"/>
        <w:jc w:val="both"/>
        <w:rPr>
          <w:rFonts w:ascii="Times New Roman" w:eastAsia="Times New Roman" w:hAnsi="Times New Roman" w:cs="Times New Roman"/>
          <w:b/>
          <w:bCs/>
          <w:sz w:val="24"/>
          <w:szCs w:val="24"/>
        </w:rPr>
      </w:pPr>
      <w:bookmarkStart w:id="16" w:name="_heading=h.kk0qbhh00l0u" w:colFirst="0" w:colLast="0"/>
      <w:bookmarkEnd w:id="16"/>
      <w:r>
        <w:rPr>
          <w:rFonts w:ascii="Times New Roman" w:eastAsia="Times New Roman" w:hAnsi="Times New Roman" w:cs="Times New Roman"/>
          <w:b/>
          <w:bCs/>
          <w:sz w:val="24"/>
          <w:szCs w:val="24"/>
        </w:rPr>
        <w:lastRenderedPageBreak/>
        <w:t>Table -</w:t>
      </w:r>
      <w:r w:rsidR="00590E31">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 xml:space="preserve"> Regression Summary – Mumbai (2022–2025)</w:t>
      </w:r>
    </w:p>
    <w:p w14:paraId="7134DBDD" w14:textId="77777777" w:rsidR="00705872" w:rsidRDefault="00705872">
      <w:pPr>
        <w:spacing w:line="240" w:lineRule="auto"/>
        <w:jc w:val="both"/>
        <w:rPr>
          <w:rFonts w:ascii="Times New Roman" w:eastAsia="Times New Roman" w:hAnsi="Times New Roman" w:cs="Times New Roman"/>
          <w:sz w:val="24"/>
          <w:szCs w:val="24"/>
        </w:rPr>
      </w:pPr>
    </w:p>
    <w:tbl>
      <w:tblPr>
        <w:tblStyle w:val="a2"/>
        <w:tblW w:w="11220" w:type="dxa"/>
        <w:tblInd w:w="-885" w:type="dxa"/>
        <w:tblBorders>
          <w:top w:val="nil"/>
          <w:left w:val="nil"/>
          <w:bottom w:val="nil"/>
          <w:right w:val="nil"/>
          <w:insideH w:val="nil"/>
          <w:insideV w:val="nil"/>
        </w:tblBorders>
        <w:tblLayout w:type="fixed"/>
        <w:tblLook w:val="0600" w:firstRow="0" w:lastRow="0" w:firstColumn="0" w:lastColumn="0" w:noHBand="1" w:noVBand="1"/>
      </w:tblPr>
      <w:tblGrid>
        <w:gridCol w:w="960"/>
        <w:gridCol w:w="1365"/>
        <w:gridCol w:w="990"/>
        <w:gridCol w:w="1035"/>
        <w:gridCol w:w="1125"/>
        <w:gridCol w:w="1350"/>
        <w:gridCol w:w="2295"/>
        <w:gridCol w:w="2100"/>
      </w:tblGrid>
      <w:tr w:rsidR="00705872" w14:paraId="7EE6E0E7" w14:textId="77777777">
        <w:trPr>
          <w:trHeight w:val="1010"/>
        </w:trPr>
        <w:tc>
          <w:tcPr>
            <w:tcW w:w="960" w:type="dxa"/>
            <w:tcBorders>
              <w:top w:val="single" w:sz="6" w:space="0" w:color="000000"/>
              <w:left w:val="single" w:sz="6" w:space="0" w:color="000000"/>
              <w:bottom w:val="single" w:sz="6" w:space="0" w:color="000000"/>
              <w:right w:val="single" w:sz="6" w:space="0" w:color="000000"/>
            </w:tcBorders>
          </w:tcPr>
          <w:p w14:paraId="13E3B1FC" w14:textId="77777777" w:rsidR="00705872" w:rsidRDefault="00987F92">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Year</w:t>
            </w:r>
          </w:p>
        </w:tc>
        <w:tc>
          <w:tcPr>
            <w:tcW w:w="1365" w:type="dxa"/>
            <w:tcBorders>
              <w:top w:val="single" w:sz="6" w:space="0" w:color="000000"/>
              <w:left w:val="single" w:sz="6" w:space="0" w:color="000000"/>
              <w:bottom w:val="single" w:sz="6" w:space="0" w:color="000000"/>
              <w:right w:val="single" w:sz="6" w:space="0" w:color="000000"/>
            </w:tcBorders>
          </w:tcPr>
          <w:p w14:paraId="212FDE66" w14:textId="77777777" w:rsidR="00705872" w:rsidRDefault="00987F92">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Dependent Variable</w:t>
            </w:r>
          </w:p>
        </w:tc>
        <w:tc>
          <w:tcPr>
            <w:tcW w:w="990" w:type="dxa"/>
            <w:tcBorders>
              <w:top w:val="single" w:sz="6" w:space="0" w:color="000000"/>
              <w:left w:val="single" w:sz="6" w:space="0" w:color="000000"/>
              <w:bottom w:val="single" w:sz="6" w:space="0" w:color="000000"/>
              <w:right w:val="single" w:sz="6" w:space="0" w:color="000000"/>
            </w:tcBorders>
          </w:tcPr>
          <w:p w14:paraId="4473BE54" w14:textId="77777777" w:rsidR="00705872" w:rsidRDefault="00987F92">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w:t>
            </w:r>
          </w:p>
        </w:tc>
        <w:tc>
          <w:tcPr>
            <w:tcW w:w="1035" w:type="dxa"/>
            <w:tcBorders>
              <w:top w:val="single" w:sz="6" w:space="0" w:color="000000"/>
              <w:left w:val="single" w:sz="6" w:space="0" w:color="000000"/>
              <w:bottom w:val="single" w:sz="6" w:space="0" w:color="000000"/>
              <w:right w:val="single" w:sz="6" w:space="0" w:color="000000"/>
            </w:tcBorders>
          </w:tcPr>
          <w:p w14:paraId="27597D1A" w14:textId="77777777" w:rsidR="00705872" w:rsidRDefault="00987F92">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R²</w:t>
            </w:r>
          </w:p>
        </w:tc>
        <w:tc>
          <w:tcPr>
            <w:tcW w:w="1125" w:type="dxa"/>
            <w:tcBorders>
              <w:top w:val="single" w:sz="6" w:space="0" w:color="000000"/>
              <w:left w:val="single" w:sz="6" w:space="0" w:color="000000"/>
              <w:bottom w:val="single" w:sz="6" w:space="0" w:color="000000"/>
              <w:right w:val="single" w:sz="6" w:space="0" w:color="000000"/>
            </w:tcBorders>
          </w:tcPr>
          <w:p w14:paraId="2F210718" w14:textId="77777777" w:rsidR="00705872" w:rsidRDefault="00987F92">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Adj. R²</w:t>
            </w:r>
          </w:p>
        </w:tc>
        <w:tc>
          <w:tcPr>
            <w:tcW w:w="1350" w:type="dxa"/>
            <w:tcBorders>
              <w:top w:val="single" w:sz="6" w:space="0" w:color="000000"/>
              <w:left w:val="single" w:sz="6" w:space="0" w:color="000000"/>
              <w:bottom w:val="single" w:sz="6" w:space="0" w:color="000000"/>
              <w:right w:val="single" w:sz="6" w:space="0" w:color="000000"/>
            </w:tcBorders>
          </w:tcPr>
          <w:p w14:paraId="2119E37C" w14:textId="77777777" w:rsidR="00705872" w:rsidRDefault="00987F92">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Std. Error</w:t>
            </w:r>
          </w:p>
        </w:tc>
        <w:tc>
          <w:tcPr>
            <w:tcW w:w="2295" w:type="dxa"/>
            <w:tcBorders>
              <w:top w:val="single" w:sz="6" w:space="0" w:color="000000"/>
              <w:left w:val="single" w:sz="6" w:space="0" w:color="000000"/>
              <w:bottom w:val="single" w:sz="6" w:space="0" w:color="000000"/>
              <w:right w:val="single" w:sz="6" w:space="0" w:color="000000"/>
            </w:tcBorders>
          </w:tcPr>
          <w:p w14:paraId="7938D5A0" w14:textId="77777777" w:rsidR="00705872" w:rsidRDefault="00987F92">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Significant Predictors (p&lt;0.05)</w:t>
            </w:r>
          </w:p>
        </w:tc>
        <w:tc>
          <w:tcPr>
            <w:tcW w:w="2100" w:type="dxa"/>
            <w:tcBorders>
              <w:top w:val="single" w:sz="6" w:space="0" w:color="000000"/>
              <w:left w:val="single" w:sz="6" w:space="0" w:color="000000"/>
              <w:bottom w:val="single" w:sz="6" w:space="0" w:color="000000"/>
              <w:right w:val="single" w:sz="6" w:space="0" w:color="000000"/>
            </w:tcBorders>
          </w:tcPr>
          <w:p w14:paraId="14684334" w14:textId="77777777" w:rsidR="00705872" w:rsidRDefault="00987F92">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Key Interpretation</w:t>
            </w:r>
          </w:p>
        </w:tc>
      </w:tr>
      <w:tr w:rsidR="00705872" w14:paraId="605EF4D0" w14:textId="77777777">
        <w:trPr>
          <w:trHeight w:val="2090"/>
        </w:trPr>
        <w:tc>
          <w:tcPr>
            <w:tcW w:w="960" w:type="dxa"/>
            <w:tcBorders>
              <w:top w:val="single" w:sz="6" w:space="0" w:color="000000"/>
              <w:left w:val="single" w:sz="6" w:space="0" w:color="000000"/>
              <w:bottom w:val="single" w:sz="6" w:space="0" w:color="000000"/>
              <w:right w:val="single" w:sz="6" w:space="0" w:color="000000"/>
            </w:tcBorders>
          </w:tcPr>
          <w:p w14:paraId="7A4EF4E7" w14:textId="77777777" w:rsidR="00705872" w:rsidRDefault="00987F9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c>
          <w:tcPr>
            <w:tcW w:w="1365" w:type="dxa"/>
            <w:tcBorders>
              <w:top w:val="single" w:sz="6" w:space="0" w:color="000000"/>
              <w:left w:val="single" w:sz="6" w:space="0" w:color="000000"/>
              <w:bottom w:val="single" w:sz="6" w:space="0" w:color="000000"/>
              <w:right w:val="single" w:sz="6" w:space="0" w:color="000000"/>
            </w:tcBorders>
          </w:tcPr>
          <w:p w14:paraId="42162CD7" w14:textId="77777777" w:rsidR="00705872" w:rsidRDefault="00987F9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Leisure</w:t>
            </w:r>
          </w:p>
        </w:tc>
        <w:tc>
          <w:tcPr>
            <w:tcW w:w="990" w:type="dxa"/>
            <w:tcBorders>
              <w:top w:val="single" w:sz="6" w:space="0" w:color="000000"/>
              <w:left w:val="single" w:sz="6" w:space="0" w:color="000000"/>
              <w:bottom w:val="single" w:sz="6" w:space="0" w:color="000000"/>
              <w:right w:val="single" w:sz="6" w:space="0" w:color="000000"/>
            </w:tcBorders>
          </w:tcPr>
          <w:p w14:paraId="67C315BC" w14:textId="77777777" w:rsidR="00705872" w:rsidRDefault="00987F9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0.538</w:t>
            </w:r>
          </w:p>
        </w:tc>
        <w:tc>
          <w:tcPr>
            <w:tcW w:w="1035" w:type="dxa"/>
            <w:tcBorders>
              <w:top w:val="single" w:sz="6" w:space="0" w:color="000000"/>
              <w:left w:val="single" w:sz="6" w:space="0" w:color="000000"/>
              <w:bottom w:val="single" w:sz="6" w:space="0" w:color="000000"/>
              <w:right w:val="single" w:sz="6" w:space="0" w:color="000000"/>
            </w:tcBorders>
          </w:tcPr>
          <w:p w14:paraId="4225C123" w14:textId="77777777" w:rsidR="00705872" w:rsidRDefault="00987F9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0.29</w:t>
            </w:r>
          </w:p>
        </w:tc>
        <w:tc>
          <w:tcPr>
            <w:tcW w:w="1125" w:type="dxa"/>
            <w:tcBorders>
              <w:top w:val="single" w:sz="6" w:space="0" w:color="000000"/>
              <w:left w:val="single" w:sz="6" w:space="0" w:color="000000"/>
              <w:bottom w:val="single" w:sz="6" w:space="0" w:color="000000"/>
              <w:right w:val="single" w:sz="6" w:space="0" w:color="000000"/>
            </w:tcBorders>
          </w:tcPr>
          <w:p w14:paraId="3D6F2E83" w14:textId="77777777" w:rsidR="00705872" w:rsidRDefault="00987F9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0.269</w:t>
            </w:r>
          </w:p>
        </w:tc>
        <w:tc>
          <w:tcPr>
            <w:tcW w:w="1350" w:type="dxa"/>
            <w:tcBorders>
              <w:top w:val="single" w:sz="6" w:space="0" w:color="000000"/>
              <w:left w:val="single" w:sz="6" w:space="0" w:color="000000"/>
              <w:bottom w:val="single" w:sz="6" w:space="0" w:color="000000"/>
              <w:right w:val="single" w:sz="6" w:space="0" w:color="000000"/>
            </w:tcBorders>
          </w:tcPr>
          <w:p w14:paraId="6D582669" w14:textId="77777777" w:rsidR="00705872" w:rsidRDefault="00987F9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630.12</w:t>
            </w:r>
          </w:p>
        </w:tc>
        <w:tc>
          <w:tcPr>
            <w:tcW w:w="2295" w:type="dxa"/>
            <w:tcBorders>
              <w:top w:val="single" w:sz="6" w:space="0" w:color="000000"/>
              <w:left w:val="single" w:sz="6" w:space="0" w:color="000000"/>
              <w:bottom w:val="single" w:sz="6" w:space="0" w:color="000000"/>
              <w:right w:val="single" w:sz="6" w:space="0" w:color="000000"/>
            </w:tcBorders>
          </w:tcPr>
          <w:p w14:paraId="69C68DA4" w14:textId="77777777" w:rsidR="00705872" w:rsidRDefault="00987F9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Income, AGE2, OCC2–4, GENDER2, SIZE2, EDU2–3</w:t>
            </w:r>
          </w:p>
        </w:tc>
        <w:tc>
          <w:tcPr>
            <w:tcW w:w="2100" w:type="dxa"/>
            <w:tcBorders>
              <w:top w:val="single" w:sz="6" w:space="0" w:color="000000"/>
              <w:left w:val="single" w:sz="6" w:space="0" w:color="000000"/>
              <w:bottom w:val="single" w:sz="6" w:space="0" w:color="000000"/>
              <w:right w:val="single" w:sz="6" w:space="0" w:color="000000"/>
            </w:tcBorders>
          </w:tcPr>
          <w:p w14:paraId="0134C465" w14:textId="77777777" w:rsidR="00705872" w:rsidRDefault="00987F9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Income, occupation, and education affected non-food spending.</w:t>
            </w:r>
          </w:p>
        </w:tc>
      </w:tr>
      <w:tr w:rsidR="00705872" w14:paraId="44ED29D2" w14:textId="77777777">
        <w:trPr>
          <w:trHeight w:val="1820"/>
        </w:trPr>
        <w:tc>
          <w:tcPr>
            <w:tcW w:w="960" w:type="dxa"/>
            <w:tcBorders>
              <w:top w:val="single" w:sz="6" w:space="0" w:color="000000"/>
              <w:left w:val="single" w:sz="6" w:space="0" w:color="000000"/>
              <w:bottom w:val="single" w:sz="6" w:space="0" w:color="000000"/>
              <w:right w:val="single" w:sz="6" w:space="0" w:color="000000"/>
            </w:tcBorders>
          </w:tcPr>
          <w:p w14:paraId="35E2AA27" w14:textId="77777777" w:rsidR="00705872" w:rsidRDefault="00987F9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1365" w:type="dxa"/>
            <w:tcBorders>
              <w:top w:val="single" w:sz="6" w:space="0" w:color="000000"/>
              <w:left w:val="single" w:sz="6" w:space="0" w:color="000000"/>
              <w:bottom w:val="single" w:sz="6" w:space="0" w:color="000000"/>
              <w:right w:val="single" w:sz="6" w:space="0" w:color="000000"/>
            </w:tcBorders>
          </w:tcPr>
          <w:p w14:paraId="53A67042" w14:textId="77777777" w:rsidR="00705872" w:rsidRDefault="00987F9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Leisure</w:t>
            </w:r>
          </w:p>
        </w:tc>
        <w:tc>
          <w:tcPr>
            <w:tcW w:w="990" w:type="dxa"/>
            <w:tcBorders>
              <w:top w:val="single" w:sz="6" w:space="0" w:color="000000"/>
              <w:left w:val="single" w:sz="6" w:space="0" w:color="000000"/>
              <w:bottom w:val="single" w:sz="6" w:space="0" w:color="000000"/>
              <w:right w:val="single" w:sz="6" w:space="0" w:color="000000"/>
            </w:tcBorders>
          </w:tcPr>
          <w:p w14:paraId="332D88DE" w14:textId="77777777" w:rsidR="00705872" w:rsidRDefault="00987F9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0.494</w:t>
            </w:r>
          </w:p>
        </w:tc>
        <w:tc>
          <w:tcPr>
            <w:tcW w:w="1035" w:type="dxa"/>
            <w:tcBorders>
              <w:top w:val="single" w:sz="6" w:space="0" w:color="000000"/>
              <w:left w:val="single" w:sz="6" w:space="0" w:color="000000"/>
              <w:bottom w:val="single" w:sz="6" w:space="0" w:color="000000"/>
              <w:right w:val="single" w:sz="6" w:space="0" w:color="000000"/>
            </w:tcBorders>
          </w:tcPr>
          <w:p w14:paraId="74E86DE8" w14:textId="77777777" w:rsidR="00705872" w:rsidRDefault="00987F9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0.244</w:t>
            </w:r>
          </w:p>
        </w:tc>
        <w:tc>
          <w:tcPr>
            <w:tcW w:w="1125" w:type="dxa"/>
            <w:tcBorders>
              <w:top w:val="single" w:sz="6" w:space="0" w:color="000000"/>
              <w:left w:val="single" w:sz="6" w:space="0" w:color="000000"/>
              <w:bottom w:val="single" w:sz="6" w:space="0" w:color="000000"/>
              <w:right w:val="single" w:sz="6" w:space="0" w:color="000000"/>
            </w:tcBorders>
          </w:tcPr>
          <w:p w14:paraId="13CD6581" w14:textId="77777777" w:rsidR="00705872" w:rsidRDefault="00987F9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0.229</w:t>
            </w:r>
          </w:p>
        </w:tc>
        <w:tc>
          <w:tcPr>
            <w:tcW w:w="1350" w:type="dxa"/>
            <w:tcBorders>
              <w:top w:val="single" w:sz="6" w:space="0" w:color="000000"/>
              <w:left w:val="single" w:sz="6" w:space="0" w:color="000000"/>
              <w:bottom w:val="single" w:sz="6" w:space="0" w:color="000000"/>
              <w:right w:val="single" w:sz="6" w:space="0" w:color="000000"/>
            </w:tcBorders>
          </w:tcPr>
          <w:p w14:paraId="49BBC208" w14:textId="77777777" w:rsidR="00705872" w:rsidRDefault="00987F9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916.2</w:t>
            </w:r>
          </w:p>
        </w:tc>
        <w:tc>
          <w:tcPr>
            <w:tcW w:w="2295" w:type="dxa"/>
            <w:tcBorders>
              <w:top w:val="single" w:sz="6" w:space="0" w:color="000000"/>
              <w:left w:val="single" w:sz="6" w:space="0" w:color="000000"/>
              <w:bottom w:val="single" w:sz="6" w:space="0" w:color="000000"/>
              <w:right w:val="single" w:sz="6" w:space="0" w:color="000000"/>
            </w:tcBorders>
          </w:tcPr>
          <w:p w14:paraId="430F8147" w14:textId="77777777" w:rsidR="00705872" w:rsidRDefault="00987F9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Income, OCC2, GENDER3, SIZE3</w:t>
            </w:r>
          </w:p>
        </w:tc>
        <w:tc>
          <w:tcPr>
            <w:tcW w:w="2100" w:type="dxa"/>
            <w:tcBorders>
              <w:top w:val="single" w:sz="6" w:space="0" w:color="000000"/>
              <w:left w:val="single" w:sz="6" w:space="0" w:color="000000"/>
              <w:bottom w:val="single" w:sz="6" w:space="0" w:color="000000"/>
              <w:right w:val="single" w:sz="6" w:space="0" w:color="000000"/>
            </w:tcBorders>
          </w:tcPr>
          <w:p w14:paraId="44DF4880" w14:textId="77777777" w:rsidR="00705872" w:rsidRDefault="00987F9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Income and gender had a moderate influence on leisure spending.</w:t>
            </w:r>
          </w:p>
        </w:tc>
      </w:tr>
      <w:tr w:rsidR="00705872" w14:paraId="32396A00" w14:textId="77777777">
        <w:trPr>
          <w:trHeight w:val="1820"/>
        </w:trPr>
        <w:tc>
          <w:tcPr>
            <w:tcW w:w="960" w:type="dxa"/>
            <w:tcBorders>
              <w:top w:val="single" w:sz="6" w:space="0" w:color="000000"/>
              <w:left w:val="single" w:sz="6" w:space="0" w:color="000000"/>
              <w:bottom w:val="single" w:sz="6" w:space="0" w:color="000000"/>
              <w:right w:val="single" w:sz="6" w:space="0" w:color="000000"/>
            </w:tcBorders>
          </w:tcPr>
          <w:p w14:paraId="596A3687" w14:textId="77777777" w:rsidR="00705872" w:rsidRDefault="00987F9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2024</w:t>
            </w:r>
          </w:p>
        </w:tc>
        <w:tc>
          <w:tcPr>
            <w:tcW w:w="1365" w:type="dxa"/>
            <w:tcBorders>
              <w:top w:val="single" w:sz="6" w:space="0" w:color="000000"/>
              <w:left w:val="single" w:sz="6" w:space="0" w:color="000000"/>
              <w:bottom w:val="single" w:sz="6" w:space="0" w:color="000000"/>
              <w:right w:val="single" w:sz="6" w:space="0" w:color="000000"/>
            </w:tcBorders>
          </w:tcPr>
          <w:p w14:paraId="5ABABFB2" w14:textId="77777777" w:rsidR="00705872" w:rsidRDefault="00987F9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Leisure</w:t>
            </w:r>
          </w:p>
        </w:tc>
        <w:tc>
          <w:tcPr>
            <w:tcW w:w="990" w:type="dxa"/>
            <w:tcBorders>
              <w:top w:val="single" w:sz="6" w:space="0" w:color="000000"/>
              <w:left w:val="single" w:sz="6" w:space="0" w:color="000000"/>
              <w:bottom w:val="single" w:sz="6" w:space="0" w:color="000000"/>
              <w:right w:val="single" w:sz="6" w:space="0" w:color="000000"/>
            </w:tcBorders>
          </w:tcPr>
          <w:p w14:paraId="4958E3A9" w14:textId="77777777" w:rsidR="00705872" w:rsidRDefault="00987F9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0.52</w:t>
            </w:r>
          </w:p>
        </w:tc>
        <w:tc>
          <w:tcPr>
            <w:tcW w:w="1035" w:type="dxa"/>
            <w:tcBorders>
              <w:top w:val="single" w:sz="6" w:space="0" w:color="000000"/>
              <w:left w:val="single" w:sz="6" w:space="0" w:color="000000"/>
              <w:bottom w:val="single" w:sz="6" w:space="0" w:color="000000"/>
              <w:right w:val="single" w:sz="6" w:space="0" w:color="000000"/>
            </w:tcBorders>
          </w:tcPr>
          <w:p w14:paraId="7222959F" w14:textId="77777777" w:rsidR="00705872" w:rsidRDefault="00987F9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0.271</w:t>
            </w:r>
          </w:p>
        </w:tc>
        <w:tc>
          <w:tcPr>
            <w:tcW w:w="1125" w:type="dxa"/>
            <w:tcBorders>
              <w:top w:val="single" w:sz="6" w:space="0" w:color="000000"/>
              <w:left w:val="single" w:sz="6" w:space="0" w:color="000000"/>
              <w:bottom w:val="single" w:sz="6" w:space="0" w:color="000000"/>
              <w:right w:val="single" w:sz="6" w:space="0" w:color="000000"/>
            </w:tcBorders>
          </w:tcPr>
          <w:p w14:paraId="33D2DCB0" w14:textId="77777777" w:rsidR="00705872" w:rsidRDefault="00987F9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0.256</w:t>
            </w:r>
          </w:p>
        </w:tc>
        <w:tc>
          <w:tcPr>
            <w:tcW w:w="1350" w:type="dxa"/>
            <w:tcBorders>
              <w:top w:val="single" w:sz="6" w:space="0" w:color="000000"/>
              <w:left w:val="single" w:sz="6" w:space="0" w:color="000000"/>
              <w:bottom w:val="single" w:sz="6" w:space="0" w:color="000000"/>
              <w:right w:val="single" w:sz="6" w:space="0" w:color="000000"/>
            </w:tcBorders>
          </w:tcPr>
          <w:p w14:paraId="3B692361" w14:textId="77777777" w:rsidR="00705872" w:rsidRDefault="00987F9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4157.32</w:t>
            </w:r>
          </w:p>
        </w:tc>
        <w:tc>
          <w:tcPr>
            <w:tcW w:w="2295" w:type="dxa"/>
            <w:tcBorders>
              <w:top w:val="single" w:sz="6" w:space="0" w:color="000000"/>
              <w:left w:val="single" w:sz="6" w:space="0" w:color="000000"/>
              <w:bottom w:val="single" w:sz="6" w:space="0" w:color="000000"/>
              <w:right w:val="single" w:sz="6" w:space="0" w:color="000000"/>
            </w:tcBorders>
          </w:tcPr>
          <w:p w14:paraId="4B7F191A" w14:textId="77777777" w:rsidR="00705872" w:rsidRDefault="00987F9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Income, AGE2, GENDER2, GENDER4, SIZE3, EDU2–3</w:t>
            </w:r>
          </w:p>
        </w:tc>
        <w:tc>
          <w:tcPr>
            <w:tcW w:w="2100" w:type="dxa"/>
            <w:tcBorders>
              <w:top w:val="single" w:sz="6" w:space="0" w:color="000000"/>
              <w:left w:val="single" w:sz="6" w:space="0" w:color="000000"/>
              <w:bottom w:val="single" w:sz="6" w:space="0" w:color="000000"/>
              <w:right w:val="single" w:sz="6" w:space="0" w:color="000000"/>
            </w:tcBorders>
          </w:tcPr>
          <w:p w14:paraId="65F2E49E" w14:textId="77777777" w:rsidR="00705872" w:rsidRDefault="00987F9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Gender, age, and education influenced non-food expenditure.</w:t>
            </w:r>
          </w:p>
        </w:tc>
      </w:tr>
      <w:tr w:rsidR="00705872" w14:paraId="48CF731E" w14:textId="77777777">
        <w:trPr>
          <w:trHeight w:val="1550"/>
        </w:trPr>
        <w:tc>
          <w:tcPr>
            <w:tcW w:w="960" w:type="dxa"/>
            <w:tcBorders>
              <w:top w:val="single" w:sz="6" w:space="0" w:color="000000"/>
              <w:left w:val="single" w:sz="6" w:space="0" w:color="000000"/>
              <w:bottom w:val="single" w:sz="6" w:space="0" w:color="000000"/>
              <w:right w:val="single" w:sz="6" w:space="0" w:color="000000"/>
            </w:tcBorders>
          </w:tcPr>
          <w:p w14:paraId="5FA44B5A" w14:textId="77777777" w:rsidR="00705872" w:rsidRDefault="00987F9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w:t>
            </w:r>
          </w:p>
        </w:tc>
        <w:tc>
          <w:tcPr>
            <w:tcW w:w="1365" w:type="dxa"/>
            <w:tcBorders>
              <w:top w:val="single" w:sz="6" w:space="0" w:color="000000"/>
              <w:left w:val="single" w:sz="6" w:space="0" w:color="000000"/>
              <w:bottom w:val="single" w:sz="6" w:space="0" w:color="000000"/>
              <w:right w:val="single" w:sz="6" w:space="0" w:color="000000"/>
            </w:tcBorders>
          </w:tcPr>
          <w:p w14:paraId="3CEBB53B" w14:textId="77777777" w:rsidR="00705872" w:rsidRDefault="00987F9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Leisure</w:t>
            </w:r>
          </w:p>
        </w:tc>
        <w:tc>
          <w:tcPr>
            <w:tcW w:w="990" w:type="dxa"/>
            <w:tcBorders>
              <w:top w:val="single" w:sz="6" w:space="0" w:color="000000"/>
              <w:left w:val="single" w:sz="6" w:space="0" w:color="000000"/>
              <w:bottom w:val="single" w:sz="6" w:space="0" w:color="000000"/>
              <w:right w:val="single" w:sz="6" w:space="0" w:color="000000"/>
            </w:tcBorders>
          </w:tcPr>
          <w:p w14:paraId="399463BD" w14:textId="77777777" w:rsidR="00705872" w:rsidRDefault="00987F9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0.389</w:t>
            </w:r>
          </w:p>
        </w:tc>
        <w:tc>
          <w:tcPr>
            <w:tcW w:w="1035" w:type="dxa"/>
            <w:tcBorders>
              <w:top w:val="single" w:sz="6" w:space="0" w:color="000000"/>
              <w:left w:val="single" w:sz="6" w:space="0" w:color="000000"/>
              <w:bottom w:val="single" w:sz="6" w:space="0" w:color="000000"/>
              <w:right w:val="single" w:sz="6" w:space="0" w:color="000000"/>
            </w:tcBorders>
          </w:tcPr>
          <w:p w14:paraId="0CC31232" w14:textId="77777777" w:rsidR="00705872" w:rsidRDefault="00987F9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0.151</w:t>
            </w:r>
          </w:p>
        </w:tc>
        <w:tc>
          <w:tcPr>
            <w:tcW w:w="1125" w:type="dxa"/>
            <w:tcBorders>
              <w:top w:val="single" w:sz="6" w:space="0" w:color="000000"/>
              <w:left w:val="single" w:sz="6" w:space="0" w:color="000000"/>
              <w:bottom w:val="single" w:sz="6" w:space="0" w:color="000000"/>
              <w:right w:val="single" w:sz="6" w:space="0" w:color="000000"/>
            </w:tcBorders>
          </w:tcPr>
          <w:p w14:paraId="329DB50C" w14:textId="77777777" w:rsidR="00705872" w:rsidRDefault="00987F9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0.135</w:t>
            </w:r>
          </w:p>
        </w:tc>
        <w:tc>
          <w:tcPr>
            <w:tcW w:w="1350" w:type="dxa"/>
            <w:tcBorders>
              <w:top w:val="single" w:sz="6" w:space="0" w:color="000000"/>
              <w:left w:val="single" w:sz="6" w:space="0" w:color="000000"/>
              <w:bottom w:val="single" w:sz="6" w:space="0" w:color="000000"/>
              <w:right w:val="single" w:sz="6" w:space="0" w:color="000000"/>
            </w:tcBorders>
          </w:tcPr>
          <w:p w14:paraId="67375FA1" w14:textId="77777777" w:rsidR="00705872" w:rsidRDefault="00987F9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1487.72</w:t>
            </w:r>
          </w:p>
        </w:tc>
        <w:tc>
          <w:tcPr>
            <w:tcW w:w="2295" w:type="dxa"/>
            <w:tcBorders>
              <w:top w:val="single" w:sz="6" w:space="0" w:color="000000"/>
              <w:left w:val="single" w:sz="6" w:space="0" w:color="000000"/>
              <w:bottom w:val="single" w:sz="6" w:space="0" w:color="000000"/>
              <w:right w:val="single" w:sz="6" w:space="0" w:color="000000"/>
            </w:tcBorders>
          </w:tcPr>
          <w:p w14:paraId="525C8E43" w14:textId="77777777" w:rsidR="00705872" w:rsidRDefault="00987F9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Income, OCC4, SIZE3</w:t>
            </w:r>
          </w:p>
        </w:tc>
        <w:tc>
          <w:tcPr>
            <w:tcW w:w="2100" w:type="dxa"/>
            <w:tcBorders>
              <w:top w:val="single" w:sz="6" w:space="0" w:color="000000"/>
              <w:left w:val="single" w:sz="6" w:space="0" w:color="000000"/>
              <w:bottom w:val="single" w:sz="6" w:space="0" w:color="000000"/>
              <w:right w:val="single" w:sz="6" w:space="0" w:color="000000"/>
            </w:tcBorders>
          </w:tcPr>
          <w:p w14:paraId="43CA73F6" w14:textId="77777777" w:rsidR="00705872" w:rsidRDefault="00987F9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Leisure spending was mainly income-driven.</w:t>
            </w:r>
          </w:p>
        </w:tc>
      </w:tr>
    </w:tbl>
    <w:p w14:paraId="59801C11" w14:textId="77777777" w:rsidR="00705872" w:rsidRDefault="00987F92">
      <w:pPr>
        <w:spacing w:line="360" w:lineRule="auto"/>
        <w:jc w:val="both"/>
        <w:rPr>
          <w:rFonts w:ascii="Times New Roman" w:eastAsia="Times New Roman" w:hAnsi="Times New Roman" w:cs="Times New Roman"/>
        </w:rPr>
      </w:pPr>
      <w:r>
        <w:rPr>
          <w:rFonts w:ascii="Times New Roman" w:eastAsia="Times New Roman" w:hAnsi="Times New Roman" w:cs="Times New Roman"/>
          <w:sz w:val="20"/>
          <w:szCs w:val="20"/>
        </w:rPr>
        <w:t xml:space="preserve">Source: </w:t>
      </w:r>
      <w:r>
        <w:rPr>
          <w:rFonts w:ascii="Times New Roman" w:eastAsia="Times New Roman" w:hAnsi="Times New Roman" w:cs="Times New Roman"/>
          <w:i/>
          <w:iCs/>
          <w:sz w:val="20"/>
          <w:szCs w:val="20"/>
        </w:rPr>
        <w:t xml:space="preserve">Data compiled and </w:t>
      </w:r>
      <w:proofErr w:type="spellStart"/>
      <w:r>
        <w:rPr>
          <w:rFonts w:ascii="Times New Roman" w:eastAsia="Times New Roman" w:hAnsi="Times New Roman" w:cs="Times New Roman"/>
          <w:i/>
          <w:iCs/>
          <w:sz w:val="20"/>
          <w:szCs w:val="20"/>
        </w:rPr>
        <w:t>analysed</w:t>
      </w:r>
      <w:proofErr w:type="spellEnd"/>
      <w:r>
        <w:rPr>
          <w:rFonts w:ascii="Times New Roman" w:eastAsia="Times New Roman" w:hAnsi="Times New Roman" w:cs="Times New Roman"/>
          <w:i/>
          <w:iCs/>
          <w:sz w:val="20"/>
          <w:szCs w:val="20"/>
        </w:rPr>
        <w:t xml:space="preserve"> by the authors using CMIE Consumer Pyramid data.</w:t>
      </w:r>
    </w:p>
    <w:p w14:paraId="22C18DAC" w14:textId="77777777" w:rsidR="00705872" w:rsidRDefault="00987F92">
      <w:pPr>
        <w:pStyle w:val="Heading1"/>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The Trends in Leisure Expenditure in Urban Mumbai (2022-2025) Overview.</w:t>
      </w:r>
    </w:p>
    <w:p w14:paraId="7664BC9F" w14:textId="77777777" w:rsidR="00705872" w:rsidRDefault="00987F92">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case study of leisure spending of urban households in Mumbai between 2022 and 2025 shows that the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definitely shifts in the post-pandemic world. Leisure spending which encompasses expenditure on eating out, recreation and vacations comes out as a growing proportion of household budgets, which indicate economic recovery as well as change in the lifestyles of the urban population.</w:t>
      </w:r>
    </w:p>
    <w:p w14:paraId="11A5285C" w14:textId="77777777" w:rsidR="00705872" w:rsidRDefault="00987F92">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Regression diagnostics show a moderate explanatory capacity over the four years, and the values of R 2 vary between 0.151 in 2025 and 0.290 in 2022. Although leisure spending is discretionary in nature, and experiencing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heterogeneity, the values indicate that the socio-economic and demographic factors play a significant role in explaining differences in leisure consumption. The fact that income was a statistically significant determinant in all years supports the key point of the economic capacity in the access to recreational activities in metropolitan settings.</w:t>
      </w:r>
    </w:p>
    <w:p w14:paraId="080A09FF" w14:textId="77777777" w:rsidR="00705872" w:rsidRDefault="00987F92">
      <w:pPr>
        <w:pStyle w:val="Heading1"/>
        <w:spacing w:before="240" w:after="240" w:line="360" w:lineRule="auto"/>
        <w:jc w:val="both"/>
        <w:rPr>
          <w:rFonts w:ascii="Times New Roman" w:eastAsia="Times New Roman" w:hAnsi="Times New Roman" w:cs="Times New Roman"/>
          <w:sz w:val="24"/>
          <w:szCs w:val="24"/>
        </w:rPr>
      </w:pPr>
      <w:bookmarkStart w:id="17" w:name="_heading=h.rymdimj2spch" w:colFirst="0" w:colLast="0"/>
      <w:bookmarkEnd w:id="17"/>
      <w:r>
        <w:rPr>
          <w:rFonts w:ascii="Times New Roman" w:eastAsia="Times New Roman" w:hAnsi="Times New Roman" w:cs="Times New Roman"/>
          <w:sz w:val="24"/>
          <w:szCs w:val="24"/>
        </w:rPr>
        <w:t>Notably, the recovery stage after the COVID, which is captured in the given study, does not simply imply the restoration of the pre-pandemic consumption rate, but rather the rearrangement of the priorities. Experiential consumption of the form of eating out, recreation trips, and brief holidays seems to be gaining more importance than material products in households. This change is consistent with the wider trends of urban consumption across the globe, in which experiential well-being and quality of life acquire an important role. Nevertheless, these changes have sustainability consequences as well, especially in those cities that already experience infrastructural, environmental, and social strains.</w:t>
      </w:r>
    </w:p>
    <w:p w14:paraId="042E3470" w14:textId="77777777" w:rsidR="00705872" w:rsidRDefault="00987F92">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Income Leisure Expenditure Dominant Determinant.</w:t>
      </w:r>
    </w:p>
    <w:p w14:paraId="7B9E5406" w14:textId="77777777" w:rsidR="00705872" w:rsidRDefault="00705872">
      <w:pPr>
        <w:pStyle w:val="Heading1"/>
        <w:spacing w:before="240" w:after="240" w:line="360" w:lineRule="auto"/>
        <w:jc w:val="both"/>
        <w:rPr>
          <w:rFonts w:ascii="Times New Roman" w:eastAsia="Times New Roman" w:hAnsi="Times New Roman" w:cs="Times New Roman"/>
          <w:sz w:val="24"/>
          <w:szCs w:val="24"/>
        </w:rPr>
      </w:pPr>
    </w:p>
    <w:p w14:paraId="040A51E2" w14:textId="77777777" w:rsidR="00705872" w:rsidRDefault="00987F92">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 the four years of examination, household income is the most predictive as well as statistically significant in leisure expenditure. The observation is in a strong association with classical consumption theory and the production analysis of the Engel curve, which argues that discretionary spending increases primarily in relation to income. The situation in urban Mumbai is such that income does not only dictate how much people can spend on leisure, but it also defines the leisure and quality of leisure choices available to households.</w:t>
      </w:r>
    </w:p>
    <w:p w14:paraId="1AF40D91" w14:textId="77777777" w:rsidR="00705872" w:rsidRDefault="00987F92">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relatively high value of R 2 (0.29) in 2022 is associated with a time of economic recovery when the income fluctuations were the final determinants of which households returned to or increased leisure activities due to the restrictions of the pandemic. The wealthier families could instantly resume their dining out activities, travel within the country, and paid leisure activities whereas the poorer families were restricted by economic insecurity.</w:t>
      </w:r>
    </w:p>
    <w:p w14:paraId="1FB92B93" w14:textId="77777777" w:rsidR="00705872" w:rsidRDefault="00987F92">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fact that the income factor survives as far as the year 2025 shows that leisure consumption will be income-elastic even during a </w:t>
      </w:r>
      <w:proofErr w:type="spellStart"/>
      <w:r>
        <w:rPr>
          <w:rFonts w:ascii="Times New Roman" w:eastAsia="Times New Roman" w:hAnsi="Times New Roman" w:cs="Times New Roman"/>
          <w:sz w:val="24"/>
          <w:szCs w:val="24"/>
        </w:rPr>
        <w:t>stabilising</w:t>
      </w:r>
      <w:proofErr w:type="spellEnd"/>
      <w:r>
        <w:rPr>
          <w:rFonts w:ascii="Times New Roman" w:eastAsia="Times New Roman" w:hAnsi="Times New Roman" w:cs="Times New Roman"/>
          <w:sz w:val="24"/>
          <w:szCs w:val="24"/>
        </w:rPr>
        <w:t xml:space="preserve"> economy. This implies that leisure spending has not been transformed into a source of quasi-necessity among urban residents yet, and it is still an indication of economic privilege and social standing. Sustainability wise, such an income-based trend creates an issue of unequal access to leisure activities and the concentration of activities that consume many resources to the higher-income populations.</w:t>
      </w:r>
    </w:p>
    <w:p w14:paraId="1DC96D36" w14:textId="77777777" w:rsidR="00705872" w:rsidRDefault="00987F92">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Besides, income-based growth of leisure suggests that a general rise in leisure consumption can heighten environmental stress unless there is a system of regulations and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change. An increase in disposable incomes usually leads to greater mobility, increased energy consumption, and increased production of waste, especially in a city with limited carrying capacity.</w:t>
      </w:r>
    </w:p>
    <w:p w14:paraId="536F7D0B" w14:textId="77777777" w:rsidR="00705872" w:rsidRDefault="00987F92">
      <w:pPr>
        <w:pStyle w:val="Heading1"/>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Professional Organization and Recreational Consumption.</w:t>
      </w:r>
    </w:p>
    <w:p w14:paraId="771CF352" w14:textId="77777777" w:rsidR="00705872" w:rsidRDefault="00987F92">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Occupation groups present different degrees of relevance over the period of study, which can be seen as a shift in occupational stability, work culture and income security of the post-pandemic urban economy. Several job types (OCC2-OCC4) had a significant effect on leisure spending in 2022, which showed that the type of employment was highly important in the short-term recovery period.</w:t>
      </w:r>
    </w:p>
    <w:p w14:paraId="2CAF994F" w14:textId="77777777" w:rsidR="00705872" w:rsidRDefault="00705872">
      <w:pPr>
        <w:pStyle w:val="Heading1"/>
        <w:spacing w:before="240" w:after="240" w:line="360" w:lineRule="auto"/>
        <w:jc w:val="both"/>
        <w:rPr>
          <w:rFonts w:ascii="Times New Roman" w:eastAsia="Times New Roman" w:hAnsi="Times New Roman" w:cs="Times New Roman"/>
          <w:sz w:val="24"/>
          <w:szCs w:val="24"/>
        </w:rPr>
      </w:pPr>
    </w:p>
    <w:p w14:paraId="679943BD" w14:textId="77777777" w:rsidR="00705872" w:rsidRDefault="00987F92">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Employment in the white-collar and formal sector (with steady incomes and work schedules) seems to enable more leisure spending. The families with people having professional or salaried jobs were more inclined to spend the money on dining out and leisure-recreational activities which can be explained by financial ability and lifestyle orientation.</w:t>
      </w:r>
    </w:p>
    <w:p w14:paraId="7DC893E8" w14:textId="77777777" w:rsidR="00705872" w:rsidRDefault="00987F92">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Significance of occupation reduces by 2025 and only higher occupational categories become statistically significant. Such a trend implies that leisure consumption is being normalized by categories of the securely employed workforce, and that the households of the informally or precariously employed are still constrained. The loss of explanatory power of occupation with time could also be due to the income absorbing the effects of occupation with earnings becoming more and more the measure of the effects of a job.</w:t>
      </w:r>
    </w:p>
    <w:p w14:paraId="12DF1ADA" w14:textId="77777777" w:rsidR="00705872" w:rsidRDefault="00987F92">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Occupational segmentation in leisure consumption from sustainability perspective identifies possible areas of focused interventions. Leisure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can be affected by workplaces in terms of flexible working schedules, health and wellness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and rewards to maintain sustainability of recreational decisions. There is a possibility that incorporating sustainability into the corporate culture thus influences leisure patterns in the households indirectly.</w:t>
      </w:r>
    </w:p>
    <w:p w14:paraId="1415E282" w14:textId="77777777" w:rsidR="00705872" w:rsidRDefault="00987F92">
      <w:pPr>
        <w:pStyle w:val="Heading1"/>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Leisure Choices Education and Lifestyle-Oriented.</w:t>
      </w:r>
    </w:p>
    <w:p w14:paraId="269F4961" w14:textId="77777777" w:rsidR="00705872" w:rsidRDefault="00987F92">
      <w:pPr>
        <w:pStyle w:val="Heading1"/>
        <w:spacing w:before="240" w:after="240" w:line="360" w:lineRule="auto"/>
        <w:jc w:val="both"/>
        <w:rPr>
          <w:rFonts w:ascii="Times New Roman" w:eastAsia="Times New Roman" w:hAnsi="Times New Roman" w:cs="Times New Roman"/>
          <w:sz w:val="24"/>
          <w:szCs w:val="24"/>
        </w:rPr>
      </w:pPr>
      <w:bookmarkStart w:id="18" w:name="_heading=h.wl8z77nrr11w" w:colFirst="0" w:colLast="0"/>
      <w:bookmarkEnd w:id="18"/>
      <w:r>
        <w:rPr>
          <w:rFonts w:ascii="Times New Roman" w:eastAsia="Times New Roman" w:hAnsi="Times New Roman" w:cs="Times New Roman"/>
          <w:sz w:val="24"/>
          <w:szCs w:val="24"/>
        </w:rPr>
        <w:t>Education is a factor that can become significant, intermittently, as a determinant of leisure spending, especially in 2022 and 2024. The trend indicates that education level is a determinant of leisure consumption by means other than income. Cultured families might also have preferences on some forms of recreational activities which are focused on quality, experience and cultural worthiness.</w:t>
      </w:r>
    </w:p>
    <w:p w14:paraId="47CED1E6" w14:textId="77777777" w:rsidR="00705872" w:rsidRDefault="00987F92">
      <w:pPr>
        <w:pStyle w:val="Heading1"/>
        <w:spacing w:before="240" w:after="240" w:line="360" w:lineRule="auto"/>
        <w:jc w:val="both"/>
        <w:rPr>
          <w:rFonts w:ascii="Times New Roman" w:eastAsia="Times New Roman" w:hAnsi="Times New Roman" w:cs="Times New Roman"/>
          <w:sz w:val="24"/>
          <w:szCs w:val="24"/>
        </w:rPr>
      </w:pPr>
      <w:bookmarkStart w:id="19" w:name="_heading=h.jnu68meqinlo" w:colFirst="0" w:colLast="0"/>
      <w:bookmarkEnd w:id="19"/>
      <w:r>
        <w:rPr>
          <w:rFonts w:ascii="Times New Roman" w:eastAsia="Times New Roman" w:hAnsi="Times New Roman" w:cs="Times New Roman"/>
          <w:sz w:val="24"/>
          <w:szCs w:val="24"/>
        </w:rPr>
        <w:t xml:space="preserve">It is commonly believed that higher education levels are accompanied by increased exposure to various forms of leisure such as travelling, physical exercises, cultural experiences and experience dinners. This can also be the case in such households, as these households might emphasize more upon work-life balance and individual well-being which is the motivation. </w:t>
      </w:r>
    </w:p>
    <w:p w14:paraId="64573F37" w14:textId="77777777" w:rsidR="00705872" w:rsidRDefault="00705872"/>
    <w:p w14:paraId="022118F2" w14:textId="77777777" w:rsidR="00705872" w:rsidRDefault="00705872">
      <w:pPr>
        <w:pStyle w:val="Heading1"/>
        <w:spacing w:before="240" w:after="240" w:line="360" w:lineRule="auto"/>
        <w:jc w:val="both"/>
        <w:rPr>
          <w:rFonts w:ascii="Times New Roman" w:eastAsia="Times New Roman" w:hAnsi="Times New Roman" w:cs="Times New Roman"/>
          <w:b/>
          <w:bCs/>
          <w:sz w:val="24"/>
          <w:szCs w:val="24"/>
        </w:rPr>
      </w:pPr>
    </w:p>
    <w:p w14:paraId="4AC6A7F9" w14:textId="77777777" w:rsidR="00705872" w:rsidRPr="00204742" w:rsidRDefault="00987F92">
      <w:pPr>
        <w:pStyle w:val="Heading1"/>
        <w:spacing w:before="240" w:after="240" w:line="360" w:lineRule="auto"/>
        <w:jc w:val="both"/>
        <w:rPr>
          <w:rFonts w:ascii="Times New Roman" w:eastAsia="Times New Roman" w:hAnsi="Times New Roman" w:cs="Times New Roman"/>
          <w:sz w:val="24"/>
          <w:szCs w:val="24"/>
        </w:rPr>
      </w:pPr>
      <w:r w:rsidRPr="00204742">
        <w:rPr>
          <w:rFonts w:ascii="Times New Roman" w:eastAsia="Times New Roman" w:hAnsi="Times New Roman" w:cs="Times New Roman"/>
          <w:sz w:val="24"/>
          <w:szCs w:val="24"/>
        </w:rPr>
        <w:t>Nevertheless, the lack of consistency of the importance of education over the years suggests that its effect is conditional on the general economic and social environment. Even most educated households can be persuaded of the need to put money into a safe deposit box rather than spending it in luxury in times of economic uncertainty or inflationary pressure. On the other hand, the education related lifestyle aspirations in the expenditure patterns are more noticeable in the periods of relative stability.</w:t>
      </w:r>
    </w:p>
    <w:p w14:paraId="4226CDCE" w14:textId="77777777" w:rsidR="00705872" w:rsidRDefault="00705872">
      <w:pPr>
        <w:pStyle w:val="Heading1"/>
        <w:spacing w:before="240" w:after="240" w:line="360" w:lineRule="auto"/>
        <w:jc w:val="both"/>
        <w:rPr>
          <w:rFonts w:ascii="Times New Roman" w:eastAsia="Times New Roman" w:hAnsi="Times New Roman" w:cs="Times New Roman"/>
          <w:b/>
          <w:bCs/>
          <w:sz w:val="24"/>
          <w:szCs w:val="24"/>
        </w:rPr>
      </w:pPr>
    </w:p>
    <w:p w14:paraId="65B23A37" w14:textId="77777777" w:rsidR="00705872" w:rsidRPr="00204742" w:rsidRDefault="00987F92">
      <w:pPr>
        <w:pStyle w:val="Heading1"/>
        <w:spacing w:before="240" w:after="240" w:line="360" w:lineRule="auto"/>
        <w:jc w:val="both"/>
        <w:rPr>
          <w:rFonts w:ascii="Times New Roman" w:eastAsia="Times New Roman" w:hAnsi="Times New Roman" w:cs="Times New Roman"/>
          <w:sz w:val="24"/>
          <w:szCs w:val="24"/>
        </w:rPr>
      </w:pPr>
      <w:r w:rsidRPr="00204742">
        <w:rPr>
          <w:rFonts w:ascii="Times New Roman" w:eastAsia="Times New Roman" w:hAnsi="Times New Roman" w:cs="Times New Roman"/>
          <w:sz w:val="24"/>
          <w:szCs w:val="24"/>
        </w:rPr>
        <w:t>Education has the potential of being a moderating force in terms of sustainability. Sustainable leisure practices and products such as choosing local travel destinations, patronizing eco-friendly business or decreasing waste can be more welcoming to educated consumers. The results indicate that education can be used as a policy lever to encourage responsible leisure consumption, in the case that sustainable alternatives are available and affordable.</w:t>
      </w:r>
    </w:p>
    <w:p w14:paraId="01703CC8" w14:textId="77777777" w:rsidR="00705872" w:rsidRDefault="00705872">
      <w:pPr>
        <w:pStyle w:val="Heading1"/>
        <w:spacing w:before="240" w:after="240" w:line="360" w:lineRule="auto"/>
        <w:jc w:val="both"/>
        <w:rPr>
          <w:rFonts w:ascii="Times New Roman" w:eastAsia="Times New Roman" w:hAnsi="Times New Roman" w:cs="Times New Roman"/>
          <w:b/>
          <w:bCs/>
          <w:sz w:val="24"/>
          <w:szCs w:val="24"/>
        </w:rPr>
      </w:pPr>
    </w:p>
    <w:p w14:paraId="49D86E3E" w14:textId="77777777" w:rsidR="00705872" w:rsidRDefault="00987F92">
      <w:pPr>
        <w:pStyle w:val="Heading1"/>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 Gender Process and Leisure Spending.</w:t>
      </w:r>
    </w:p>
    <w:p w14:paraId="0F0A1319" w14:textId="77777777" w:rsidR="00705872" w:rsidRDefault="00705872">
      <w:pPr>
        <w:pStyle w:val="Heading1"/>
        <w:spacing w:before="240" w:after="240" w:line="360" w:lineRule="auto"/>
        <w:jc w:val="both"/>
        <w:rPr>
          <w:rFonts w:ascii="Times New Roman" w:eastAsia="Times New Roman" w:hAnsi="Times New Roman" w:cs="Times New Roman"/>
          <w:b/>
          <w:bCs/>
          <w:sz w:val="24"/>
          <w:szCs w:val="24"/>
        </w:rPr>
      </w:pPr>
    </w:p>
    <w:p w14:paraId="108B6B78" w14:textId="77777777" w:rsidR="00705872" w:rsidRPr="00204742" w:rsidRDefault="00987F92">
      <w:pPr>
        <w:pStyle w:val="Heading1"/>
        <w:spacing w:before="240" w:after="240" w:line="360" w:lineRule="auto"/>
        <w:jc w:val="both"/>
        <w:rPr>
          <w:rFonts w:ascii="Times New Roman" w:eastAsia="Times New Roman" w:hAnsi="Times New Roman" w:cs="Times New Roman"/>
          <w:sz w:val="24"/>
          <w:szCs w:val="24"/>
        </w:rPr>
      </w:pPr>
      <w:r w:rsidRPr="00204742">
        <w:rPr>
          <w:rFonts w:ascii="Times New Roman" w:eastAsia="Times New Roman" w:hAnsi="Times New Roman" w:cs="Times New Roman"/>
          <w:sz w:val="24"/>
          <w:szCs w:val="24"/>
        </w:rPr>
        <w:t>Effects in the area of leisure expenditure based on gender exhibit a significant change over time of the study period bearing the character of the development of social norms and household decision-making frameworks. Some gender categories were statistically significant in 2022 and 2024, which means that the gender of the household head will affect the choices made during leisure spending.</w:t>
      </w:r>
    </w:p>
    <w:p w14:paraId="4FA695B6" w14:textId="77777777" w:rsidR="00705872" w:rsidRPr="00204742" w:rsidRDefault="00705872">
      <w:pPr>
        <w:pStyle w:val="Heading1"/>
        <w:spacing w:before="240" w:after="240" w:line="360" w:lineRule="auto"/>
        <w:jc w:val="both"/>
        <w:rPr>
          <w:rFonts w:ascii="Times New Roman" w:eastAsia="Times New Roman" w:hAnsi="Times New Roman" w:cs="Times New Roman"/>
          <w:sz w:val="24"/>
          <w:szCs w:val="24"/>
        </w:rPr>
      </w:pPr>
    </w:p>
    <w:p w14:paraId="44CA4D05" w14:textId="77777777" w:rsidR="00705872" w:rsidRPr="00204742" w:rsidRDefault="00987F92">
      <w:pPr>
        <w:pStyle w:val="Heading1"/>
        <w:spacing w:before="240" w:after="240" w:line="360" w:lineRule="auto"/>
        <w:jc w:val="both"/>
        <w:rPr>
          <w:rFonts w:ascii="Times New Roman" w:eastAsia="Times New Roman" w:hAnsi="Times New Roman" w:cs="Times New Roman"/>
          <w:sz w:val="24"/>
          <w:szCs w:val="24"/>
        </w:rPr>
      </w:pPr>
      <w:r w:rsidRPr="00204742">
        <w:rPr>
          <w:rFonts w:ascii="Times New Roman" w:eastAsia="Times New Roman" w:hAnsi="Times New Roman" w:cs="Times New Roman"/>
          <w:sz w:val="24"/>
          <w:szCs w:val="24"/>
        </w:rPr>
        <w:t>The rising importance of female headed households in certain years is an indication that economic involvement and freedom of making decisions is influencing consumption priorities in women. Female headed households can spend their leisure budgets in different ways and perhaps spend it on family related activities, travelling to safe places, or recreation involving health.</w:t>
      </w:r>
    </w:p>
    <w:p w14:paraId="1FF993DB" w14:textId="77777777" w:rsidR="00705872" w:rsidRPr="00204742" w:rsidRDefault="00705872">
      <w:pPr>
        <w:pStyle w:val="Heading1"/>
        <w:spacing w:before="240" w:after="240" w:line="360" w:lineRule="auto"/>
        <w:jc w:val="both"/>
        <w:rPr>
          <w:rFonts w:ascii="Times New Roman" w:eastAsia="Times New Roman" w:hAnsi="Times New Roman" w:cs="Times New Roman"/>
          <w:sz w:val="24"/>
          <w:szCs w:val="24"/>
        </w:rPr>
      </w:pPr>
    </w:p>
    <w:p w14:paraId="44AA06A2" w14:textId="77777777" w:rsidR="00705872" w:rsidRPr="00204742" w:rsidRDefault="00987F92">
      <w:pPr>
        <w:pStyle w:val="Heading1"/>
        <w:spacing w:before="240" w:after="240" w:line="360" w:lineRule="auto"/>
        <w:jc w:val="both"/>
        <w:rPr>
          <w:rFonts w:ascii="Times New Roman" w:eastAsia="Times New Roman" w:hAnsi="Times New Roman" w:cs="Times New Roman"/>
          <w:sz w:val="24"/>
          <w:szCs w:val="24"/>
        </w:rPr>
      </w:pPr>
      <w:r w:rsidRPr="00204742">
        <w:rPr>
          <w:rFonts w:ascii="Times New Roman" w:eastAsia="Times New Roman" w:hAnsi="Times New Roman" w:cs="Times New Roman"/>
          <w:sz w:val="24"/>
          <w:szCs w:val="24"/>
        </w:rPr>
        <w:t>The fact that the effects of gender are not constant across the years does not mean that gender does not interact with other socio-economic variables like income, education, and household size. Gender is not a determining factor of leisure consumption, but it exists in the framework of a more complex structure.</w:t>
      </w:r>
    </w:p>
    <w:p w14:paraId="49CD5908" w14:textId="77777777" w:rsidR="00705872" w:rsidRPr="00204742" w:rsidRDefault="00705872">
      <w:pPr>
        <w:pStyle w:val="Heading1"/>
        <w:spacing w:before="240" w:after="240" w:line="360" w:lineRule="auto"/>
        <w:jc w:val="both"/>
        <w:rPr>
          <w:rFonts w:ascii="Times New Roman" w:eastAsia="Times New Roman" w:hAnsi="Times New Roman" w:cs="Times New Roman"/>
          <w:sz w:val="24"/>
          <w:szCs w:val="24"/>
        </w:rPr>
      </w:pPr>
    </w:p>
    <w:p w14:paraId="65DD5C20" w14:textId="77777777" w:rsidR="00705872" w:rsidRPr="00204742" w:rsidRDefault="00987F92">
      <w:pPr>
        <w:pStyle w:val="Heading1"/>
        <w:spacing w:before="240" w:after="240" w:line="360" w:lineRule="auto"/>
        <w:jc w:val="both"/>
        <w:rPr>
          <w:rFonts w:ascii="Times New Roman" w:eastAsia="Times New Roman" w:hAnsi="Times New Roman" w:cs="Times New Roman"/>
          <w:sz w:val="24"/>
          <w:szCs w:val="24"/>
        </w:rPr>
      </w:pPr>
      <w:r w:rsidRPr="00204742">
        <w:rPr>
          <w:rFonts w:ascii="Times New Roman" w:eastAsia="Times New Roman" w:hAnsi="Times New Roman" w:cs="Times New Roman"/>
          <w:sz w:val="24"/>
          <w:szCs w:val="24"/>
        </w:rPr>
        <w:t>Gender sensitive leisure policies are necessary as far as sustainability is concerned. The tastes and limitations of women are to be taken into account in urban planning (safety, accessibility, availability of time, etc.). Recreational facilities, good transport, and affordable recreational facilities can increase equal access opportunities and facilitate sustainable urban living.</w:t>
      </w:r>
    </w:p>
    <w:p w14:paraId="782417C1" w14:textId="77777777" w:rsidR="00705872" w:rsidRPr="00204742" w:rsidRDefault="00705872">
      <w:pPr>
        <w:pStyle w:val="Heading1"/>
        <w:spacing w:before="240" w:after="240" w:line="360" w:lineRule="auto"/>
        <w:jc w:val="both"/>
        <w:rPr>
          <w:rFonts w:ascii="Times New Roman" w:eastAsia="Times New Roman" w:hAnsi="Times New Roman" w:cs="Times New Roman"/>
          <w:sz w:val="24"/>
          <w:szCs w:val="24"/>
        </w:rPr>
      </w:pPr>
    </w:p>
    <w:p w14:paraId="1BB0490B" w14:textId="77777777" w:rsidR="00705872" w:rsidRPr="00204742" w:rsidRDefault="00987F92">
      <w:pPr>
        <w:pStyle w:val="Heading1"/>
        <w:spacing w:before="240" w:after="240" w:line="360" w:lineRule="auto"/>
        <w:jc w:val="both"/>
        <w:rPr>
          <w:rFonts w:ascii="Times New Roman" w:eastAsia="Times New Roman" w:hAnsi="Times New Roman" w:cs="Times New Roman"/>
          <w:sz w:val="24"/>
          <w:szCs w:val="24"/>
        </w:rPr>
      </w:pPr>
      <w:r w:rsidRPr="00204742">
        <w:rPr>
          <w:rFonts w:ascii="Times New Roman" w:eastAsia="Times New Roman" w:hAnsi="Times New Roman" w:cs="Times New Roman"/>
          <w:sz w:val="24"/>
          <w:szCs w:val="24"/>
        </w:rPr>
        <w:t>7. Effects of Age and Life-Cycle on Leisure Consumption.</w:t>
      </w:r>
    </w:p>
    <w:p w14:paraId="54EEDD46" w14:textId="77777777" w:rsidR="00705872" w:rsidRPr="00204742" w:rsidRDefault="00705872">
      <w:pPr>
        <w:pStyle w:val="Heading1"/>
        <w:spacing w:before="240" w:after="240" w:line="360" w:lineRule="auto"/>
        <w:jc w:val="both"/>
        <w:rPr>
          <w:rFonts w:ascii="Times New Roman" w:eastAsia="Times New Roman" w:hAnsi="Times New Roman" w:cs="Times New Roman"/>
          <w:sz w:val="24"/>
          <w:szCs w:val="24"/>
        </w:rPr>
      </w:pPr>
    </w:p>
    <w:p w14:paraId="6AAB9BB2" w14:textId="77777777" w:rsidR="00705872" w:rsidRPr="00204742" w:rsidRDefault="00987F92">
      <w:pPr>
        <w:pStyle w:val="Heading1"/>
        <w:spacing w:before="240" w:after="240" w:line="360" w:lineRule="auto"/>
        <w:jc w:val="both"/>
        <w:rPr>
          <w:rFonts w:ascii="Times New Roman" w:eastAsia="Times New Roman" w:hAnsi="Times New Roman" w:cs="Times New Roman"/>
          <w:sz w:val="24"/>
          <w:szCs w:val="24"/>
        </w:rPr>
      </w:pPr>
      <w:r w:rsidRPr="00204742">
        <w:rPr>
          <w:rFonts w:ascii="Times New Roman" w:eastAsia="Times New Roman" w:hAnsi="Times New Roman" w:cs="Times New Roman"/>
          <w:sz w:val="24"/>
          <w:szCs w:val="24"/>
        </w:rPr>
        <w:t xml:space="preserve">The importance of age group in 2022 and 2024 demonstrates applicability of life cycle theory in the explanation of leisure expenditure. Leisure time as a form of stress relief and </w:t>
      </w:r>
      <w:proofErr w:type="spellStart"/>
      <w:r w:rsidRPr="00204742">
        <w:rPr>
          <w:rFonts w:ascii="Times New Roman" w:eastAsia="Times New Roman" w:hAnsi="Times New Roman" w:cs="Times New Roman"/>
          <w:sz w:val="24"/>
          <w:szCs w:val="24"/>
        </w:rPr>
        <w:t>socialisation</w:t>
      </w:r>
      <w:proofErr w:type="spellEnd"/>
      <w:r w:rsidRPr="00204742">
        <w:rPr>
          <w:rFonts w:ascii="Times New Roman" w:eastAsia="Times New Roman" w:hAnsi="Times New Roman" w:cs="Times New Roman"/>
          <w:sz w:val="24"/>
          <w:szCs w:val="24"/>
        </w:rPr>
        <w:t xml:space="preserve"> may be a priority in the lives of younger and middle-aged households who are usually at work and families. On the contrary, older households can be more restrained in their leisure expenditures because of their fixed incomes or shifting preferences.</w:t>
      </w:r>
    </w:p>
    <w:p w14:paraId="5480F0A0" w14:textId="77777777" w:rsidR="00705872" w:rsidRPr="00204742" w:rsidRDefault="00705872">
      <w:pPr>
        <w:pStyle w:val="Heading1"/>
        <w:spacing w:before="240" w:after="240" w:line="360" w:lineRule="auto"/>
        <w:jc w:val="both"/>
        <w:rPr>
          <w:rFonts w:ascii="Times New Roman" w:eastAsia="Times New Roman" w:hAnsi="Times New Roman" w:cs="Times New Roman"/>
          <w:sz w:val="24"/>
          <w:szCs w:val="24"/>
        </w:rPr>
      </w:pPr>
    </w:p>
    <w:p w14:paraId="719C18B7" w14:textId="77777777" w:rsidR="00705872" w:rsidRPr="00204742" w:rsidRDefault="00987F92">
      <w:pPr>
        <w:pStyle w:val="Heading1"/>
        <w:spacing w:before="240" w:after="240" w:line="360" w:lineRule="auto"/>
        <w:jc w:val="both"/>
        <w:rPr>
          <w:rFonts w:ascii="Times New Roman" w:eastAsia="Times New Roman" w:hAnsi="Times New Roman" w:cs="Times New Roman"/>
          <w:sz w:val="24"/>
          <w:szCs w:val="24"/>
        </w:rPr>
      </w:pPr>
      <w:r w:rsidRPr="00204742">
        <w:rPr>
          <w:rFonts w:ascii="Times New Roman" w:eastAsia="Times New Roman" w:hAnsi="Times New Roman" w:cs="Times New Roman"/>
          <w:sz w:val="24"/>
          <w:szCs w:val="24"/>
        </w:rPr>
        <w:t>The non-persistent pattern of age effects implies that the effects of the life-cycle are mediated by economic conditions and household composition. As an example, younger households can become more aggressive in leisure spending when there is optimism in the economy, but older households will be cautious.</w:t>
      </w:r>
    </w:p>
    <w:p w14:paraId="0C6D2895" w14:textId="77777777" w:rsidR="00705872" w:rsidRPr="00204742" w:rsidRDefault="00705872">
      <w:pPr>
        <w:pStyle w:val="Heading1"/>
        <w:spacing w:before="240" w:after="240" w:line="360" w:lineRule="auto"/>
        <w:jc w:val="both"/>
        <w:rPr>
          <w:rFonts w:ascii="Times New Roman" w:eastAsia="Times New Roman" w:hAnsi="Times New Roman" w:cs="Times New Roman"/>
          <w:sz w:val="24"/>
          <w:szCs w:val="24"/>
        </w:rPr>
      </w:pPr>
    </w:p>
    <w:p w14:paraId="52BA9898" w14:textId="77777777" w:rsidR="00705872" w:rsidRPr="00204742" w:rsidRDefault="00987F92">
      <w:pPr>
        <w:pStyle w:val="Heading1"/>
        <w:spacing w:before="240" w:after="240" w:line="360" w:lineRule="auto"/>
        <w:jc w:val="both"/>
        <w:rPr>
          <w:rFonts w:ascii="Times New Roman" w:eastAsia="Times New Roman" w:hAnsi="Times New Roman" w:cs="Times New Roman"/>
          <w:sz w:val="24"/>
          <w:szCs w:val="24"/>
        </w:rPr>
      </w:pPr>
      <w:r w:rsidRPr="00204742">
        <w:rPr>
          <w:rFonts w:ascii="Times New Roman" w:eastAsia="Times New Roman" w:hAnsi="Times New Roman" w:cs="Times New Roman"/>
          <w:sz w:val="24"/>
          <w:szCs w:val="24"/>
        </w:rPr>
        <w:lastRenderedPageBreak/>
        <w:t xml:space="preserve">It is important to comprehend the leisure patterns of people at older age in order to plan a sustainable city. Recreational facilities should support the needs of various age groups, which encourages minimal impact on the environment like walking areas, community </w:t>
      </w:r>
      <w:proofErr w:type="spellStart"/>
      <w:r w:rsidRPr="00204742">
        <w:rPr>
          <w:rFonts w:ascii="Times New Roman" w:eastAsia="Times New Roman" w:hAnsi="Times New Roman" w:cs="Times New Roman"/>
          <w:sz w:val="24"/>
          <w:szCs w:val="24"/>
        </w:rPr>
        <w:t>centres</w:t>
      </w:r>
      <w:proofErr w:type="spellEnd"/>
      <w:r w:rsidRPr="00204742">
        <w:rPr>
          <w:rFonts w:ascii="Times New Roman" w:eastAsia="Times New Roman" w:hAnsi="Times New Roman" w:cs="Times New Roman"/>
          <w:sz w:val="24"/>
          <w:szCs w:val="24"/>
        </w:rPr>
        <w:t xml:space="preserve"> and cultural </w:t>
      </w:r>
      <w:proofErr w:type="spellStart"/>
      <w:r w:rsidRPr="00204742">
        <w:rPr>
          <w:rFonts w:ascii="Times New Roman" w:eastAsia="Times New Roman" w:hAnsi="Times New Roman" w:cs="Times New Roman"/>
          <w:sz w:val="24"/>
          <w:szCs w:val="24"/>
        </w:rPr>
        <w:t>programmes</w:t>
      </w:r>
      <w:proofErr w:type="spellEnd"/>
      <w:r w:rsidRPr="00204742">
        <w:rPr>
          <w:rFonts w:ascii="Times New Roman" w:eastAsia="Times New Roman" w:hAnsi="Times New Roman" w:cs="Times New Roman"/>
          <w:sz w:val="24"/>
          <w:szCs w:val="24"/>
        </w:rPr>
        <w:t xml:space="preserve"> that help increase social well-being with minimum impact on the environment.</w:t>
      </w:r>
    </w:p>
    <w:p w14:paraId="5B7CEF76" w14:textId="77777777" w:rsidR="00705872" w:rsidRDefault="00987F92">
      <w:pPr>
        <w:pStyle w:val="Heading1"/>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Family Size and Financial resources.</w:t>
      </w:r>
    </w:p>
    <w:p w14:paraId="62FB5F73" w14:textId="77777777" w:rsidR="00705872" w:rsidRDefault="00987F92">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dependent factor of dependency and constraints in budget allocation becomes important as the number of people in the household also becomes a major contributor to the leisure consumption in several years. Increased household sizes have competing expenditure pressures such as education, healthcare and shelter that may constrain leisure spending in the individual.</w:t>
      </w:r>
    </w:p>
    <w:p w14:paraId="6089B9F5" w14:textId="77777777" w:rsidR="00705872" w:rsidRDefault="00987F92">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Nevertheless, the number of households could also lead to upward aggregate leisure spending especially when activities that can be classified as family oriented like going out to eat or local recreational activities are considered. The overall impact is based on levels of income and the size of the household. Big households with low income in the urban set up of Mumbai are more likely to curtail discretionary expenditure due to the urban high cost environment.</w:t>
      </w:r>
    </w:p>
    <w:p w14:paraId="1EAFDD86" w14:textId="77777777" w:rsidR="00705872" w:rsidRDefault="00987F92">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 sustainability perspective, the dynamics of household size address the need for affordable, shared leisure spaces. Recreational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that are </w:t>
      </w:r>
      <w:proofErr w:type="spellStart"/>
      <w:r>
        <w:rPr>
          <w:rFonts w:ascii="Times New Roman" w:eastAsia="Times New Roman" w:hAnsi="Times New Roman" w:cs="Times New Roman"/>
          <w:sz w:val="24"/>
          <w:szCs w:val="24"/>
        </w:rPr>
        <w:t>subsidised</w:t>
      </w:r>
      <w:proofErr w:type="spellEnd"/>
      <w:r>
        <w:rPr>
          <w:rFonts w:ascii="Times New Roman" w:eastAsia="Times New Roman" w:hAnsi="Times New Roman" w:cs="Times New Roman"/>
          <w:sz w:val="24"/>
          <w:szCs w:val="24"/>
        </w:rPr>
        <w:t xml:space="preserve"> by the government and found within the local community and even the assets of the state, such as public parks, can allow larger households to leisure without unduly spending money or other resources.</w:t>
      </w:r>
    </w:p>
    <w:p w14:paraId="5BD21846" w14:textId="77777777" w:rsidR="00705872" w:rsidRDefault="00987F92">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Changes across time and future adjustment after pandemic.</w:t>
      </w:r>
    </w:p>
    <w:p w14:paraId="25FA10EB" w14:textId="77777777" w:rsidR="00705872" w:rsidRDefault="00705872">
      <w:pPr>
        <w:pStyle w:val="Heading1"/>
        <w:spacing w:before="240" w:after="240" w:line="360" w:lineRule="auto"/>
        <w:jc w:val="both"/>
        <w:rPr>
          <w:rFonts w:ascii="Times New Roman" w:eastAsia="Times New Roman" w:hAnsi="Times New Roman" w:cs="Times New Roman"/>
          <w:b/>
          <w:bCs/>
          <w:sz w:val="24"/>
          <w:szCs w:val="24"/>
        </w:rPr>
      </w:pPr>
    </w:p>
    <w:p w14:paraId="0567D8E6" w14:textId="77777777" w:rsidR="00705872" w:rsidRDefault="00987F92">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Comparison of the regression outcomes over the period 2022-2025 indicates that there is a slow decrease in the explanatory power especially in 2025. This implies that leisure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is becoming more heterogeneous as households seek to reflect on new economic realities. The aspects of inflation, a hybrid work environment, and evolving ambitions have the potential to bring a level of variability that cannot be completely explained by more traditional socio-economic variables.</w:t>
      </w:r>
    </w:p>
    <w:p w14:paraId="7BF894A4" w14:textId="77777777" w:rsidR="00705872" w:rsidRDefault="00987F92">
      <w:pPr>
        <w:pStyle w:val="Heading1"/>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lastRenderedPageBreak/>
        <w:t xml:space="preserve">The falling R2 in 2025 also shows that there are chances of leisure consumption to be affected due to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and psychological impacts, including risk perception, digital activities, and lifestyle inclinations. This highlights why future studies require both qualitative and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levels of analysis.</w:t>
      </w:r>
    </w:p>
    <w:p w14:paraId="0A6B546A" w14:textId="77777777" w:rsidR="00705872" w:rsidRDefault="00987F92">
      <w:pPr>
        <w:pStyle w:val="Heading1"/>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Rise of Leisure Consumption Implications of Sustainability.</w:t>
      </w:r>
    </w:p>
    <w:p w14:paraId="52920B4C" w14:textId="77777777" w:rsidR="00705872" w:rsidRDefault="00987F92">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overall findings are that leisure spending in urban Mumbai is mainly instigated by income and lifestyle change as opposed to the compulsory need of the demographic. Although this helps the economic recovery and growth of the service sector, it increases the sustainability issues pertaining to energy consumption, wastes, and congestion of cities.</w:t>
      </w:r>
    </w:p>
    <w:p w14:paraId="47C84391" w14:textId="77777777" w:rsidR="00705872" w:rsidRDefault="00987F92">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increasing leisure development based on income threatens to the extent of intensifying social disparities, since the poor-income households cannot be included in having good leisure facilities. Additionally, as the leisure consumption grows, policy intervention is necessary to decimate the pressure on the environment in an already resource-starved city.</w:t>
      </w:r>
    </w:p>
    <w:p w14:paraId="68D4ED29" w14:textId="77777777" w:rsidR="00705872" w:rsidRDefault="00987F92">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align leisure consumption with Sustainable Development Goal 12, both access and impact will have to be considered. Promoting low-carbon leisure activities, controlling activities that are car-related and intensive to the environment and development of more recreational facilities that belong to the public is a vital move towards sustainable urban consumption.</w:t>
      </w:r>
    </w:p>
    <w:p w14:paraId="4B9B35C8" w14:textId="77777777" w:rsidR="00705872" w:rsidRDefault="00987F92">
      <w:pPr>
        <w:pStyle w:val="Heading1"/>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Policy Implications</w:t>
      </w:r>
    </w:p>
    <w:p w14:paraId="1C6B051D" w14:textId="77777777" w:rsidR="00705872" w:rsidRDefault="00987F92">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indicate that there are various policy directions:</w:t>
      </w:r>
    </w:p>
    <w:p w14:paraId="50AFD9A3" w14:textId="77777777" w:rsidR="00705872" w:rsidRDefault="00987F92">
      <w:pPr>
        <w:pStyle w:val="Heading1"/>
        <w:numPr>
          <w:ilvl w:val="0"/>
          <w:numId w:val="5"/>
        </w:num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Public Leisure Infrastructure Promotion: Leisure can be promoted by expansion of parks, waterfronts, and cultural spaces which are cheap and do not impact the environment.</w:t>
      </w:r>
    </w:p>
    <w:p w14:paraId="053D3396" w14:textId="77777777" w:rsidR="00705872" w:rsidRDefault="00987F92">
      <w:pPr>
        <w:pStyle w:val="Heading1"/>
        <w:numPr>
          <w:ilvl w:val="0"/>
          <w:numId w:val="5"/>
        </w:numPr>
        <w:spacing w:before="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Sustainable Mobility Integration: Leisure travel can be discouraged by walking, cycling, and using public transport to cut down on the emissions.</w:t>
      </w:r>
    </w:p>
    <w:p w14:paraId="17F0AE27" w14:textId="77777777" w:rsidR="00705872" w:rsidRDefault="00987F92">
      <w:pPr>
        <w:pStyle w:val="Heading1"/>
        <w:numPr>
          <w:ilvl w:val="0"/>
          <w:numId w:val="5"/>
        </w:numPr>
        <w:spacing w:before="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Funding Local Services: There can be the </w:t>
      </w:r>
      <w:proofErr w:type="spellStart"/>
      <w:r>
        <w:rPr>
          <w:rFonts w:ascii="Times New Roman" w:eastAsia="Times New Roman" w:hAnsi="Times New Roman" w:cs="Times New Roman"/>
          <w:sz w:val="24"/>
          <w:szCs w:val="24"/>
        </w:rPr>
        <w:t>incentivisation</w:t>
      </w:r>
      <w:proofErr w:type="spellEnd"/>
      <w:r>
        <w:rPr>
          <w:rFonts w:ascii="Times New Roman" w:eastAsia="Times New Roman" w:hAnsi="Times New Roman" w:cs="Times New Roman"/>
          <w:sz w:val="24"/>
          <w:szCs w:val="24"/>
        </w:rPr>
        <w:t xml:space="preserve"> of local, low waste food and recreation providers to bring leisure expenditure in line with sustainability aims.</w:t>
      </w:r>
    </w:p>
    <w:p w14:paraId="0755CB8A" w14:textId="77777777" w:rsidR="00705872" w:rsidRDefault="00987F92">
      <w:pPr>
        <w:pStyle w:val="Heading1"/>
        <w:numPr>
          <w:ilvl w:val="0"/>
          <w:numId w:val="5"/>
        </w:numPr>
        <w:spacing w:before="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Inclusive Pricing Strategies: Income-sensitive pricing has the capacity to bring fair use of leisure facilities.</w:t>
      </w:r>
    </w:p>
    <w:p w14:paraId="016E178C" w14:textId="77777777" w:rsidR="00705872" w:rsidRDefault="00987F92">
      <w:pPr>
        <w:pStyle w:val="Heading1"/>
        <w:numPr>
          <w:ilvl w:val="0"/>
          <w:numId w:val="5"/>
        </w:numPr>
        <w:spacing w:before="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Raising Awareness and Education Campaigns: Educated families can become some of the early adopters of sustainable leisure practices</w:t>
      </w:r>
    </w:p>
    <w:p w14:paraId="778A01FD" w14:textId="77777777" w:rsidR="00705872" w:rsidRDefault="00987F92">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the whole, the discussion shows that the leisure spending in urban Mumbai in 20222025 is mainly income-related, with occupation, education, gender, age, and household size having some contextual impacts. The pandemic period is a shift to experiential consumption with regard to shifting urban dreams.</w:t>
      </w:r>
    </w:p>
    <w:p w14:paraId="047B4698" w14:textId="77777777" w:rsidR="00705872" w:rsidRDefault="00987F92">
      <w:pPr>
        <w:pStyle w:val="Heading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Placing leisure spending in a sustainability context, the paper has indicated that discretionary consumption is an area that should be re-conceived as a policy-relevant area. Sustainable leisure does not mean limitations to pleasure but is the repositioning of city consumption that would ensure that economic activity, social inclusion and environmental stewardship are balanced.</w:t>
      </w:r>
    </w:p>
    <w:p w14:paraId="084FE1A8" w14:textId="77777777" w:rsidR="00705872" w:rsidRDefault="00987F92">
      <w:pPr>
        <w:pStyle w:val="Heading2"/>
        <w:spacing w:after="80" w:line="360" w:lineRule="auto"/>
        <w:jc w:val="both"/>
        <w:rPr>
          <w:rFonts w:ascii="Times New Roman" w:eastAsia="Times New Roman" w:hAnsi="Times New Roman" w:cs="Times New Roman"/>
          <w:b/>
          <w:bCs/>
          <w:sz w:val="24"/>
          <w:szCs w:val="24"/>
        </w:rPr>
      </w:pPr>
      <w:bookmarkStart w:id="20" w:name="_heading=h.ssr831bkrba0" w:colFirst="0" w:colLast="0"/>
      <w:bookmarkEnd w:id="20"/>
      <w:r>
        <w:rPr>
          <w:rFonts w:ascii="Times New Roman" w:eastAsia="Times New Roman" w:hAnsi="Times New Roman" w:cs="Times New Roman"/>
          <w:b/>
          <w:bCs/>
          <w:sz w:val="24"/>
          <w:szCs w:val="24"/>
        </w:rPr>
        <w:t>Conclusion</w:t>
      </w:r>
    </w:p>
    <w:p w14:paraId="7B90927D" w14:textId="77777777" w:rsidR="00705872" w:rsidRDefault="00987F92">
      <w:pPr>
        <w:pStyle w:val="Heading2"/>
        <w:spacing w:after="80" w:line="360" w:lineRule="auto"/>
        <w:jc w:val="both"/>
        <w:rPr>
          <w:rFonts w:ascii="Times New Roman" w:eastAsia="Times New Roman" w:hAnsi="Times New Roman" w:cs="Times New Roman"/>
          <w:sz w:val="24"/>
          <w:szCs w:val="24"/>
        </w:rPr>
      </w:pPr>
      <w:bookmarkStart w:id="21" w:name="_heading=h.h8c69duv9ug2" w:colFirst="0" w:colLast="0"/>
      <w:bookmarkEnd w:id="21"/>
      <w:r>
        <w:rPr>
          <w:rFonts w:ascii="Times New Roman" w:eastAsia="Times New Roman" w:hAnsi="Times New Roman" w:cs="Times New Roman"/>
          <w:sz w:val="24"/>
          <w:szCs w:val="24"/>
        </w:rPr>
        <w:t>The study shows that leisure spending in urban Mumbai is mainly influenced by income, while other socio-economic factors affect consumption choices to different extents over time. The paper shows that responsible consumption is important in cities that are growing quickly by putting leisure spending in the context of sustainability. Sustainable leisure doesn't mean lowering the quality of life; it means making city living more balanced in terms of economic growth, social inclusion, and environmental responsibility.</w:t>
      </w:r>
    </w:p>
    <w:p w14:paraId="7450C8E8" w14:textId="77777777" w:rsidR="00705872" w:rsidRDefault="00987F92">
      <w:pPr>
        <w:pStyle w:val="Heading2"/>
        <w:spacing w:after="80" w:line="360" w:lineRule="auto"/>
        <w:jc w:val="both"/>
        <w:rPr>
          <w:rFonts w:ascii="Times New Roman" w:eastAsia="Times New Roman" w:hAnsi="Times New Roman" w:cs="Times New Roman"/>
          <w:b/>
          <w:bCs/>
          <w:sz w:val="24"/>
          <w:szCs w:val="24"/>
        </w:rPr>
      </w:pPr>
      <w:bookmarkStart w:id="22" w:name="_heading=h.3dxjuzk9ro2j" w:colFirst="0" w:colLast="0"/>
      <w:bookmarkEnd w:id="22"/>
      <w:r>
        <w:rPr>
          <w:rFonts w:ascii="Times New Roman" w:eastAsia="Times New Roman" w:hAnsi="Times New Roman" w:cs="Times New Roman"/>
          <w:b/>
          <w:bCs/>
          <w:sz w:val="24"/>
          <w:szCs w:val="24"/>
        </w:rPr>
        <w:t>Scope for Future Research</w:t>
      </w:r>
    </w:p>
    <w:p w14:paraId="5A386417" w14:textId="77777777" w:rsidR="00705872" w:rsidRDefault="00987F92">
      <w:pPr>
        <w:pStyle w:val="Heading1"/>
        <w:spacing w:before="240" w:after="240" w:line="360" w:lineRule="auto"/>
        <w:jc w:val="both"/>
        <w:rPr>
          <w:rFonts w:ascii="Times New Roman" w:eastAsia="Times New Roman" w:hAnsi="Times New Roman" w:cs="Times New Roman"/>
          <w:sz w:val="24"/>
          <w:szCs w:val="24"/>
        </w:rPr>
      </w:pPr>
      <w:bookmarkStart w:id="23" w:name="_heading=h.wynicb8du79" w:colFirst="0" w:colLast="0"/>
      <w:bookmarkEnd w:id="23"/>
      <w:r>
        <w:rPr>
          <w:rFonts w:ascii="Times New Roman" w:eastAsia="Times New Roman" w:hAnsi="Times New Roman" w:cs="Times New Roman"/>
          <w:sz w:val="24"/>
          <w:szCs w:val="24"/>
        </w:rPr>
        <w:t xml:space="preserve">Future studies can improve understanding of leisure spending by including environmental factors such as carbon emissions, energy use, and waste linked to leisure activities. This would help show how leisure choices affect the environment. Researchers can also compare spending patterns across different cities or between urban and rural areas to see how access and income shape leisure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In addition, interviews or surveys can be used to understand how people think about environmentally friendly leisure options. These methods can support numerical analysis and help design policies that encourage more sustainable leisure consumption.</w:t>
      </w:r>
    </w:p>
    <w:p w14:paraId="4064B147" w14:textId="77777777" w:rsidR="00705872" w:rsidRDefault="00987F92">
      <w:pPr>
        <w:pStyle w:val="Heading1"/>
        <w:spacing w:before="48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71F1D259" w14:textId="77777777" w:rsidR="00705872" w:rsidRDefault="00705872">
      <w:pPr>
        <w:spacing w:line="360" w:lineRule="auto"/>
        <w:rPr>
          <w:rFonts w:ascii="Times New Roman" w:eastAsia="Times New Roman" w:hAnsi="Times New Roman" w:cs="Times New Roman"/>
          <w:sz w:val="24"/>
          <w:szCs w:val="24"/>
        </w:rPr>
      </w:pPr>
    </w:p>
    <w:p w14:paraId="651F8D33" w14:textId="77777777" w:rsidR="00705872" w:rsidRDefault="00987F9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Agarwal, S., Ghosh, P., &amp; Sen, R. (2022). Post-pandemic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in urban India: Evidence from discretionary spending. </w:t>
      </w:r>
      <w:r>
        <w:rPr>
          <w:rFonts w:ascii="Times New Roman" w:eastAsia="Times New Roman" w:hAnsi="Times New Roman" w:cs="Times New Roman"/>
          <w:i/>
          <w:iCs/>
          <w:sz w:val="24"/>
          <w:szCs w:val="24"/>
        </w:rPr>
        <w:t>Economic and Political Weekly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57</w:t>
      </w:r>
      <w:r>
        <w:rPr>
          <w:rFonts w:ascii="Times New Roman" w:eastAsia="Times New Roman" w:hAnsi="Times New Roman" w:cs="Times New Roman"/>
          <w:sz w:val="24"/>
          <w:szCs w:val="24"/>
        </w:rPr>
        <w:t>(18), 45–53.</w:t>
      </w:r>
    </w:p>
    <w:p w14:paraId="0678DAE3" w14:textId="77777777" w:rsidR="00705872" w:rsidRDefault="00987F92">
      <w:pPr>
        <w:spacing w:before="240" w:after="24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Ahmed, M. R. (2023). Household consumption expenditure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towards outside ready-made food: Evidence from Bangladesh. </w:t>
      </w:r>
      <w:proofErr w:type="spellStart"/>
      <w:r>
        <w:rPr>
          <w:rFonts w:ascii="Times New Roman" w:eastAsia="Times New Roman" w:hAnsi="Times New Roman" w:cs="Times New Roman"/>
          <w:i/>
          <w:iCs/>
          <w:sz w:val="24"/>
          <w:szCs w:val="24"/>
        </w:rPr>
        <w:t>Heliyon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9</w:t>
      </w:r>
      <w:r>
        <w:rPr>
          <w:rFonts w:ascii="Times New Roman" w:eastAsia="Times New Roman" w:hAnsi="Times New Roman" w:cs="Times New Roman"/>
          <w:sz w:val="24"/>
          <w:szCs w:val="24"/>
        </w:rPr>
        <w:t>(9), e19793.</w:t>
      </w:r>
      <w:r>
        <w:rPr>
          <w:rFonts w:ascii="Times New Roman" w:eastAsia="Times New Roman" w:hAnsi="Times New Roman" w:cs="Times New Roman"/>
          <w:sz w:val="24"/>
          <w:szCs w:val="24"/>
        </w:rPr>
        <w:br/>
      </w:r>
      <w:hyperlink r:id="rId8">
        <w:r w:rsidR="00705872">
          <w:rPr>
            <w:rFonts w:ascii="Times New Roman" w:eastAsia="Times New Roman" w:hAnsi="Times New Roman" w:cs="Times New Roman"/>
            <w:color w:val="1155CC"/>
            <w:sz w:val="24"/>
            <w:szCs w:val="24"/>
            <w:u w:val="single"/>
          </w:rPr>
          <w:t>https://www.ncbi.nlm.nih.gov/pmc/articles/PMC10559104/</w:t>
        </w:r>
      </w:hyperlink>
    </w:p>
    <w:p w14:paraId="6571E585" w14:textId="77777777" w:rsidR="00705872" w:rsidRDefault="00987F92">
      <w:pPr>
        <w:spacing w:before="240" w:after="24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Banks, J., Blundell, R., &amp; </w:t>
      </w:r>
      <w:proofErr w:type="spellStart"/>
      <w:r>
        <w:rPr>
          <w:rFonts w:ascii="Times New Roman" w:eastAsia="Times New Roman" w:hAnsi="Times New Roman" w:cs="Times New Roman"/>
          <w:sz w:val="24"/>
          <w:szCs w:val="24"/>
        </w:rPr>
        <w:t>Lewbel</w:t>
      </w:r>
      <w:proofErr w:type="spellEnd"/>
      <w:r>
        <w:rPr>
          <w:rFonts w:ascii="Times New Roman" w:eastAsia="Times New Roman" w:hAnsi="Times New Roman" w:cs="Times New Roman"/>
          <w:sz w:val="24"/>
          <w:szCs w:val="24"/>
        </w:rPr>
        <w:t xml:space="preserve">, A. (1997). Quadratic Engel curves and consumer demand. </w:t>
      </w:r>
      <w:r>
        <w:rPr>
          <w:rFonts w:ascii="Times New Roman" w:eastAsia="Times New Roman" w:hAnsi="Times New Roman" w:cs="Times New Roman"/>
          <w:i/>
          <w:iCs/>
          <w:sz w:val="24"/>
          <w:szCs w:val="24"/>
        </w:rPr>
        <w:t>Review of Economics and Statistics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79</w:t>
      </w:r>
      <w:r>
        <w:rPr>
          <w:rFonts w:ascii="Times New Roman" w:eastAsia="Times New Roman" w:hAnsi="Times New Roman" w:cs="Times New Roman"/>
          <w:sz w:val="24"/>
          <w:szCs w:val="24"/>
        </w:rPr>
        <w:t>(4), 527–539.</w:t>
      </w:r>
      <w:r>
        <w:rPr>
          <w:rFonts w:ascii="Times New Roman" w:eastAsia="Times New Roman" w:hAnsi="Times New Roman" w:cs="Times New Roman"/>
          <w:sz w:val="24"/>
          <w:szCs w:val="24"/>
        </w:rPr>
        <w:br/>
      </w:r>
      <w:hyperlink r:id="rId9">
        <w:r w:rsidR="00705872">
          <w:rPr>
            <w:rFonts w:ascii="Times New Roman" w:eastAsia="Times New Roman" w:hAnsi="Times New Roman" w:cs="Times New Roman"/>
            <w:color w:val="1155CC"/>
            <w:sz w:val="24"/>
            <w:szCs w:val="24"/>
            <w:u w:val="single"/>
          </w:rPr>
          <w:t>https://doi.org/10.1162/003465397557015</w:t>
        </w:r>
      </w:hyperlink>
    </w:p>
    <w:p w14:paraId="5D7EFBDA" w14:textId="77777777" w:rsidR="00705872" w:rsidRDefault="00987F92">
      <w:pPr>
        <w:spacing w:before="240" w:after="24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Bhattacharya, S., &amp; Roy, S. (2023). Income inequality and recovery of urban consumption in post-COVID India. </w:t>
      </w:r>
      <w:r>
        <w:rPr>
          <w:rFonts w:ascii="Times New Roman" w:eastAsia="Times New Roman" w:hAnsi="Times New Roman" w:cs="Times New Roman"/>
          <w:i/>
          <w:iCs/>
          <w:sz w:val="24"/>
          <w:szCs w:val="24"/>
        </w:rPr>
        <w:t>Journal of Asian Economics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86</w:t>
      </w:r>
      <w:r>
        <w:rPr>
          <w:rFonts w:ascii="Times New Roman" w:eastAsia="Times New Roman" w:hAnsi="Times New Roman" w:cs="Times New Roman"/>
          <w:sz w:val="24"/>
          <w:szCs w:val="24"/>
        </w:rPr>
        <w:t>, 101607.</w:t>
      </w:r>
      <w:r>
        <w:rPr>
          <w:rFonts w:ascii="Times New Roman" w:eastAsia="Times New Roman" w:hAnsi="Times New Roman" w:cs="Times New Roman"/>
          <w:sz w:val="24"/>
          <w:szCs w:val="24"/>
        </w:rPr>
        <w:br/>
      </w:r>
      <w:hyperlink r:id="rId10">
        <w:r w:rsidR="00705872">
          <w:rPr>
            <w:rFonts w:ascii="Times New Roman" w:eastAsia="Times New Roman" w:hAnsi="Times New Roman" w:cs="Times New Roman"/>
            <w:color w:val="1155CC"/>
            <w:sz w:val="24"/>
            <w:szCs w:val="24"/>
            <w:u w:val="single"/>
          </w:rPr>
          <w:t>https://doi.org/10.1016/j.asieco.2023.101607</w:t>
        </w:r>
      </w:hyperlink>
    </w:p>
    <w:p w14:paraId="6B90C08C" w14:textId="77777777" w:rsidR="00705872" w:rsidRDefault="00987F92">
      <w:pPr>
        <w:spacing w:before="240" w:after="24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Chakraborty, S., &amp; Singh, R. (2018). Changing household structures and consumption patterns in urban India. </w:t>
      </w:r>
      <w:r>
        <w:rPr>
          <w:rFonts w:ascii="Times New Roman" w:eastAsia="Times New Roman" w:hAnsi="Times New Roman" w:cs="Times New Roman"/>
          <w:i/>
          <w:iCs/>
          <w:sz w:val="24"/>
          <w:szCs w:val="24"/>
        </w:rPr>
        <w:t>Indian Journal of Human Development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12</w:t>
      </w:r>
      <w:r>
        <w:rPr>
          <w:rFonts w:ascii="Times New Roman" w:eastAsia="Times New Roman" w:hAnsi="Times New Roman" w:cs="Times New Roman"/>
          <w:sz w:val="24"/>
          <w:szCs w:val="24"/>
        </w:rPr>
        <w:t>(2), 214–230.</w:t>
      </w:r>
      <w:r>
        <w:rPr>
          <w:rFonts w:ascii="Times New Roman" w:eastAsia="Times New Roman" w:hAnsi="Times New Roman" w:cs="Times New Roman"/>
          <w:sz w:val="24"/>
          <w:szCs w:val="24"/>
        </w:rPr>
        <w:br/>
      </w:r>
      <w:hyperlink r:id="rId11">
        <w:r w:rsidR="00705872">
          <w:rPr>
            <w:rFonts w:ascii="Times New Roman" w:eastAsia="Times New Roman" w:hAnsi="Times New Roman" w:cs="Times New Roman"/>
            <w:color w:val="1155CC"/>
            <w:sz w:val="24"/>
            <w:szCs w:val="24"/>
            <w:u w:val="single"/>
          </w:rPr>
          <w:t>https://doi.org/10.1177/0973703018793826</w:t>
        </w:r>
      </w:hyperlink>
    </w:p>
    <w:p w14:paraId="2B379958" w14:textId="77777777" w:rsidR="00705872" w:rsidRDefault="00987F9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Deaton, A., &amp; </w:t>
      </w:r>
      <w:proofErr w:type="spellStart"/>
      <w:r>
        <w:rPr>
          <w:rFonts w:ascii="Times New Roman" w:eastAsia="Times New Roman" w:hAnsi="Times New Roman" w:cs="Times New Roman"/>
          <w:sz w:val="24"/>
          <w:szCs w:val="24"/>
        </w:rPr>
        <w:t>Muellbauer</w:t>
      </w:r>
      <w:proofErr w:type="spellEnd"/>
      <w:r>
        <w:rPr>
          <w:rFonts w:ascii="Times New Roman" w:eastAsia="Times New Roman" w:hAnsi="Times New Roman" w:cs="Times New Roman"/>
          <w:sz w:val="24"/>
          <w:szCs w:val="24"/>
        </w:rPr>
        <w:t xml:space="preserve">, J. (1980). </w:t>
      </w:r>
      <w:r>
        <w:rPr>
          <w:rFonts w:ascii="Times New Roman" w:eastAsia="Times New Roman" w:hAnsi="Times New Roman" w:cs="Times New Roman"/>
          <w:i/>
          <w:iCs/>
          <w:sz w:val="24"/>
          <w:szCs w:val="24"/>
        </w:rPr>
        <w:t>Economics and consumer behavior</w:t>
      </w:r>
      <w:r>
        <w:rPr>
          <w:rFonts w:ascii="Times New Roman" w:eastAsia="Times New Roman" w:hAnsi="Times New Roman" w:cs="Times New Roman"/>
          <w:sz w:val="24"/>
          <w:szCs w:val="24"/>
        </w:rPr>
        <w:t>. Cambridge University Press.</w:t>
      </w:r>
    </w:p>
    <w:p w14:paraId="0F02A0C2" w14:textId="77777777" w:rsidR="00705872" w:rsidRDefault="00987F92">
      <w:pPr>
        <w:spacing w:before="240" w:after="240" w:line="360" w:lineRule="auto"/>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Gössling</w:t>
      </w:r>
      <w:proofErr w:type="spellEnd"/>
      <w:r>
        <w:rPr>
          <w:rFonts w:ascii="Times New Roman" w:eastAsia="Times New Roman" w:hAnsi="Times New Roman" w:cs="Times New Roman"/>
          <w:sz w:val="24"/>
          <w:szCs w:val="24"/>
        </w:rPr>
        <w:t xml:space="preserve">, S., Garrod, B., </w:t>
      </w:r>
      <w:proofErr w:type="spellStart"/>
      <w:r>
        <w:rPr>
          <w:rFonts w:ascii="Times New Roman" w:eastAsia="Times New Roman" w:hAnsi="Times New Roman" w:cs="Times New Roman"/>
          <w:sz w:val="24"/>
          <w:szCs w:val="24"/>
        </w:rPr>
        <w:t>Aall</w:t>
      </w:r>
      <w:proofErr w:type="spellEnd"/>
      <w:r>
        <w:rPr>
          <w:rFonts w:ascii="Times New Roman" w:eastAsia="Times New Roman" w:hAnsi="Times New Roman" w:cs="Times New Roman"/>
          <w:sz w:val="24"/>
          <w:szCs w:val="24"/>
        </w:rPr>
        <w:t xml:space="preserve">, C., Hille, J., &amp; Peeters, P. M. (2011). Food management in tourism: Reducing tourism’s carbon ‘foodprint’. </w:t>
      </w:r>
      <w:r>
        <w:rPr>
          <w:rFonts w:ascii="Times New Roman" w:eastAsia="Times New Roman" w:hAnsi="Times New Roman" w:cs="Times New Roman"/>
          <w:i/>
          <w:iCs/>
          <w:sz w:val="24"/>
          <w:szCs w:val="24"/>
        </w:rPr>
        <w:t>Tourism Management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32</w:t>
      </w:r>
      <w:r>
        <w:rPr>
          <w:rFonts w:ascii="Times New Roman" w:eastAsia="Times New Roman" w:hAnsi="Times New Roman" w:cs="Times New Roman"/>
          <w:sz w:val="24"/>
          <w:szCs w:val="24"/>
        </w:rPr>
        <w:t>(3), 534–543.</w:t>
      </w:r>
      <w:r>
        <w:rPr>
          <w:rFonts w:ascii="Times New Roman" w:eastAsia="Times New Roman" w:hAnsi="Times New Roman" w:cs="Times New Roman"/>
          <w:sz w:val="24"/>
          <w:szCs w:val="24"/>
        </w:rPr>
        <w:br/>
      </w:r>
      <w:hyperlink r:id="rId12">
        <w:r w:rsidR="00705872">
          <w:rPr>
            <w:rFonts w:ascii="Times New Roman" w:eastAsia="Times New Roman" w:hAnsi="Times New Roman" w:cs="Times New Roman"/>
            <w:color w:val="1155CC"/>
            <w:sz w:val="24"/>
            <w:szCs w:val="24"/>
            <w:u w:val="single"/>
          </w:rPr>
          <w:t>https://doi.org/10.1016/j.tourman.2010.04.006</w:t>
        </w:r>
      </w:hyperlink>
    </w:p>
    <w:p w14:paraId="72DDF981" w14:textId="77777777" w:rsidR="00705872" w:rsidRDefault="00987F92">
      <w:pPr>
        <w:spacing w:before="240" w:after="240" w:line="360" w:lineRule="auto"/>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Gössling</w:t>
      </w:r>
      <w:proofErr w:type="spellEnd"/>
      <w:r>
        <w:rPr>
          <w:rFonts w:ascii="Times New Roman" w:eastAsia="Times New Roman" w:hAnsi="Times New Roman" w:cs="Times New Roman"/>
          <w:sz w:val="24"/>
          <w:szCs w:val="24"/>
        </w:rPr>
        <w:t xml:space="preserve">, S., Hall, C. M., Peeters, P., &amp; Scott, D. (2015). Tourism and carbon emissions: A global perspective. </w:t>
      </w:r>
      <w:r>
        <w:rPr>
          <w:rFonts w:ascii="Times New Roman" w:eastAsia="Times New Roman" w:hAnsi="Times New Roman" w:cs="Times New Roman"/>
          <w:i/>
          <w:iCs/>
          <w:sz w:val="24"/>
          <w:szCs w:val="24"/>
        </w:rPr>
        <w:t>Journal of Sustainable Tourism</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23</w:t>
      </w:r>
      <w:r>
        <w:rPr>
          <w:rFonts w:ascii="Times New Roman" w:eastAsia="Times New Roman" w:hAnsi="Times New Roman" w:cs="Times New Roman"/>
          <w:sz w:val="24"/>
          <w:szCs w:val="24"/>
        </w:rPr>
        <w:t>(5), 639–659.</w:t>
      </w:r>
      <w:r>
        <w:rPr>
          <w:rFonts w:ascii="Times New Roman" w:eastAsia="Times New Roman" w:hAnsi="Times New Roman" w:cs="Times New Roman"/>
          <w:sz w:val="24"/>
          <w:szCs w:val="24"/>
        </w:rPr>
        <w:br/>
      </w:r>
      <w:hyperlink r:id="rId13">
        <w:r w:rsidR="00705872">
          <w:rPr>
            <w:rFonts w:ascii="Times New Roman" w:eastAsia="Times New Roman" w:hAnsi="Times New Roman" w:cs="Times New Roman"/>
            <w:color w:val="1155CC"/>
            <w:sz w:val="24"/>
            <w:szCs w:val="24"/>
            <w:u w:val="single"/>
          </w:rPr>
          <w:t>https://doi.org/10.1080/09669582.2014.1001860</w:t>
        </w:r>
      </w:hyperlink>
    </w:p>
    <w:p w14:paraId="48B9D18F" w14:textId="77777777" w:rsidR="00705872" w:rsidRDefault="00987F92">
      <w:pPr>
        <w:spacing w:before="240" w:after="240" w:line="360" w:lineRule="auto"/>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Gössling</w:t>
      </w:r>
      <w:proofErr w:type="spellEnd"/>
      <w:r>
        <w:rPr>
          <w:rFonts w:ascii="Times New Roman" w:eastAsia="Times New Roman" w:hAnsi="Times New Roman" w:cs="Times New Roman"/>
          <w:sz w:val="24"/>
          <w:szCs w:val="24"/>
        </w:rPr>
        <w:t xml:space="preserve">, S., Scott, D., &amp; Hall, C. M. (2015). Inter-market variability in CO₂ emission-intensities in tourism: Implications for destination marketing and carbon management. </w:t>
      </w:r>
      <w:r>
        <w:rPr>
          <w:rFonts w:ascii="Times New Roman" w:eastAsia="Times New Roman" w:hAnsi="Times New Roman" w:cs="Times New Roman"/>
          <w:i/>
          <w:iCs/>
          <w:sz w:val="24"/>
          <w:szCs w:val="24"/>
        </w:rPr>
        <w:t>Tourism Management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lastRenderedPageBreak/>
        <w:t>46</w:t>
      </w:r>
      <w:r>
        <w:rPr>
          <w:rFonts w:ascii="Times New Roman" w:eastAsia="Times New Roman" w:hAnsi="Times New Roman" w:cs="Times New Roman"/>
          <w:sz w:val="24"/>
          <w:szCs w:val="24"/>
        </w:rPr>
        <w:t>, 203–212.</w:t>
      </w:r>
      <w:r>
        <w:rPr>
          <w:rFonts w:ascii="Times New Roman" w:eastAsia="Times New Roman" w:hAnsi="Times New Roman" w:cs="Times New Roman"/>
          <w:sz w:val="24"/>
          <w:szCs w:val="24"/>
        </w:rPr>
        <w:br/>
      </w:r>
      <w:hyperlink r:id="rId14">
        <w:r w:rsidR="00705872">
          <w:rPr>
            <w:rFonts w:ascii="Times New Roman" w:eastAsia="Times New Roman" w:hAnsi="Times New Roman" w:cs="Times New Roman"/>
            <w:color w:val="1155CC"/>
            <w:sz w:val="24"/>
            <w:szCs w:val="24"/>
            <w:u w:val="single"/>
          </w:rPr>
          <w:t>https://doi.org/10.1016/j.tourman.2014.06.021</w:t>
        </w:r>
      </w:hyperlink>
    </w:p>
    <w:p w14:paraId="1BA932FE" w14:textId="77777777" w:rsidR="00705872" w:rsidRDefault="00987F92">
      <w:pPr>
        <w:spacing w:before="240" w:after="24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Haddad, A. J., Mondal, A., &amp; Bhat, C. R. (2023). Eat-in or eat-out? A joint model to analyze the new landscape of dinner meal preferences. </w:t>
      </w:r>
      <w:r>
        <w:rPr>
          <w:rFonts w:ascii="Times New Roman" w:eastAsia="Times New Roman" w:hAnsi="Times New Roman" w:cs="Times New Roman"/>
          <w:i/>
          <w:iCs/>
          <w:sz w:val="24"/>
          <w:szCs w:val="24"/>
        </w:rPr>
        <w:t>Transportation Research Part C: Emerging Technologies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147</w:t>
      </w:r>
      <w:r>
        <w:rPr>
          <w:rFonts w:ascii="Times New Roman" w:eastAsia="Times New Roman" w:hAnsi="Times New Roman" w:cs="Times New Roman"/>
          <w:sz w:val="24"/>
          <w:szCs w:val="24"/>
        </w:rPr>
        <w:t>, 104016.</w:t>
      </w:r>
      <w:r>
        <w:rPr>
          <w:rFonts w:ascii="Times New Roman" w:eastAsia="Times New Roman" w:hAnsi="Times New Roman" w:cs="Times New Roman"/>
          <w:sz w:val="24"/>
          <w:szCs w:val="24"/>
        </w:rPr>
        <w:br/>
      </w:r>
      <w:hyperlink r:id="rId15">
        <w:r w:rsidR="00705872">
          <w:rPr>
            <w:rFonts w:ascii="Times New Roman" w:eastAsia="Times New Roman" w:hAnsi="Times New Roman" w:cs="Times New Roman"/>
            <w:color w:val="1155CC"/>
            <w:sz w:val="24"/>
            <w:szCs w:val="24"/>
            <w:u w:val="single"/>
          </w:rPr>
          <w:t>https://doi.org/10.1016/j.trc.2023.104016</w:t>
        </w:r>
      </w:hyperlink>
    </w:p>
    <w:p w14:paraId="4515FE29" w14:textId="77777777" w:rsidR="00705872" w:rsidRDefault="00987F92">
      <w:pPr>
        <w:spacing w:before="240" w:after="24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International Monetary Fund. (2023). </w:t>
      </w:r>
      <w:r>
        <w:rPr>
          <w:rFonts w:ascii="Times New Roman" w:eastAsia="Times New Roman" w:hAnsi="Times New Roman" w:cs="Times New Roman"/>
          <w:i/>
          <w:iCs/>
          <w:sz w:val="24"/>
          <w:szCs w:val="24"/>
        </w:rPr>
        <w:t>Inequality and poverty in India: Impact of COVID-19 pandemic and policy response</w:t>
      </w:r>
      <w:r>
        <w:rPr>
          <w:rFonts w:ascii="Times New Roman" w:eastAsia="Times New Roman" w:hAnsi="Times New Roman" w:cs="Times New Roman"/>
          <w:sz w:val="24"/>
          <w:szCs w:val="24"/>
        </w:rPr>
        <w:t xml:space="preserve"> (IMF Working Paper No. 2023/147).</w:t>
      </w:r>
      <w:r>
        <w:rPr>
          <w:rFonts w:ascii="Times New Roman" w:eastAsia="Times New Roman" w:hAnsi="Times New Roman" w:cs="Times New Roman"/>
          <w:sz w:val="24"/>
          <w:szCs w:val="24"/>
        </w:rPr>
        <w:br/>
      </w:r>
      <w:hyperlink r:id="rId16">
        <w:r w:rsidR="00705872">
          <w:rPr>
            <w:rFonts w:ascii="Times New Roman" w:eastAsia="Times New Roman" w:hAnsi="Times New Roman" w:cs="Times New Roman"/>
            <w:color w:val="1155CC"/>
            <w:sz w:val="24"/>
            <w:szCs w:val="24"/>
            <w:u w:val="single"/>
          </w:rPr>
          <w:t>https://www.imf.org/en/Publications/WP/Issues/2023/07/20/Inequality-and-Poverty-in-India-Impact-of-COVID-19-Pandemic-and-Policy-Response-535908</w:t>
        </w:r>
      </w:hyperlink>
    </w:p>
    <w:p w14:paraId="77C43419" w14:textId="77777777" w:rsidR="00705872" w:rsidRDefault="00987F9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Jackson, T. (2009). </w:t>
      </w:r>
      <w:r>
        <w:rPr>
          <w:rFonts w:ascii="Times New Roman" w:eastAsia="Times New Roman" w:hAnsi="Times New Roman" w:cs="Times New Roman"/>
          <w:i/>
          <w:iCs/>
          <w:sz w:val="24"/>
          <w:szCs w:val="24"/>
        </w:rPr>
        <w:t>Prosperity without growth: Economics for a finite planet</w:t>
      </w:r>
      <w:r>
        <w:rPr>
          <w:rFonts w:ascii="Times New Roman" w:eastAsia="Times New Roman" w:hAnsi="Times New Roman" w:cs="Times New Roman"/>
          <w:sz w:val="24"/>
          <w:szCs w:val="24"/>
        </w:rPr>
        <w:t>. Earthscan.</w:t>
      </w:r>
    </w:p>
    <w:p w14:paraId="3D0F8EAE" w14:textId="77777777" w:rsidR="00705872" w:rsidRDefault="00987F92">
      <w:pPr>
        <w:spacing w:before="240" w:after="240" w:line="360" w:lineRule="auto"/>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Jagannarayan</w:t>
      </w:r>
      <w:proofErr w:type="spellEnd"/>
      <w:r>
        <w:rPr>
          <w:rFonts w:ascii="Times New Roman" w:eastAsia="Times New Roman" w:hAnsi="Times New Roman" w:cs="Times New Roman"/>
          <w:sz w:val="24"/>
          <w:szCs w:val="24"/>
        </w:rPr>
        <w:t xml:space="preserve">, N. (2025). Sustainable health financing and resource allocation: An empirical analysis of urban households in Mumbai (2022–2025). </w:t>
      </w:r>
      <w:proofErr w:type="spellStart"/>
      <w:r>
        <w:rPr>
          <w:rFonts w:ascii="Times New Roman" w:eastAsia="Times New Roman" w:hAnsi="Times New Roman" w:cs="Times New Roman"/>
          <w:i/>
          <w:iCs/>
          <w:sz w:val="24"/>
          <w:szCs w:val="24"/>
        </w:rPr>
        <w:t>Shanlax</w:t>
      </w:r>
      <w:proofErr w:type="spellEnd"/>
      <w:r>
        <w:rPr>
          <w:rFonts w:ascii="Times New Roman" w:eastAsia="Times New Roman" w:hAnsi="Times New Roman" w:cs="Times New Roman"/>
          <w:i/>
          <w:iCs/>
          <w:sz w:val="24"/>
          <w:szCs w:val="24"/>
        </w:rPr>
        <w:t xml:space="preserve"> International Journal of Economics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14</w:t>
      </w:r>
      <w:r>
        <w:rPr>
          <w:rFonts w:ascii="Times New Roman" w:eastAsia="Times New Roman" w:hAnsi="Times New Roman" w:cs="Times New Roman"/>
          <w:sz w:val="24"/>
          <w:szCs w:val="24"/>
        </w:rPr>
        <w:t>(1), 1–15.</w:t>
      </w:r>
      <w:r>
        <w:rPr>
          <w:rFonts w:ascii="Times New Roman" w:eastAsia="Times New Roman" w:hAnsi="Times New Roman" w:cs="Times New Roman"/>
          <w:sz w:val="24"/>
          <w:szCs w:val="24"/>
        </w:rPr>
        <w:br/>
      </w:r>
      <w:hyperlink r:id="rId17">
        <w:r w:rsidR="00705872">
          <w:rPr>
            <w:rFonts w:ascii="Times New Roman" w:eastAsia="Times New Roman" w:hAnsi="Times New Roman" w:cs="Times New Roman"/>
            <w:color w:val="1155CC"/>
            <w:sz w:val="24"/>
            <w:szCs w:val="24"/>
            <w:u w:val="single"/>
          </w:rPr>
          <w:t>https://doi.org/10.34293/eco.v14i1.9720</w:t>
        </w:r>
      </w:hyperlink>
    </w:p>
    <w:p w14:paraId="18E17CC2" w14:textId="77777777" w:rsidR="00705872" w:rsidRDefault="00987F92">
      <w:pPr>
        <w:spacing w:before="240" w:after="24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Lorek, S., &amp; Fuchs, D. (2013). Strong sustainable consumption governance: Precondition for a degrowth path? </w:t>
      </w:r>
      <w:r>
        <w:rPr>
          <w:rFonts w:ascii="Times New Roman" w:eastAsia="Times New Roman" w:hAnsi="Times New Roman" w:cs="Times New Roman"/>
          <w:i/>
          <w:iCs/>
          <w:sz w:val="24"/>
          <w:szCs w:val="24"/>
        </w:rPr>
        <w:t>Journal of Cleaner Production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38</w:t>
      </w:r>
      <w:r>
        <w:rPr>
          <w:rFonts w:ascii="Times New Roman" w:eastAsia="Times New Roman" w:hAnsi="Times New Roman" w:cs="Times New Roman"/>
          <w:sz w:val="24"/>
          <w:szCs w:val="24"/>
        </w:rPr>
        <w:t>, 36–43.</w:t>
      </w:r>
      <w:r>
        <w:rPr>
          <w:rFonts w:ascii="Times New Roman" w:eastAsia="Times New Roman" w:hAnsi="Times New Roman" w:cs="Times New Roman"/>
          <w:sz w:val="24"/>
          <w:szCs w:val="24"/>
        </w:rPr>
        <w:br/>
      </w:r>
      <w:hyperlink r:id="rId18">
        <w:r w:rsidR="00705872">
          <w:rPr>
            <w:rFonts w:ascii="Times New Roman" w:eastAsia="Times New Roman" w:hAnsi="Times New Roman" w:cs="Times New Roman"/>
            <w:color w:val="1155CC"/>
            <w:sz w:val="24"/>
            <w:szCs w:val="24"/>
            <w:u w:val="single"/>
          </w:rPr>
          <w:t>https://doi.org/10.1016/j.jclepro.2011.08.008</w:t>
        </w:r>
      </w:hyperlink>
    </w:p>
    <w:p w14:paraId="1D7BE643" w14:textId="77777777" w:rsidR="00705872" w:rsidRDefault="00987F9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NITI Aayog. (2022). </w:t>
      </w:r>
      <w:r>
        <w:rPr>
          <w:rFonts w:ascii="Times New Roman" w:eastAsia="Times New Roman" w:hAnsi="Times New Roman" w:cs="Times New Roman"/>
          <w:i/>
          <w:iCs/>
          <w:sz w:val="24"/>
          <w:szCs w:val="24"/>
        </w:rPr>
        <w:t>India’s long-term low emissions development strategy</w:t>
      </w:r>
      <w:r>
        <w:rPr>
          <w:rFonts w:ascii="Times New Roman" w:eastAsia="Times New Roman" w:hAnsi="Times New Roman" w:cs="Times New Roman"/>
          <w:sz w:val="24"/>
          <w:szCs w:val="24"/>
        </w:rPr>
        <w:t>. Government of India.</w:t>
      </w:r>
    </w:p>
    <w:p w14:paraId="353D4C44" w14:textId="77777777" w:rsidR="00705872" w:rsidRDefault="00987F92">
      <w:pPr>
        <w:spacing w:before="240" w:after="24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Varma, S., &amp; Sutradhar, R. (2023). Food and communities in post-COVID-19 cities: Case of India. </w:t>
      </w:r>
      <w:r>
        <w:rPr>
          <w:rFonts w:ascii="Times New Roman" w:eastAsia="Times New Roman" w:hAnsi="Times New Roman" w:cs="Times New Roman"/>
          <w:i/>
          <w:iCs/>
          <w:sz w:val="24"/>
          <w:szCs w:val="24"/>
        </w:rPr>
        <w:t>Urban Governance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w:t>
      </w:r>
      <w:r>
        <w:rPr>
          <w:rFonts w:ascii="Times New Roman" w:eastAsia="Times New Roman" w:hAnsi="Times New Roman" w:cs="Times New Roman"/>
          <w:sz w:val="24"/>
          <w:szCs w:val="24"/>
        </w:rPr>
        <w:t>(2), 97–105.</w:t>
      </w:r>
      <w:r>
        <w:rPr>
          <w:rFonts w:ascii="Times New Roman" w:eastAsia="Times New Roman" w:hAnsi="Times New Roman" w:cs="Times New Roman"/>
          <w:sz w:val="24"/>
          <w:szCs w:val="24"/>
        </w:rPr>
        <w:br/>
      </w:r>
      <w:hyperlink r:id="rId19">
        <w:r w:rsidR="00705872">
          <w:rPr>
            <w:rFonts w:ascii="Times New Roman" w:eastAsia="Times New Roman" w:hAnsi="Times New Roman" w:cs="Times New Roman"/>
            <w:color w:val="1155CC"/>
            <w:sz w:val="24"/>
            <w:szCs w:val="24"/>
            <w:u w:val="single"/>
          </w:rPr>
          <w:t>https://www.ncbi.nlm.nih.gov/pmc/articles/PMC10030441/</w:t>
        </w:r>
      </w:hyperlink>
    </w:p>
    <w:p w14:paraId="0BA3A1D3" w14:textId="77777777" w:rsidR="00705872" w:rsidRDefault="00705872">
      <w:pPr>
        <w:spacing w:before="240" w:after="240"/>
        <w:rPr>
          <w:b/>
          <w:bCs/>
        </w:rPr>
      </w:pPr>
    </w:p>
    <w:p w14:paraId="1F83DC51" w14:textId="77777777" w:rsidR="00705872" w:rsidRDefault="00705872">
      <w:pPr>
        <w:rPr>
          <w:rFonts w:ascii="Times New Roman" w:eastAsia="Times New Roman" w:hAnsi="Times New Roman" w:cs="Times New Roman"/>
          <w:sz w:val="24"/>
          <w:szCs w:val="24"/>
        </w:rPr>
      </w:pPr>
    </w:p>
    <w:p w14:paraId="20A7DFE7" w14:textId="77777777" w:rsidR="00705872" w:rsidRDefault="00705872"/>
    <w:sectPr w:rsidR="00705872">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AF34B8" w14:textId="77777777" w:rsidR="00A16F7D" w:rsidRDefault="00A16F7D">
      <w:pPr>
        <w:spacing w:line="240" w:lineRule="auto"/>
      </w:pPr>
      <w:r>
        <w:separator/>
      </w:r>
    </w:p>
  </w:endnote>
  <w:endnote w:type="continuationSeparator" w:id="0">
    <w:p w14:paraId="442F7330" w14:textId="77777777" w:rsidR="00A16F7D" w:rsidRDefault="00A16F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793DDFD-151A-4CAC-B99D-18E947412FEC}"/>
  </w:font>
  <w:font w:name="Cambria">
    <w:panose1 w:val="02040503050406030204"/>
    <w:charset w:val="00"/>
    <w:family w:val="roman"/>
    <w:pitch w:val="variable"/>
    <w:sig w:usb0="E00006FF" w:usb1="420024FF" w:usb2="02000000" w:usb3="00000000" w:csb0="0000019F" w:csb1="00000000"/>
    <w:embedRegular r:id="rId2" w:fontKey="{D51EE998-697A-44AB-9794-F29EF72973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F95BD" w14:textId="77777777" w:rsidR="006A6C50" w:rsidRDefault="006A6C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E765D" w14:textId="77777777" w:rsidR="00705872" w:rsidRDefault="00987F92">
    <w:pPr>
      <w:jc w:val="center"/>
    </w:pPr>
    <w:r>
      <w:fldChar w:fldCharType="begin"/>
    </w:r>
    <w:r>
      <w:instrText>PAGE</w:instrText>
    </w:r>
    <w:r>
      <w:fldChar w:fldCharType="separate"/>
    </w:r>
    <w:r w:rsidR="00FD61D3">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11C6F" w14:textId="77777777" w:rsidR="006A6C50" w:rsidRDefault="006A6C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C1E6F5" w14:textId="77777777" w:rsidR="00A16F7D" w:rsidRDefault="00A16F7D">
      <w:pPr>
        <w:spacing w:line="240" w:lineRule="auto"/>
      </w:pPr>
      <w:r>
        <w:separator/>
      </w:r>
    </w:p>
  </w:footnote>
  <w:footnote w:type="continuationSeparator" w:id="0">
    <w:p w14:paraId="27DB599E" w14:textId="77777777" w:rsidR="00A16F7D" w:rsidRDefault="00A16F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7B9F7" w14:textId="5E6E24D5" w:rsidR="006A6C50" w:rsidRDefault="006A6C50">
    <w:pPr>
      <w:pStyle w:val="Header"/>
    </w:pPr>
    <w:r>
      <w:rPr>
        <w:noProof/>
      </w:rPr>
      <w:pict w14:anchorId="262116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3644813"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C7AE9" w14:textId="0D4A87AF" w:rsidR="00705872" w:rsidRDefault="006A6C50">
    <w:r>
      <w:rPr>
        <w:noProof/>
      </w:rPr>
      <w:pict w14:anchorId="579514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3644814"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D7F08" w14:textId="25FFC849" w:rsidR="006A6C50" w:rsidRDefault="006A6C50">
    <w:pPr>
      <w:pStyle w:val="Header"/>
    </w:pPr>
    <w:r>
      <w:rPr>
        <w:noProof/>
      </w:rPr>
      <w:pict w14:anchorId="09A1F9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3644812"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BB04BE"/>
    <w:multiLevelType w:val="multilevel"/>
    <w:tmpl w:val="38266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1B36B5"/>
    <w:multiLevelType w:val="multilevel"/>
    <w:tmpl w:val="1652CE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8D7505"/>
    <w:multiLevelType w:val="multilevel"/>
    <w:tmpl w:val="2B582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EAB76AE"/>
    <w:multiLevelType w:val="multilevel"/>
    <w:tmpl w:val="900821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718672AD"/>
    <w:multiLevelType w:val="multilevel"/>
    <w:tmpl w:val="534A99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872"/>
    <w:rsid w:val="00102637"/>
    <w:rsid w:val="0012538C"/>
    <w:rsid w:val="00204742"/>
    <w:rsid w:val="00533D32"/>
    <w:rsid w:val="00590E31"/>
    <w:rsid w:val="006A6C50"/>
    <w:rsid w:val="00705872"/>
    <w:rsid w:val="00987F92"/>
    <w:rsid w:val="009C23C1"/>
    <w:rsid w:val="00A16F7D"/>
    <w:rsid w:val="00AF775C"/>
    <w:rsid w:val="00FD61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46D86B"/>
  <w15:docId w15:val="{2A70B241-E7F0-44A5-BED3-41263D05D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FD61D3"/>
    <w:rPr>
      <w:color w:val="0000FF" w:themeColor="hyperlink"/>
      <w:u w:val="single"/>
    </w:rPr>
  </w:style>
  <w:style w:type="character" w:styleId="UnresolvedMention">
    <w:name w:val="Unresolved Mention"/>
    <w:basedOn w:val="DefaultParagraphFont"/>
    <w:uiPriority w:val="99"/>
    <w:semiHidden/>
    <w:unhideWhenUsed/>
    <w:rsid w:val="00FD61D3"/>
    <w:rPr>
      <w:color w:val="605E5C"/>
      <w:shd w:val="clear" w:color="auto" w:fill="E1DFDD"/>
    </w:rPr>
  </w:style>
  <w:style w:type="paragraph" w:styleId="ListParagraph">
    <w:name w:val="List Paragraph"/>
    <w:basedOn w:val="Normal"/>
    <w:uiPriority w:val="34"/>
    <w:qFormat/>
    <w:rsid w:val="00204742"/>
    <w:pPr>
      <w:ind w:left="720"/>
      <w:contextualSpacing/>
    </w:pPr>
  </w:style>
  <w:style w:type="paragraph" w:styleId="Header">
    <w:name w:val="header"/>
    <w:basedOn w:val="Normal"/>
    <w:link w:val="HeaderChar"/>
    <w:uiPriority w:val="99"/>
    <w:unhideWhenUsed/>
    <w:rsid w:val="006A6C50"/>
    <w:pPr>
      <w:tabs>
        <w:tab w:val="center" w:pos="4680"/>
        <w:tab w:val="right" w:pos="9360"/>
      </w:tabs>
      <w:spacing w:line="240" w:lineRule="auto"/>
    </w:pPr>
  </w:style>
  <w:style w:type="character" w:customStyle="1" w:styleId="HeaderChar">
    <w:name w:val="Header Char"/>
    <w:basedOn w:val="DefaultParagraphFont"/>
    <w:link w:val="Header"/>
    <w:uiPriority w:val="99"/>
    <w:rsid w:val="006A6C50"/>
  </w:style>
  <w:style w:type="paragraph" w:styleId="Footer">
    <w:name w:val="footer"/>
    <w:basedOn w:val="Normal"/>
    <w:link w:val="FooterChar"/>
    <w:uiPriority w:val="99"/>
    <w:unhideWhenUsed/>
    <w:rsid w:val="006A6C50"/>
    <w:pPr>
      <w:tabs>
        <w:tab w:val="center" w:pos="4680"/>
        <w:tab w:val="right" w:pos="9360"/>
      </w:tabs>
      <w:spacing w:line="240" w:lineRule="auto"/>
    </w:pPr>
  </w:style>
  <w:style w:type="character" w:customStyle="1" w:styleId="FooterChar">
    <w:name w:val="Footer Char"/>
    <w:basedOn w:val="DefaultParagraphFont"/>
    <w:link w:val="Footer"/>
    <w:uiPriority w:val="99"/>
    <w:rsid w:val="006A6C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mc/articles/PMC10559104/" TargetMode="External"/><Relationship Id="rId13" Type="http://schemas.openxmlformats.org/officeDocument/2006/relationships/hyperlink" Target="https://doi.org/10.1080/09669582.2014.1001860" TargetMode="External"/><Relationship Id="rId18" Type="http://schemas.openxmlformats.org/officeDocument/2006/relationships/hyperlink" Target="https://doi.org/10.1016/j.jclepro.2011.08.008"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doi.org/10.1016/j.tourman.2010.04.006" TargetMode="External"/><Relationship Id="rId17" Type="http://schemas.openxmlformats.org/officeDocument/2006/relationships/hyperlink" Target="https://doi.org/10.34293/eco.v14i1.9720"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imf.org/en/Publications/WP/Issues/2023/07/20/Inequality-and-Poverty-in-India-Impact-of-COVID-19-Pandemic-and-Policy-Response-535908?utm_source=chatgpt.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77/0973703018793826"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doi.org/10.1016/j.trc.2023.104016" TargetMode="External"/><Relationship Id="rId23" Type="http://schemas.openxmlformats.org/officeDocument/2006/relationships/footer" Target="footer2.xml"/><Relationship Id="rId10" Type="http://schemas.openxmlformats.org/officeDocument/2006/relationships/hyperlink" Target="https://doi.org/10.1016/j.asieco.2023.101607" TargetMode="External"/><Relationship Id="rId19" Type="http://schemas.openxmlformats.org/officeDocument/2006/relationships/hyperlink" Target="https://www.ncbi.nlm.nih.gov/pmc/articles/PMC10030441/" TargetMode="External"/><Relationship Id="rId4" Type="http://schemas.openxmlformats.org/officeDocument/2006/relationships/settings" Target="settings.xml"/><Relationship Id="rId9" Type="http://schemas.openxmlformats.org/officeDocument/2006/relationships/hyperlink" Target="https://doi.org/10.1162/003465397557015" TargetMode="External"/><Relationship Id="rId14" Type="http://schemas.openxmlformats.org/officeDocument/2006/relationships/hyperlink" Target="https://doi.org/10.1016/j.tourman.2014.06.021"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m/jvtkjX876jwvUhLI5B39/BDg==">CgMxLjAyDmgueWxuazd1YzM2NW5lMg5oLmJkdHc4dDVybW1zNjIOaC5vOW1wdWNibjdiaTgyDmgucHNkNXM1aXcxMDZhMg5oLno4MTJyanRjN3R6OTIOaC43aGM3MHdvcG96Z3oyDmguNG41Nzl0NzMxY3Z3Mg5oLjZlZjU2cDE0azVlYzIOaC54YnI2cjVkdGFpbGwyDWguZDYwZGgzb2RtczYyDmguZzdtZDV5eWxrdTdrMg5oLjlreTN0MndyejJ5NTIOaC5zbXE4cTA1Z3c2anIyDmguM2R3bXBwZmJsOXZwMg5oLjNxMHhzbnRmb3NqNDIOaC56YmE1bjk1aGdmMDEyDmgud2w4ejc3bnJyMTF3Mg5oLndsOHo3N25ycjExdzIOaC53bDh6NzducnIxMXcyDmgud2w4ejc3bnJyMTF3Mg5oLndsOHo3N25ycjExdzIOaC53bDh6NzducnIxMXcyDmgudWdsaGduaGFidXdvMg5oLmtrMHFiaGgwMGwwdTIOaC53bDh6NzducnIxMXcyDmgud2w4ejc3bnJyMTF3Mg5oLndsOHo3N25ycjExdzIOaC5yeW1kaW1qMnNwY2gyDmgud2w4ejc3bnJyMTF3Mg5oLndsOHo3N25ycjExdzIOaC53bDh6NzducnIxMXcyDmgud2w4ejc3bnJyMTF3Mg5oLndsOHo3N25ycjExdzIOaC53bDh6NzducnIxMXcyDmgud2w4ejc3bnJyMTF3Mg5oLndsOHo3N25ycjExdzIOaC53bDh6NzducnIxMXcyDmgud2w4ejc3bnJyMTF3Mg5oLndsOHo3N25ycjExdzIOaC53bDh6NzducnIxMXcyDmgud2w4ejc3bnJyMTF3Mg5oLndsOHo3N25ycjExdzIOaC5qbnU2OG1lcWlubG8yDmguc3NyODMxYmtyYmEwMg5oLmg4YzY5ZHV2OXVnMjIOaC4zZHhqdXprOXJvMmoyDWgud3luaWNiOGR1Nzk4AHIhMXVNRWFaMzFhUVJsMWpzVVp6bmZ1QjNlMGJJUXFDZ2Z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20</Pages>
  <Words>5430</Words>
  <Characters>30956</Characters>
  <Application>Microsoft Office Word</Application>
  <DocSecurity>0</DocSecurity>
  <Lines>257</Lines>
  <Paragraphs>72</Paragraphs>
  <ScaleCrop>false</ScaleCrop>
  <Company/>
  <LinksUpToDate>false</LinksUpToDate>
  <CharactersWithSpaces>36314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8</cp:revision>
  <dcterms:created xsi:type="dcterms:W3CDTF">2026-01-13T14:21:00Z</dcterms:created>
  <dcterms:modified xsi:type="dcterms:W3CDTF">2026-01-20T13:19:00Z</dcterms:modified>
</cp:coreProperties>
</file>