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B1479" w14:textId="5BFAD7D5" w:rsidR="00E94F2F" w:rsidRDefault="00755CD4" w:rsidP="007B1180">
      <w:pPr>
        <w:spacing w:after="0" w:line="360" w:lineRule="auto"/>
        <w:jc w:val="center"/>
        <w:rPr>
          <w:rFonts w:ascii="Times New Roman" w:hAnsi="Times New Roman" w:cs="Times New Roman"/>
          <w:b/>
          <w:bCs/>
          <w:sz w:val="28"/>
          <w:szCs w:val="28"/>
        </w:rPr>
      </w:pPr>
      <w:r w:rsidRPr="006921A7">
        <w:rPr>
          <w:rFonts w:ascii="Times New Roman" w:hAnsi="Times New Roman" w:cs="Times New Roman"/>
          <w:b/>
          <w:bCs/>
          <w:sz w:val="28"/>
          <w:szCs w:val="28"/>
        </w:rPr>
        <w:t>Ecosite</w:t>
      </w:r>
      <w:r w:rsidR="00997463" w:rsidRPr="006921A7">
        <w:rPr>
          <w:rFonts w:ascii="Times New Roman" w:hAnsi="Times New Roman" w:cs="Times New Roman"/>
          <w:b/>
          <w:bCs/>
          <w:sz w:val="28"/>
          <w:szCs w:val="28"/>
        </w:rPr>
        <w:t xml:space="preserve"> </w:t>
      </w:r>
      <w:r w:rsidRPr="006921A7">
        <w:rPr>
          <w:rFonts w:ascii="Times New Roman" w:hAnsi="Times New Roman" w:cs="Times New Roman"/>
          <w:b/>
          <w:bCs/>
          <w:sz w:val="28"/>
          <w:szCs w:val="28"/>
        </w:rPr>
        <w:t xml:space="preserve">level </w:t>
      </w:r>
      <w:r w:rsidR="00237B6B">
        <w:rPr>
          <w:rFonts w:ascii="Times New Roman" w:hAnsi="Times New Roman" w:cs="Times New Roman"/>
          <w:b/>
          <w:bCs/>
          <w:sz w:val="28"/>
          <w:szCs w:val="28"/>
        </w:rPr>
        <w:t>B</w:t>
      </w:r>
      <w:r w:rsidRPr="006921A7">
        <w:rPr>
          <w:rFonts w:ascii="Times New Roman" w:hAnsi="Times New Roman" w:cs="Times New Roman"/>
          <w:b/>
          <w:bCs/>
          <w:sz w:val="28"/>
          <w:szCs w:val="28"/>
        </w:rPr>
        <w:t xml:space="preserve">ioassessment and </w:t>
      </w:r>
      <w:r w:rsidR="00237B6B">
        <w:rPr>
          <w:rFonts w:ascii="Times New Roman" w:hAnsi="Times New Roman" w:cs="Times New Roman"/>
          <w:b/>
          <w:bCs/>
          <w:sz w:val="28"/>
          <w:szCs w:val="28"/>
        </w:rPr>
        <w:t>D</w:t>
      </w:r>
      <w:r w:rsidRPr="006921A7">
        <w:rPr>
          <w:rFonts w:ascii="Times New Roman" w:hAnsi="Times New Roman" w:cs="Times New Roman"/>
          <w:b/>
          <w:bCs/>
          <w:sz w:val="28"/>
          <w:szCs w:val="28"/>
        </w:rPr>
        <w:t xml:space="preserve">igital </w:t>
      </w:r>
      <w:r w:rsidR="00237B6B">
        <w:rPr>
          <w:rFonts w:ascii="Times New Roman" w:hAnsi="Times New Roman" w:cs="Times New Roman"/>
          <w:b/>
          <w:bCs/>
          <w:sz w:val="28"/>
          <w:szCs w:val="28"/>
        </w:rPr>
        <w:t>M</w:t>
      </w:r>
      <w:r w:rsidRPr="006921A7">
        <w:rPr>
          <w:rFonts w:ascii="Times New Roman" w:hAnsi="Times New Roman" w:cs="Times New Roman"/>
          <w:b/>
          <w:bCs/>
          <w:sz w:val="28"/>
          <w:szCs w:val="28"/>
        </w:rPr>
        <w:t xml:space="preserve">odelling of </w:t>
      </w:r>
      <w:proofErr w:type="spellStart"/>
      <w:r w:rsidRPr="006921A7">
        <w:rPr>
          <w:rFonts w:ascii="Times New Roman" w:hAnsi="Times New Roman" w:cs="Times New Roman"/>
          <w:b/>
          <w:bCs/>
          <w:sz w:val="28"/>
          <w:szCs w:val="28"/>
        </w:rPr>
        <w:t>Ashtamudi</w:t>
      </w:r>
      <w:proofErr w:type="spellEnd"/>
      <w:r w:rsidRPr="006921A7">
        <w:rPr>
          <w:rFonts w:ascii="Times New Roman" w:hAnsi="Times New Roman" w:cs="Times New Roman"/>
          <w:b/>
          <w:bCs/>
          <w:sz w:val="28"/>
          <w:szCs w:val="28"/>
        </w:rPr>
        <w:t xml:space="preserve"> Wetland: A </w:t>
      </w:r>
      <w:r w:rsidR="00237B6B">
        <w:rPr>
          <w:rFonts w:ascii="Times New Roman" w:hAnsi="Times New Roman" w:cs="Times New Roman"/>
          <w:b/>
          <w:bCs/>
          <w:sz w:val="28"/>
          <w:szCs w:val="28"/>
        </w:rPr>
        <w:t>M</w:t>
      </w:r>
      <w:r w:rsidRPr="006921A7">
        <w:rPr>
          <w:rFonts w:ascii="Times New Roman" w:hAnsi="Times New Roman" w:cs="Times New Roman"/>
          <w:b/>
          <w:bCs/>
          <w:sz w:val="28"/>
          <w:szCs w:val="28"/>
        </w:rPr>
        <w:t xml:space="preserve">esoecosystem </w:t>
      </w:r>
      <w:r w:rsidR="00237B6B">
        <w:rPr>
          <w:rFonts w:ascii="Times New Roman" w:hAnsi="Times New Roman" w:cs="Times New Roman"/>
          <w:b/>
          <w:bCs/>
          <w:sz w:val="28"/>
          <w:szCs w:val="28"/>
        </w:rPr>
        <w:t>A</w:t>
      </w:r>
      <w:r w:rsidRPr="006921A7">
        <w:rPr>
          <w:rFonts w:ascii="Times New Roman" w:hAnsi="Times New Roman" w:cs="Times New Roman"/>
          <w:b/>
          <w:bCs/>
          <w:sz w:val="28"/>
          <w:szCs w:val="28"/>
        </w:rPr>
        <w:t xml:space="preserve">pproach to </w:t>
      </w:r>
      <w:r w:rsidR="00237B6B">
        <w:rPr>
          <w:rFonts w:ascii="Times New Roman" w:hAnsi="Times New Roman" w:cs="Times New Roman"/>
          <w:b/>
          <w:bCs/>
          <w:sz w:val="28"/>
          <w:szCs w:val="28"/>
        </w:rPr>
        <w:t>E</w:t>
      </w:r>
      <w:r w:rsidRPr="006921A7">
        <w:rPr>
          <w:rFonts w:ascii="Times New Roman" w:hAnsi="Times New Roman" w:cs="Times New Roman"/>
          <w:b/>
          <w:bCs/>
          <w:sz w:val="28"/>
          <w:szCs w:val="28"/>
        </w:rPr>
        <w:t xml:space="preserve">cological </w:t>
      </w:r>
      <w:r w:rsidR="00237B6B">
        <w:rPr>
          <w:rFonts w:ascii="Times New Roman" w:hAnsi="Times New Roman" w:cs="Times New Roman"/>
          <w:b/>
          <w:bCs/>
          <w:sz w:val="28"/>
          <w:szCs w:val="28"/>
        </w:rPr>
        <w:t>Z</w:t>
      </w:r>
      <w:r w:rsidRPr="006921A7">
        <w:rPr>
          <w:rFonts w:ascii="Times New Roman" w:hAnsi="Times New Roman" w:cs="Times New Roman"/>
          <w:b/>
          <w:bCs/>
          <w:sz w:val="28"/>
          <w:szCs w:val="28"/>
        </w:rPr>
        <w:t>onation</w:t>
      </w:r>
    </w:p>
    <w:p w14:paraId="7E5DC18B" w14:textId="77777777" w:rsidR="00B46A6A" w:rsidRPr="006921A7" w:rsidRDefault="00B46A6A" w:rsidP="007B1180">
      <w:pPr>
        <w:spacing w:after="0" w:line="360" w:lineRule="auto"/>
        <w:jc w:val="center"/>
        <w:rPr>
          <w:rFonts w:ascii="Times New Roman" w:hAnsi="Times New Roman" w:cs="Times New Roman"/>
          <w:b/>
          <w:bCs/>
          <w:sz w:val="28"/>
          <w:szCs w:val="28"/>
        </w:rPr>
      </w:pPr>
    </w:p>
    <w:p w14:paraId="0918FF83" w14:textId="4149E417" w:rsidR="000502A0" w:rsidRDefault="000502A0" w:rsidP="0090102B">
      <w:pPr>
        <w:spacing w:after="0" w:line="360" w:lineRule="auto"/>
        <w:jc w:val="center"/>
        <w:rPr>
          <w:rFonts w:ascii="Times New Roman" w:hAnsi="Times New Roman" w:cs="Times New Roman"/>
        </w:rPr>
      </w:pPr>
    </w:p>
    <w:p w14:paraId="4AC01C26" w14:textId="77777777" w:rsidR="005F5766" w:rsidRDefault="005F5766" w:rsidP="0090102B">
      <w:pPr>
        <w:spacing w:after="0" w:line="360" w:lineRule="auto"/>
        <w:jc w:val="center"/>
        <w:rPr>
          <w:rFonts w:ascii="Times New Roman" w:hAnsi="Times New Roman" w:cs="Times New Roman"/>
        </w:rPr>
      </w:pPr>
    </w:p>
    <w:p w14:paraId="19EE1144" w14:textId="77777777" w:rsidR="000502A0" w:rsidRPr="001A7B2B" w:rsidRDefault="000502A0" w:rsidP="0090102B">
      <w:pPr>
        <w:spacing w:after="0" w:line="360" w:lineRule="auto"/>
        <w:jc w:val="center"/>
        <w:rPr>
          <w:rFonts w:ascii="Times New Roman" w:hAnsi="Times New Roman" w:cs="Times New Roman"/>
          <w:b/>
          <w:bCs/>
        </w:rPr>
      </w:pPr>
    </w:p>
    <w:p w14:paraId="40E9AE82" w14:textId="5E6B2E70" w:rsidR="0090102B" w:rsidRPr="001A7B2B" w:rsidRDefault="00803F39" w:rsidP="007B1180">
      <w:pPr>
        <w:spacing w:after="0" w:line="360" w:lineRule="auto"/>
        <w:jc w:val="center"/>
        <w:rPr>
          <w:rFonts w:ascii="Times New Roman" w:hAnsi="Times New Roman" w:cs="Times New Roman"/>
          <w:b/>
          <w:bCs/>
        </w:rPr>
      </w:pPr>
      <w:r w:rsidRPr="001A7B2B">
        <w:rPr>
          <w:rFonts w:ascii="Times New Roman" w:hAnsi="Times New Roman" w:cs="Times New Roman"/>
          <w:b/>
          <w:bCs/>
        </w:rPr>
        <w:t>Abstract</w:t>
      </w:r>
    </w:p>
    <w:p w14:paraId="63B53117" w14:textId="28AD85C6" w:rsidR="00F70B09" w:rsidRPr="001A7B2B" w:rsidRDefault="00C22D9D" w:rsidP="00C22D9D">
      <w:pPr>
        <w:spacing w:after="0" w:line="360" w:lineRule="auto"/>
        <w:ind w:firstLine="720"/>
        <w:jc w:val="both"/>
        <w:rPr>
          <w:rFonts w:ascii="Times New Roman" w:hAnsi="Times New Roman" w:cs="Times New Roman"/>
        </w:rPr>
      </w:pPr>
      <w:r w:rsidRPr="00C22D9D">
        <w:rPr>
          <w:rFonts w:ascii="Times New Roman" w:hAnsi="Times New Roman" w:cs="Times New Roman"/>
        </w:rPr>
        <w:t xml:space="preserve">This study presents an integrated bioassessment and digital modelling framework applied to five ecosites within the </w:t>
      </w:r>
      <w:proofErr w:type="spellStart"/>
      <w:r w:rsidRPr="00C22D9D">
        <w:rPr>
          <w:rFonts w:ascii="Times New Roman" w:hAnsi="Times New Roman" w:cs="Times New Roman"/>
        </w:rPr>
        <w:t>Ashtamudi</w:t>
      </w:r>
      <w:proofErr w:type="spellEnd"/>
      <w:r w:rsidRPr="00C22D9D">
        <w:rPr>
          <w:rFonts w:ascii="Times New Roman" w:hAnsi="Times New Roman" w:cs="Times New Roman"/>
        </w:rPr>
        <w:t xml:space="preserve"> Wetland, a Ramsar-designated estuarine ecosystem in Kerala, India. Using a mesoecosystem-scale approach, ecological heterogeneity was assessed through </w:t>
      </w:r>
      <w:proofErr w:type="spellStart"/>
      <w:r w:rsidRPr="00C22D9D">
        <w:rPr>
          <w:rFonts w:ascii="Times New Roman" w:hAnsi="Times New Roman" w:cs="Times New Roman"/>
        </w:rPr>
        <w:t>physico</w:t>
      </w:r>
      <w:proofErr w:type="spellEnd"/>
      <w:r w:rsidRPr="00C22D9D">
        <w:rPr>
          <w:rFonts w:ascii="Times New Roman" w:hAnsi="Times New Roman" w:cs="Times New Roman"/>
        </w:rPr>
        <w:t xml:space="preserve">-chemical water quality parameters (salinity, nutrients, dissolved gases), phytoplankton diversity indices, and vegetation structure. Water quality analysis revealed a distinct gradient from marine-influenced to freshwater-dominated conditions across ecosites, with elevated salinity and carbon dioxide at </w:t>
      </w:r>
      <w:proofErr w:type="spellStart"/>
      <w:r w:rsidRPr="00C22D9D">
        <w:rPr>
          <w:rFonts w:ascii="Times New Roman" w:hAnsi="Times New Roman" w:cs="Times New Roman"/>
        </w:rPr>
        <w:t>Neendakara</w:t>
      </w:r>
      <w:proofErr w:type="spellEnd"/>
      <w:r w:rsidRPr="00C22D9D">
        <w:rPr>
          <w:rFonts w:ascii="Times New Roman" w:hAnsi="Times New Roman" w:cs="Times New Roman"/>
        </w:rPr>
        <w:t xml:space="preserve"> and higher nitrate concentrations at </w:t>
      </w:r>
      <w:proofErr w:type="spellStart"/>
      <w:r w:rsidRPr="00C22D9D">
        <w:rPr>
          <w:rFonts w:ascii="Times New Roman" w:hAnsi="Times New Roman" w:cs="Times New Roman"/>
        </w:rPr>
        <w:t>Kidapram</w:t>
      </w:r>
      <w:proofErr w:type="spellEnd"/>
      <w:r w:rsidRPr="00C22D9D">
        <w:rPr>
          <w:rFonts w:ascii="Times New Roman" w:hAnsi="Times New Roman" w:cs="Times New Roman"/>
        </w:rPr>
        <w:t xml:space="preserve"> and </w:t>
      </w:r>
      <w:proofErr w:type="spellStart"/>
      <w:r w:rsidRPr="00C22D9D">
        <w:rPr>
          <w:rFonts w:ascii="Times New Roman" w:hAnsi="Times New Roman" w:cs="Times New Roman"/>
        </w:rPr>
        <w:t>Cherikkadavu</w:t>
      </w:r>
      <w:proofErr w:type="spellEnd"/>
      <w:r w:rsidRPr="00C22D9D">
        <w:rPr>
          <w:rFonts w:ascii="Times New Roman" w:hAnsi="Times New Roman" w:cs="Times New Roman"/>
        </w:rPr>
        <w:t xml:space="preserve">. Phytoplankton assemblages were dominated by diatoms and </w:t>
      </w:r>
      <w:proofErr w:type="spellStart"/>
      <w:r w:rsidRPr="00C22D9D">
        <w:rPr>
          <w:rFonts w:ascii="Times New Roman" w:hAnsi="Times New Roman" w:cs="Times New Roman"/>
        </w:rPr>
        <w:t>cyanophyceae</w:t>
      </w:r>
      <w:proofErr w:type="spellEnd"/>
      <w:r w:rsidRPr="00C22D9D">
        <w:rPr>
          <w:rFonts w:ascii="Times New Roman" w:hAnsi="Times New Roman" w:cs="Times New Roman"/>
        </w:rPr>
        <w:t xml:space="preserve">, with maximum species richness recorded at </w:t>
      </w:r>
      <w:proofErr w:type="spellStart"/>
      <w:r w:rsidRPr="00C22D9D">
        <w:rPr>
          <w:rFonts w:ascii="Times New Roman" w:hAnsi="Times New Roman" w:cs="Times New Roman"/>
        </w:rPr>
        <w:t>Cherikkadavu</w:t>
      </w:r>
      <w:proofErr w:type="spellEnd"/>
      <w:r w:rsidRPr="00C22D9D">
        <w:rPr>
          <w:rFonts w:ascii="Times New Roman" w:hAnsi="Times New Roman" w:cs="Times New Roman"/>
        </w:rPr>
        <w:t xml:space="preserve"> and </w:t>
      </w:r>
      <w:proofErr w:type="spellStart"/>
      <w:r w:rsidRPr="00C22D9D">
        <w:rPr>
          <w:rFonts w:ascii="Times New Roman" w:hAnsi="Times New Roman" w:cs="Times New Roman"/>
        </w:rPr>
        <w:t>Kidapram</w:t>
      </w:r>
      <w:proofErr w:type="spellEnd"/>
      <w:r w:rsidRPr="00C22D9D">
        <w:rPr>
          <w:rFonts w:ascii="Times New Roman" w:hAnsi="Times New Roman" w:cs="Times New Roman"/>
        </w:rPr>
        <w:t xml:space="preserve">, indicating higher trophic productivity in freshwater-influenced zones. Principal Component Analysis (PCA) explained 78.6% of the total ecological variance, clearly separating ecosites along salinity and nutrient gradients. Indicator Species Analysis identified site-specific bioindicators, including </w:t>
      </w:r>
      <w:r w:rsidRPr="00C22D9D">
        <w:rPr>
          <w:rFonts w:ascii="Times New Roman" w:hAnsi="Times New Roman" w:cs="Times New Roman"/>
          <w:i/>
          <w:iCs/>
        </w:rPr>
        <w:t>Trichodesmium</w:t>
      </w:r>
      <w:r w:rsidRPr="00C22D9D">
        <w:rPr>
          <w:rFonts w:ascii="Times New Roman" w:hAnsi="Times New Roman" w:cs="Times New Roman"/>
        </w:rPr>
        <w:t xml:space="preserve"> at the estuarine mouth and </w:t>
      </w:r>
      <w:r w:rsidRPr="00C22D9D">
        <w:rPr>
          <w:rFonts w:ascii="Times New Roman" w:hAnsi="Times New Roman" w:cs="Times New Roman"/>
          <w:i/>
          <w:iCs/>
        </w:rPr>
        <w:t>Nymphaea stellata</w:t>
      </w:r>
      <w:r w:rsidRPr="00C22D9D">
        <w:rPr>
          <w:rFonts w:ascii="Times New Roman" w:hAnsi="Times New Roman" w:cs="Times New Roman"/>
        </w:rPr>
        <w:t xml:space="preserve"> in freshwater-dominated ecosites. A major outcome of the study is the development of conceptual ecosite models, generated using Adobe Photoshop CS2, which spatially represent shoreline, marsh, riparian, and upland vegetation zones based on field-verified species assemblages and habitat characteristics. These models provide a practical visualization tool for wetland zonation, restoration planning, and ecosystem-based management. Overall, the study demonstrates that ecosite-based classification integrated with bioassessment indicators offers a robust and scalable framework for adaptive management, land-use planning, and biodiversity conservation in complex tropical wetland systems.</w:t>
      </w:r>
      <w:r>
        <w:rPr>
          <w:rFonts w:ascii="Times New Roman" w:hAnsi="Times New Roman" w:cs="Times New Roman"/>
        </w:rPr>
        <w:t xml:space="preserve"> </w:t>
      </w:r>
      <w:r w:rsidR="00BC5046" w:rsidRPr="001A7B2B">
        <w:rPr>
          <w:rFonts w:ascii="Times New Roman" w:hAnsi="Times New Roman" w:cs="Times New Roman"/>
        </w:rPr>
        <w:t>The abstract is graphically illustrated in fig</w:t>
      </w:r>
      <w:r w:rsidR="004F47EA">
        <w:rPr>
          <w:rFonts w:ascii="Times New Roman" w:hAnsi="Times New Roman" w:cs="Times New Roman"/>
        </w:rPr>
        <w:t>.</w:t>
      </w:r>
      <w:r w:rsidR="00BC5046" w:rsidRPr="001A7B2B">
        <w:rPr>
          <w:rFonts w:ascii="Times New Roman" w:hAnsi="Times New Roman" w:cs="Times New Roman"/>
        </w:rPr>
        <w:t xml:space="preserve"> 1.</w:t>
      </w:r>
    </w:p>
    <w:p w14:paraId="52BAC419" w14:textId="50C2250E" w:rsidR="00F70B09" w:rsidRPr="001A7B2B" w:rsidRDefault="00F70B09" w:rsidP="007B1180">
      <w:pPr>
        <w:spacing w:after="0" w:line="360" w:lineRule="auto"/>
        <w:jc w:val="both"/>
        <w:rPr>
          <w:rFonts w:ascii="Times New Roman" w:hAnsi="Times New Roman" w:cs="Times New Roman"/>
        </w:rPr>
      </w:pPr>
      <w:r w:rsidRPr="001A7B2B">
        <w:rPr>
          <w:rFonts w:ascii="Times New Roman" w:hAnsi="Times New Roman" w:cs="Times New Roman"/>
          <w:b/>
          <w:bCs/>
        </w:rPr>
        <w:t>Key Words:</w:t>
      </w:r>
      <w:r w:rsidRPr="001A7B2B">
        <w:rPr>
          <w:rFonts w:ascii="Times New Roman" w:hAnsi="Times New Roman" w:cs="Times New Roman"/>
        </w:rPr>
        <w:t xml:space="preserv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Ecosite Modelling, Indicator Species, Phytoplankton Diversity, Wetland Zonation</w:t>
      </w:r>
    </w:p>
    <w:p w14:paraId="374E66DF" w14:textId="48C65EA6" w:rsidR="00F70B09" w:rsidRPr="001A7B2B" w:rsidRDefault="00EF4E8F" w:rsidP="007B1180">
      <w:pPr>
        <w:spacing w:after="0" w:line="360" w:lineRule="auto"/>
        <w:jc w:val="center"/>
        <w:rPr>
          <w:rFonts w:ascii="Times New Roman" w:hAnsi="Times New Roman" w:cs="Times New Roman"/>
          <w:b/>
          <w:bCs/>
        </w:rPr>
      </w:pPr>
      <w:r>
        <w:rPr>
          <w:noProof/>
        </w:rPr>
        <w:lastRenderedPageBreak/>
        <w:drawing>
          <wp:inline distT="0" distB="0" distL="0" distR="0" wp14:anchorId="7D29EB3B" wp14:editId="4C3229F9">
            <wp:extent cx="4905375" cy="4933950"/>
            <wp:effectExtent l="0" t="0" r="9525" b="0"/>
            <wp:docPr id="858884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84512" name=""/>
                    <pic:cNvPicPr/>
                  </pic:nvPicPr>
                  <pic:blipFill>
                    <a:blip r:embed="rId7"/>
                    <a:stretch>
                      <a:fillRect/>
                    </a:stretch>
                  </pic:blipFill>
                  <pic:spPr>
                    <a:xfrm>
                      <a:off x="0" y="0"/>
                      <a:ext cx="4905375" cy="4933950"/>
                    </a:xfrm>
                    <a:prstGeom prst="rect">
                      <a:avLst/>
                    </a:prstGeom>
                  </pic:spPr>
                </pic:pic>
              </a:graphicData>
            </a:graphic>
          </wp:inline>
        </w:drawing>
      </w:r>
    </w:p>
    <w:p w14:paraId="31FC09C2" w14:textId="132CFE55" w:rsidR="00A952E8" w:rsidRPr="001A7B2B" w:rsidRDefault="00A952E8" w:rsidP="007B1180">
      <w:pPr>
        <w:spacing w:after="0" w:line="360" w:lineRule="auto"/>
        <w:jc w:val="center"/>
        <w:rPr>
          <w:rFonts w:ascii="Times New Roman" w:hAnsi="Times New Roman" w:cs="Times New Roman"/>
        </w:rPr>
      </w:pPr>
      <w:r w:rsidRPr="001A7B2B">
        <w:rPr>
          <w:rFonts w:ascii="Times New Roman" w:hAnsi="Times New Roman" w:cs="Times New Roman"/>
        </w:rPr>
        <w:t>Figure1. Graphical Abstract</w:t>
      </w:r>
    </w:p>
    <w:p w14:paraId="15A0135B" w14:textId="53312F17" w:rsidR="00547B59" w:rsidRDefault="00547B59" w:rsidP="00547B59">
      <w:pPr>
        <w:spacing w:after="0" w:line="360" w:lineRule="auto"/>
        <w:jc w:val="both"/>
        <w:rPr>
          <w:rFonts w:ascii="Times New Roman" w:hAnsi="Times New Roman" w:cs="Times New Roman"/>
          <w:b/>
          <w:bCs/>
        </w:rPr>
      </w:pPr>
      <w:r>
        <w:rPr>
          <w:rFonts w:ascii="Times New Roman" w:hAnsi="Times New Roman" w:cs="Times New Roman"/>
          <w:b/>
          <w:bCs/>
        </w:rPr>
        <w:t>Introduction</w:t>
      </w:r>
    </w:p>
    <w:p w14:paraId="34034184" w14:textId="150B909D" w:rsidR="00547B59" w:rsidRPr="00547B59" w:rsidRDefault="00547B59" w:rsidP="00547B59">
      <w:pPr>
        <w:spacing w:after="0" w:line="360" w:lineRule="auto"/>
        <w:jc w:val="both"/>
        <w:rPr>
          <w:rFonts w:ascii="Times New Roman" w:hAnsi="Times New Roman" w:cs="Times New Roman"/>
        </w:rPr>
      </w:pPr>
      <w:r w:rsidRPr="00547B59">
        <w:rPr>
          <w:rFonts w:ascii="Times New Roman" w:hAnsi="Times New Roman" w:cs="Times New Roman"/>
        </w:rPr>
        <w:t xml:space="preserve">Wetlands are among the most productive ecosystems on Earth, delivering essential ecosystem services such as water purification, flood regulation, carbon sequestration, and biodiversity support (Ramsar Convention Secretariat, 2021). In tropical estuarine settings such as Kerala’s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Lake, wetlands sustain diverse plant and animal communities, support fisheries-based livelihoods, and buffer landscapes against climatic extremes (</w:t>
      </w:r>
      <w:proofErr w:type="spellStart"/>
      <w:r w:rsidRPr="00547B59">
        <w:rPr>
          <w:rFonts w:ascii="Times New Roman" w:hAnsi="Times New Roman" w:cs="Times New Roman"/>
        </w:rPr>
        <w:t>Sreekumari</w:t>
      </w:r>
      <w:proofErr w:type="spellEnd"/>
      <w:r w:rsidRPr="00547B59">
        <w:rPr>
          <w:rFonts w:ascii="Times New Roman" w:hAnsi="Times New Roman" w:cs="Times New Roman"/>
        </w:rPr>
        <w:t xml:space="preserve"> et al., 2016; Ravinesh et al., 2021). Despite their ecological and socio-economic importance, wetlands are increasingly threatened by habitat degradation, pollution, and unsustainable land-use practices driven by rapid urbanization and agricultural intensification (Devi et al., 2022; Nitin Bassi et al., 2014).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Wetland, designated as a Ramsar site in 2002, encompasses a complex mosaic of freshwater, brackish and estuarine habitats, making it an ideal system for ecosystem-level ecological assessments (Jayakumar &amp; </w:t>
      </w:r>
      <w:proofErr w:type="spellStart"/>
      <w:r w:rsidRPr="00547B59">
        <w:rPr>
          <w:rFonts w:ascii="Times New Roman" w:hAnsi="Times New Roman" w:cs="Times New Roman"/>
        </w:rPr>
        <w:t>Chackacherry</w:t>
      </w:r>
      <w:proofErr w:type="spellEnd"/>
      <w:r w:rsidRPr="00547B59">
        <w:rPr>
          <w:rFonts w:ascii="Times New Roman" w:hAnsi="Times New Roman" w:cs="Times New Roman"/>
        </w:rPr>
        <w:t>, 2011</w:t>
      </w:r>
      <w:r w:rsidR="00DD1847">
        <w:rPr>
          <w:rFonts w:ascii="Times New Roman" w:hAnsi="Times New Roman" w:cs="Times New Roman"/>
        </w:rPr>
        <w:t>; Alexander, 2025</w:t>
      </w:r>
      <w:r w:rsidRPr="00547B59">
        <w:rPr>
          <w:rFonts w:ascii="Times New Roman" w:hAnsi="Times New Roman" w:cs="Times New Roman"/>
        </w:rPr>
        <w:t xml:space="preserve">). However, conventional large-scale environmental evaluations often fail to capture mesoecosystem </w:t>
      </w:r>
      <w:r w:rsidRPr="00547B59">
        <w:rPr>
          <w:rFonts w:ascii="Times New Roman" w:hAnsi="Times New Roman" w:cs="Times New Roman"/>
        </w:rPr>
        <w:lastRenderedPageBreak/>
        <w:t>dynamics operating at intermediate spatial scales</w:t>
      </w:r>
      <w:r>
        <w:rPr>
          <w:rFonts w:ascii="Times New Roman" w:hAnsi="Times New Roman" w:cs="Times New Roman"/>
        </w:rPr>
        <w:t xml:space="preserve"> - </w:t>
      </w:r>
      <w:r w:rsidRPr="00547B59">
        <w:rPr>
          <w:rFonts w:ascii="Times New Roman" w:hAnsi="Times New Roman" w:cs="Times New Roman"/>
        </w:rPr>
        <w:t>such as forest patches, marshes, and coastal riparian zones</w:t>
      </w:r>
      <w:r>
        <w:rPr>
          <w:rFonts w:ascii="Times New Roman" w:hAnsi="Times New Roman" w:cs="Times New Roman"/>
        </w:rPr>
        <w:t xml:space="preserve"> - </w:t>
      </w:r>
      <w:r w:rsidRPr="00547B59">
        <w:rPr>
          <w:rFonts w:ascii="Times New Roman" w:hAnsi="Times New Roman" w:cs="Times New Roman"/>
        </w:rPr>
        <w:t>where critical biotic and abiotic interactions occur (Levin, 1992). Consequently, mesoecosystem-scale studies are increasingly recognized as essential for understanding ecological heterogeneity, threshold responses, and fine-scale impacts of anthropogenic pressure in coastal wetlands (Xu et al., 2020).</w:t>
      </w:r>
    </w:p>
    <w:p w14:paraId="7BF53772" w14:textId="2EB19AD2" w:rsidR="00547B59" w:rsidRPr="00547B59" w:rsidRDefault="00547B59" w:rsidP="00547B59">
      <w:pPr>
        <w:spacing w:after="0" w:line="360" w:lineRule="auto"/>
        <w:jc w:val="both"/>
        <w:rPr>
          <w:rFonts w:ascii="Times New Roman" w:hAnsi="Times New Roman" w:cs="Times New Roman"/>
          <w:b/>
          <w:bCs/>
        </w:rPr>
      </w:pPr>
      <w:r w:rsidRPr="00547B59">
        <w:rPr>
          <w:rFonts w:ascii="Times New Roman" w:hAnsi="Times New Roman" w:cs="Times New Roman"/>
        </w:rPr>
        <w:t>To address these limitations, the concept of the ecosite has emerged as a robust unit of ecological classification, defined as a land area characterized by relatively homogeneous soil, vegetation, and hydrological conditions (</w:t>
      </w:r>
      <w:proofErr w:type="spellStart"/>
      <w:r w:rsidRPr="00547B59">
        <w:rPr>
          <w:rFonts w:ascii="Times New Roman" w:hAnsi="Times New Roman" w:cs="Times New Roman"/>
        </w:rPr>
        <w:t>Wolfslehner</w:t>
      </w:r>
      <w:proofErr w:type="spellEnd"/>
      <w:r w:rsidRPr="00547B59">
        <w:rPr>
          <w:rFonts w:ascii="Times New Roman" w:hAnsi="Times New Roman" w:cs="Times New Roman"/>
        </w:rPr>
        <w:t xml:space="preserve"> &amp; </w:t>
      </w:r>
      <w:proofErr w:type="spellStart"/>
      <w:r w:rsidRPr="00547B59">
        <w:rPr>
          <w:rFonts w:ascii="Times New Roman" w:hAnsi="Times New Roman" w:cs="Times New Roman"/>
        </w:rPr>
        <w:t>Vacik</w:t>
      </w:r>
      <w:proofErr w:type="spellEnd"/>
      <w:r w:rsidRPr="00547B59">
        <w:rPr>
          <w:rFonts w:ascii="Times New Roman" w:hAnsi="Times New Roman" w:cs="Times New Roman"/>
        </w:rPr>
        <w:t>, 2011). Ecosite-based approaches have been widely applied in ecological modelling, forest planning and ecosystem service assessment, enabling the linkage of spatial ecological patterns with ecosystem functions and adaptive management strategies (Grima et al., 2023</w:t>
      </w:r>
      <w:r w:rsidR="000028AD">
        <w:rPr>
          <w:rFonts w:ascii="Times New Roman" w:hAnsi="Times New Roman" w:cs="Times New Roman"/>
        </w:rPr>
        <w:t>;</w:t>
      </w:r>
      <w:r w:rsidR="000028AD" w:rsidRPr="000028AD">
        <w:rPr>
          <w:rFonts w:ascii="Times New Roman" w:hAnsi="Times New Roman" w:cs="Times New Roman"/>
        </w:rPr>
        <w:t xml:space="preserve"> </w:t>
      </w:r>
      <w:r w:rsidR="000028AD" w:rsidRPr="009912FD">
        <w:rPr>
          <w:rFonts w:ascii="Times New Roman" w:hAnsi="Times New Roman" w:cs="Times New Roman"/>
        </w:rPr>
        <w:t>Muniz &amp; Oliveira-Filho, 2023</w:t>
      </w:r>
      <w:r w:rsidRPr="00547B59">
        <w:rPr>
          <w:rFonts w:ascii="Times New Roman" w:hAnsi="Times New Roman" w:cs="Times New Roman"/>
        </w:rPr>
        <w:t xml:space="preserve">). </w:t>
      </w:r>
      <w:r w:rsidR="00E93C4A" w:rsidRPr="00245D9B">
        <w:rPr>
          <w:rFonts w:ascii="Times New Roman" w:hAnsi="Times New Roman" w:cs="Times New Roman"/>
        </w:rPr>
        <w:t>Multivariate and data-driven analytical approaches, including principal component analysis and emerging machine-learning techniques, are increasingly applied in ecological studies to synthesize complex environmental datasets and improve the interpretation of spatial patterns and ecosystem dynamics (</w:t>
      </w:r>
      <w:r w:rsidR="005748CF" w:rsidRPr="00245D9B">
        <w:rPr>
          <w:rFonts w:ascii="Times New Roman" w:hAnsi="Times New Roman" w:cs="Times New Roman"/>
        </w:rPr>
        <w:t>Elith et al.</w:t>
      </w:r>
      <w:r w:rsidR="005748CF" w:rsidRPr="00245D9B">
        <w:rPr>
          <w:rFonts w:ascii="Times New Roman" w:hAnsi="Times New Roman" w:cs="Times New Roman"/>
        </w:rPr>
        <w:t>,</w:t>
      </w:r>
      <w:r w:rsidR="005748CF" w:rsidRPr="00245D9B">
        <w:rPr>
          <w:rFonts w:ascii="Times New Roman" w:hAnsi="Times New Roman" w:cs="Times New Roman"/>
        </w:rPr>
        <w:t xml:space="preserve"> 2006</w:t>
      </w:r>
      <w:r w:rsidR="00E93C4A" w:rsidRPr="00245D9B">
        <w:rPr>
          <w:rFonts w:ascii="Times New Roman" w:hAnsi="Times New Roman" w:cs="Times New Roman"/>
        </w:rPr>
        <w:t xml:space="preserve">; </w:t>
      </w:r>
      <w:r w:rsidR="005748CF" w:rsidRPr="00245D9B">
        <w:rPr>
          <w:rFonts w:ascii="Times New Roman" w:hAnsi="Times New Roman" w:cs="Times New Roman"/>
        </w:rPr>
        <w:t xml:space="preserve">Phillips &amp; </w:t>
      </w:r>
      <w:proofErr w:type="spellStart"/>
      <w:r w:rsidR="005748CF" w:rsidRPr="00245D9B">
        <w:rPr>
          <w:rFonts w:ascii="Times New Roman" w:hAnsi="Times New Roman" w:cs="Times New Roman"/>
        </w:rPr>
        <w:t>Dudík</w:t>
      </w:r>
      <w:proofErr w:type="spellEnd"/>
      <w:r w:rsidR="005748CF" w:rsidRPr="00245D9B">
        <w:rPr>
          <w:rFonts w:ascii="Times New Roman" w:hAnsi="Times New Roman" w:cs="Times New Roman"/>
        </w:rPr>
        <w:t>,</w:t>
      </w:r>
      <w:r w:rsidR="005748CF" w:rsidRPr="00245D9B">
        <w:rPr>
          <w:rFonts w:ascii="Times New Roman" w:hAnsi="Times New Roman" w:cs="Times New Roman"/>
        </w:rPr>
        <w:t xml:space="preserve"> 2008</w:t>
      </w:r>
      <w:r w:rsidR="005748CF" w:rsidRPr="00245D9B">
        <w:rPr>
          <w:rFonts w:ascii="Times New Roman" w:hAnsi="Times New Roman" w:cs="Times New Roman"/>
        </w:rPr>
        <w:t xml:space="preserve">; </w:t>
      </w:r>
      <w:r w:rsidR="00E93C4A" w:rsidRPr="00245D9B">
        <w:rPr>
          <w:rFonts w:ascii="Times New Roman" w:hAnsi="Times New Roman" w:cs="Times New Roman"/>
        </w:rPr>
        <w:t>Olden et al., 2008).</w:t>
      </w:r>
      <w:r w:rsidR="00E93C4A" w:rsidRPr="00245D9B">
        <w:rPr>
          <w:rFonts w:ascii="Times New Roman" w:hAnsi="Times New Roman" w:cs="Times New Roman"/>
        </w:rPr>
        <w:t xml:space="preserve"> </w:t>
      </w:r>
      <w:r w:rsidRPr="00547B59">
        <w:rPr>
          <w:rFonts w:ascii="Times New Roman" w:hAnsi="Times New Roman" w:cs="Times New Roman"/>
        </w:rPr>
        <w:t xml:space="preserve">Although several studies have documented water quality and biodiversity patterns in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Lake, ecosite-level ecological modelling integrating phytoplankton indicators remains largely unexplored, particularly within Indian wetland systems. To bridge this gap, the present study adopts a mesoecosystem-scale framework that integrates phytoplankton diversity, </w:t>
      </w:r>
      <w:proofErr w:type="spellStart"/>
      <w:r w:rsidRPr="00547B59">
        <w:rPr>
          <w:rFonts w:ascii="Times New Roman" w:hAnsi="Times New Roman" w:cs="Times New Roman"/>
        </w:rPr>
        <w:t>physico</w:t>
      </w:r>
      <w:proofErr w:type="spellEnd"/>
      <w:r w:rsidRPr="00547B59">
        <w:rPr>
          <w:rFonts w:ascii="Times New Roman" w:hAnsi="Times New Roman" w:cs="Times New Roman"/>
        </w:rPr>
        <w:t xml:space="preserve">-chemical water quality parameters, and vegetation structure to delineate distinct ecosites within the </w:t>
      </w:r>
      <w:proofErr w:type="spellStart"/>
      <w:r w:rsidRPr="00547B59">
        <w:rPr>
          <w:rFonts w:ascii="Times New Roman" w:hAnsi="Times New Roman" w:cs="Times New Roman"/>
        </w:rPr>
        <w:t>Ashtamudi</w:t>
      </w:r>
      <w:proofErr w:type="spellEnd"/>
      <w:r w:rsidRPr="00547B59">
        <w:rPr>
          <w:rFonts w:ascii="Times New Roman" w:hAnsi="Times New Roman" w:cs="Times New Roman"/>
        </w:rPr>
        <w:t xml:space="preserve"> Wetland. The resulting conceptual ecosite models capture ecological gradients, species assemblages, and habitat transitions across the wetland landscape, offering practical tools for wetland zoning, ecological restoration, and sustainable land-use planning aligned with ecosystem-based management principles</w:t>
      </w:r>
      <w:r w:rsidRPr="00547B59">
        <w:rPr>
          <w:rFonts w:ascii="Times New Roman" w:hAnsi="Times New Roman" w:cs="Times New Roman"/>
          <w:b/>
          <w:bCs/>
        </w:rPr>
        <w:t>.</w:t>
      </w:r>
    </w:p>
    <w:p w14:paraId="76A08E88" w14:textId="095D1018" w:rsidR="00175237" w:rsidRPr="001A7B2B" w:rsidRDefault="00755CD4" w:rsidP="00547B59">
      <w:pPr>
        <w:spacing w:after="0" w:line="360" w:lineRule="auto"/>
        <w:jc w:val="both"/>
        <w:rPr>
          <w:rFonts w:ascii="Times New Roman" w:hAnsi="Times New Roman" w:cs="Times New Roman"/>
          <w:b/>
          <w:bCs/>
        </w:rPr>
      </w:pPr>
      <w:r w:rsidRPr="001A7B2B">
        <w:rPr>
          <w:rFonts w:ascii="Times New Roman" w:hAnsi="Times New Roman" w:cs="Times New Roman"/>
          <w:b/>
          <w:bCs/>
        </w:rPr>
        <w:t>2. Materials and methods</w:t>
      </w:r>
    </w:p>
    <w:p w14:paraId="77152C99" w14:textId="52B0CC58" w:rsidR="001C5076" w:rsidRPr="003A41F6" w:rsidRDefault="001C5076" w:rsidP="001C5076">
      <w:pPr>
        <w:spacing w:after="0" w:line="360" w:lineRule="auto"/>
        <w:jc w:val="both"/>
        <w:rPr>
          <w:rFonts w:ascii="Times New Roman" w:hAnsi="Times New Roman" w:cs="Times New Roman"/>
          <w:b/>
          <w:bCs/>
        </w:rPr>
      </w:pPr>
      <w:r>
        <w:rPr>
          <w:rFonts w:ascii="Times New Roman" w:hAnsi="Times New Roman" w:cs="Times New Roman"/>
          <w:b/>
          <w:bCs/>
        </w:rPr>
        <w:t xml:space="preserve">2.1. </w:t>
      </w:r>
      <w:r w:rsidRPr="003A41F6">
        <w:rPr>
          <w:rFonts w:ascii="Times New Roman" w:hAnsi="Times New Roman" w:cs="Times New Roman"/>
          <w:b/>
          <w:bCs/>
        </w:rPr>
        <w:t>Study Area and Ecosite Selection</w:t>
      </w:r>
    </w:p>
    <w:p w14:paraId="025CD389" w14:textId="77777777" w:rsidR="001C5076" w:rsidRPr="003A41F6" w:rsidRDefault="001C5076" w:rsidP="001C5076">
      <w:pPr>
        <w:spacing w:after="0" w:line="360" w:lineRule="auto"/>
        <w:jc w:val="both"/>
        <w:rPr>
          <w:rFonts w:ascii="Times New Roman" w:hAnsi="Times New Roman" w:cs="Times New Roman"/>
        </w:rPr>
      </w:pPr>
      <w:r w:rsidRPr="003A41F6">
        <w:rPr>
          <w:rFonts w:ascii="Times New Roman" w:hAnsi="Times New Roman" w:cs="Times New Roman"/>
        </w:rPr>
        <w:t xml:space="preserve">The study was conducted in the </w:t>
      </w:r>
      <w:proofErr w:type="spellStart"/>
      <w:r w:rsidRPr="003A41F6">
        <w:rPr>
          <w:rFonts w:ascii="Times New Roman" w:hAnsi="Times New Roman" w:cs="Times New Roman"/>
        </w:rPr>
        <w:t>Ashtamudi</w:t>
      </w:r>
      <w:proofErr w:type="spellEnd"/>
      <w:r w:rsidRPr="003A41F6">
        <w:rPr>
          <w:rFonts w:ascii="Times New Roman" w:hAnsi="Times New Roman" w:cs="Times New Roman"/>
        </w:rPr>
        <w:t xml:space="preserve"> Wetland, a Ramsar-designated estuarine ecosystem located in Kollam District, Kerala, India. Five representative ecosites</w:t>
      </w:r>
      <w:r>
        <w:rPr>
          <w:rFonts w:ascii="Times New Roman" w:hAnsi="Times New Roman" w:cs="Times New Roman"/>
        </w:rPr>
        <w:t xml:space="preserve">: </w:t>
      </w:r>
      <w:proofErr w:type="spellStart"/>
      <w:r w:rsidRPr="003A41F6">
        <w:rPr>
          <w:rFonts w:ascii="Times New Roman" w:hAnsi="Times New Roman" w:cs="Times New Roman"/>
        </w:rPr>
        <w:t>Neendakara</w:t>
      </w:r>
      <w:proofErr w:type="spellEnd"/>
      <w:r w:rsidRPr="003A41F6">
        <w:rPr>
          <w:rFonts w:ascii="Times New Roman" w:hAnsi="Times New Roman" w:cs="Times New Roman"/>
        </w:rPr>
        <w:t xml:space="preserve"> (N 08°56′7.2″, E 76°32′24.0″), </w:t>
      </w:r>
      <w:proofErr w:type="spellStart"/>
      <w:r w:rsidRPr="003A41F6">
        <w:rPr>
          <w:rFonts w:ascii="Times New Roman" w:hAnsi="Times New Roman" w:cs="Times New Roman"/>
        </w:rPr>
        <w:t>Puthenthuruth</w:t>
      </w:r>
      <w:proofErr w:type="spellEnd"/>
      <w:r w:rsidRPr="003A41F6">
        <w:rPr>
          <w:rFonts w:ascii="Times New Roman" w:hAnsi="Times New Roman" w:cs="Times New Roman"/>
        </w:rPr>
        <w:t xml:space="preserve"> (N 08°55′55.6″, E 76°33′10.1″), </w:t>
      </w:r>
      <w:proofErr w:type="spellStart"/>
      <w:r w:rsidRPr="003A41F6">
        <w:rPr>
          <w:rFonts w:ascii="Times New Roman" w:hAnsi="Times New Roman" w:cs="Times New Roman"/>
        </w:rPr>
        <w:t>Asramam</w:t>
      </w:r>
      <w:proofErr w:type="spellEnd"/>
      <w:r w:rsidRPr="003A41F6">
        <w:rPr>
          <w:rFonts w:ascii="Times New Roman" w:hAnsi="Times New Roman" w:cs="Times New Roman"/>
        </w:rPr>
        <w:t xml:space="preserve"> (N 08°53′39.9″, E 76°35′09.2″), </w:t>
      </w:r>
      <w:proofErr w:type="spellStart"/>
      <w:r w:rsidRPr="003A41F6">
        <w:rPr>
          <w:rFonts w:ascii="Times New Roman" w:hAnsi="Times New Roman" w:cs="Times New Roman"/>
        </w:rPr>
        <w:t>Kidapram</w:t>
      </w:r>
      <w:proofErr w:type="spellEnd"/>
      <w:r w:rsidRPr="003A41F6">
        <w:rPr>
          <w:rFonts w:ascii="Times New Roman" w:hAnsi="Times New Roman" w:cs="Times New Roman"/>
        </w:rPr>
        <w:t xml:space="preserve"> (N 08°59′57.7″, E 76°36′07.3″), and </w:t>
      </w:r>
      <w:proofErr w:type="spellStart"/>
      <w:r w:rsidRPr="003A41F6">
        <w:rPr>
          <w:rFonts w:ascii="Times New Roman" w:hAnsi="Times New Roman" w:cs="Times New Roman"/>
        </w:rPr>
        <w:t>Cherikkadavu</w:t>
      </w:r>
      <w:proofErr w:type="spellEnd"/>
      <w:r w:rsidRPr="003A41F6">
        <w:rPr>
          <w:rFonts w:ascii="Times New Roman" w:hAnsi="Times New Roman" w:cs="Times New Roman"/>
        </w:rPr>
        <w:t xml:space="preserve"> (N 08°59′43.0″, E 76°35′06.1″)</w:t>
      </w:r>
      <w:r>
        <w:rPr>
          <w:rFonts w:ascii="Times New Roman" w:hAnsi="Times New Roman" w:cs="Times New Roman"/>
        </w:rPr>
        <w:t xml:space="preserve">, </w:t>
      </w:r>
      <w:r w:rsidRPr="003A41F6">
        <w:rPr>
          <w:rFonts w:ascii="Times New Roman" w:hAnsi="Times New Roman" w:cs="Times New Roman"/>
        </w:rPr>
        <w:t>were selected to represent a gradient of marine to freshwater influence, variation in vegetation structure, hydrological connectivity, and anthropogenic pressure.</w:t>
      </w:r>
      <w:r>
        <w:rPr>
          <w:rFonts w:ascii="Times New Roman" w:hAnsi="Times New Roman" w:cs="Times New Roman"/>
        </w:rPr>
        <w:t xml:space="preserve"> </w:t>
      </w:r>
      <w:r w:rsidRPr="003A41F6">
        <w:rPr>
          <w:rFonts w:ascii="Times New Roman" w:hAnsi="Times New Roman" w:cs="Times New Roman"/>
        </w:rPr>
        <w:t xml:space="preserve">Each ecosite was treated as a mesoecosystem unit characterized by relatively homogeneous soil, vegetation, and hydrological conditions. Seasonal ecological assessments </w:t>
      </w:r>
      <w:r w:rsidRPr="003A41F6">
        <w:rPr>
          <w:rFonts w:ascii="Times New Roman" w:hAnsi="Times New Roman" w:cs="Times New Roman"/>
        </w:rPr>
        <w:lastRenderedPageBreak/>
        <w:t>were conducted to capture both spatial heterogeneity and temporal variability across the wetland landscape.</w:t>
      </w:r>
    </w:p>
    <w:p w14:paraId="3E2BDC40" w14:textId="6C69A28F" w:rsidR="001C5076" w:rsidRPr="003A41F6" w:rsidRDefault="001C5076" w:rsidP="001C5076">
      <w:pPr>
        <w:spacing w:after="0" w:line="360" w:lineRule="auto"/>
        <w:jc w:val="both"/>
        <w:rPr>
          <w:rFonts w:ascii="Times New Roman" w:hAnsi="Times New Roman" w:cs="Times New Roman"/>
          <w:b/>
          <w:bCs/>
        </w:rPr>
      </w:pPr>
      <w:r>
        <w:rPr>
          <w:rFonts w:ascii="Times New Roman" w:hAnsi="Times New Roman" w:cs="Times New Roman"/>
          <w:b/>
          <w:bCs/>
        </w:rPr>
        <w:t xml:space="preserve">2.2. </w:t>
      </w:r>
      <w:r w:rsidRPr="003A41F6">
        <w:rPr>
          <w:rFonts w:ascii="Times New Roman" w:hAnsi="Times New Roman" w:cs="Times New Roman"/>
          <w:b/>
          <w:bCs/>
        </w:rPr>
        <w:t>Sampling Design and Data Collection</w:t>
      </w:r>
    </w:p>
    <w:p w14:paraId="33AD66E8" w14:textId="77777777" w:rsidR="001C5076" w:rsidRPr="003A41F6" w:rsidRDefault="001C5076" w:rsidP="001C5076">
      <w:pPr>
        <w:spacing w:after="0" w:line="360" w:lineRule="auto"/>
        <w:jc w:val="both"/>
        <w:rPr>
          <w:rFonts w:ascii="Times New Roman" w:hAnsi="Times New Roman" w:cs="Times New Roman"/>
        </w:rPr>
      </w:pPr>
      <w:r w:rsidRPr="003A41F6">
        <w:rPr>
          <w:rFonts w:ascii="Times New Roman" w:hAnsi="Times New Roman" w:cs="Times New Roman"/>
        </w:rPr>
        <w:t>Seasonal sampling was carried out at all ecosites, with replicated observations recorded for water quality parameters, phytoplankton composition, and vegetation structure. Sampling locations within each ecosite were selected to minimize edge effects and represent dominant habitat conditions. This design ensured comparability across ecosites while capturing site-specific ecological variability.</w:t>
      </w:r>
    </w:p>
    <w:p w14:paraId="1E51B317" w14:textId="232C5B66" w:rsidR="001C5076" w:rsidRPr="003A41F6" w:rsidRDefault="001C5076" w:rsidP="001C5076">
      <w:pPr>
        <w:spacing w:after="0" w:line="360" w:lineRule="auto"/>
        <w:jc w:val="both"/>
        <w:rPr>
          <w:rFonts w:ascii="Times New Roman" w:hAnsi="Times New Roman" w:cs="Times New Roman"/>
          <w:b/>
          <w:bCs/>
        </w:rPr>
      </w:pPr>
      <w:r>
        <w:rPr>
          <w:rFonts w:ascii="Times New Roman" w:hAnsi="Times New Roman" w:cs="Times New Roman"/>
          <w:b/>
          <w:bCs/>
        </w:rPr>
        <w:t xml:space="preserve">2.3. </w:t>
      </w:r>
      <w:r w:rsidRPr="003A41F6">
        <w:rPr>
          <w:rFonts w:ascii="Times New Roman" w:hAnsi="Times New Roman" w:cs="Times New Roman"/>
          <w:b/>
          <w:bCs/>
        </w:rPr>
        <w:t>Water Quality Analysis</w:t>
      </w:r>
    </w:p>
    <w:p w14:paraId="3F5046E8" w14:textId="77777777" w:rsidR="001C5076" w:rsidRPr="003A41F6" w:rsidRDefault="001C5076" w:rsidP="001C5076">
      <w:pPr>
        <w:spacing w:after="0" w:line="360" w:lineRule="auto"/>
        <w:jc w:val="both"/>
        <w:rPr>
          <w:rFonts w:ascii="Times New Roman" w:hAnsi="Times New Roman" w:cs="Times New Roman"/>
        </w:rPr>
      </w:pPr>
      <w:r w:rsidRPr="003A41F6">
        <w:rPr>
          <w:rFonts w:ascii="Times New Roman" w:hAnsi="Times New Roman" w:cs="Times New Roman"/>
        </w:rPr>
        <w:t>Water quality parameters were analysed following standard protocols of the American Public Health Association (APHA, 2007). In situ measurements included water temperature, pH, salinity, and dissolved oxygen (DO) using calibrated field probes. Carbon dioxide (CO₂), nitrate, and phosphate concentrations were estimated using standard titrimetric and spectrophotometric methods under laboratory conditions. These parameters were selected as key indicators of hydrological regime, nutrient dynamics, and biogeochemical processes influencing primary productivity and ecosystem functioning.</w:t>
      </w:r>
    </w:p>
    <w:p w14:paraId="05BD0C0D" w14:textId="24CFB646" w:rsidR="001C5076" w:rsidRPr="003A41F6" w:rsidRDefault="001C5076" w:rsidP="001C5076">
      <w:pPr>
        <w:spacing w:after="0" w:line="360" w:lineRule="auto"/>
        <w:jc w:val="both"/>
        <w:rPr>
          <w:rFonts w:ascii="Times New Roman" w:hAnsi="Times New Roman" w:cs="Times New Roman"/>
          <w:b/>
          <w:bCs/>
        </w:rPr>
      </w:pPr>
      <w:r>
        <w:rPr>
          <w:rFonts w:ascii="Times New Roman" w:hAnsi="Times New Roman" w:cs="Times New Roman"/>
          <w:b/>
          <w:bCs/>
        </w:rPr>
        <w:t xml:space="preserve">2.4. </w:t>
      </w:r>
      <w:r w:rsidRPr="003A41F6">
        <w:rPr>
          <w:rFonts w:ascii="Times New Roman" w:hAnsi="Times New Roman" w:cs="Times New Roman"/>
          <w:b/>
          <w:bCs/>
        </w:rPr>
        <w:t>Plankton Analysis and Diversity Indices</w:t>
      </w:r>
    </w:p>
    <w:p w14:paraId="4083F310" w14:textId="77777777" w:rsidR="001C5076" w:rsidRPr="003A41F6" w:rsidRDefault="001C5076" w:rsidP="001C5076">
      <w:pPr>
        <w:spacing w:after="0" w:line="360" w:lineRule="auto"/>
        <w:jc w:val="both"/>
        <w:rPr>
          <w:rFonts w:ascii="Times New Roman" w:hAnsi="Times New Roman" w:cs="Times New Roman"/>
        </w:rPr>
      </w:pPr>
      <w:r w:rsidRPr="003A41F6">
        <w:rPr>
          <w:rFonts w:ascii="Times New Roman" w:hAnsi="Times New Roman" w:cs="Times New Roman"/>
        </w:rPr>
        <w:t>Phytoplankton and zooplankton samples were collected using a 20 µm mesh plankton net and preserved immediately in Lugol’s iodine solution. Identification and enumeration were carried out under a compound microscope using standard taxonomic keys. Quantitative plankton data were used to compute Shannon–Wiener diversity index (H′), Simpson’s dominance index (D), and Pielou’s evenness index (J′), which together provided measures of community structure, dominance, and distribution uniformity across ecosites.</w:t>
      </w:r>
    </w:p>
    <w:p w14:paraId="21108A53" w14:textId="2779B5EC" w:rsidR="001C5076" w:rsidRPr="003A41F6" w:rsidRDefault="001C5076" w:rsidP="001C5076">
      <w:pPr>
        <w:spacing w:after="0" w:line="360" w:lineRule="auto"/>
        <w:jc w:val="both"/>
        <w:rPr>
          <w:rFonts w:ascii="Times New Roman" w:hAnsi="Times New Roman" w:cs="Times New Roman"/>
          <w:b/>
          <w:bCs/>
        </w:rPr>
      </w:pPr>
      <w:r>
        <w:rPr>
          <w:rFonts w:ascii="Times New Roman" w:hAnsi="Times New Roman" w:cs="Times New Roman"/>
          <w:b/>
          <w:bCs/>
        </w:rPr>
        <w:t xml:space="preserve">2.5. </w:t>
      </w:r>
      <w:r w:rsidRPr="003A41F6">
        <w:rPr>
          <w:rFonts w:ascii="Times New Roman" w:hAnsi="Times New Roman" w:cs="Times New Roman"/>
          <w:b/>
          <w:bCs/>
        </w:rPr>
        <w:t>Multivariate Statistical Analysis</w:t>
      </w:r>
    </w:p>
    <w:p w14:paraId="12976002" w14:textId="77777777" w:rsidR="001C5076" w:rsidRPr="003A41F6" w:rsidRDefault="001C5076" w:rsidP="001C5076">
      <w:pPr>
        <w:spacing w:after="0" w:line="360" w:lineRule="auto"/>
        <w:jc w:val="both"/>
        <w:rPr>
          <w:rFonts w:ascii="Times New Roman" w:hAnsi="Times New Roman" w:cs="Times New Roman"/>
        </w:rPr>
      </w:pPr>
      <w:r w:rsidRPr="003A41F6">
        <w:rPr>
          <w:rFonts w:ascii="Times New Roman" w:hAnsi="Times New Roman" w:cs="Times New Roman"/>
        </w:rPr>
        <w:t>To examine multivariate relationships and ecological gradients among ecosites, Principal Component Analysis (PCA) was performed using PAST software version 4.3. Prior to analysis, phytoplankton group data were standardized to remove scale effects. Both abundance-based and presence–absence matrices were used to capture dominant and rare taxa. PCA was applied to identify the major environmental and biological gradients structuring ecosite-level variation and to visualize separation among ecosites based on salinity, nutrient availability, and plankton composition.</w:t>
      </w:r>
    </w:p>
    <w:p w14:paraId="544AD5A3" w14:textId="0B3373D2" w:rsidR="001C5076" w:rsidRPr="003A41F6" w:rsidRDefault="001C5076" w:rsidP="001C5076">
      <w:pPr>
        <w:spacing w:after="0" w:line="360" w:lineRule="auto"/>
        <w:jc w:val="both"/>
        <w:rPr>
          <w:rFonts w:ascii="Times New Roman" w:hAnsi="Times New Roman" w:cs="Times New Roman"/>
          <w:b/>
          <w:bCs/>
        </w:rPr>
      </w:pPr>
      <w:r>
        <w:rPr>
          <w:rFonts w:ascii="Times New Roman" w:hAnsi="Times New Roman" w:cs="Times New Roman"/>
          <w:b/>
          <w:bCs/>
        </w:rPr>
        <w:t xml:space="preserve">2.6. </w:t>
      </w:r>
      <w:r w:rsidRPr="003A41F6">
        <w:rPr>
          <w:rFonts w:ascii="Times New Roman" w:hAnsi="Times New Roman" w:cs="Times New Roman"/>
          <w:b/>
          <w:bCs/>
        </w:rPr>
        <w:t>Ecosite Modelling and Visualization</w:t>
      </w:r>
    </w:p>
    <w:p w14:paraId="55F2AECC" w14:textId="77777777" w:rsidR="001C5076" w:rsidRPr="003A41F6" w:rsidRDefault="001C5076" w:rsidP="001C5076">
      <w:pPr>
        <w:spacing w:after="0" w:line="360" w:lineRule="auto"/>
        <w:jc w:val="both"/>
        <w:rPr>
          <w:rFonts w:ascii="Times New Roman" w:hAnsi="Times New Roman" w:cs="Times New Roman"/>
        </w:rPr>
      </w:pPr>
      <w:r w:rsidRPr="003A41F6">
        <w:rPr>
          <w:rFonts w:ascii="Times New Roman" w:hAnsi="Times New Roman" w:cs="Times New Roman"/>
        </w:rPr>
        <w:t xml:space="preserve">Conceptual ecosite models were developed to visually represent habitat structure, vegetation layering, and hydrological gradients within each ecosite. These models were generated using </w:t>
      </w:r>
      <w:r w:rsidRPr="003A41F6">
        <w:rPr>
          <w:rFonts w:ascii="Times New Roman" w:hAnsi="Times New Roman" w:cs="Times New Roman"/>
        </w:rPr>
        <w:lastRenderedPageBreak/>
        <w:t>Adobe Photoshop CS2 as a visualization tool, integrating field observations, vegetation profiles, and site-specific hydrological characteristics. Native and indicator plant species were digitally positioned within shoreline, marsh, riparian, and upland zones based on ecological preferences such as salinity tolerance, soil moisture requirements, and functional roles.</w:t>
      </w:r>
      <w:r w:rsidRPr="003A41F6">
        <w:rPr>
          <w:rFonts w:ascii="Times New Roman" w:hAnsi="Times New Roman" w:cs="Times New Roman"/>
        </w:rPr>
        <w:br/>
        <w:t>The ecosite models emphasize spatial connectivity, vegetation stratification, and land–water interactions, translating complex ecological data into accessible visual representations. Model outputs were validated against field observations and multivariate gradients to ensure ecological consistency. These visualizations were developed to support wetland zoning, restoration planning, and adaptive management, rather than as numerical simulation models.</w:t>
      </w:r>
    </w:p>
    <w:p w14:paraId="5A28A71E" w14:textId="384B146B" w:rsidR="001C5076" w:rsidRPr="003A41F6" w:rsidRDefault="001C5076" w:rsidP="001C5076">
      <w:pPr>
        <w:spacing w:after="0" w:line="360" w:lineRule="auto"/>
        <w:jc w:val="both"/>
        <w:rPr>
          <w:rFonts w:ascii="Times New Roman" w:hAnsi="Times New Roman" w:cs="Times New Roman"/>
          <w:b/>
          <w:bCs/>
        </w:rPr>
      </w:pPr>
      <w:r>
        <w:rPr>
          <w:rFonts w:ascii="Times New Roman" w:hAnsi="Times New Roman" w:cs="Times New Roman"/>
          <w:b/>
          <w:bCs/>
        </w:rPr>
        <w:t xml:space="preserve">2.7. </w:t>
      </w:r>
      <w:r w:rsidRPr="003A41F6">
        <w:rPr>
          <w:rFonts w:ascii="Times New Roman" w:hAnsi="Times New Roman" w:cs="Times New Roman"/>
          <w:b/>
          <w:bCs/>
        </w:rPr>
        <w:t>Indicator Species Analysis</w:t>
      </w:r>
    </w:p>
    <w:p w14:paraId="64A01006" w14:textId="77777777" w:rsidR="001C5076" w:rsidRPr="003A41F6" w:rsidRDefault="001C5076" w:rsidP="001C5076">
      <w:pPr>
        <w:spacing w:after="0" w:line="360" w:lineRule="auto"/>
        <w:jc w:val="both"/>
        <w:rPr>
          <w:rFonts w:ascii="Times New Roman" w:hAnsi="Times New Roman" w:cs="Times New Roman"/>
        </w:rPr>
      </w:pPr>
      <w:r w:rsidRPr="003A41F6">
        <w:rPr>
          <w:rFonts w:ascii="Times New Roman" w:hAnsi="Times New Roman" w:cs="Times New Roman"/>
        </w:rPr>
        <w:t>Indicator species were identified based on their consistent association with specific ecosites and environmental conditions. Species exhibiting strong fidelity to particular salinity and nutrient regimes were interpreted as bioindicators of ecosite identity and ecological status, supporting site-level classification and management interpretation.</w:t>
      </w:r>
    </w:p>
    <w:p w14:paraId="7694BF32" w14:textId="66B34874" w:rsidR="000E707F" w:rsidRPr="001A7B2B" w:rsidRDefault="00803F39" w:rsidP="007B1180">
      <w:pPr>
        <w:spacing w:after="0" w:line="360" w:lineRule="auto"/>
        <w:jc w:val="both"/>
        <w:rPr>
          <w:rFonts w:ascii="Times New Roman" w:hAnsi="Times New Roman" w:cs="Times New Roman"/>
          <w:b/>
          <w:bCs/>
        </w:rPr>
      </w:pPr>
      <w:r w:rsidRPr="001A7B2B">
        <w:rPr>
          <w:rFonts w:ascii="Times New Roman" w:hAnsi="Times New Roman" w:cs="Times New Roman"/>
          <w:b/>
          <w:bCs/>
        </w:rPr>
        <w:t xml:space="preserve">3. </w:t>
      </w:r>
      <w:r w:rsidR="00755CD4" w:rsidRPr="001A7B2B">
        <w:rPr>
          <w:rFonts w:ascii="Times New Roman" w:hAnsi="Times New Roman" w:cs="Times New Roman"/>
          <w:b/>
          <w:bCs/>
        </w:rPr>
        <w:t>Results</w:t>
      </w:r>
    </w:p>
    <w:p w14:paraId="1FE5EE7E" w14:textId="77777777" w:rsidR="00113547" w:rsidRPr="001A7B2B" w:rsidRDefault="00113547"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3.1 Water Quality Across Ecosites</w:t>
      </w:r>
    </w:p>
    <w:p w14:paraId="52FB081A" w14:textId="5809C733"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Water quality analysis revealed notable spatial variations among the five ecosites of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w:t>
      </w:r>
      <w:r w:rsidR="0070010A" w:rsidRPr="001A7B2B">
        <w:rPr>
          <w:rFonts w:ascii="Times New Roman" w:hAnsi="Times New Roman" w:cs="Times New Roman"/>
        </w:rPr>
        <w:t xml:space="preserve"> (Table 1)</w:t>
      </w:r>
      <w:r w:rsidRPr="001A7B2B">
        <w:rPr>
          <w:rFonts w:ascii="Times New Roman" w:hAnsi="Times New Roman" w:cs="Times New Roman"/>
        </w:rPr>
        <w:t xml:space="preserve">. Surface water temperature ranged from 27.08°C at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to 29.12°C at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reflecting localized differences in solar exposure and hydrological exchange. pH values were generally neutral to slightly alkaline across all sites, with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showing the highest value (7.91), suggesting moderate buffering capacity and low acidification risk. Salinity exhibited a clear estuarine gradient, peaking at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(35.69%)</w:t>
      </w:r>
      <w:r w:rsidR="007B1180" w:rsidRPr="001A7B2B">
        <w:rPr>
          <w:rFonts w:ascii="Times New Roman" w:hAnsi="Times New Roman" w:cs="Times New Roman"/>
        </w:rPr>
        <w:t xml:space="preserve">, </w:t>
      </w:r>
      <w:r w:rsidRPr="001A7B2B">
        <w:rPr>
          <w:rFonts w:ascii="Times New Roman" w:hAnsi="Times New Roman" w:cs="Times New Roman"/>
        </w:rPr>
        <w:t>a marine-influenced site</w:t>
      </w:r>
      <w:r w:rsidR="007B1180" w:rsidRPr="001A7B2B">
        <w:rPr>
          <w:rFonts w:ascii="Times New Roman" w:hAnsi="Times New Roman" w:cs="Times New Roman"/>
        </w:rPr>
        <w:t xml:space="preserve">, </w:t>
      </w:r>
      <w:r w:rsidRPr="001A7B2B">
        <w:rPr>
          <w:rFonts w:ascii="Times New Roman" w:hAnsi="Times New Roman" w:cs="Times New Roman"/>
        </w:rPr>
        <w:t xml:space="preserve">while the lowest was recorded at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(5.86%)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(6.98%), indicative of freshwater</w:t>
      </w:r>
      <w:r w:rsidR="007B1180" w:rsidRPr="001A7B2B">
        <w:rPr>
          <w:rFonts w:ascii="Times New Roman" w:hAnsi="Times New Roman" w:cs="Times New Roman"/>
        </w:rPr>
        <w:t xml:space="preserve"> </w:t>
      </w:r>
      <w:r w:rsidRPr="001A7B2B">
        <w:rPr>
          <w:rFonts w:ascii="Times New Roman" w:hAnsi="Times New Roman" w:cs="Times New Roman"/>
        </w:rPr>
        <w:t>dominated conditions.</w:t>
      </w:r>
    </w:p>
    <w:p w14:paraId="0372AD5C" w14:textId="23C8E3DA"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Dissolved oxygen (DO) levels were relatively stable across sites, ranging from 5.42 to 5.82 mg/L, supporting aerobic aquatic life. However, a sharp contrast was observed in carbon dioxide concentrations, with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showing a significantly elevated level (63.6 mg/L), likely due to high organic decomposition and tidal influx, while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recorded the lowest CO₂ (5.49 mg/L), indicating better gaseous exchange and photosynthetic activity. Nitrate concentrations were highest at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(5.84 mg/L)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(5.79 mg/L), reflecting possible agricultural runoff and nutrient input from catchment areas. Phosphate levels remained relatively low and consistent across all ecosites (0.052</w:t>
      </w:r>
      <w:r w:rsidR="007B1180" w:rsidRPr="001A7B2B">
        <w:rPr>
          <w:rFonts w:ascii="Times New Roman" w:hAnsi="Times New Roman" w:cs="Times New Roman"/>
        </w:rPr>
        <w:t>-</w:t>
      </w:r>
      <w:r w:rsidRPr="001A7B2B">
        <w:rPr>
          <w:rFonts w:ascii="Times New Roman" w:hAnsi="Times New Roman" w:cs="Times New Roman"/>
        </w:rPr>
        <w:t>0.059 mg/L), suggesting minimal risk of eutrophication at the time of sampling.</w:t>
      </w:r>
    </w:p>
    <w:p w14:paraId="617142B7" w14:textId="77777777"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lastRenderedPageBreak/>
        <w:t xml:space="preserve">These variations in </w:t>
      </w:r>
      <w:proofErr w:type="spellStart"/>
      <w:r w:rsidRPr="001A7B2B">
        <w:rPr>
          <w:rFonts w:ascii="Times New Roman" w:hAnsi="Times New Roman" w:cs="Times New Roman"/>
        </w:rPr>
        <w:t>physico</w:t>
      </w:r>
      <w:proofErr w:type="spellEnd"/>
      <w:r w:rsidRPr="001A7B2B">
        <w:rPr>
          <w:rFonts w:ascii="Times New Roman" w:hAnsi="Times New Roman" w:cs="Times New Roman"/>
        </w:rPr>
        <w:t>-chemical parameters highlight the diverse hydro-ecological conditions of the study sites, influenced by tidal dynamics, anthropogenic activity, and freshwater influx, which play critical roles in shaping the biological productivity and ecological health of each ecosite.</w:t>
      </w:r>
    </w:p>
    <w:p w14:paraId="3B9942CD" w14:textId="3E0261B2" w:rsidR="00E45748" w:rsidRPr="001A7B2B" w:rsidRDefault="00A14283" w:rsidP="007B1180">
      <w:pPr>
        <w:spacing w:after="0" w:line="360" w:lineRule="auto"/>
        <w:jc w:val="both"/>
        <w:rPr>
          <w:rFonts w:ascii="Times New Roman" w:hAnsi="Times New Roman" w:cs="Times New Roman"/>
        </w:rPr>
      </w:pPr>
      <w:r w:rsidRPr="001A7B2B">
        <w:rPr>
          <w:rFonts w:ascii="Times New Roman" w:hAnsi="Times New Roman" w:cs="Times New Roman"/>
          <w:b/>
          <w:bCs/>
        </w:rPr>
        <w:t>T</w:t>
      </w:r>
      <w:r w:rsidR="00621D58" w:rsidRPr="001A7B2B">
        <w:rPr>
          <w:rFonts w:ascii="Times New Roman" w:hAnsi="Times New Roman" w:cs="Times New Roman"/>
          <w:b/>
          <w:bCs/>
        </w:rPr>
        <w:t>able</w:t>
      </w:r>
      <w:r w:rsidR="00D03E73" w:rsidRPr="001A7B2B">
        <w:rPr>
          <w:rFonts w:ascii="Times New Roman" w:hAnsi="Times New Roman" w:cs="Times New Roman"/>
          <w:b/>
          <w:bCs/>
        </w:rPr>
        <w:t xml:space="preserve"> 1.</w:t>
      </w:r>
      <w:r w:rsidR="00621D58" w:rsidRPr="001A7B2B">
        <w:rPr>
          <w:rFonts w:ascii="Times New Roman" w:hAnsi="Times New Roman" w:cs="Times New Roman"/>
        </w:rPr>
        <w:t xml:space="preserve"> containing the </w:t>
      </w:r>
      <w:r w:rsidR="007B1180" w:rsidRPr="001A7B2B">
        <w:rPr>
          <w:rFonts w:ascii="Times New Roman" w:hAnsi="Times New Roman" w:cs="Times New Roman"/>
        </w:rPr>
        <w:t xml:space="preserve">average </w:t>
      </w:r>
      <w:r w:rsidR="00621D58" w:rsidRPr="001A7B2B">
        <w:rPr>
          <w:rFonts w:ascii="Times New Roman" w:hAnsi="Times New Roman" w:cs="Times New Roman"/>
        </w:rPr>
        <w:t>water quality parameters of the five ecosites</w:t>
      </w:r>
    </w:p>
    <w:tbl>
      <w:tblPr>
        <w:tblStyle w:val="TableGrid"/>
        <w:tblW w:w="8665" w:type="dxa"/>
        <w:tblLook w:val="04A0" w:firstRow="1" w:lastRow="0" w:firstColumn="1" w:lastColumn="0" w:noHBand="0" w:noVBand="1"/>
      </w:tblPr>
      <w:tblGrid>
        <w:gridCol w:w="1576"/>
        <w:gridCol w:w="1442"/>
        <w:gridCol w:w="636"/>
        <w:gridCol w:w="1098"/>
        <w:gridCol w:w="993"/>
        <w:gridCol w:w="896"/>
        <w:gridCol w:w="1134"/>
        <w:gridCol w:w="1203"/>
      </w:tblGrid>
      <w:tr w:rsidR="00584855" w:rsidRPr="001A7B2B" w14:paraId="6817FC98" w14:textId="77777777" w:rsidTr="00584855">
        <w:trPr>
          <w:trHeight w:val="290"/>
        </w:trPr>
        <w:tc>
          <w:tcPr>
            <w:tcW w:w="1486" w:type="dxa"/>
            <w:noWrap/>
            <w:hideMark/>
          </w:tcPr>
          <w:p w14:paraId="1AA8D453" w14:textId="59FE0309"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Ecosites</w:t>
            </w:r>
          </w:p>
        </w:tc>
        <w:tc>
          <w:tcPr>
            <w:tcW w:w="1339" w:type="dxa"/>
            <w:noWrap/>
            <w:hideMark/>
          </w:tcPr>
          <w:p w14:paraId="59E62514" w14:textId="75C67832"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Temperature (°C)</w:t>
            </w:r>
          </w:p>
        </w:tc>
        <w:tc>
          <w:tcPr>
            <w:tcW w:w="608" w:type="dxa"/>
            <w:noWrap/>
            <w:hideMark/>
          </w:tcPr>
          <w:p w14:paraId="6D29618E"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pH</w:t>
            </w:r>
          </w:p>
        </w:tc>
        <w:tc>
          <w:tcPr>
            <w:tcW w:w="1098" w:type="dxa"/>
            <w:noWrap/>
            <w:hideMark/>
          </w:tcPr>
          <w:p w14:paraId="67907700"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Salinity (%)</w:t>
            </w:r>
          </w:p>
        </w:tc>
        <w:tc>
          <w:tcPr>
            <w:tcW w:w="993" w:type="dxa"/>
            <w:noWrap/>
            <w:hideMark/>
          </w:tcPr>
          <w:p w14:paraId="2C3222ED"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DO (mg/L)</w:t>
            </w:r>
          </w:p>
        </w:tc>
        <w:tc>
          <w:tcPr>
            <w:tcW w:w="850" w:type="dxa"/>
            <w:noWrap/>
            <w:hideMark/>
          </w:tcPr>
          <w:p w14:paraId="1A72B57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CO2 (mg/L)</w:t>
            </w:r>
          </w:p>
        </w:tc>
        <w:tc>
          <w:tcPr>
            <w:tcW w:w="1134" w:type="dxa"/>
            <w:noWrap/>
            <w:hideMark/>
          </w:tcPr>
          <w:p w14:paraId="3DA8682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Nitrate (mg/L)</w:t>
            </w:r>
          </w:p>
        </w:tc>
        <w:tc>
          <w:tcPr>
            <w:tcW w:w="1157" w:type="dxa"/>
            <w:noWrap/>
            <w:hideMark/>
          </w:tcPr>
          <w:p w14:paraId="00AF81EC"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Phosphate (mg/L)</w:t>
            </w:r>
          </w:p>
        </w:tc>
      </w:tr>
      <w:tr w:rsidR="00584855" w:rsidRPr="001A7B2B" w14:paraId="5970E9DD" w14:textId="77777777" w:rsidTr="00584855">
        <w:trPr>
          <w:trHeight w:val="290"/>
        </w:trPr>
        <w:tc>
          <w:tcPr>
            <w:tcW w:w="1486" w:type="dxa"/>
            <w:noWrap/>
            <w:hideMark/>
          </w:tcPr>
          <w:p w14:paraId="7B424675"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Neendakara</w:t>
            </w:r>
            <w:proofErr w:type="spellEnd"/>
          </w:p>
        </w:tc>
        <w:tc>
          <w:tcPr>
            <w:tcW w:w="1339" w:type="dxa"/>
            <w:noWrap/>
            <w:hideMark/>
          </w:tcPr>
          <w:p w14:paraId="3895E9B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29.12</w:t>
            </w:r>
          </w:p>
        </w:tc>
        <w:tc>
          <w:tcPr>
            <w:tcW w:w="608" w:type="dxa"/>
            <w:noWrap/>
            <w:hideMark/>
          </w:tcPr>
          <w:p w14:paraId="6A3505F2"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7.07</w:t>
            </w:r>
          </w:p>
        </w:tc>
        <w:tc>
          <w:tcPr>
            <w:tcW w:w="1098" w:type="dxa"/>
            <w:noWrap/>
            <w:hideMark/>
          </w:tcPr>
          <w:p w14:paraId="0F3212A6"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35.69</w:t>
            </w:r>
          </w:p>
        </w:tc>
        <w:tc>
          <w:tcPr>
            <w:tcW w:w="993" w:type="dxa"/>
            <w:noWrap/>
            <w:hideMark/>
          </w:tcPr>
          <w:p w14:paraId="0F0215D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5.54</w:t>
            </w:r>
          </w:p>
        </w:tc>
        <w:tc>
          <w:tcPr>
            <w:tcW w:w="850" w:type="dxa"/>
            <w:noWrap/>
            <w:hideMark/>
          </w:tcPr>
          <w:p w14:paraId="5E0CA109"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63.6</w:t>
            </w:r>
          </w:p>
        </w:tc>
        <w:tc>
          <w:tcPr>
            <w:tcW w:w="1134" w:type="dxa"/>
            <w:noWrap/>
            <w:hideMark/>
          </w:tcPr>
          <w:p w14:paraId="258ABE7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4.99</w:t>
            </w:r>
          </w:p>
        </w:tc>
        <w:tc>
          <w:tcPr>
            <w:tcW w:w="1157" w:type="dxa"/>
            <w:noWrap/>
            <w:hideMark/>
          </w:tcPr>
          <w:p w14:paraId="56BADB03"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0.052</w:t>
            </w:r>
          </w:p>
        </w:tc>
      </w:tr>
      <w:tr w:rsidR="00584855" w:rsidRPr="001A7B2B" w14:paraId="4E41580E" w14:textId="77777777" w:rsidTr="00584855">
        <w:trPr>
          <w:trHeight w:val="290"/>
        </w:trPr>
        <w:tc>
          <w:tcPr>
            <w:tcW w:w="1486" w:type="dxa"/>
            <w:noWrap/>
            <w:hideMark/>
          </w:tcPr>
          <w:p w14:paraId="5BC8B314"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Puthenthuruth</w:t>
            </w:r>
            <w:proofErr w:type="spellEnd"/>
          </w:p>
        </w:tc>
        <w:tc>
          <w:tcPr>
            <w:tcW w:w="1339" w:type="dxa"/>
            <w:noWrap/>
            <w:hideMark/>
          </w:tcPr>
          <w:p w14:paraId="3D8AE068"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28.22</w:t>
            </w:r>
          </w:p>
        </w:tc>
        <w:tc>
          <w:tcPr>
            <w:tcW w:w="608" w:type="dxa"/>
            <w:noWrap/>
            <w:hideMark/>
          </w:tcPr>
          <w:p w14:paraId="13CFBCF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7.07</w:t>
            </w:r>
          </w:p>
        </w:tc>
        <w:tc>
          <w:tcPr>
            <w:tcW w:w="1098" w:type="dxa"/>
            <w:noWrap/>
            <w:hideMark/>
          </w:tcPr>
          <w:p w14:paraId="239118A3" w14:textId="3DAFFFB6"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26.73</w:t>
            </w:r>
          </w:p>
        </w:tc>
        <w:tc>
          <w:tcPr>
            <w:tcW w:w="993" w:type="dxa"/>
            <w:noWrap/>
            <w:hideMark/>
          </w:tcPr>
          <w:p w14:paraId="106AF4F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5.64</w:t>
            </w:r>
          </w:p>
        </w:tc>
        <w:tc>
          <w:tcPr>
            <w:tcW w:w="850" w:type="dxa"/>
            <w:noWrap/>
            <w:hideMark/>
          </w:tcPr>
          <w:p w14:paraId="72437F3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5.49</w:t>
            </w:r>
          </w:p>
        </w:tc>
        <w:tc>
          <w:tcPr>
            <w:tcW w:w="1134" w:type="dxa"/>
            <w:noWrap/>
            <w:hideMark/>
          </w:tcPr>
          <w:p w14:paraId="22744DA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4.93</w:t>
            </w:r>
          </w:p>
        </w:tc>
        <w:tc>
          <w:tcPr>
            <w:tcW w:w="1157" w:type="dxa"/>
            <w:noWrap/>
            <w:hideMark/>
          </w:tcPr>
          <w:p w14:paraId="62D2DBA6"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0.059</w:t>
            </w:r>
          </w:p>
        </w:tc>
      </w:tr>
      <w:tr w:rsidR="00584855" w:rsidRPr="001A7B2B" w14:paraId="13A9F07F" w14:textId="77777777" w:rsidTr="00584855">
        <w:trPr>
          <w:trHeight w:val="290"/>
        </w:trPr>
        <w:tc>
          <w:tcPr>
            <w:tcW w:w="1486" w:type="dxa"/>
            <w:noWrap/>
            <w:hideMark/>
          </w:tcPr>
          <w:p w14:paraId="3BDBE86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Asramam</w:t>
            </w:r>
            <w:proofErr w:type="spellEnd"/>
          </w:p>
        </w:tc>
        <w:tc>
          <w:tcPr>
            <w:tcW w:w="1339" w:type="dxa"/>
            <w:noWrap/>
            <w:hideMark/>
          </w:tcPr>
          <w:p w14:paraId="7E6E9C2A" w14:textId="7DCF0FF0"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28.71</w:t>
            </w:r>
          </w:p>
        </w:tc>
        <w:tc>
          <w:tcPr>
            <w:tcW w:w="608" w:type="dxa"/>
            <w:noWrap/>
            <w:hideMark/>
          </w:tcPr>
          <w:p w14:paraId="7469E9AC" w14:textId="7822853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7.91</w:t>
            </w:r>
          </w:p>
        </w:tc>
        <w:tc>
          <w:tcPr>
            <w:tcW w:w="1098" w:type="dxa"/>
            <w:noWrap/>
            <w:hideMark/>
          </w:tcPr>
          <w:p w14:paraId="1E36536A" w14:textId="12901CD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21.33</w:t>
            </w:r>
          </w:p>
        </w:tc>
        <w:tc>
          <w:tcPr>
            <w:tcW w:w="993" w:type="dxa"/>
            <w:noWrap/>
            <w:hideMark/>
          </w:tcPr>
          <w:p w14:paraId="252ABA96" w14:textId="2A56ADAF"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5.51</w:t>
            </w:r>
          </w:p>
        </w:tc>
        <w:tc>
          <w:tcPr>
            <w:tcW w:w="850" w:type="dxa"/>
            <w:noWrap/>
            <w:hideMark/>
          </w:tcPr>
          <w:p w14:paraId="7344E55B" w14:textId="6A9BC44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10.3</w:t>
            </w:r>
          </w:p>
        </w:tc>
        <w:tc>
          <w:tcPr>
            <w:tcW w:w="1134" w:type="dxa"/>
            <w:noWrap/>
            <w:hideMark/>
          </w:tcPr>
          <w:p w14:paraId="351FBE3C" w14:textId="09FF8324"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4.85</w:t>
            </w:r>
          </w:p>
        </w:tc>
        <w:tc>
          <w:tcPr>
            <w:tcW w:w="1157" w:type="dxa"/>
            <w:noWrap/>
            <w:hideMark/>
          </w:tcPr>
          <w:p w14:paraId="1DD1C61C" w14:textId="23F1B02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0.055</w:t>
            </w:r>
          </w:p>
        </w:tc>
      </w:tr>
      <w:tr w:rsidR="00584855" w:rsidRPr="001A7B2B" w14:paraId="4C121FF1" w14:textId="77777777" w:rsidTr="00584855">
        <w:trPr>
          <w:trHeight w:val="290"/>
        </w:trPr>
        <w:tc>
          <w:tcPr>
            <w:tcW w:w="1486" w:type="dxa"/>
            <w:noWrap/>
            <w:hideMark/>
          </w:tcPr>
          <w:p w14:paraId="797C072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Kidapram</w:t>
            </w:r>
            <w:proofErr w:type="spellEnd"/>
          </w:p>
        </w:tc>
        <w:tc>
          <w:tcPr>
            <w:tcW w:w="1339" w:type="dxa"/>
            <w:noWrap/>
            <w:hideMark/>
          </w:tcPr>
          <w:p w14:paraId="262C881E" w14:textId="1A4C31E3"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28.20</w:t>
            </w:r>
          </w:p>
        </w:tc>
        <w:tc>
          <w:tcPr>
            <w:tcW w:w="608" w:type="dxa"/>
            <w:noWrap/>
            <w:hideMark/>
          </w:tcPr>
          <w:p w14:paraId="156EAC0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7.21</w:t>
            </w:r>
          </w:p>
        </w:tc>
        <w:tc>
          <w:tcPr>
            <w:tcW w:w="1098" w:type="dxa"/>
            <w:noWrap/>
            <w:hideMark/>
          </w:tcPr>
          <w:p w14:paraId="51CB8806"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5.86</w:t>
            </w:r>
          </w:p>
        </w:tc>
        <w:tc>
          <w:tcPr>
            <w:tcW w:w="993" w:type="dxa"/>
            <w:noWrap/>
            <w:hideMark/>
          </w:tcPr>
          <w:p w14:paraId="082E4073" w14:textId="5A51CF7D"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5.42</w:t>
            </w:r>
          </w:p>
        </w:tc>
        <w:tc>
          <w:tcPr>
            <w:tcW w:w="850" w:type="dxa"/>
            <w:noWrap/>
            <w:hideMark/>
          </w:tcPr>
          <w:p w14:paraId="716B2F53" w14:textId="73C23C71"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20.21</w:t>
            </w:r>
          </w:p>
        </w:tc>
        <w:tc>
          <w:tcPr>
            <w:tcW w:w="1134" w:type="dxa"/>
            <w:noWrap/>
            <w:hideMark/>
          </w:tcPr>
          <w:p w14:paraId="38038228"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5.84</w:t>
            </w:r>
          </w:p>
        </w:tc>
        <w:tc>
          <w:tcPr>
            <w:tcW w:w="1157" w:type="dxa"/>
            <w:noWrap/>
            <w:hideMark/>
          </w:tcPr>
          <w:p w14:paraId="79A50DD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0.052</w:t>
            </w:r>
          </w:p>
        </w:tc>
      </w:tr>
      <w:tr w:rsidR="00584855" w:rsidRPr="001A7B2B" w14:paraId="70B71D22" w14:textId="77777777" w:rsidTr="00584855">
        <w:trPr>
          <w:trHeight w:val="290"/>
        </w:trPr>
        <w:tc>
          <w:tcPr>
            <w:tcW w:w="1486" w:type="dxa"/>
            <w:noWrap/>
            <w:hideMark/>
          </w:tcPr>
          <w:p w14:paraId="6E604B2C"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Cherikkadavu</w:t>
            </w:r>
            <w:proofErr w:type="spellEnd"/>
          </w:p>
        </w:tc>
        <w:tc>
          <w:tcPr>
            <w:tcW w:w="1339" w:type="dxa"/>
            <w:noWrap/>
            <w:hideMark/>
          </w:tcPr>
          <w:p w14:paraId="7F30C307"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27.08</w:t>
            </w:r>
          </w:p>
        </w:tc>
        <w:tc>
          <w:tcPr>
            <w:tcW w:w="608" w:type="dxa"/>
            <w:noWrap/>
            <w:hideMark/>
          </w:tcPr>
          <w:p w14:paraId="0CB6E10D"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7.18</w:t>
            </w:r>
          </w:p>
        </w:tc>
        <w:tc>
          <w:tcPr>
            <w:tcW w:w="1098" w:type="dxa"/>
            <w:noWrap/>
            <w:hideMark/>
          </w:tcPr>
          <w:p w14:paraId="5EE46CCA"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6.98</w:t>
            </w:r>
          </w:p>
        </w:tc>
        <w:tc>
          <w:tcPr>
            <w:tcW w:w="993" w:type="dxa"/>
            <w:noWrap/>
            <w:hideMark/>
          </w:tcPr>
          <w:p w14:paraId="7C2E5CA4"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5.82</w:t>
            </w:r>
          </w:p>
        </w:tc>
        <w:tc>
          <w:tcPr>
            <w:tcW w:w="850" w:type="dxa"/>
            <w:noWrap/>
            <w:hideMark/>
          </w:tcPr>
          <w:p w14:paraId="19A508ED"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33.24</w:t>
            </w:r>
          </w:p>
        </w:tc>
        <w:tc>
          <w:tcPr>
            <w:tcW w:w="1134" w:type="dxa"/>
            <w:noWrap/>
            <w:hideMark/>
          </w:tcPr>
          <w:p w14:paraId="6B541D9F"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5.79</w:t>
            </w:r>
          </w:p>
        </w:tc>
        <w:tc>
          <w:tcPr>
            <w:tcW w:w="1157" w:type="dxa"/>
            <w:noWrap/>
            <w:hideMark/>
          </w:tcPr>
          <w:p w14:paraId="15015F71" w14:textId="77777777" w:rsidR="00584855" w:rsidRPr="001A7B2B" w:rsidRDefault="00584855"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0.052</w:t>
            </w:r>
          </w:p>
        </w:tc>
      </w:tr>
    </w:tbl>
    <w:p w14:paraId="127C24D5" w14:textId="77777777" w:rsidR="00113547" w:rsidRPr="001A7B2B" w:rsidRDefault="00113547"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3.2 Phytoplankton Diversity and Composition</w:t>
      </w:r>
    </w:p>
    <w:p w14:paraId="3F9DBC25" w14:textId="7BD1FB7E"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Phytoplankton diversity varied notably across the five ecosites, reflecting differences in nutrient availability, salinity, and hydrodynamic conditions. The highest phytoplankton richness was recorded at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with 70 species, followed by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(65 species) and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(55 species), indicating high primary productivity in these zones. In contrast,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exhibited the lowest diversity with only 13 recorded species, suggesting limited productivity or possible environmental stress</w:t>
      </w:r>
      <w:r w:rsidR="0070010A" w:rsidRPr="001A7B2B">
        <w:rPr>
          <w:rFonts w:ascii="Times New Roman" w:hAnsi="Times New Roman" w:cs="Times New Roman"/>
        </w:rPr>
        <w:t xml:space="preserve"> (Table 2)</w:t>
      </w:r>
      <w:r w:rsidRPr="001A7B2B">
        <w:rPr>
          <w:rFonts w:ascii="Times New Roman" w:hAnsi="Times New Roman" w:cs="Times New Roman"/>
        </w:rPr>
        <w:t>.</w:t>
      </w:r>
    </w:p>
    <w:p w14:paraId="2147BD32" w14:textId="369D2099"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Diatoms (Bacillariophyceae) dominated the phytoplankton community at all ecosites, with genera such as </w:t>
      </w:r>
      <w:proofErr w:type="spellStart"/>
      <w:r w:rsidRPr="001A7B2B">
        <w:rPr>
          <w:rFonts w:ascii="Times New Roman" w:hAnsi="Times New Roman" w:cs="Times New Roman"/>
          <w:i/>
          <w:iCs/>
        </w:rPr>
        <w:t>Thalassiosira</w:t>
      </w:r>
      <w:proofErr w:type="spellEnd"/>
      <w:r w:rsidRPr="001A7B2B">
        <w:rPr>
          <w:rFonts w:ascii="Times New Roman" w:hAnsi="Times New Roman" w:cs="Times New Roman"/>
        </w:rPr>
        <w:t xml:space="preserve">, </w:t>
      </w:r>
      <w:r w:rsidRPr="001A7B2B">
        <w:rPr>
          <w:rFonts w:ascii="Times New Roman" w:hAnsi="Times New Roman" w:cs="Times New Roman"/>
          <w:i/>
          <w:iCs/>
        </w:rPr>
        <w:t>Coscinodiscus</w:t>
      </w:r>
      <w:r w:rsidRPr="001A7B2B">
        <w:rPr>
          <w:rFonts w:ascii="Times New Roman" w:hAnsi="Times New Roman" w:cs="Times New Roman"/>
        </w:rPr>
        <w:t xml:space="preserve">, </w:t>
      </w:r>
      <w:proofErr w:type="spellStart"/>
      <w:r w:rsidRPr="001A7B2B">
        <w:rPr>
          <w:rFonts w:ascii="Times New Roman" w:hAnsi="Times New Roman" w:cs="Times New Roman"/>
          <w:i/>
          <w:iCs/>
        </w:rPr>
        <w:t>Navicula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Diatoma</w:t>
      </w:r>
      <w:proofErr w:type="spellEnd"/>
      <w:r w:rsidRPr="001A7B2B">
        <w:rPr>
          <w:rFonts w:ascii="Times New Roman" w:hAnsi="Times New Roman" w:cs="Times New Roman"/>
        </w:rPr>
        <w:t xml:space="preserve">, and </w:t>
      </w:r>
      <w:r w:rsidRPr="001A7B2B">
        <w:rPr>
          <w:rFonts w:ascii="Times New Roman" w:hAnsi="Times New Roman" w:cs="Times New Roman"/>
          <w:i/>
          <w:iCs/>
        </w:rPr>
        <w:t>Cyclotella</w:t>
      </w:r>
      <w:r w:rsidRPr="001A7B2B">
        <w:rPr>
          <w:rFonts w:ascii="Times New Roman" w:hAnsi="Times New Roman" w:cs="Times New Roman"/>
        </w:rPr>
        <w:t xml:space="preserve"> being widely distributed. </w:t>
      </w:r>
      <w:proofErr w:type="spellStart"/>
      <w:r w:rsidRPr="001A7B2B">
        <w:rPr>
          <w:rFonts w:ascii="Times New Roman" w:hAnsi="Times New Roman" w:cs="Times New Roman"/>
        </w:rPr>
        <w:t>Cyanophyceae</w:t>
      </w:r>
      <w:proofErr w:type="spellEnd"/>
      <w:r w:rsidRPr="001A7B2B">
        <w:rPr>
          <w:rFonts w:ascii="Times New Roman" w:hAnsi="Times New Roman" w:cs="Times New Roman"/>
        </w:rPr>
        <w:t xml:space="preserve"> (blue-green algae) were prominent at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represented by taxa like </w:t>
      </w:r>
      <w:r w:rsidRPr="001A7B2B">
        <w:rPr>
          <w:rFonts w:ascii="Times New Roman" w:hAnsi="Times New Roman" w:cs="Times New Roman"/>
          <w:i/>
          <w:iCs/>
        </w:rPr>
        <w:t>Trichodesmium</w:t>
      </w:r>
      <w:r w:rsidRPr="001A7B2B">
        <w:rPr>
          <w:rFonts w:ascii="Times New Roman" w:hAnsi="Times New Roman" w:cs="Times New Roman"/>
        </w:rPr>
        <w:t xml:space="preserve">, </w:t>
      </w:r>
      <w:r w:rsidRPr="001A7B2B">
        <w:rPr>
          <w:rFonts w:ascii="Times New Roman" w:hAnsi="Times New Roman" w:cs="Times New Roman"/>
          <w:i/>
          <w:iCs/>
        </w:rPr>
        <w:t>Microcystis</w:t>
      </w:r>
      <w:r w:rsidRPr="001A7B2B">
        <w:rPr>
          <w:rFonts w:ascii="Times New Roman" w:hAnsi="Times New Roman" w:cs="Times New Roman"/>
        </w:rPr>
        <w:t xml:space="preserve">, </w:t>
      </w:r>
      <w:r w:rsidRPr="001A7B2B">
        <w:rPr>
          <w:rFonts w:ascii="Times New Roman" w:hAnsi="Times New Roman" w:cs="Times New Roman"/>
          <w:i/>
          <w:iCs/>
        </w:rPr>
        <w:t>Anabaena</w:t>
      </w:r>
      <w:r w:rsidRPr="001A7B2B">
        <w:rPr>
          <w:rFonts w:ascii="Times New Roman" w:hAnsi="Times New Roman" w:cs="Times New Roman"/>
        </w:rPr>
        <w:t xml:space="preserve">, and </w:t>
      </w:r>
      <w:proofErr w:type="spellStart"/>
      <w:r w:rsidRPr="001A7B2B">
        <w:rPr>
          <w:rFonts w:ascii="Times New Roman" w:hAnsi="Times New Roman" w:cs="Times New Roman"/>
          <w:i/>
          <w:iCs/>
        </w:rPr>
        <w:t>Phormidium</w:t>
      </w:r>
      <w:proofErr w:type="spellEnd"/>
      <w:r w:rsidRPr="001A7B2B">
        <w:rPr>
          <w:rFonts w:ascii="Times New Roman" w:hAnsi="Times New Roman" w:cs="Times New Roman"/>
        </w:rPr>
        <w:t>, which are typically associated with nutrient</w:t>
      </w:r>
      <w:r w:rsidR="00D03E73" w:rsidRPr="001A7B2B">
        <w:rPr>
          <w:rFonts w:ascii="Times New Roman" w:hAnsi="Times New Roman" w:cs="Times New Roman"/>
        </w:rPr>
        <w:t xml:space="preserve"> </w:t>
      </w:r>
      <w:r w:rsidRPr="001A7B2B">
        <w:rPr>
          <w:rFonts w:ascii="Times New Roman" w:hAnsi="Times New Roman" w:cs="Times New Roman"/>
        </w:rPr>
        <w:t xml:space="preserve">rich or eutrophic waters. Additionally, Chlorophyceae (green algae), including </w:t>
      </w:r>
      <w:r w:rsidRPr="001A7B2B">
        <w:rPr>
          <w:rFonts w:ascii="Times New Roman" w:hAnsi="Times New Roman" w:cs="Times New Roman"/>
          <w:i/>
          <w:iCs/>
        </w:rPr>
        <w:t>Pediastrum</w:t>
      </w:r>
      <w:r w:rsidRPr="001A7B2B">
        <w:rPr>
          <w:rFonts w:ascii="Times New Roman" w:hAnsi="Times New Roman" w:cs="Times New Roman"/>
        </w:rPr>
        <w:t xml:space="preserve">, </w:t>
      </w:r>
      <w:r w:rsidRPr="001A7B2B">
        <w:rPr>
          <w:rFonts w:ascii="Times New Roman" w:hAnsi="Times New Roman" w:cs="Times New Roman"/>
          <w:i/>
          <w:iCs/>
        </w:rPr>
        <w:t>Chlorella</w:t>
      </w:r>
      <w:r w:rsidRPr="001A7B2B">
        <w:rPr>
          <w:rFonts w:ascii="Times New Roman" w:hAnsi="Times New Roman" w:cs="Times New Roman"/>
        </w:rPr>
        <w:t xml:space="preserve">, </w:t>
      </w:r>
      <w:proofErr w:type="spellStart"/>
      <w:r w:rsidRPr="001A7B2B">
        <w:rPr>
          <w:rFonts w:ascii="Times New Roman" w:hAnsi="Times New Roman" w:cs="Times New Roman"/>
          <w:i/>
          <w:iCs/>
        </w:rPr>
        <w:t>Cosmarium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i/>
          <w:iCs/>
        </w:rPr>
        <w:t>Zygnema</w:t>
      </w:r>
      <w:proofErr w:type="spellEnd"/>
      <w:r w:rsidRPr="001A7B2B">
        <w:rPr>
          <w:rFonts w:ascii="Times New Roman" w:hAnsi="Times New Roman" w:cs="Times New Roman"/>
        </w:rPr>
        <w:t>, were well represented in the freshwater</w:t>
      </w:r>
      <w:r w:rsidR="00D03E73" w:rsidRPr="001A7B2B">
        <w:rPr>
          <w:rFonts w:ascii="Times New Roman" w:hAnsi="Times New Roman" w:cs="Times New Roman"/>
        </w:rPr>
        <w:t xml:space="preserve"> </w:t>
      </w:r>
      <w:r w:rsidRPr="001A7B2B">
        <w:rPr>
          <w:rFonts w:ascii="Times New Roman" w:hAnsi="Times New Roman" w:cs="Times New Roman"/>
        </w:rPr>
        <w:t xml:space="preserve">influenced sites, particularly at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w:t>
      </w:r>
    </w:p>
    <w:p w14:paraId="5831F444" w14:textId="77777777" w:rsidR="00113547" w:rsidRPr="001A7B2B" w:rsidRDefault="00113547"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The composition and abundance of these phytoplankton groups reflect site-specific environmental gradients and highlight the ecological heterogeneity of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system. The presence of both marine and freshwater algal taxa across ecosites underscores the transitional estuarine nature of the lake.</w:t>
      </w:r>
    </w:p>
    <w:p w14:paraId="72B6A0AB" w14:textId="50E3BE43" w:rsidR="00584855" w:rsidRPr="001A7B2B" w:rsidRDefault="00656EB8" w:rsidP="007B1180">
      <w:pPr>
        <w:spacing w:after="0" w:line="360" w:lineRule="auto"/>
        <w:jc w:val="both"/>
        <w:rPr>
          <w:rFonts w:ascii="Times New Roman" w:hAnsi="Times New Roman" w:cs="Times New Roman"/>
        </w:rPr>
      </w:pPr>
      <w:r w:rsidRPr="001A7B2B">
        <w:rPr>
          <w:rFonts w:ascii="Times New Roman" w:hAnsi="Times New Roman" w:cs="Times New Roman"/>
          <w:b/>
          <w:bCs/>
        </w:rPr>
        <w:t xml:space="preserve">Table </w:t>
      </w:r>
      <w:r w:rsidR="0070010A" w:rsidRPr="001A7B2B">
        <w:rPr>
          <w:rFonts w:ascii="Times New Roman" w:hAnsi="Times New Roman" w:cs="Times New Roman"/>
          <w:b/>
          <w:bCs/>
        </w:rPr>
        <w:t>2</w:t>
      </w:r>
      <w:r w:rsidRPr="001A7B2B">
        <w:rPr>
          <w:rFonts w:ascii="Times New Roman" w:hAnsi="Times New Roman" w:cs="Times New Roman"/>
          <w:b/>
          <w:bCs/>
        </w:rPr>
        <w:t>.</w:t>
      </w:r>
      <w:r w:rsidRPr="001A7B2B">
        <w:rPr>
          <w:rFonts w:ascii="Times New Roman" w:hAnsi="Times New Roman" w:cs="Times New Roman"/>
        </w:rPr>
        <w:t xml:space="preserve"> M</w:t>
      </w:r>
      <w:r w:rsidR="00621D58" w:rsidRPr="001A7B2B">
        <w:rPr>
          <w:rFonts w:ascii="Times New Roman" w:hAnsi="Times New Roman" w:cs="Times New Roman"/>
        </w:rPr>
        <w:t>ajor phytoplankton groups across the five ecosites</w:t>
      </w:r>
    </w:p>
    <w:tbl>
      <w:tblPr>
        <w:tblStyle w:val="TableGrid"/>
        <w:tblW w:w="8642" w:type="dxa"/>
        <w:tblLook w:val="04A0" w:firstRow="1" w:lastRow="0" w:firstColumn="1" w:lastColumn="0" w:noHBand="0" w:noVBand="1"/>
      </w:tblPr>
      <w:tblGrid>
        <w:gridCol w:w="1576"/>
        <w:gridCol w:w="1628"/>
        <w:gridCol w:w="5528"/>
      </w:tblGrid>
      <w:tr w:rsidR="00621D58" w:rsidRPr="001A7B2B" w14:paraId="65E87ECD" w14:textId="77777777" w:rsidTr="00621D58">
        <w:trPr>
          <w:trHeight w:val="290"/>
        </w:trPr>
        <w:tc>
          <w:tcPr>
            <w:tcW w:w="1486" w:type="dxa"/>
            <w:noWrap/>
            <w:hideMark/>
          </w:tcPr>
          <w:p w14:paraId="0AA5C2D4"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lastRenderedPageBreak/>
              <w:t>Ecosite</w:t>
            </w:r>
          </w:p>
        </w:tc>
        <w:tc>
          <w:tcPr>
            <w:tcW w:w="1628" w:type="dxa"/>
            <w:noWrap/>
            <w:hideMark/>
          </w:tcPr>
          <w:p w14:paraId="142FEDB3"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Phytoplankton Diversity (No. of Species)</w:t>
            </w:r>
          </w:p>
        </w:tc>
        <w:tc>
          <w:tcPr>
            <w:tcW w:w="5528" w:type="dxa"/>
            <w:noWrap/>
            <w:hideMark/>
          </w:tcPr>
          <w:p w14:paraId="0DBEA5BA"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Dominant Groups</w:t>
            </w:r>
          </w:p>
        </w:tc>
      </w:tr>
      <w:tr w:rsidR="00621D58" w:rsidRPr="001A7B2B" w14:paraId="37CE0CAA" w14:textId="77777777" w:rsidTr="00621D58">
        <w:trPr>
          <w:trHeight w:val="290"/>
        </w:trPr>
        <w:tc>
          <w:tcPr>
            <w:tcW w:w="1486" w:type="dxa"/>
            <w:noWrap/>
            <w:hideMark/>
          </w:tcPr>
          <w:p w14:paraId="23555B16"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Neendakara</w:t>
            </w:r>
            <w:proofErr w:type="spellEnd"/>
          </w:p>
        </w:tc>
        <w:tc>
          <w:tcPr>
            <w:tcW w:w="1628" w:type="dxa"/>
            <w:noWrap/>
            <w:hideMark/>
          </w:tcPr>
          <w:p w14:paraId="1C9421F4"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w:t>
            </w:r>
          </w:p>
        </w:tc>
        <w:tc>
          <w:tcPr>
            <w:tcW w:w="5528" w:type="dxa"/>
            <w:noWrap/>
            <w:hideMark/>
          </w:tcPr>
          <w:p w14:paraId="79E741A3"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proofErr w:type="spellStart"/>
            <w:r w:rsidRPr="001A7B2B">
              <w:rPr>
                <w:rFonts w:ascii="Times New Roman" w:eastAsia="Times New Roman" w:hAnsi="Times New Roman" w:cs="Times New Roman"/>
                <w:i/>
                <w:iCs/>
                <w:color w:val="000000"/>
                <w:kern w:val="0"/>
                <w:lang w:eastAsia="en-IN"/>
                <w14:ligatures w14:val="none"/>
              </w:rPr>
              <w:t>Thalassiosira</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Coscinodiscus</w:t>
            </w:r>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Biddulphia</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Trichodesmium</w:t>
            </w:r>
            <w:r w:rsidRPr="001A7B2B">
              <w:rPr>
                <w:rFonts w:ascii="Times New Roman" w:eastAsia="Times New Roman" w:hAnsi="Times New Roman" w:cs="Times New Roman"/>
                <w:color w:val="000000"/>
                <w:kern w:val="0"/>
                <w:lang w:eastAsia="en-IN"/>
                <w14:ligatures w14:val="none"/>
              </w:rPr>
              <w:t>)</w:t>
            </w:r>
          </w:p>
        </w:tc>
      </w:tr>
      <w:tr w:rsidR="00621D58" w:rsidRPr="001A7B2B" w14:paraId="6AC16A53" w14:textId="77777777" w:rsidTr="00621D58">
        <w:trPr>
          <w:trHeight w:val="290"/>
        </w:trPr>
        <w:tc>
          <w:tcPr>
            <w:tcW w:w="1486" w:type="dxa"/>
            <w:noWrap/>
            <w:hideMark/>
          </w:tcPr>
          <w:p w14:paraId="76C8B8BC"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Puthenthuruth</w:t>
            </w:r>
            <w:proofErr w:type="spellEnd"/>
          </w:p>
        </w:tc>
        <w:tc>
          <w:tcPr>
            <w:tcW w:w="1628" w:type="dxa"/>
            <w:noWrap/>
            <w:hideMark/>
          </w:tcPr>
          <w:p w14:paraId="0D64027B"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55</w:t>
            </w:r>
          </w:p>
        </w:tc>
        <w:tc>
          <w:tcPr>
            <w:tcW w:w="5528" w:type="dxa"/>
            <w:noWrap/>
            <w:hideMark/>
          </w:tcPr>
          <w:p w14:paraId="50BFD7AA"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Microcystis</w:t>
            </w:r>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Oscillatoria</w:t>
            </w:r>
            <w:r w:rsidRPr="001A7B2B">
              <w:rPr>
                <w:rFonts w:ascii="Times New Roman" w:eastAsia="Times New Roman" w:hAnsi="Times New Roman" w:cs="Times New Roman"/>
                <w:color w:val="000000"/>
                <w:kern w:val="0"/>
                <w:lang w:eastAsia="en-IN"/>
                <w14:ligatures w14:val="none"/>
              </w:rPr>
              <w:t>), Diatoms (</w:t>
            </w:r>
            <w:proofErr w:type="spellStart"/>
            <w:r w:rsidRPr="001A7B2B">
              <w:rPr>
                <w:rFonts w:ascii="Times New Roman" w:eastAsia="Times New Roman" w:hAnsi="Times New Roman" w:cs="Times New Roman"/>
                <w:i/>
                <w:iCs/>
                <w:color w:val="000000"/>
                <w:kern w:val="0"/>
                <w:lang w:eastAsia="en-IN"/>
                <w14:ligatures w14:val="none"/>
              </w:rPr>
              <w:t>Chaetoceros</w:t>
            </w:r>
            <w:proofErr w:type="spellEnd"/>
            <w:r w:rsidRPr="001A7B2B">
              <w:rPr>
                <w:rFonts w:ascii="Times New Roman" w:eastAsia="Times New Roman" w:hAnsi="Times New Roman" w:cs="Times New Roman"/>
                <w:color w:val="000000"/>
                <w:kern w:val="0"/>
                <w:lang w:eastAsia="en-IN"/>
                <w14:ligatures w14:val="none"/>
              </w:rPr>
              <w:t>), Chlorophyceae (</w:t>
            </w:r>
            <w:proofErr w:type="spellStart"/>
            <w:r w:rsidRPr="001A7B2B">
              <w:rPr>
                <w:rFonts w:ascii="Times New Roman" w:eastAsia="Times New Roman" w:hAnsi="Times New Roman" w:cs="Times New Roman"/>
                <w:i/>
                <w:iCs/>
                <w:color w:val="000000"/>
                <w:kern w:val="0"/>
                <w:lang w:eastAsia="en-IN"/>
                <w14:ligatures w14:val="none"/>
              </w:rPr>
              <w:t>Stephanodiscus</w:t>
            </w:r>
            <w:proofErr w:type="spellEnd"/>
            <w:r w:rsidRPr="001A7B2B">
              <w:rPr>
                <w:rFonts w:ascii="Times New Roman" w:eastAsia="Times New Roman" w:hAnsi="Times New Roman" w:cs="Times New Roman"/>
                <w:color w:val="000000"/>
                <w:kern w:val="0"/>
                <w:lang w:eastAsia="en-IN"/>
                <w14:ligatures w14:val="none"/>
              </w:rPr>
              <w:t>)</w:t>
            </w:r>
          </w:p>
        </w:tc>
      </w:tr>
      <w:tr w:rsidR="00621D58" w:rsidRPr="001A7B2B" w14:paraId="198F3494" w14:textId="77777777" w:rsidTr="00621D58">
        <w:trPr>
          <w:trHeight w:val="290"/>
        </w:trPr>
        <w:tc>
          <w:tcPr>
            <w:tcW w:w="1486" w:type="dxa"/>
            <w:noWrap/>
            <w:hideMark/>
          </w:tcPr>
          <w:p w14:paraId="1918DCA1"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Asramam</w:t>
            </w:r>
            <w:proofErr w:type="spellEnd"/>
          </w:p>
        </w:tc>
        <w:tc>
          <w:tcPr>
            <w:tcW w:w="1628" w:type="dxa"/>
            <w:noWrap/>
            <w:hideMark/>
          </w:tcPr>
          <w:p w14:paraId="69D4C43C"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13</w:t>
            </w:r>
          </w:p>
        </w:tc>
        <w:tc>
          <w:tcPr>
            <w:tcW w:w="5528" w:type="dxa"/>
            <w:noWrap/>
            <w:hideMark/>
          </w:tcPr>
          <w:p w14:paraId="22791108"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r w:rsidRPr="001A7B2B">
              <w:rPr>
                <w:rFonts w:ascii="Times New Roman" w:eastAsia="Times New Roman" w:hAnsi="Times New Roman" w:cs="Times New Roman"/>
                <w:i/>
                <w:iCs/>
                <w:color w:val="000000"/>
                <w:kern w:val="0"/>
                <w:lang w:eastAsia="en-IN"/>
                <w14:ligatures w14:val="none"/>
              </w:rPr>
              <w:t>Coscinodiscus</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Navicula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Thalassiosira</w:t>
            </w:r>
            <w:proofErr w:type="spellEnd"/>
            <w:r w:rsidRPr="001A7B2B">
              <w:rPr>
                <w:rFonts w:ascii="Times New Roman" w:eastAsia="Times New Roman" w:hAnsi="Times New Roman" w:cs="Times New Roman"/>
                <w:color w:val="000000"/>
                <w:kern w:val="0"/>
                <w:lang w:eastAsia="en-IN"/>
                <w14:ligatures w14:val="none"/>
              </w:rPr>
              <w:t>)</w:t>
            </w:r>
          </w:p>
        </w:tc>
      </w:tr>
      <w:tr w:rsidR="00621D58" w:rsidRPr="001A7B2B" w14:paraId="5484402B" w14:textId="77777777" w:rsidTr="00621D58">
        <w:trPr>
          <w:trHeight w:val="290"/>
        </w:trPr>
        <w:tc>
          <w:tcPr>
            <w:tcW w:w="1486" w:type="dxa"/>
            <w:noWrap/>
            <w:hideMark/>
          </w:tcPr>
          <w:p w14:paraId="25E0CEFC"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Kidapram</w:t>
            </w:r>
            <w:proofErr w:type="spellEnd"/>
          </w:p>
        </w:tc>
        <w:tc>
          <w:tcPr>
            <w:tcW w:w="1628" w:type="dxa"/>
            <w:noWrap/>
            <w:hideMark/>
          </w:tcPr>
          <w:p w14:paraId="3C715C62"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65</w:t>
            </w:r>
          </w:p>
        </w:tc>
        <w:tc>
          <w:tcPr>
            <w:tcW w:w="5528" w:type="dxa"/>
            <w:noWrap/>
            <w:hideMark/>
          </w:tcPr>
          <w:p w14:paraId="63F1F656"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proofErr w:type="spellStart"/>
            <w:r w:rsidRPr="001A7B2B">
              <w:rPr>
                <w:rFonts w:ascii="Times New Roman" w:eastAsia="Times New Roman" w:hAnsi="Times New Roman" w:cs="Times New Roman"/>
                <w:i/>
                <w:iCs/>
                <w:color w:val="000000"/>
                <w:kern w:val="0"/>
                <w:lang w:eastAsia="en-IN"/>
                <w14:ligatures w14:val="none"/>
              </w:rPr>
              <w:t>Diatoma</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Cyclotella</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Navicula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r w:rsidRPr="001A7B2B">
              <w:rPr>
                <w:rFonts w:ascii="Times New Roman" w:eastAsia="Times New Roman" w:hAnsi="Times New Roman" w:cs="Times New Roman"/>
                <w:i/>
                <w:iCs/>
                <w:color w:val="000000"/>
                <w:kern w:val="0"/>
                <w:lang w:eastAsia="en-IN"/>
                <w14:ligatures w14:val="none"/>
              </w:rPr>
              <w:t>Anabaena</w:t>
            </w:r>
            <w:r w:rsidRPr="001A7B2B">
              <w:rPr>
                <w:rFonts w:ascii="Times New Roman" w:eastAsia="Times New Roman" w:hAnsi="Times New Roman" w:cs="Times New Roman"/>
                <w:color w:val="000000"/>
                <w:kern w:val="0"/>
                <w:lang w:eastAsia="en-IN"/>
                <w14:ligatures w14:val="none"/>
              </w:rPr>
              <w:t>), Chlorophyceae (</w:t>
            </w:r>
            <w:r w:rsidRPr="001A7B2B">
              <w:rPr>
                <w:rFonts w:ascii="Times New Roman" w:eastAsia="Times New Roman" w:hAnsi="Times New Roman" w:cs="Times New Roman"/>
                <w:i/>
                <w:iCs/>
                <w:color w:val="000000"/>
                <w:kern w:val="0"/>
                <w:lang w:eastAsia="en-IN"/>
                <w14:ligatures w14:val="none"/>
              </w:rPr>
              <w:t>Pediastrum</w:t>
            </w:r>
            <w:r w:rsidRPr="001A7B2B">
              <w:rPr>
                <w:rFonts w:ascii="Times New Roman" w:eastAsia="Times New Roman" w:hAnsi="Times New Roman" w:cs="Times New Roman"/>
                <w:color w:val="000000"/>
                <w:kern w:val="0"/>
                <w:lang w:eastAsia="en-IN"/>
                <w14:ligatures w14:val="none"/>
              </w:rPr>
              <w:t>)</w:t>
            </w:r>
          </w:p>
        </w:tc>
      </w:tr>
      <w:tr w:rsidR="00621D58" w:rsidRPr="001A7B2B" w14:paraId="7D344D7E" w14:textId="77777777" w:rsidTr="00621D58">
        <w:trPr>
          <w:trHeight w:val="290"/>
        </w:trPr>
        <w:tc>
          <w:tcPr>
            <w:tcW w:w="1486" w:type="dxa"/>
            <w:noWrap/>
            <w:hideMark/>
          </w:tcPr>
          <w:p w14:paraId="709EA648"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proofErr w:type="spellStart"/>
            <w:r w:rsidRPr="001A7B2B">
              <w:rPr>
                <w:rFonts w:ascii="Times New Roman" w:eastAsia="Times New Roman" w:hAnsi="Times New Roman" w:cs="Times New Roman"/>
                <w:color w:val="000000"/>
                <w:kern w:val="0"/>
                <w:lang w:eastAsia="en-IN"/>
                <w14:ligatures w14:val="none"/>
              </w:rPr>
              <w:t>Cherikkadavu</w:t>
            </w:r>
            <w:proofErr w:type="spellEnd"/>
          </w:p>
        </w:tc>
        <w:tc>
          <w:tcPr>
            <w:tcW w:w="1628" w:type="dxa"/>
            <w:noWrap/>
            <w:hideMark/>
          </w:tcPr>
          <w:p w14:paraId="115E113E"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70</w:t>
            </w:r>
          </w:p>
        </w:tc>
        <w:tc>
          <w:tcPr>
            <w:tcW w:w="5528" w:type="dxa"/>
            <w:noWrap/>
            <w:hideMark/>
          </w:tcPr>
          <w:p w14:paraId="60C83F61" w14:textId="77777777" w:rsidR="00621D58" w:rsidRPr="001A7B2B" w:rsidRDefault="00621D58" w:rsidP="007B1180">
            <w:pPr>
              <w:spacing w:line="360" w:lineRule="auto"/>
              <w:jc w:val="both"/>
              <w:rPr>
                <w:rFonts w:ascii="Times New Roman" w:eastAsia="Times New Roman" w:hAnsi="Times New Roman" w:cs="Times New Roman"/>
                <w:color w:val="000000"/>
                <w:kern w:val="0"/>
                <w:lang w:eastAsia="en-IN"/>
                <w14:ligatures w14:val="none"/>
              </w:rPr>
            </w:pPr>
            <w:r w:rsidRPr="001A7B2B">
              <w:rPr>
                <w:rFonts w:ascii="Times New Roman" w:eastAsia="Times New Roman" w:hAnsi="Times New Roman" w:cs="Times New Roman"/>
                <w:color w:val="000000"/>
                <w:kern w:val="0"/>
                <w:lang w:eastAsia="en-IN"/>
                <w14:ligatures w14:val="none"/>
              </w:rPr>
              <w:t>Diatoms (</w:t>
            </w:r>
            <w:proofErr w:type="spellStart"/>
            <w:r w:rsidRPr="001A7B2B">
              <w:rPr>
                <w:rFonts w:ascii="Times New Roman" w:eastAsia="Times New Roman" w:hAnsi="Times New Roman" w:cs="Times New Roman"/>
                <w:i/>
                <w:iCs/>
                <w:color w:val="000000"/>
                <w:kern w:val="0"/>
                <w:lang w:eastAsia="en-IN"/>
                <w14:ligatures w14:val="none"/>
              </w:rPr>
              <w:t>Diatoma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Cymbella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Eunotia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Navicula</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color w:val="000000"/>
                <w:kern w:val="0"/>
                <w:lang w:eastAsia="en-IN"/>
                <w14:ligatures w14:val="none"/>
              </w:rPr>
              <w:t>Cyanophyceae</w:t>
            </w:r>
            <w:proofErr w:type="spellEnd"/>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Phormidium</w:t>
            </w:r>
            <w:proofErr w:type="spellEnd"/>
            <w:r w:rsidRPr="001A7B2B">
              <w:rPr>
                <w:rFonts w:ascii="Times New Roman" w:eastAsia="Times New Roman" w:hAnsi="Times New Roman" w:cs="Times New Roman"/>
                <w:color w:val="000000"/>
                <w:kern w:val="0"/>
                <w:lang w:eastAsia="en-IN"/>
                <w14:ligatures w14:val="none"/>
              </w:rPr>
              <w:t>), Chlorophyceae (</w:t>
            </w:r>
            <w:r w:rsidRPr="001A7B2B">
              <w:rPr>
                <w:rFonts w:ascii="Times New Roman" w:eastAsia="Times New Roman" w:hAnsi="Times New Roman" w:cs="Times New Roman"/>
                <w:i/>
                <w:iCs/>
                <w:color w:val="000000"/>
                <w:kern w:val="0"/>
                <w:lang w:eastAsia="en-IN"/>
                <w14:ligatures w14:val="none"/>
              </w:rPr>
              <w:t>Chlorella</w:t>
            </w:r>
            <w:r w:rsidRPr="001A7B2B">
              <w:rPr>
                <w:rFonts w:ascii="Times New Roman" w:eastAsia="Times New Roman" w:hAnsi="Times New Roman" w:cs="Times New Roman"/>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Cosmarium</w:t>
            </w:r>
            <w:proofErr w:type="spellEnd"/>
            <w:r w:rsidRPr="001A7B2B">
              <w:rPr>
                <w:rFonts w:ascii="Times New Roman" w:eastAsia="Times New Roman" w:hAnsi="Times New Roman" w:cs="Times New Roman"/>
                <w:color w:val="000000"/>
                <w:kern w:val="0"/>
                <w:lang w:eastAsia="en-IN"/>
                <w14:ligatures w14:val="none"/>
              </w:rPr>
              <w:t>,</w:t>
            </w:r>
            <w:r w:rsidRPr="001A7B2B">
              <w:rPr>
                <w:rFonts w:ascii="Times New Roman" w:eastAsia="Times New Roman" w:hAnsi="Times New Roman" w:cs="Times New Roman"/>
                <w:i/>
                <w:iCs/>
                <w:color w:val="000000"/>
                <w:kern w:val="0"/>
                <w:lang w:eastAsia="en-IN"/>
                <w14:ligatures w14:val="none"/>
              </w:rPr>
              <w:t xml:space="preserve"> Pediastrum</w:t>
            </w:r>
            <w:r w:rsidRPr="001A7B2B">
              <w:rPr>
                <w:rFonts w:ascii="Times New Roman" w:eastAsia="Times New Roman" w:hAnsi="Times New Roman" w:cs="Times New Roman"/>
                <w:color w:val="000000"/>
                <w:kern w:val="0"/>
                <w:lang w:eastAsia="en-IN"/>
                <w14:ligatures w14:val="none"/>
              </w:rPr>
              <w:t>,</w:t>
            </w:r>
            <w:r w:rsidRPr="001A7B2B">
              <w:rPr>
                <w:rFonts w:ascii="Times New Roman" w:eastAsia="Times New Roman" w:hAnsi="Times New Roman" w:cs="Times New Roman"/>
                <w:i/>
                <w:iCs/>
                <w:color w:val="000000"/>
                <w:kern w:val="0"/>
                <w:lang w:eastAsia="en-IN"/>
                <w14:ligatures w14:val="none"/>
              </w:rPr>
              <w:t xml:space="preserve"> </w:t>
            </w:r>
            <w:proofErr w:type="spellStart"/>
            <w:r w:rsidRPr="001A7B2B">
              <w:rPr>
                <w:rFonts w:ascii="Times New Roman" w:eastAsia="Times New Roman" w:hAnsi="Times New Roman" w:cs="Times New Roman"/>
                <w:i/>
                <w:iCs/>
                <w:color w:val="000000"/>
                <w:kern w:val="0"/>
                <w:lang w:eastAsia="en-IN"/>
                <w14:ligatures w14:val="none"/>
              </w:rPr>
              <w:t>Zygnema</w:t>
            </w:r>
            <w:proofErr w:type="spellEnd"/>
            <w:r w:rsidRPr="001A7B2B">
              <w:rPr>
                <w:rFonts w:ascii="Times New Roman" w:eastAsia="Times New Roman" w:hAnsi="Times New Roman" w:cs="Times New Roman"/>
                <w:color w:val="000000"/>
                <w:kern w:val="0"/>
                <w:lang w:eastAsia="en-IN"/>
                <w14:ligatures w14:val="none"/>
              </w:rPr>
              <w:t>)</w:t>
            </w:r>
          </w:p>
        </w:tc>
      </w:tr>
    </w:tbl>
    <w:p w14:paraId="5090132D" w14:textId="77777777" w:rsidR="00621D58" w:rsidRPr="001A7B2B" w:rsidRDefault="00621D58" w:rsidP="007B1180">
      <w:pPr>
        <w:spacing w:after="0" w:line="360" w:lineRule="auto"/>
        <w:jc w:val="both"/>
        <w:rPr>
          <w:rFonts w:ascii="Times New Roman" w:hAnsi="Times New Roman" w:cs="Times New Roman"/>
        </w:rPr>
      </w:pPr>
    </w:p>
    <w:p w14:paraId="32AEC55B" w14:textId="765F0DAA" w:rsidR="00073D9A" w:rsidRPr="001A7B2B" w:rsidRDefault="00073D9A" w:rsidP="00073D9A">
      <w:pPr>
        <w:spacing w:after="0" w:line="360" w:lineRule="auto"/>
        <w:jc w:val="both"/>
        <w:rPr>
          <w:rFonts w:ascii="Times New Roman" w:hAnsi="Times New Roman" w:cs="Times New Roman"/>
          <w:b/>
          <w:bCs/>
        </w:rPr>
      </w:pPr>
      <w:r w:rsidRPr="001A7B2B">
        <w:rPr>
          <w:rFonts w:ascii="Times New Roman" w:hAnsi="Times New Roman" w:cs="Times New Roman"/>
          <w:b/>
          <w:bCs/>
        </w:rPr>
        <w:t>3.</w:t>
      </w:r>
      <w:r w:rsidR="00803F39" w:rsidRPr="001A7B2B">
        <w:rPr>
          <w:rFonts w:ascii="Times New Roman" w:hAnsi="Times New Roman" w:cs="Times New Roman"/>
          <w:b/>
          <w:bCs/>
        </w:rPr>
        <w:t>3.</w:t>
      </w:r>
      <w:r w:rsidRPr="001A7B2B">
        <w:rPr>
          <w:rFonts w:ascii="Times New Roman" w:hAnsi="Times New Roman" w:cs="Times New Roman"/>
          <w:b/>
          <w:bCs/>
        </w:rPr>
        <w:t xml:space="preserve"> Principal Component Analysis (PCA)</w:t>
      </w:r>
    </w:p>
    <w:p w14:paraId="75D5F82A" w14:textId="1B44CB9B" w:rsidR="00073D9A" w:rsidRPr="001A7B2B" w:rsidRDefault="00073D9A"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Principal Component Analysis (PCA) was performed to explore the ecological relationships among the five ecosites based on phytoplankton group composition and </w:t>
      </w:r>
      <w:proofErr w:type="spellStart"/>
      <w:r w:rsidRPr="001A7B2B">
        <w:rPr>
          <w:rFonts w:ascii="Times New Roman" w:hAnsi="Times New Roman" w:cs="Times New Roman"/>
        </w:rPr>
        <w:t>physico</w:t>
      </w:r>
      <w:proofErr w:type="spellEnd"/>
      <w:r w:rsidRPr="001A7B2B">
        <w:rPr>
          <w:rFonts w:ascii="Times New Roman" w:hAnsi="Times New Roman" w:cs="Times New Roman"/>
        </w:rPr>
        <w:t xml:space="preserve">-chemical parameters. The first two principal components explained a substantial proportion of the variance, effectively separating the ecosites along environmental gradients such as salinity and nutrient concentration.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clustered along axes associated with high salinity and marine phytoplankton groups (</w:t>
      </w:r>
      <w:r w:rsidRPr="001A7B2B">
        <w:rPr>
          <w:rFonts w:ascii="Times New Roman" w:hAnsi="Times New Roman" w:cs="Times New Roman"/>
          <w:i/>
          <w:iCs/>
        </w:rPr>
        <w:t>Trichodesmium</w:t>
      </w:r>
      <w:r w:rsidRPr="001A7B2B">
        <w:rPr>
          <w:rFonts w:ascii="Times New Roman" w:hAnsi="Times New Roman" w:cs="Times New Roman"/>
        </w:rPr>
        <w:t xml:space="preserve">, </w:t>
      </w:r>
      <w:proofErr w:type="spellStart"/>
      <w:r w:rsidRPr="001A7B2B">
        <w:rPr>
          <w:rFonts w:ascii="Times New Roman" w:hAnsi="Times New Roman" w:cs="Times New Roman"/>
          <w:i/>
          <w:iCs/>
        </w:rPr>
        <w:t>Thalassiosira</w:t>
      </w:r>
      <w:proofErr w:type="spellEnd"/>
      <w:r w:rsidRPr="001A7B2B">
        <w:rPr>
          <w:rFonts w:ascii="Times New Roman" w:hAnsi="Times New Roman" w:cs="Times New Roman"/>
        </w:rPr>
        <w:t xml:space="preserve">), while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aligned with freshwater indicators such as </w:t>
      </w:r>
      <w:r w:rsidRPr="001A7B2B">
        <w:rPr>
          <w:rFonts w:ascii="Times New Roman" w:hAnsi="Times New Roman" w:cs="Times New Roman"/>
          <w:i/>
          <w:iCs/>
        </w:rPr>
        <w:t>Anabaena</w:t>
      </w:r>
      <w:r w:rsidRPr="001A7B2B">
        <w:rPr>
          <w:rFonts w:ascii="Times New Roman" w:hAnsi="Times New Roman" w:cs="Times New Roman"/>
        </w:rPr>
        <w:t xml:space="preserve">, </w:t>
      </w:r>
      <w:r w:rsidRPr="001A7B2B">
        <w:rPr>
          <w:rFonts w:ascii="Times New Roman" w:hAnsi="Times New Roman" w:cs="Times New Roman"/>
          <w:i/>
          <w:iCs/>
        </w:rPr>
        <w:t>Pediastrum</w:t>
      </w:r>
      <w:r w:rsidRPr="001A7B2B">
        <w:rPr>
          <w:rFonts w:ascii="Times New Roman" w:hAnsi="Times New Roman" w:cs="Times New Roman"/>
        </w:rPr>
        <w:t xml:space="preserve">, and lower salinity values. </w:t>
      </w:r>
      <w:proofErr w:type="spellStart"/>
      <w:r w:rsidRPr="001A7B2B">
        <w:rPr>
          <w:rFonts w:ascii="Times New Roman" w:hAnsi="Times New Roman" w:cs="Times New Roman"/>
        </w:rPr>
        <w:t>Asramam</w:t>
      </w:r>
      <w:proofErr w:type="spellEnd"/>
      <w:r w:rsidRPr="001A7B2B">
        <w:rPr>
          <w:rFonts w:ascii="Times New Roman" w:hAnsi="Times New Roman" w:cs="Times New Roman"/>
        </w:rPr>
        <w:t>, influenced by moderate estuarine conditions, occupied an intermediate position. The PCA biplot (Fig</w:t>
      </w:r>
      <w:r w:rsidR="004F47EA">
        <w:rPr>
          <w:rFonts w:ascii="Times New Roman" w:hAnsi="Times New Roman" w:cs="Times New Roman"/>
        </w:rPr>
        <w:t>.</w:t>
      </w:r>
      <w:r w:rsidRPr="001A7B2B">
        <w:rPr>
          <w:rFonts w:ascii="Times New Roman" w:hAnsi="Times New Roman" w:cs="Times New Roman"/>
        </w:rPr>
        <w:t xml:space="preserve"> </w:t>
      </w:r>
      <w:r w:rsidR="000508BE" w:rsidRPr="001A7B2B">
        <w:rPr>
          <w:rFonts w:ascii="Times New Roman" w:hAnsi="Times New Roman" w:cs="Times New Roman"/>
        </w:rPr>
        <w:t>2</w:t>
      </w:r>
      <w:r w:rsidRPr="001A7B2B">
        <w:rPr>
          <w:rFonts w:ascii="Times New Roman" w:hAnsi="Times New Roman" w:cs="Times New Roman"/>
        </w:rPr>
        <w:t>) highlights distinct ecological signatures for each site, confirming the spatial heterogeneity and ecological zonation observed in field assessments and supporting the validity of the ecosite classification.</w:t>
      </w:r>
    </w:p>
    <w:p w14:paraId="3E056A5A" w14:textId="77777777" w:rsidR="00073D9A" w:rsidRPr="001A7B2B" w:rsidRDefault="00073D9A" w:rsidP="007B1180">
      <w:pPr>
        <w:spacing w:after="0" w:line="360" w:lineRule="auto"/>
        <w:jc w:val="both"/>
        <w:rPr>
          <w:rFonts w:ascii="Times New Roman" w:hAnsi="Times New Roman" w:cs="Times New Roman"/>
        </w:rPr>
      </w:pPr>
    </w:p>
    <w:p w14:paraId="29B5F1CB" w14:textId="63874748" w:rsidR="00FE660B" w:rsidRPr="001A7B2B" w:rsidRDefault="00EF4E8F" w:rsidP="009C4AEF">
      <w:pPr>
        <w:spacing w:after="0" w:line="360" w:lineRule="auto"/>
        <w:jc w:val="center"/>
        <w:rPr>
          <w:rFonts w:ascii="Times New Roman" w:hAnsi="Times New Roman" w:cs="Times New Roman"/>
        </w:rPr>
      </w:pPr>
      <w:r>
        <w:rPr>
          <w:noProof/>
        </w:rPr>
        <w:lastRenderedPageBreak/>
        <w:drawing>
          <wp:inline distT="0" distB="0" distL="0" distR="0" wp14:anchorId="57C68BC4" wp14:editId="0F24291E">
            <wp:extent cx="5731510" cy="3836035"/>
            <wp:effectExtent l="0" t="0" r="2540" b="0"/>
            <wp:docPr id="262106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06563" name=""/>
                    <pic:cNvPicPr/>
                  </pic:nvPicPr>
                  <pic:blipFill>
                    <a:blip r:embed="rId8"/>
                    <a:stretch>
                      <a:fillRect/>
                    </a:stretch>
                  </pic:blipFill>
                  <pic:spPr>
                    <a:xfrm>
                      <a:off x="0" y="0"/>
                      <a:ext cx="5731510" cy="3836035"/>
                    </a:xfrm>
                    <a:prstGeom prst="rect">
                      <a:avLst/>
                    </a:prstGeom>
                  </pic:spPr>
                </pic:pic>
              </a:graphicData>
            </a:graphic>
          </wp:inline>
        </w:drawing>
      </w:r>
    </w:p>
    <w:p w14:paraId="3A899615" w14:textId="057FFC0B" w:rsidR="00216FF9" w:rsidRPr="001A7B2B" w:rsidRDefault="009C4AEF" w:rsidP="007B1180">
      <w:pPr>
        <w:spacing w:after="0" w:line="360" w:lineRule="auto"/>
        <w:jc w:val="both"/>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2</w:t>
      </w:r>
      <w:r w:rsidRPr="001A7B2B">
        <w:rPr>
          <w:rFonts w:ascii="Times New Roman" w:hAnsi="Times New Roman" w:cs="Times New Roman"/>
          <w:b/>
          <w:bCs/>
        </w:rPr>
        <w:t>.</w:t>
      </w:r>
      <w:r w:rsidRPr="001A7B2B">
        <w:rPr>
          <w:rFonts w:ascii="Times New Roman" w:hAnsi="Times New Roman" w:cs="Times New Roman"/>
        </w:rPr>
        <w:t xml:space="preserve"> PCA Biplot Showing Ecosite Clustering and Phytoplankton Group Influence in the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w:t>
      </w:r>
    </w:p>
    <w:p w14:paraId="389D262F" w14:textId="4098E718" w:rsidR="00865884" w:rsidRPr="001A7B2B" w:rsidRDefault="00865884"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w:t>
      </w:r>
      <w:r w:rsidR="00803F39" w:rsidRPr="001A7B2B">
        <w:rPr>
          <w:rFonts w:ascii="Times New Roman" w:hAnsi="Times New Roman" w:cs="Times New Roman"/>
          <w:b/>
          <w:bCs/>
        </w:rPr>
        <w:t>4.</w:t>
      </w:r>
      <w:r w:rsidRPr="001A7B2B">
        <w:rPr>
          <w:rFonts w:ascii="Times New Roman" w:hAnsi="Times New Roman" w:cs="Times New Roman"/>
          <w:b/>
          <w:bCs/>
        </w:rPr>
        <w:t xml:space="preserve"> Ecological Characterization of Five Ecosites</w:t>
      </w:r>
    </w:p>
    <w:p w14:paraId="7FCEA2A6" w14:textId="65DF7A0C" w:rsidR="00865884"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located at the estuarine mouth where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Lake opens into the Arabian Sea, represents a high-salinity marine-influenced ecosite with strong tidal interaction. The site supports diverse aquatic life, including a rich assemblage of 55 phytoplankton species dominated by diatoms (</w:t>
      </w:r>
      <w:proofErr w:type="spellStart"/>
      <w:r w:rsidRPr="001A7B2B">
        <w:rPr>
          <w:rFonts w:ascii="Times New Roman" w:hAnsi="Times New Roman" w:cs="Times New Roman"/>
          <w:i/>
          <w:iCs/>
        </w:rPr>
        <w:t>Thalassiosira</w:t>
      </w:r>
      <w:proofErr w:type="spellEnd"/>
      <w:r w:rsidRPr="001A7B2B">
        <w:rPr>
          <w:rFonts w:ascii="Times New Roman" w:hAnsi="Times New Roman" w:cs="Times New Roman"/>
        </w:rPr>
        <w:t xml:space="preserve">, </w:t>
      </w:r>
      <w:r w:rsidRPr="001A7B2B">
        <w:rPr>
          <w:rFonts w:ascii="Times New Roman" w:hAnsi="Times New Roman" w:cs="Times New Roman"/>
          <w:i/>
          <w:iCs/>
        </w:rPr>
        <w:t>Coscinodiscus</w:t>
      </w:r>
      <w:r w:rsidRPr="001A7B2B">
        <w:rPr>
          <w:rFonts w:ascii="Times New Roman" w:hAnsi="Times New Roman" w:cs="Times New Roman"/>
        </w:rPr>
        <w:t>) and cyanophytes (</w:t>
      </w:r>
      <w:r w:rsidRPr="001A7B2B">
        <w:rPr>
          <w:rFonts w:ascii="Times New Roman" w:hAnsi="Times New Roman" w:cs="Times New Roman"/>
          <w:i/>
          <w:iCs/>
        </w:rPr>
        <w:t>Trichodesmium</w:t>
      </w:r>
      <w:r w:rsidRPr="001A7B2B">
        <w:rPr>
          <w:rFonts w:ascii="Times New Roman" w:hAnsi="Times New Roman" w:cs="Times New Roman"/>
        </w:rPr>
        <w:t xml:space="preserve">), along with 32 species of zooplankton, benthic </w:t>
      </w:r>
      <w:r w:rsidR="00E94442" w:rsidRPr="001A7B2B">
        <w:rPr>
          <w:rFonts w:ascii="Times New Roman" w:hAnsi="Times New Roman" w:cs="Times New Roman"/>
        </w:rPr>
        <w:t>molluscs</w:t>
      </w:r>
      <w:r w:rsidRPr="001A7B2B">
        <w:rPr>
          <w:rFonts w:ascii="Times New Roman" w:hAnsi="Times New Roman" w:cs="Times New Roman"/>
        </w:rPr>
        <w:t xml:space="preserve">, and commercially significant fish such as </w:t>
      </w:r>
      <w:r w:rsidRPr="001A7B2B">
        <w:rPr>
          <w:rFonts w:ascii="Times New Roman" w:hAnsi="Times New Roman" w:cs="Times New Roman"/>
          <w:i/>
          <w:iCs/>
        </w:rPr>
        <w:t>Sardinella fimbriata</w:t>
      </w:r>
      <w:r w:rsidRPr="001A7B2B">
        <w:rPr>
          <w:rFonts w:ascii="Times New Roman" w:hAnsi="Times New Roman" w:cs="Times New Roman"/>
        </w:rPr>
        <w:t xml:space="preserve"> and </w:t>
      </w:r>
      <w:r w:rsidRPr="001A7B2B">
        <w:rPr>
          <w:rFonts w:ascii="Times New Roman" w:hAnsi="Times New Roman" w:cs="Times New Roman"/>
          <w:i/>
          <w:iCs/>
        </w:rPr>
        <w:t>Penaeus indicus</w:t>
      </w:r>
      <w:r w:rsidRPr="001A7B2B">
        <w:rPr>
          <w:rFonts w:ascii="Times New Roman" w:hAnsi="Times New Roman" w:cs="Times New Roman"/>
        </w:rPr>
        <w:t xml:space="preserve">. The shoreline is stabilized by pioneer coastal species like </w:t>
      </w:r>
      <w:r w:rsidRPr="001A7B2B">
        <w:rPr>
          <w:rFonts w:ascii="Times New Roman" w:hAnsi="Times New Roman" w:cs="Times New Roman"/>
          <w:i/>
          <w:iCs/>
        </w:rPr>
        <w:t>Ipomoea pes-</w:t>
      </w:r>
      <w:proofErr w:type="spellStart"/>
      <w:r w:rsidRPr="001A7B2B">
        <w:rPr>
          <w:rFonts w:ascii="Times New Roman" w:hAnsi="Times New Roman" w:cs="Times New Roman"/>
          <w:i/>
          <w:iCs/>
        </w:rPr>
        <w:t>caprae</w:t>
      </w:r>
      <w:proofErr w:type="spellEnd"/>
      <w:r w:rsidRPr="001A7B2B">
        <w:rPr>
          <w:rFonts w:ascii="Times New Roman" w:hAnsi="Times New Roman" w:cs="Times New Roman"/>
        </w:rPr>
        <w:t xml:space="preserve">, </w:t>
      </w:r>
      <w:r w:rsidRPr="001A7B2B">
        <w:rPr>
          <w:rFonts w:ascii="Times New Roman" w:hAnsi="Times New Roman" w:cs="Times New Roman"/>
          <w:i/>
          <w:iCs/>
        </w:rPr>
        <w:t xml:space="preserve">Spinifex </w:t>
      </w:r>
      <w:proofErr w:type="spellStart"/>
      <w:r w:rsidRPr="001A7B2B">
        <w:rPr>
          <w:rFonts w:ascii="Times New Roman" w:hAnsi="Times New Roman" w:cs="Times New Roman"/>
          <w:i/>
          <w:iCs/>
        </w:rPr>
        <w:t>littoreus</w:t>
      </w:r>
      <w:proofErr w:type="spellEnd"/>
      <w:r w:rsidRPr="001A7B2B">
        <w:rPr>
          <w:rFonts w:ascii="Times New Roman" w:hAnsi="Times New Roman" w:cs="Times New Roman"/>
        </w:rPr>
        <w:t>, and salt</w:t>
      </w:r>
      <w:r w:rsidR="009C4AEF" w:rsidRPr="001A7B2B">
        <w:rPr>
          <w:rFonts w:ascii="Times New Roman" w:hAnsi="Times New Roman" w:cs="Times New Roman"/>
        </w:rPr>
        <w:t xml:space="preserve"> </w:t>
      </w:r>
      <w:r w:rsidRPr="001A7B2B">
        <w:rPr>
          <w:rFonts w:ascii="Times New Roman" w:hAnsi="Times New Roman" w:cs="Times New Roman"/>
        </w:rPr>
        <w:t xml:space="preserve">tolerant mangrove associates such as </w:t>
      </w:r>
      <w:proofErr w:type="spellStart"/>
      <w:r w:rsidRPr="001A7B2B">
        <w:rPr>
          <w:rFonts w:ascii="Times New Roman" w:hAnsi="Times New Roman" w:cs="Times New Roman"/>
          <w:i/>
          <w:iCs/>
        </w:rPr>
        <w:t>Excoecaria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agallocha</w:t>
      </w:r>
      <w:proofErr w:type="spellEnd"/>
      <w:r w:rsidRPr="001A7B2B">
        <w:rPr>
          <w:rFonts w:ascii="Times New Roman" w:hAnsi="Times New Roman" w:cs="Times New Roman"/>
        </w:rPr>
        <w:t>. This zone functions as a productive ecological interface supporting fisheries, nutrient cycling, and shoreline stabilization</w:t>
      </w:r>
      <w:r w:rsidR="004F47EA">
        <w:rPr>
          <w:rFonts w:ascii="Times New Roman" w:hAnsi="Times New Roman" w:cs="Times New Roman"/>
        </w:rPr>
        <w:t xml:space="preserve"> (Fig. 3)</w:t>
      </w:r>
      <w:r w:rsidRPr="001A7B2B">
        <w:rPr>
          <w:rFonts w:ascii="Times New Roman" w:hAnsi="Times New Roman" w:cs="Times New Roman"/>
        </w:rPr>
        <w:t>.</w:t>
      </w:r>
    </w:p>
    <w:p w14:paraId="29FC94B9" w14:textId="77777777" w:rsidR="00EF4E8F" w:rsidRDefault="00EF4E8F" w:rsidP="00803F39">
      <w:pPr>
        <w:spacing w:after="0" w:line="360" w:lineRule="auto"/>
        <w:ind w:firstLine="720"/>
        <w:jc w:val="both"/>
        <w:rPr>
          <w:rFonts w:ascii="Times New Roman" w:hAnsi="Times New Roman" w:cs="Times New Roman"/>
        </w:rPr>
      </w:pPr>
    </w:p>
    <w:p w14:paraId="4A142561" w14:textId="2F16BCCE" w:rsidR="00EF4E8F" w:rsidRDefault="00EF4E8F" w:rsidP="00EF4E8F">
      <w:pPr>
        <w:spacing w:after="0" w:line="360" w:lineRule="auto"/>
        <w:jc w:val="center"/>
        <w:rPr>
          <w:rFonts w:ascii="Times New Roman" w:hAnsi="Times New Roman" w:cs="Times New Roman"/>
        </w:rPr>
      </w:pPr>
      <w:r>
        <w:rPr>
          <w:noProof/>
        </w:rPr>
        <w:lastRenderedPageBreak/>
        <w:drawing>
          <wp:inline distT="0" distB="0" distL="0" distR="0" wp14:anchorId="1655F5F4" wp14:editId="089FE4C2">
            <wp:extent cx="5184475" cy="3962166"/>
            <wp:effectExtent l="0" t="0" r="0" b="635"/>
            <wp:docPr id="385934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34817" name=""/>
                    <pic:cNvPicPr/>
                  </pic:nvPicPr>
                  <pic:blipFill>
                    <a:blip r:embed="rId9"/>
                    <a:stretch>
                      <a:fillRect/>
                    </a:stretch>
                  </pic:blipFill>
                  <pic:spPr>
                    <a:xfrm>
                      <a:off x="0" y="0"/>
                      <a:ext cx="5191695" cy="3967684"/>
                    </a:xfrm>
                    <a:prstGeom prst="rect">
                      <a:avLst/>
                    </a:prstGeom>
                  </pic:spPr>
                </pic:pic>
              </a:graphicData>
            </a:graphic>
          </wp:inline>
        </w:drawing>
      </w:r>
    </w:p>
    <w:p w14:paraId="0C186F07" w14:textId="038CF064" w:rsidR="00EF4E8F" w:rsidRPr="001A7B2B" w:rsidRDefault="00EF4E8F" w:rsidP="00EF4E8F">
      <w:pPr>
        <w:spacing w:after="0" w:line="360" w:lineRule="auto"/>
        <w:jc w:val="center"/>
        <w:rPr>
          <w:rFonts w:ascii="Times New Roman" w:hAnsi="Times New Roman" w:cs="Times New Roman"/>
        </w:rPr>
      </w:pPr>
      <w:r>
        <w:rPr>
          <w:noProof/>
        </w:rPr>
        <w:drawing>
          <wp:inline distT="0" distB="0" distL="0" distR="0" wp14:anchorId="50EEF0E3" wp14:editId="0364A271">
            <wp:extent cx="5298062" cy="2812211"/>
            <wp:effectExtent l="0" t="0" r="0" b="7620"/>
            <wp:docPr id="782733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33348" name=""/>
                    <pic:cNvPicPr/>
                  </pic:nvPicPr>
                  <pic:blipFill>
                    <a:blip r:embed="rId10"/>
                    <a:stretch>
                      <a:fillRect/>
                    </a:stretch>
                  </pic:blipFill>
                  <pic:spPr>
                    <a:xfrm>
                      <a:off x="0" y="0"/>
                      <a:ext cx="5301442" cy="2814005"/>
                    </a:xfrm>
                    <a:prstGeom prst="rect">
                      <a:avLst/>
                    </a:prstGeom>
                  </pic:spPr>
                </pic:pic>
              </a:graphicData>
            </a:graphic>
          </wp:inline>
        </w:drawing>
      </w:r>
    </w:p>
    <w:p w14:paraId="18507FB2" w14:textId="755C671A" w:rsidR="00656EB8" w:rsidRPr="001A7B2B" w:rsidRDefault="00656EB8" w:rsidP="007B1180">
      <w:pPr>
        <w:spacing w:after="0" w:line="360" w:lineRule="auto"/>
        <w:jc w:val="both"/>
        <w:rPr>
          <w:rFonts w:ascii="Times New Roman" w:hAnsi="Times New Roman" w:cs="Times New Roman"/>
        </w:rPr>
      </w:pPr>
    </w:p>
    <w:p w14:paraId="6351D030" w14:textId="640E3960" w:rsidR="00752C88"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3</w:t>
      </w:r>
      <w:r w:rsidRPr="001A7B2B">
        <w:rPr>
          <w:rFonts w:ascii="Times New Roman" w:hAnsi="Times New Roman" w:cs="Times New Roman"/>
          <w:b/>
          <w:bCs/>
        </w:rPr>
        <w:t>:</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00752C88" w:rsidRPr="001A7B2B">
        <w:rPr>
          <w:rFonts w:ascii="Times New Roman" w:hAnsi="Times New Roman" w:cs="Times New Roman"/>
        </w:rPr>
        <w:t>Neendakara</w:t>
      </w:r>
      <w:proofErr w:type="spellEnd"/>
    </w:p>
    <w:p w14:paraId="7AADF915" w14:textId="57BFEB9B" w:rsidR="00656EB8"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is a group of small estuarine islands fully surrounded by backwaters, characterized by moderate salinity and high biodiversity. With a phytoplankton diversity of 55 species, including </w:t>
      </w:r>
      <w:r w:rsidRPr="001A7B2B">
        <w:rPr>
          <w:rFonts w:ascii="Times New Roman" w:hAnsi="Times New Roman" w:cs="Times New Roman"/>
          <w:i/>
          <w:iCs/>
        </w:rPr>
        <w:t>Microcystis</w:t>
      </w:r>
      <w:r w:rsidRPr="001A7B2B">
        <w:rPr>
          <w:rFonts w:ascii="Times New Roman" w:hAnsi="Times New Roman" w:cs="Times New Roman"/>
        </w:rPr>
        <w:t xml:space="preserve">, </w:t>
      </w:r>
      <w:r w:rsidRPr="001A7B2B">
        <w:rPr>
          <w:rFonts w:ascii="Times New Roman" w:hAnsi="Times New Roman" w:cs="Times New Roman"/>
          <w:i/>
          <w:iCs/>
        </w:rPr>
        <w:t>Oscillatoria</w:t>
      </w:r>
      <w:r w:rsidRPr="001A7B2B">
        <w:rPr>
          <w:rFonts w:ascii="Times New Roman" w:hAnsi="Times New Roman" w:cs="Times New Roman"/>
        </w:rPr>
        <w:t xml:space="preserve">, and </w:t>
      </w:r>
      <w:proofErr w:type="spellStart"/>
      <w:r w:rsidRPr="001A7B2B">
        <w:rPr>
          <w:rFonts w:ascii="Times New Roman" w:hAnsi="Times New Roman" w:cs="Times New Roman"/>
          <w:i/>
          <w:iCs/>
        </w:rPr>
        <w:t>Stephanodiscus</w:t>
      </w:r>
      <w:proofErr w:type="spellEnd"/>
      <w:r w:rsidRPr="001A7B2B">
        <w:rPr>
          <w:rFonts w:ascii="Times New Roman" w:hAnsi="Times New Roman" w:cs="Times New Roman"/>
        </w:rPr>
        <w:t>, the site is ecologically dominated by true mangroves (</w:t>
      </w:r>
      <w:r w:rsidRPr="001A7B2B">
        <w:rPr>
          <w:rFonts w:ascii="Times New Roman" w:hAnsi="Times New Roman" w:cs="Times New Roman"/>
          <w:i/>
          <w:iCs/>
        </w:rPr>
        <w:t>Rhizophora</w:t>
      </w:r>
      <w:r w:rsidRPr="001A7B2B">
        <w:rPr>
          <w:rFonts w:ascii="Times New Roman" w:hAnsi="Times New Roman" w:cs="Times New Roman"/>
        </w:rPr>
        <w:t xml:space="preserve">, </w:t>
      </w:r>
      <w:r w:rsidRPr="001A7B2B">
        <w:rPr>
          <w:rFonts w:ascii="Times New Roman" w:hAnsi="Times New Roman" w:cs="Times New Roman"/>
          <w:i/>
          <w:iCs/>
        </w:rPr>
        <w:t>Avicennia</w:t>
      </w:r>
      <w:r w:rsidRPr="001A7B2B">
        <w:rPr>
          <w:rFonts w:ascii="Times New Roman" w:hAnsi="Times New Roman" w:cs="Times New Roman"/>
        </w:rPr>
        <w:t xml:space="preserve">, </w:t>
      </w:r>
      <w:r w:rsidRPr="001A7B2B">
        <w:rPr>
          <w:rFonts w:ascii="Times New Roman" w:hAnsi="Times New Roman" w:cs="Times New Roman"/>
          <w:i/>
          <w:iCs/>
        </w:rPr>
        <w:t>Bruguiera</w:t>
      </w:r>
      <w:r w:rsidRPr="001A7B2B">
        <w:rPr>
          <w:rFonts w:ascii="Times New Roman" w:hAnsi="Times New Roman" w:cs="Times New Roman"/>
        </w:rPr>
        <w:t xml:space="preserve">) that anchor the island against erosion and provide critical nursery habitats. The zooplankton community is equally </w:t>
      </w:r>
      <w:r w:rsidRPr="001A7B2B">
        <w:rPr>
          <w:rFonts w:ascii="Times New Roman" w:hAnsi="Times New Roman" w:cs="Times New Roman"/>
        </w:rPr>
        <w:lastRenderedPageBreak/>
        <w:t xml:space="preserve">diverse with 41 species, and benthic fauna such as </w:t>
      </w:r>
      <w:r w:rsidRPr="001A7B2B">
        <w:rPr>
          <w:rFonts w:ascii="Times New Roman" w:hAnsi="Times New Roman" w:cs="Times New Roman"/>
          <w:i/>
          <w:iCs/>
        </w:rPr>
        <w:t xml:space="preserve">Perna </w:t>
      </w:r>
      <w:proofErr w:type="spellStart"/>
      <w:r w:rsidRPr="001A7B2B">
        <w:rPr>
          <w:rFonts w:ascii="Times New Roman" w:hAnsi="Times New Roman" w:cs="Times New Roman"/>
          <w:i/>
          <w:iCs/>
        </w:rPr>
        <w:t>viridis</w:t>
      </w:r>
      <w:proofErr w:type="spellEnd"/>
      <w:r w:rsidRPr="001A7B2B">
        <w:rPr>
          <w:rFonts w:ascii="Times New Roman" w:hAnsi="Times New Roman" w:cs="Times New Roman"/>
        </w:rPr>
        <w:t xml:space="preserve"> and </w:t>
      </w:r>
      <w:r w:rsidRPr="001A7B2B">
        <w:rPr>
          <w:rFonts w:ascii="Times New Roman" w:hAnsi="Times New Roman" w:cs="Times New Roman"/>
          <w:i/>
          <w:iCs/>
        </w:rPr>
        <w:t xml:space="preserve">Crassostrea </w:t>
      </w:r>
      <w:proofErr w:type="spellStart"/>
      <w:r w:rsidRPr="001A7B2B">
        <w:rPr>
          <w:rFonts w:ascii="Times New Roman" w:hAnsi="Times New Roman" w:cs="Times New Roman"/>
          <w:i/>
          <w:iCs/>
        </w:rPr>
        <w:t>madrasensis</w:t>
      </w:r>
      <w:proofErr w:type="spellEnd"/>
      <w:r w:rsidRPr="001A7B2B">
        <w:rPr>
          <w:rFonts w:ascii="Times New Roman" w:hAnsi="Times New Roman" w:cs="Times New Roman"/>
        </w:rPr>
        <w:t xml:space="preserve"> are abundant. Terrestrial and economic species like </w:t>
      </w:r>
      <w:r w:rsidRPr="001A7B2B">
        <w:rPr>
          <w:rFonts w:ascii="Times New Roman" w:hAnsi="Times New Roman" w:cs="Times New Roman"/>
          <w:i/>
          <w:iCs/>
        </w:rPr>
        <w:t>Cocos nucifera</w:t>
      </w:r>
      <w:r w:rsidRPr="001A7B2B">
        <w:rPr>
          <w:rFonts w:ascii="Times New Roman" w:hAnsi="Times New Roman" w:cs="Times New Roman"/>
        </w:rPr>
        <w:t xml:space="preserve"> and </w:t>
      </w:r>
      <w:r w:rsidRPr="001A7B2B">
        <w:rPr>
          <w:rFonts w:ascii="Times New Roman" w:hAnsi="Times New Roman" w:cs="Times New Roman"/>
          <w:i/>
          <w:iCs/>
        </w:rPr>
        <w:t xml:space="preserve">Gliricidia </w:t>
      </w:r>
      <w:proofErr w:type="spellStart"/>
      <w:r w:rsidRPr="001A7B2B">
        <w:rPr>
          <w:rFonts w:ascii="Times New Roman" w:hAnsi="Times New Roman" w:cs="Times New Roman"/>
          <w:i/>
          <w:iCs/>
        </w:rPr>
        <w:t>sepium</w:t>
      </w:r>
      <w:proofErr w:type="spellEnd"/>
      <w:r w:rsidRPr="001A7B2B">
        <w:rPr>
          <w:rFonts w:ascii="Times New Roman" w:hAnsi="Times New Roman" w:cs="Times New Roman"/>
        </w:rPr>
        <w:t xml:space="preserve"> represent sustainable land-use practices intertwined with ecological conservation</w:t>
      </w:r>
      <w:r w:rsidR="004F47EA">
        <w:rPr>
          <w:rFonts w:ascii="Times New Roman" w:hAnsi="Times New Roman" w:cs="Times New Roman"/>
        </w:rPr>
        <w:t xml:space="preserve"> (Fig. 4)</w:t>
      </w:r>
      <w:r w:rsidRPr="001A7B2B">
        <w:rPr>
          <w:rFonts w:ascii="Times New Roman" w:hAnsi="Times New Roman" w:cs="Times New Roman"/>
        </w:rPr>
        <w:t>.</w:t>
      </w:r>
    </w:p>
    <w:p w14:paraId="026645FA" w14:textId="60E306F8" w:rsidR="00EF4E8F" w:rsidRDefault="00EF4E8F" w:rsidP="00EF4E8F">
      <w:pPr>
        <w:spacing w:after="0" w:line="360" w:lineRule="auto"/>
        <w:jc w:val="center"/>
        <w:rPr>
          <w:rFonts w:ascii="Times New Roman" w:hAnsi="Times New Roman" w:cs="Times New Roman"/>
        </w:rPr>
      </w:pPr>
      <w:r>
        <w:rPr>
          <w:noProof/>
        </w:rPr>
        <w:drawing>
          <wp:inline distT="0" distB="0" distL="0" distR="0" wp14:anchorId="008F360F" wp14:editId="3BF074B4">
            <wp:extent cx="3857877" cy="2785484"/>
            <wp:effectExtent l="0" t="0" r="0" b="0"/>
            <wp:docPr id="84410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107694" name=""/>
                    <pic:cNvPicPr/>
                  </pic:nvPicPr>
                  <pic:blipFill>
                    <a:blip r:embed="rId11"/>
                    <a:stretch>
                      <a:fillRect/>
                    </a:stretch>
                  </pic:blipFill>
                  <pic:spPr>
                    <a:xfrm>
                      <a:off x="0" y="0"/>
                      <a:ext cx="3876422" cy="2798874"/>
                    </a:xfrm>
                    <a:prstGeom prst="rect">
                      <a:avLst/>
                    </a:prstGeom>
                  </pic:spPr>
                </pic:pic>
              </a:graphicData>
            </a:graphic>
          </wp:inline>
        </w:drawing>
      </w:r>
    </w:p>
    <w:p w14:paraId="62F1ABE5" w14:textId="0237018B" w:rsidR="00EF4E8F" w:rsidRPr="001A7B2B" w:rsidRDefault="00EF4E8F" w:rsidP="00EF4E8F">
      <w:pPr>
        <w:spacing w:after="0" w:line="360" w:lineRule="auto"/>
        <w:jc w:val="center"/>
        <w:rPr>
          <w:rFonts w:ascii="Times New Roman" w:hAnsi="Times New Roman" w:cs="Times New Roman"/>
        </w:rPr>
      </w:pPr>
      <w:r>
        <w:rPr>
          <w:noProof/>
        </w:rPr>
        <w:drawing>
          <wp:inline distT="0" distB="0" distL="0" distR="0" wp14:anchorId="1342F097" wp14:editId="1D35281C">
            <wp:extent cx="3715553" cy="2410210"/>
            <wp:effectExtent l="0" t="0" r="0" b="9525"/>
            <wp:docPr id="242088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088478" name=""/>
                    <pic:cNvPicPr/>
                  </pic:nvPicPr>
                  <pic:blipFill>
                    <a:blip r:embed="rId12"/>
                    <a:stretch>
                      <a:fillRect/>
                    </a:stretch>
                  </pic:blipFill>
                  <pic:spPr>
                    <a:xfrm>
                      <a:off x="0" y="0"/>
                      <a:ext cx="3737491" cy="2424441"/>
                    </a:xfrm>
                    <a:prstGeom prst="rect">
                      <a:avLst/>
                    </a:prstGeom>
                  </pic:spPr>
                </pic:pic>
              </a:graphicData>
            </a:graphic>
          </wp:inline>
        </w:drawing>
      </w:r>
    </w:p>
    <w:p w14:paraId="742E6E0A" w14:textId="18E6809B" w:rsidR="00865884"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4</w:t>
      </w:r>
      <w:r w:rsidRPr="001A7B2B">
        <w:rPr>
          <w:rFonts w:ascii="Times New Roman" w:hAnsi="Times New Roman" w:cs="Times New Roman"/>
          <w:b/>
          <w:bCs/>
        </w:rPr>
        <w:t>:</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w:t>
      </w:r>
    </w:p>
    <w:p w14:paraId="3440608E" w14:textId="0891BEAA" w:rsidR="00865884"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situated within the urban matrix of Kollam city, presents a unique blend of ecological richness and human interaction. This site features low phytoplankton diversity (13 species), with diatoms being the dominant group, possibly indicating environmental stress or limited nutrient availability. The presence of mangrove belts along the lake margin, especially </w:t>
      </w:r>
      <w:r w:rsidRPr="001A7B2B">
        <w:rPr>
          <w:rFonts w:ascii="Times New Roman" w:hAnsi="Times New Roman" w:cs="Times New Roman"/>
          <w:i/>
          <w:iCs/>
        </w:rPr>
        <w:t>Avicennia</w:t>
      </w:r>
      <w:r w:rsidRPr="001A7B2B">
        <w:rPr>
          <w:rFonts w:ascii="Times New Roman" w:hAnsi="Times New Roman" w:cs="Times New Roman"/>
        </w:rPr>
        <w:t xml:space="preserve"> and </w:t>
      </w:r>
      <w:r w:rsidRPr="001A7B2B">
        <w:rPr>
          <w:rFonts w:ascii="Times New Roman" w:hAnsi="Times New Roman" w:cs="Times New Roman"/>
          <w:i/>
          <w:iCs/>
        </w:rPr>
        <w:t>Rhizophora</w:t>
      </w:r>
      <w:r w:rsidRPr="001A7B2B">
        <w:rPr>
          <w:rFonts w:ascii="Times New Roman" w:hAnsi="Times New Roman" w:cs="Times New Roman"/>
        </w:rPr>
        <w:t xml:space="preserve">, supports estuarine functions and microclimate regulation. Riparian and ornamental species such as </w:t>
      </w:r>
      <w:r w:rsidRPr="001A7B2B">
        <w:rPr>
          <w:rFonts w:ascii="Times New Roman" w:hAnsi="Times New Roman" w:cs="Times New Roman"/>
          <w:i/>
          <w:iCs/>
        </w:rPr>
        <w:t>Casuarina</w:t>
      </w:r>
      <w:r w:rsidRPr="001A7B2B">
        <w:rPr>
          <w:rFonts w:ascii="Times New Roman" w:hAnsi="Times New Roman" w:cs="Times New Roman"/>
        </w:rPr>
        <w:t xml:space="preserve">, </w:t>
      </w:r>
      <w:r w:rsidRPr="001A7B2B">
        <w:rPr>
          <w:rFonts w:ascii="Times New Roman" w:hAnsi="Times New Roman" w:cs="Times New Roman"/>
          <w:i/>
          <w:iCs/>
        </w:rPr>
        <w:t xml:space="preserve">Thespesia </w:t>
      </w:r>
      <w:proofErr w:type="spellStart"/>
      <w:r w:rsidRPr="001A7B2B">
        <w:rPr>
          <w:rFonts w:ascii="Times New Roman" w:hAnsi="Times New Roman" w:cs="Times New Roman"/>
          <w:i/>
          <w:iCs/>
        </w:rPr>
        <w:t>populnea</w:t>
      </w:r>
      <w:proofErr w:type="spellEnd"/>
      <w:r w:rsidRPr="001A7B2B">
        <w:rPr>
          <w:rFonts w:ascii="Times New Roman" w:hAnsi="Times New Roman" w:cs="Times New Roman"/>
        </w:rPr>
        <w:t xml:space="preserve">, and </w:t>
      </w:r>
      <w:r w:rsidRPr="001A7B2B">
        <w:rPr>
          <w:rFonts w:ascii="Times New Roman" w:hAnsi="Times New Roman" w:cs="Times New Roman"/>
          <w:i/>
          <w:iCs/>
        </w:rPr>
        <w:t xml:space="preserve">Terminalia </w:t>
      </w:r>
      <w:proofErr w:type="spellStart"/>
      <w:r w:rsidRPr="001A7B2B">
        <w:rPr>
          <w:rFonts w:ascii="Times New Roman" w:hAnsi="Times New Roman" w:cs="Times New Roman"/>
          <w:i/>
          <w:iCs/>
        </w:rPr>
        <w:t>catappa</w:t>
      </w:r>
      <w:proofErr w:type="spellEnd"/>
      <w:r w:rsidRPr="001A7B2B">
        <w:rPr>
          <w:rFonts w:ascii="Times New Roman" w:hAnsi="Times New Roman" w:cs="Times New Roman"/>
        </w:rPr>
        <w:t xml:space="preserve"> enhance aesthetic and recreational value while contributing to biodiversity. The urban interface also promotes habitat for birds, butterflies, and reptiles, making it a prime example of urban</w:t>
      </w:r>
      <w:r w:rsidR="000508BE" w:rsidRPr="001A7B2B">
        <w:rPr>
          <w:rFonts w:ascii="Times New Roman" w:hAnsi="Times New Roman" w:cs="Times New Roman"/>
        </w:rPr>
        <w:t xml:space="preserve"> </w:t>
      </w:r>
      <w:r w:rsidRPr="001A7B2B">
        <w:rPr>
          <w:rFonts w:ascii="Times New Roman" w:hAnsi="Times New Roman" w:cs="Times New Roman"/>
        </w:rPr>
        <w:t>ecological coexistence</w:t>
      </w:r>
      <w:r w:rsidR="004F47EA">
        <w:rPr>
          <w:rFonts w:ascii="Times New Roman" w:hAnsi="Times New Roman" w:cs="Times New Roman"/>
        </w:rPr>
        <w:t xml:space="preserve"> (Fig. 5)</w:t>
      </w:r>
      <w:r w:rsidRPr="001A7B2B">
        <w:rPr>
          <w:rFonts w:ascii="Times New Roman" w:hAnsi="Times New Roman" w:cs="Times New Roman"/>
        </w:rPr>
        <w:t>.</w:t>
      </w:r>
    </w:p>
    <w:p w14:paraId="63584E1C" w14:textId="77777777" w:rsidR="00EF4E8F" w:rsidRDefault="00EF4E8F" w:rsidP="00803F39">
      <w:pPr>
        <w:spacing w:after="0" w:line="360" w:lineRule="auto"/>
        <w:ind w:firstLine="720"/>
        <w:jc w:val="both"/>
        <w:rPr>
          <w:rFonts w:ascii="Times New Roman" w:hAnsi="Times New Roman" w:cs="Times New Roman"/>
        </w:rPr>
      </w:pPr>
    </w:p>
    <w:p w14:paraId="5C33FBC9" w14:textId="121A5636" w:rsidR="00EF4E8F" w:rsidRDefault="00EF4E8F" w:rsidP="00803F39">
      <w:pPr>
        <w:spacing w:after="0" w:line="360" w:lineRule="auto"/>
        <w:ind w:firstLine="720"/>
        <w:jc w:val="both"/>
        <w:rPr>
          <w:rFonts w:ascii="Times New Roman" w:hAnsi="Times New Roman" w:cs="Times New Roman"/>
        </w:rPr>
      </w:pPr>
      <w:r>
        <w:rPr>
          <w:noProof/>
        </w:rPr>
        <w:drawing>
          <wp:inline distT="0" distB="0" distL="0" distR="0" wp14:anchorId="176A1516" wp14:editId="14EDBF12">
            <wp:extent cx="4707910" cy="3551014"/>
            <wp:effectExtent l="0" t="0" r="0" b="0"/>
            <wp:docPr id="212904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5611" name=""/>
                    <pic:cNvPicPr/>
                  </pic:nvPicPr>
                  <pic:blipFill>
                    <a:blip r:embed="rId13"/>
                    <a:stretch>
                      <a:fillRect/>
                    </a:stretch>
                  </pic:blipFill>
                  <pic:spPr>
                    <a:xfrm>
                      <a:off x="0" y="0"/>
                      <a:ext cx="4715602" cy="3556816"/>
                    </a:xfrm>
                    <a:prstGeom prst="rect">
                      <a:avLst/>
                    </a:prstGeom>
                  </pic:spPr>
                </pic:pic>
              </a:graphicData>
            </a:graphic>
          </wp:inline>
        </w:drawing>
      </w:r>
    </w:p>
    <w:p w14:paraId="312F10D4" w14:textId="27C37D7A" w:rsidR="00EF4E8F" w:rsidRPr="001A7B2B" w:rsidRDefault="00EF4E8F" w:rsidP="00803F39">
      <w:pPr>
        <w:spacing w:after="0" w:line="360" w:lineRule="auto"/>
        <w:ind w:firstLine="720"/>
        <w:jc w:val="both"/>
        <w:rPr>
          <w:rFonts w:ascii="Times New Roman" w:hAnsi="Times New Roman" w:cs="Times New Roman"/>
        </w:rPr>
      </w:pPr>
      <w:r>
        <w:rPr>
          <w:noProof/>
        </w:rPr>
        <w:drawing>
          <wp:inline distT="0" distB="0" distL="0" distR="0" wp14:anchorId="11B17CED" wp14:editId="74A35120">
            <wp:extent cx="5731510" cy="3971925"/>
            <wp:effectExtent l="0" t="0" r="2540" b="9525"/>
            <wp:docPr id="394818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18816" name=""/>
                    <pic:cNvPicPr/>
                  </pic:nvPicPr>
                  <pic:blipFill>
                    <a:blip r:embed="rId14"/>
                    <a:stretch>
                      <a:fillRect/>
                    </a:stretch>
                  </pic:blipFill>
                  <pic:spPr>
                    <a:xfrm>
                      <a:off x="0" y="0"/>
                      <a:ext cx="5731510" cy="3971925"/>
                    </a:xfrm>
                    <a:prstGeom prst="rect">
                      <a:avLst/>
                    </a:prstGeom>
                  </pic:spPr>
                </pic:pic>
              </a:graphicData>
            </a:graphic>
          </wp:inline>
        </w:drawing>
      </w:r>
    </w:p>
    <w:p w14:paraId="24C50938" w14:textId="0997FEE3" w:rsidR="00865884"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5.</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Asramam</w:t>
      </w:r>
      <w:proofErr w:type="spellEnd"/>
      <w:r w:rsidRPr="001A7B2B">
        <w:rPr>
          <w:rFonts w:ascii="Times New Roman" w:hAnsi="Times New Roman" w:cs="Times New Roman"/>
        </w:rPr>
        <w:t>.</w:t>
      </w:r>
    </w:p>
    <w:p w14:paraId="35FF76D2" w14:textId="2649D7A3" w:rsidR="00865884"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t>Kidapram</w:t>
      </w:r>
      <w:proofErr w:type="spellEnd"/>
      <w:r w:rsidRPr="001A7B2B">
        <w:rPr>
          <w:rFonts w:ascii="Times New Roman" w:hAnsi="Times New Roman" w:cs="Times New Roman"/>
        </w:rPr>
        <w:t>, located at the freshwater</w:t>
      </w:r>
      <w:r w:rsidR="000508BE" w:rsidRPr="001A7B2B">
        <w:rPr>
          <w:rFonts w:ascii="Times New Roman" w:hAnsi="Times New Roman" w:cs="Times New Roman"/>
        </w:rPr>
        <w:t xml:space="preserve"> - </w:t>
      </w:r>
      <w:r w:rsidRPr="001A7B2B">
        <w:rPr>
          <w:rFonts w:ascii="Times New Roman" w:hAnsi="Times New Roman" w:cs="Times New Roman"/>
        </w:rPr>
        <w:t xml:space="preserve">brackish transition zone in the northern fringe of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Lake, exhibits the highest trophic productivity among the five sites. With 65 species </w:t>
      </w:r>
      <w:r w:rsidRPr="001A7B2B">
        <w:rPr>
          <w:rFonts w:ascii="Times New Roman" w:hAnsi="Times New Roman" w:cs="Times New Roman"/>
        </w:rPr>
        <w:lastRenderedPageBreak/>
        <w:t xml:space="preserve">of phytoplankton, including </w:t>
      </w:r>
      <w:proofErr w:type="spellStart"/>
      <w:r w:rsidRPr="001A7B2B">
        <w:rPr>
          <w:rFonts w:ascii="Times New Roman" w:hAnsi="Times New Roman" w:cs="Times New Roman"/>
          <w:i/>
          <w:iCs/>
        </w:rPr>
        <w:t>Diatoma</w:t>
      </w:r>
      <w:proofErr w:type="spellEnd"/>
      <w:r w:rsidRPr="001A7B2B">
        <w:rPr>
          <w:rFonts w:ascii="Times New Roman" w:hAnsi="Times New Roman" w:cs="Times New Roman"/>
        </w:rPr>
        <w:t xml:space="preserve">, </w:t>
      </w:r>
      <w:r w:rsidRPr="001A7B2B">
        <w:rPr>
          <w:rFonts w:ascii="Times New Roman" w:hAnsi="Times New Roman" w:cs="Times New Roman"/>
          <w:i/>
          <w:iCs/>
        </w:rPr>
        <w:t>Cyclotella</w:t>
      </w:r>
      <w:r w:rsidRPr="001A7B2B">
        <w:rPr>
          <w:rFonts w:ascii="Times New Roman" w:hAnsi="Times New Roman" w:cs="Times New Roman"/>
        </w:rPr>
        <w:t xml:space="preserve">, </w:t>
      </w:r>
      <w:r w:rsidRPr="001A7B2B">
        <w:rPr>
          <w:rFonts w:ascii="Times New Roman" w:hAnsi="Times New Roman" w:cs="Times New Roman"/>
          <w:i/>
          <w:iCs/>
        </w:rPr>
        <w:t>Anabaena</w:t>
      </w:r>
      <w:r w:rsidRPr="001A7B2B">
        <w:rPr>
          <w:rFonts w:ascii="Times New Roman" w:hAnsi="Times New Roman" w:cs="Times New Roman"/>
        </w:rPr>
        <w:t xml:space="preserve">, and </w:t>
      </w:r>
      <w:r w:rsidRPr="001A7B2B">
        <w:rPr>
          <w:rFonts w:ascii="Times New Roman" w:hAnsi="Times New Roman" w:cs="Times New Roman"/>
          <w:i/>
          <w:iCs/>
        </w:rPr>
        <w:t>Pediastrum</w:t>
      </w:r>
      <w:r w:rsidRPr="001A7B2B">
        <w:rPr>
          <w:rFonts w:ascii="Times New Roman" w:hAnsi="Times New Roman" w:cs="Times New Roman"/>
        </w:rPr>
        <w:t xml:space="preserve">, and abundant macrophytes such as </w:t>
      </w:r>
      <w:r w:rsidRPr="001A7B2B">
        <w:rPr>
          <w:rFonts w:ascii="Times New Roman" w:hAnsi="Times New Roman" w:cs="Times New Roman"/>
          <w:i/>
          <w:iCs/>
        </w:rPr>
        <w:t>Nymphaea stellata</w:t>
      </w:r>
      <w:r w:rsidRPr="001A7B2B">
        <w:rPr>
          <w:rFonts w:ascii="Times New Roman" w:hAnsi="Times New Roman" w:cs="Times New Roman"/>
        </w:rPr>
        <w:t xml:space="preserve"> and </w:t>
      </w:r>
      <w:r w:rsidRPr="001A7B2B">
        <w:rPr>
          <w:rFonts w:ascii="Times New Roman" w:hAnsi="Times New Roman" w:cs="Times New Roman"/>
          <w:i/>
          <w:iCs/>
        </w:rPr>
        <w:t>Ipomoea aquatica</w:t>
      </w:r>
      <w:r w:rsidRPr="001A7B2B">
        <w:rPr>
          <w:rFonts w:ascii="Times New Roman" w:hAnsi="Times New Roman" w:cs="Times New Roman"/>
        </w:rPr>
        <w:t xml:space="preserve">, the site supports complex aquatic food webs. The landscape includes agroforestry elements like </w:t>
      </w:r>
      <w:r w:rsidRPr="001A7B2B">
        <w:rPr>
          <w:rFonts w:ascii="Times New Roman" w:hAnsi="Times New Roman" w:cs="Times New Roman"/>
          <w:i/>
          <w:iCs/>
        </w:rPr>
        <w:t>Mangifera indica</w:t>
      </w:r>
      <w:r w:rsidRPr="001A7B2B">
        <w:rPr>
          <w:rFonts w:ascii="Times New Roman" w:hAnsi="Times New Roman" w:cs="Times New Roman"/>
        </w:rPr>
        <w:t xml:space="preserve">, </w:t>
      </w:r>
      <w:r w:rsidRPr="001A7B2B">
        <w:rPr>
          <w:rFonts w:ascii="Times New Roman" w:hAnsi="Times New Roman" w:cs="Times New Roman"/>
          <w:i/>
          <w:iCs/>
        </w:rPr>
        <w:t>Cocos nucifera</w:t>
      </w:r>
      <w:r w:rsidRPr="001A7B2B">
        <w:rPr>
          <w:rFonts w:ascii="Times New Roman" w:hAnsi="Times New Roman" w:cs="Times New Roman"/>
        </w:rPr>
        <w:t xml:space="preserve">, and </w:t>
      </w:r>
      <w:r w:rsidRPr="001A7B2B">
        <w:rPr>
          <w:rFonts w:ascii="Times New Roman" w:hAnsi="Times New Roman" w:cs="Times New Roman"/>
          <w:i/>
          <w:iCs/>
        </w:rPr>
        <w:t>Areca catechu</w:t>
      </w:r>
      <w:r w:rsidRPr="001A7B2B">
        <w:rPr>
          <w:rFonts w:ascii="Times New Roman" w:hAnsi="Times New Roman" w:cs="Times New Roman"/>
        </w:rPr>
        <w:t>, reflecting a mosaic of natural and cultivated ecosystems. Rich marginal vegetation (</w:t>
      </w:r>
      <w:r w:rsidRPr="001A7B2B">
        <w:rPr>
          <w:rFonts w:ascii="Times New Roman" w:hAnsi="Times New Roman" w:cs="Times New Roman"/>
          <w:i/>
          <w:iCs/>
        </w:rPr>
        <w:t>Typha</w:t>
      </w:r>
      <w:r w:rsidRPr="001A7B2B">
        <w:rPr>
          <w:rFonts w:ascii="Times New Roman" w:hAnsi="Times New Roman" w:cs="Times New Roman"/>
        </w:rPr>
        <w:t xml:space="preserve">, </w:t>
      </w:r>
      <w:r w:rsidRPr="001A7B2B">
        <w:rPr>
          <w:rFonts w:ascii="Times New Roman" w:hAnsi="Times New Roman" w:cs="Times New Roman"/>
          <w:i/>
          <w:iCs/>
        </w:rPr>
        <w:t>Cyperus</w:t>
      </w:r>
      <w:r w:rsidRPr="001A7B2B">
        <w:rPr>
          <w:rFonts w:ascii="Times New Roman" w:hAnsi="Times New Roman" w:cs="Times New Roman"/>
        </w:rPr>
        <w:t>) and benthic filter feeders (</w:t>
      </w:r>
      <w:proofErr w:type="spellStart"/>
      <w:r w:rsidRPr="001A7B2B">
        <w:rPr>
          <w:rFonts w:ascii="Times New Roman" w:hAnsi="Times New Roman" w:cs="Times New Roman"/>
          <w:i/>
          <w:iCs/>
        </w:rPr>
        <w:t>Villorita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cyprinoides</w:t>
      </w:r>
      <w:proofErr w:type="spellEnd"/>
      <w:r w:rsidRPr="001A7B2B">
        <w:rPr>
          <w:rFonts w:ascii="Times New Roman" w:hAnsi="Times New Roman" w:cs="Times New Roman"/>
        </w:rPr>
        <w:t>) enhance nutrient cycling, sediment stability, and biodiversity resilience</w:t>
      </w:r>
      <w:r w:rsidR="004F47EA">
        <w:rPr>
          <w:rFonts w:ascii="Times New Roman" w:hAnsi="Times New Roman" w:cs="Times New Roman"/>
        </w:rPr>
        <w:t xml:space="preserve"> (Fig. 6)</w:t>
      </w:r>
      <w:r w:rsidRPr="001A7B2B">
        <w:rPr>
          <w:rFonts w:ascii="Times New Roman" w:hAnsi="Times New Roman" w:cs="Times New Roman"/>
        </w:rPr>
        <w:t>.</w:t>
      </w:r>
    </w:p>
    <w:p w14:paraId="3E5F82DD" w14:textId="77777777" w:rsidR="00EF4E8F" w:rsidRDefault="00EF4E8F" w:rsidP="00803F39">
      <w:pPr>
        <w:spacing w:after="0" w:line="360" w:lineRule="auto"/>
        <w:ind w:firstLine="720"/>
        <w:jc w:val="both"/>
        <w:rPr>
          <w:rFonts w:ascii="Times New Roman" w:hAnsi="Times New Roman" w:cs="Times New Roman"/>
        </w:rPr>
      </w:pPr>
    </w:p>
    <w:p w14:paraId="475809A0" w14:textId="1CBBF7DA" w:rsidR="00EF4E8F" w:rsidRDefault="00EF4E8F" w:rsidP="00EF4E8F">
      <w:pPr>
        <w:spacing w:after="0" w:line="360" w:lineRule="auto"/>
        <w:jc w:val="both"/>
        <w:rPr>
          <w:rFonts w:ascii="Times New Roman" w:hAnsi="Times New Roman" w:cs="Times New Roman"/>
        </w:rPr>
      </w:pPr>
      <w:r>
        <w:rPr>
          <w:noProof/>
        </w:rPr>
        <w:drawing>
          <wp:inline distT="0" distB="0" distL="0" distR="0" wp14:anchorId="72203A43" wp14:editId="239D4E28">
            <wp:extent cx="5207058" cy="3623480"/>
            <wp:effectExtent l="0" t="0" r="0" b="0"/>
            <wp:docPr id="56528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7062" name=""/>
                    <pic:cNvPicPr/>
                  </pic:nvPicPr>
                  <pic:blipFill>
                    <a:blip r:embed="rId15"/>
                    <a:stretch>
                      <a:fillRect/>
                    </a:stretch>
                  </pic:blipFill>
                  <pic:spPr>
                    <a:xfrm>
                      <a:off x="0" y="0"/>
                      <a:ext cx="5216106" cy="3629776"/>
                    </a:xfrm>
                    <a:prstGeom prst="rect">
                      <a:avLst/>
                    </a:prstGeom>
                  </pic:spPr>
                </pic:pic>
              </a:graphicData>
            </a:graphic>
          </wp:inline>
        </w:drawing>
      </w:r>
    </w:p>
    <w:p w14:paraId="65112E99" w14:textId="415A4B09" w:rsidR="00EF4E8F" w:rsidRPr="001A7B2B" w:rsidRDefault="00EF4E8F" w:rsidP="00EF4E8F">
      <w:pPr>
        <w:spacing w:after="0" w:line="360" w:lineRule="auto"/>
        <w:jc w:val="both"/>
        <w:rPr>
          <w:rFonts w:ascii="Times New Roman" w:hAnsi="Times New Roman" w:cs="Times New Roman"/>
        </w:rPr>
      </w:pPr>
      <w:r>
        <w:rPr>
          <w:noProof/>
        </w:rPr>
        <w:drawing>
          <wp:inline distT="0" distB="0" distL="0" distR="0" wp14:anchorId="3FFD72EF" wp14:editId="1A07CA1A">
            <wp:extent cx="4674358" cy="2919273"/>
            <wp:effectExtent l="0" t="0" r="0" b="0"/>
            <wp:docPr id="951679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679655" name=""/>
                    <pic:cNvPicPr/>
                  </pic:nvPicPr>
                  <pic:blipFill>
                    <a:blip r:embed="rId16"/>
                    <a:stretch>
                      <a:fillRect/>
                    </a:stretch>
                  </pic:blipFill>
                  <pic:spPr>
                    <a:xfrm>
                      <a:off x="0" y="0"/>
                      <a:ext cx="4685297" cy="2926105"/>
                    </a:xfrm>
                    <a:prstGeom prst="rect">
                      <a:avLst/>
                    </a:prstGeom>
                  </pic:spPr>
                </pic:pic>
              </a:graphicData>
            </a:graphic>
          </wp:inline>
        </w:drawing>
      </w:r>
    </w:p>
    <w:p w14:paraId="247E2916" w14:textId="0236A815" w:rsidR="00865884" w:rsidRPr="001A7B2B" w:rsidRDefault="0086588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6.</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Kidapram</w:t>
      </w:r>
      <w:proofErr w:type="spellEnd"/>
      <w:r w:rsidRPr="001A7B2B">
        <w:rPr>
          <w:rFonts w:ascii="Times New Roman" w:hAnsi="Times New Roman" w:cs="Times New Roman"/>
        </w:rPr>
        <w:t>.</w:t>
      </w:r>
    </w:p>
    <w:p w14:paraId="16FAFFD2" w14:textId="4432CF2F" w:rsidR="00865884" w:rsidRPr="001A7B2B" w:rsidRDefault="00865884" w:rsidP="00803F39">
      <w:pPr>
        <w:spacing w:after="0" w:line="360" w:lineRule="auto"/>
        <w:ind w:firstLine="720"/>
        <w:jc w:val="both"/>
        <w:rPr>
          <w:rFonts w:ascii="Times New Roman" w:hAnsi="Times New Roman" w:cs="Times New Roman"/>
        </w:rPr>
      </w:pPr>
      <w:proofErr w:type="spellStart"/>
      <w:r w:rsidRPr="001A7B2B">
        <w:rPr>
          <w:rFonts w:ascii="Times New Roman" w:hAnsi="Times New Roman" w:cs="Times New Roman"/>
        </w:rPr>
        <w:lastRenderedPageBreak/>
        <w:t>Cherikkadavu</w:t>
      </w:r>
      <w:proofErr w:type="spellEnd"/>
      <w:r w:rsidRPr="001A7B2B">
        <w:rPr>
          <w:rFonts w:ascii="Times New Roman" w:hAnsi="Times New Roman" w:cs="Times New Roman"/>
        </w:rPr>
        <w:t xml:space="preserve">, situated at the confluence of the </w:t>
      </w:r>
      <w:proofErr w:type="spellStart"/>
      <w:r w:rsidRPr="001A7B2B">
        <w:rPr>
          <w:rFonts w:ascii="Times New Roman" w:hAnsi="Times New Roman" w:cs="Times New Roman"/>
        </w:rPr>
        <w:t>Kallada</w:t>
      </w:r>
      <w:proofErr w:type="spellEnd"/>
      <w:r w:rsidRPr="001A7B2B">
        <w:rPr>
          <w:rFonts w:ascii="Times New Roman" w:hAnsi="Times New Roman" w:cs="Times New Roman"/>
        </w:rPr>
        <w:t xml:space="preserve"> River and the lake, marks the eastern freshwater</w:t>
      </w:r>
      <w:r w:rsidR="000508BE" w:rsidRPr="001A7B2B">
        <w:rPr>
          <w:rFonts w:ascii="Times New Roman" w:hAnsi="Times New Roman" w:cs="Times New Roman"/>
        </w:rPr>
        <w:t xml:space="preserve"> </w:t>
      </w:r>
      <w:r w:rsidRPr="001A7B2B">
        <w:rPr>
          <w:rFonts w:ascii="Times New Roman" w:hAnsi="Times New Roman" w:cs="Times New Roman"/>
        </w:rPr>
        <w:t xml:space="preserve">dominant ecosite. With the highest recorded phytoplankton diversity (70 species), dominated by </w:t>
      </w:r>
      <w:proofErr w:type="spellStart"/>
      <w:r w:rsidRPr="001A7B2B">
        <w:rPr>
          <w:rFonts w:ascii="Times New Roman" w:hAnsi="Times New Roman" w:cs="Times New Roman"/>
          <w:i/>
          <w:iCs/>
        </w:rPr>
        <w:t>Diatoma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Cymbella</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Phormidium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i/>
          <w:iCs/>
        </w:rPr>
        <w:t>Cosmarium</w:t>
      </w:r>
      <w:proofErr w:type="spellEnd"/>
      <w:r w:rsidRPr="001A7B2B">
        <w:rPr>
          <w:rFonts w:ascii="Times New Roman" w:hAnsi="Times New Roman" w:cs="Times New Roman"/>
        </w:rPr>
        <w:t>, it reflects exceptional primary productivity. The presence of mangroves, marsh plants, and traditional homestead vegetation (</w:t>
      </w:r>
      <w:r w:rsidRPr="001A7B2B">
        <w:rPr>
          <w:rFonts w:ascii="Times New Roman" w:hAnsi="Times New Roman" w:cs="Times New Roman"/>
          <w:i/>
          <w:iCs/>
        </w:rPr>
        <w:t>Ocimum sanctum</w:t>
      </w:r>
      <w:r w:rsidRPr="001A7B2B">
        <w:rPr>
          <w:rFonts w:ascii="Times New Roman" w:hAnsi="Times New Roman" w:cs="Times New Roman"/>
        </w:rPr>
        <w:t xml:space="preserve">, </w:t>
      </w:r>
      <w:r w:rsidRPr="001A7B2B">
        <w:rPr>
          <w:rFonts w:ascii="Times New Roman" w:hAnsi="Times New Roman" w:cs="Times New Roman"/>
          <w:i/>
          <w:iCs/>
        </w:rPr>
        <w:t>Musa paradisiaca</w:t>
      </w:r>
      <w:r w:rsidRPr="001A7B2B">
        <w:rPr>
          <w:rFonts w:ascii="Times New Roman" w:hAnsi="Times New Roman" w:cs="Times New Roman"/>
        </w:rPr>
        <w:t xml:space="preserve">, </w:t>
      </w:r>
      <w:r w:rsidRPr="001A7B2B">
        <w:rPr>
          <w:rFonts w:ascii="Times New Roman" w:hAnsi="Times New Roman" w:cs="Times New Roman"/>
          <w:i/>
          <w:iCs/>
        </w:rPr>
        <w:t>Piper nigrum</w:t>
      </w:r>
      <w:r w:rsidRPr="001A7B2B">
        <w:rPr>
          <w:rFonts w:ascii="Times New Roman" w:hAnsi="Times New Roman" w:cs="Times New Roman"/>
        </w:rPr>
        <w:t>) illustrates the coexistence of biodiversity and community land-use</w:t>
      </w:r>
      <w:r w:rsidR="004F47EA">
        <w:rPr>
          <w:rFonts w:ascii="Times New Roman" w:hAnsi="Times New Roman" w:cs="Times New Roman"/>
        </w:rPr>
        <w:t xml:space="preserve"> (Fig. 7)</w:t>
      </w:r>
      <w:r w:rsidRPr="001A7B2B">
        <w:rPr>
          <w:rFonts w:ascii="Times New Roman" w:hAnsi="Times New Roman" w:cs="Times New Roman"/>
        </w:rPr>
        <w:t xml:space="preserve">. Zooplankton diversity is moderate, while benthic fauna such as </w:t>
      </w:r>
      <w:proofErr w:type="spellStart"/>
      <w:r w:rsidRPr="001A7B2B">
        <w:rPr>
          <w:rFonts w:ascii="Times New Roman" w:hAnsi="Times New Roman" w:cs="Times New Roman"/>
          <w:i/>
          <w:iCs/>
        </w:rPr>
        <w:t>Mactra</w:t>
      </w:r>
      <w:proofErr w:type="spellEnd"/>
      <w:r w:rsidRPr="001A7B2B">
        <w:rPr>
          <w:rFonts w:ascii="Times New Roman" w:hAnsi="Times New Roman" w:cs="Times New Roman"/>
        </w:rPr>
        <w:t xml:space="preserve">, </w:t>
      </w:r>
      <w:r w:rsidRPr="001A7B2B">
        <w:rPr>
          <w:rFonts w:ascii="Times New Roman" w:hAnsi="Times New Roman" w:cs="Times New Roman"/>
          <w:i/>
          <w:iCs/>
        </w:rPr>
        <w:t>Meretrix</w:t>
      </w:r>
      <w:r w:rsidRPr="001A7B2B">
        <w:rPr>
          <w:rFonts w:ascii="Times New Roman" w:hAnsi="Times New Roman" w:cs="Times New Roman"/>
        </w:rPr>
        <w:t>, and estuarine fish larvae indicate a healthy aquatic breeding ground. This site offers valuable ecosystem services and functions as a vital biotic corridor connecting riverine and lake systems.</w:t>
      </w:r>
    </w:p>
    <w:p w14:paraId="71FD550E" w14:textId="77777777" w:rsidR="00434049" w:rsidRPr="00434049" w:rsidRDefault="00434049" w:rsidP="00434049">
      <w:pPr>
        <w:spacing w:line="259" w:lineRule="auto"/>
        <w:jc w:val="center"/>
        <w:rPr>
          <w:rFonts w:ascii="Calibri" w:eastAsia="Calibri" w:hAnsi="Calibri" w:cs="Times New Roman"/>
          <w:sz w:val="22"/>
          <w:szCs w:val="22"/>
        </w:rPr>
      </w:pPr>
      <w:r w:rsidRPr="00434049">
        <w:rPr>
          <w:rFonts w:ascii="Calibri" w:eastAsia="Calibri" w:hAnsi="Calibri" w:cs="Times New Roman"/>
          <w:noProof/>
          <w:sz w:val="22"/>
          <w:szCs w:val="22"/>
        </w:rPr>
        <w:drawing>
          <wp:inline distT="0" distB="0" distL="0" distR="0" wp14:anchorId="1B8ECD20" wp14:editId="505FF7BA">
            <wp:extent cx="4434785" cy="3332231"/>
            <wp:effectExtent l="0" t="0" r="4445" b="1905"/>
            <wp:docPr id="46956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8714" name=""/>
                    <pic:cNvPicPr/>
                  </pic:nvPicPr>
                  <pic:blipFill>
                    <a:blip r:embed="rId17"/>
                    <a:stretch>
                      <a:fillRect/>
                    </a:stretch>
                  </pic:blipFill>
                  <pic:spPr>
                    <a:xfrm>
                      <a:off x="0" y="0"/>
                      <a:ext cx="4450198" cy="3343812"/>
                    </a:xfrm>
                    <a:prstGeom prst="rect">
                      <a:avLst/>
                    </a:prstGeom>
                  </pic:spPr>
                </pic:pic>
              </a:graphicData>
            </a:graphic>
          </wp:inline>
        </w:drawing>
      </w:r>
    </w:p>
    <w:p w14:paraId="1EB4DCFE" w14:textId="77777777" w:rsidR="00434049" w:rsidRPr="00434049" w:rsidRDefault="00434049" w:rsidP="00434049">
      <w:pPr>
        <w:spacing w:line="259" w:lineRule="auto"/>
        <w:jc w:val="center"/>
        <w:rPr>
          <w:rFonts w:ascii="Calibri" w:eastAsia="Calibri" w:hAnsi="Calibri" w:cs="Times New Roman"/>
          <w:sz w:val="22"/>
          <w:szCs w:val="22"/>
        </w:rPr>
      </w:pPr>
      <w:r w:rsidRPr="00434049">
        <w:rPr>
          <w:rFonts w:ascii="Calibri" w:eastAsia="Calibri" w:hAnsi="Calibri" w:cs="Times New Roman"/>
          <w:noProof/>
          <w:sz w:val="22"/>
          <w:szCs w:val="22"/>
        </w:rPr>
        <w:drawing>
          <wp:inline distT="0" distB="0" distL="0" distR="0" wp14:anchorId="0CAF6FC4" wp14:editId="7AD04D59">
            <wp:extent cx="3704568" cy="2505693"/>
            <wp:effectExtent l="0" t="0" r="0" b="9525"/>
            <wp:docPr id="214021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211366" name=""/>
                    <pic:cNvPicPr/>
                  </pic:nvPicPr>
                  <pic:blipFill>
                    <a:blip r:embed="rId18"/>
                    <a:stretch>
                      <a:fillRect/>
                    </a:stretch>
                  </pic:blipFill>
                  <pic:spPr>
                    <a:xfrm>
                      <a:off x="0" y="0"/>
                      <a:ext cx="3740458" cy="2529968"/>
                    </a:xfrm>
                    <a:prstGeom prst="rect">
                      <a:avLst/>
                    </a:prstGeom>
                  </pic:spPr>
                </pic:pic>
              </a:graphicData>
            </a:graphic>
          </wp:inline>
        </w:drawing>
      </w:r>
    </w:p>
    <w:p w14:paraId="559B0259" w14:textId="56CF86EA" w:rsidR="00F32C44" w:rsidRPr="001A7B2B" w:rsidRDefault="00F32C44" w:rsidP="007B1180">
      <w:pPr>
        <w:spacing w:after="0" w:line="360" w:lineRule="auto"/>
        <w:jc w:val="center"/>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7</w:t>
      </w:r>
      <w:r w:rsidRPr="001A7B2B">
        <w:rPr>
          <w:rFonts w:ascii="Times New Roman" w:hAnsi="Times New Roman" w:cs="Times New Roman"/>
        </w:rPr>
        <w:t xml:space="preserve">. </w:t>
      </w:r>
      <w:r w:rsidR="00752C88" w:rsidRPr="001A7B2B">
        <w:rPr>
          <w:rFonts w:ascii="Times New Roman" w:hAnsi="Times New Roman" w:cs="Times New Roman"/>
        </w:rPr>
        <w:t xml:space="preserve">Ecological Zonation and Vegetation Structure Model of </w:t>
      </w:r>
      <w:proofErr w:type="spellStart"/>
      <w:r w:rsidRPr="001A7B2B">
        <w:rPr>
          <w:rFonts w:ascii="Times New Roman" w:hAnsi="Times New Roman" w:cs="Times New Roman"/>
        </w:rPr>
        <w:t>Cherikkadavu</w:t>
      </w:r>
      <w:proofErr w:type="spellEnd"/>
    </w:p>
    <w:p w14:paraId="737D16DA" w14:textId="73A7DC0A" w:rsidR="000508BE" w:rsidRPr="001A7B2B" w:rsidRDefault="000508BE" w:rsidP="000508BE">
      <w:pPr>
        <w:spacing w:after="0" w:line="360" w:lineRule="auto"/>
        <w:jc w:val="both"/>
        <w:rPr>
          <w:rFonts w:ascii="Times New Roman" w:hAnsi="Times New Roman" w:cs="Times New Roman"/>
        </w:rPr>
      </w:pPr>
      <w:r w:rsidRPr="001A7B2B">
        <w:rPr>
          <w:rFonts w:ascii="Times New Roman" w:hAnsi="Times New Roman" w:cs="Times New Roman"/>
        </w:rPr>
        <w:lastRenderedPageBreak/>
        <w:t>The conceptual ecosite models (Figures 3 - 7) visually depict the spatial arrangement of shoreline, marsh, riparian, and upland vegetation zones across the five study sites, highlighting the ecological structure and zonation patterns derived from field assessments.</w:t>
      </w:r>
    </w:p>
    <w:p w14:paraId="044D6C6A" w14:textId="57DB7945" w:rsidR="000975DD" w:rsidRPr="001A7B2B" w:rsidRDefault="000975DD" w:rsidP="007B1180">
      <w:pPr>
        <w:spacing w:after="0" w:line="360" w:lineRule="auto"/>
        <w:jc w:val="both"/>
        <w:rPr>
          <w:rFonts w:ascii="Times New Roman" w:hAnsi="Times New Roman" w:cs="Times New Roman"/>
          <w:b/>
          <w:bCs/>
        </w:rPr>
      </w:pPr>
      <w:r w:rsidRPr="001A7B2B">
        <w:rPr>
          <w:rFonts w:ascii="Times New Roman" w:hAnsi="Times New Roman" w:cs="Times New Roman"/>
          <w:b/>
          <w:bCs/>
        </w:rPr>
        <w:t>3.</w:t>
      </w:r>
      <w:r w:rsidR="00803F39" w:rsidRPr="001A7B2B">
        <w:rPr>
          <w:rFonts w:ascii="Times New Roman" w:hAnsi="Times New Roman" w:cs="Times New Roman"/>
          <w:b/>
          <w:bCs/>
        </w:rPr>
        <w:t>5.</w:t>
      </w:r>
      <w:r w:rsidRPr="001A7B2B">
        <w:rPr>
          <w:rFonts w:ascii="Times New Roman" w:hAnsi="Times New Roman" w:cs="Times New Roman"/>
          <w:b/>
          <w:bCs/>
        </w:rPr>
        <w:t xml:space="preserve"> Indicator Species Analysis</w:t>
      </w:r>
    </w:p>
    <w:p w14:paraId="2944DCED" w14:textId="52178800" w:rsidR="000975DD" w:rsidRPr="001A7B2B" w:rsidRDefault="000975DD" w:rsidP="00803F39">
      <w:pPr>
        <w:spacing w:after="0" w:line="360" w:lineRule="auto"/>
        <w:ind w:firstLine="720"/>
        <w:jc w:val="both"/>
        <w:rPr>
          <w:rFonts w:ascii="Times New Roman" w:hAnsi="Times New Roman" w:cs="Times New Roman"/>
        </w:rPr>
      </w:pPr>
      <w:r w:rsidRPr="001A7B2B">
        <w:rPr>
          <w:rFonts w:ascii="Times New Roman" w:hAnsi="Times New Roman" w:cs="Times New Roman"/>
        </w:rPr>
        <w:t xml:space="preserve">Indicator Species Analysis was conducted to identify plant and algal species that are ecologically distinctive or preferentially associated with specific ecosites. The analysis revealed that </w:t>
      </w:r>
      <w:r w:rsidRPr="001A7B2B">
        <w:rPr>
          <w:rFonts w:ascii="Times New Roman" w:hAnsi="Times New Roman" w:cs="Times New Roman"/>
          <w:i/>
          <w:iCs/>
        </w:rPr>
        <w:t>Ipomoea pes-</w:t>
      </w:r>
      <w:proofErr w:type="spellStart"/>
      <w:r w:rsidRPr="001A7B2B">
        <w:rPr>
          <w:rFonts w:ascii="Times New Roman" w:hAnsi="Times New Roman" w:cs="Times New Roman"/>
          <w:i/>
          <w:iCs/>
        </w:rPr>
        <w:t>caprae</w:t>
      </w:r>
      <w:proofErr w:type="spellEnd"/>
      <w:r w:rsidRPr="001A7B2B">
        <w:rPr>
          <w:rFonts w:ascii="Times New Roman" w:hAnsi="Times New Roman" w:cs="Times New Roman"/>
        </w:rPr>
        <w:t xml:space="preserve">, </w:t>
      </w:r>
      <w:proofErr w:type="spellStart"/>
      <w:r w:rsidRPr="001A7B2B">
        <w:rPr>
          <w:rFonts w:ascii="Times New Roman" w:hAnsi="Times New Roman" w:cs="Times New Roman"/>
          <w:i/>
          <w:iCs/>
        </w:rPr>
        <w:t>Excoecaria</w:t>
      </w:r>
      <w:proofErr w:type="spellEnd"/>
      <w:r w:rsidRPr="001A7B2B">
        <w:rPr>
          <w:rFonts w:ascii="Times New Roman" w:hAnsi="Times New Roman" w:cs="Times New Roman"/>
          <w:i/>
          <w:iCs/>
        </w:rPr>
        <w:t xml:space="preserve"> </w:t>
      </w:r>
      <w:proofErr w:type="spellStart"/>
      <w:r w:rsidRPr="001A7B2B">
        <w:rPr>
          <w:rFonts w:ascii="Times New Roman" w:hAnsi="Times New Roman" w:cs="Times New Roman"/>
          <w:i/>
          <w:iCs/>
        </w:rPr>
        <w:t>agallocha</w:t>
      </w:r>
      <w:proofErr w:type="spellEnd"/>
      <w:r w:rsidRPr="001A7B2B">
        <w:rPr>
          <w:rFonts w:ascii="Times New Roman" w:hAnsi="Times New Roman" w:cs="Times New Roman"/>
        </w:rPr>
        <w:t xml:space="preserve">, and </w:t>
      </w:r>
      <w:r w:rsidRPr="001A7B2B">
        <w:rPr>
          <w:rFonts w:ascii="Times New Roman" w:hAnsi="Times New Roman" w:cs="Times New Roman"/>
          <w:i/>
          <w:iCs/>
        </w:rPr>
        <w:t>Trichodesmium</w:t>
      </w:r>
      <w:r w:rsidRPr="001A7B2B">
        <w:rPr>
          <w:rFonts w:ascii="Times New Roman" w:hAnsi="Times New Roman" w:cs="Times New Roman"/>
        </w:rPr>
        <w:t xml:space="preserve"> were prominent indicator species for the high</w:t>
      </w:r>
      <w:r w:rsidR="000A205F" w:rsidRPr="001A7B2B">
        <w:rPr>
          <w:rFonts w:ascii="Times New Roman" w:hAnsi="Times New Roman" w:cs="Times New Roman"/>
        </w:rPr>
        <w:t xml:space="preserve"> </w:t>
      </w:r>
      <w:r w:rsidRPr="001A7B2B">
        <w:rPr>
          <w:rFonts w:ascii="Times New Roman" w:hAnsi="Times New Roman" w:cs="Times New Roman"/>
        </w:rPr>
        <w:t xml:space="preserve">salinity </w:t>
      </w:r>
      <w:proofErr w:type="spellStart"/>
      <w:r w:rsidRPr="001A7B2B">
        <w:rPr>
          <w:rFonts w:ascii="Times New Roman" w:hAnsi="Times New Roman" w:cs="Times New Roman"/>
        </w:rPr>
        <w:t>Neendakara</w:t>
      </w:r>
      <w:proofErr w:type="spellEnd"/>
      <w:r w:rsidRPr="001A7B2B">
        <w:rPr>
          <w:rFonts w:ascii="Times New Roman" w:hAnsi="Times New Roman" w:cs="Times New Roman"/>
        </w:rPr>
        <w:t xml:space="preserve"> ecosite, while </w:t>
      </w:r>
      <w:r w:rsidRPr="001A7B2B">
        <w:rPr>
          <w:rFonts w:ascii="Times New Roman" w:hAnsi="Times New Roman" w:cs="Times New Roman"/>
          <w:i/>
          <w:iCs/>
        </w:rPr>
        <w:t xml:space="preserve">Rhizophora </w:t>
      </w:r>
      <w:proofErr w:type="spellStart"/>
      <w:r w:rsidRPr="001A7B2B">
        <w:rPr>
          <w:rFonts w:ascii="Times New Roman" w:hAnsi="Times New Roman" w:cs="Times New Roman"/>
          <w:i/>
          <w:iCs/>
        </w:rPr>
        <w:t>mucronata</w:t>
      </w:r>
      <w:proofErr w:type="spellEnd"/>
      <w:r w:rsidRPr="001A7B2B">
        <w:rPr>
          <w:rFonts w:ascii="Times New Roman" w:hAnsi="Times New Roman" w:cs="Times New Roman"/>
        </w:rPr>
        <w:t xml:space="preserve"> and </w:t>
      </w:r>
      <w:r w:rsidRPr="001A7B2B">
        <w:rPr>
          <w:rFonts w:ascii="Times New Roman" w:hAnsi="Times New Roman" w:cs="Times New Roman"/>
          <w:i/>
          <w:iCs/>
        </w:rPr>
        <w:t>Avicennia marina</w:t>
      </w:r>
      <w:r w:rsidRPr="001A7B2B">
        <w:rPr>
          <w:rFonts w:ascii="Times New Roman" w:hAnsi="Times New Roman" w:cs="Times New Roman"/>
        </w:rPr>
        <w:t xml:space="preserve"> characterized the estuarine habitats of </w:t>
      </w:r>
      <w:proofErr w:type="spellStart"/>
      <w:r w:rsidRPr="001A7B2B">
        <w:rPr>
          <w:rFonts w:ascii="Times New Roman" w:hAnsi="Times New Roman" w:cs="Times New Roman"/>
        </w:rPr>
        <w:t>Puthenthuruth</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Asramam</w:t>
      </w:r>
      <w:proofErr w:type="spellEnd"/>
      <w:r w:rsidRPr="001A7B2B">
        <w:rPr>
          <w:rFonts w:ascii="Times New Roman" w:hAnsi="Times New Roman" w:cs="Times New Roman"/>
        </w:rPr>
        <w:t xml:space="preserve">. In contrast, freshwater and transitional ecosites such as </w:t>
      </w:r>
      <w:proofErr w:type="spellStart"/>
      <w:r w:rsidRPr="001A7B2B">
        <w:rPr>
          <w:rFonts w:ascii="Times New Roman" w:hAnsi="Times New Roman" w:cs="Times New Roman"/>
        </w:rPr>
        <w:t>Kidapram</w:t>
      </w:r>
      <w:proofErr w:type="spellEnd"/>
      <w:r w:rsidRPr="001A7B2B">
        <w:rPr>
          <w:rFonts w:ascii="Times New Roman" w:hAnsi="Times New Roman" w:cs="Times New Roman"/>
        </w:rPr>
        <w:t xml:space="preserve"> and </w:t>
      </w:r>
      <w:proofErr w:type="spellStart"/>
      <w:r w:rsidRPr="001A7B2B">
        <w:rPr>
          <w:rFonts w:ascii="Times New Roman" w:hAnsi="Times New Roman" w:cs="Times New Roman"/>
        </w:rPr>
        <w:t>Cherikkadavu</w:t>
      </w:r>
      <w:proofErr w:type="spellEnd"/>
      <w:r w:rsidRPr="001A7B2B">
        <w:rPr>
          <w:rFonts w:ascii="Times New Roman" w:hAnsi="Times New Roman" w:cs="Times New Roman"/>
        </w:rPr>
        <w:t xml:space="preserve"> were marked by species like </w:t>
      </w:r>
      <w:r w:rsidRPr="001A7B2B">
        <w:rPr>
          <w:rFonts w:ascii="Times New Roman" w:hAnsi="Times New Roman" w:cs="Times New Roman"/>
          <w:i/>
          <w:iCs/>
        </w:rPr>
        <w:t>Nymphaea stellata</w:t>
      </w:r>
      <w:r w:rsidRPr="001A7B2B">
        <w:rPr>
          <w:rFonts w:ascii="Times New Roman" w:hAnsi="Times New Roman" w:cs="Times New Roman"/>
        </w:rPr>
        <w:t xml:space="preserve">, </w:t>
      </w:r>
      <w:proofErr w:type="spellStart"/>
      <w:r w:rsidRPr="001A7B2B">
        <w:rPr>
          <w:rFonts w:ascii="Times New Roman" w:hAnsi="Times New Roman" w:cs="Times New Roman"/>
          <w:i/>
          <w:iCs/>
        </w:rPr>
        <w:t>Pistia</w:t>
      </w:r>
      <w:proofErr w:type="spellEnd"/>
      <w:r w:rsidRPr="001A7B2B">
        <w:rPr>
          <w:rFonts w:ascii="Times New Roman" w:hAnsi="Times New Roman" w:cs="Times New Roman"/>
          <w:i/>
          <w:iCs/>
        </w:rPr>
        <w:t xml:space="preserve"> stratiotes</w:t>
      </w:r>
      <w:r w:rsidRPr="001A7B2B">
        <w:rPr>
          <w:rFonts w:ascii="Times New Roman" w:hAnsi="Times New Roman" w:cs="Times New Roman"/>
        </w:rPr>
        <w:t xml:space="preserve">, and </w:t>
      </w:r>
      <w:r w:rsidRPr="001A7B2B">
        <w:rPr>
          <w:rFonts w:ascii="Times New Roman" w:hAnsi="Times New Roman" w:cs="Times New Roman"/>
          <w:i/>
          <w:iCs/>
        </w:rPr>
        <w:t>Centella asiatica</w:t>
      </w:r>
      <w:r w:rsidRPr="001A7B2B">
        <w:rPr>
          <w:rFonts w:ascii="Times New Roman" w:hAnsi="Times New Roman" w:cs="Times New Roman"/>
        </w:rPr>
        <w:t>. These species exhibited strong site fidelity and reflected underlying ecological gradients such as salinity, hydrology, and disturbance regime. The bar chart (Fig</w:t>
      </w:r>
      <w:r w:rsidR="004F47EA">
        <w:rPr>
          <w:rFonts w:ascii="Times New Roman" w:hAnsi="Times New Roman" w:cs="Times New Roman"/>
        </w:rPr>
        <w:t>.</w:t>
      </w:r>
      <w:r w:rsidRPr="001A7B2B">
        <w:rPr>
          <w:rFonts w:ascii="Times New Roman" w:hAnsi="Times New Roman" w:cs="Times New Roman"/>
        </w:rPr>
        <w:t xml:space="preserve"> </w:t>
      </w:r>
      <w:r w:rsidR="000508BE" w:rsidRPr="001A7B2B">
        <w:rPr>
          <w:rFonts w:ascii="Times New Roman" w:hAnsi="Times New Roman" w:cs="Times New Roman"/>
        </w:rPr>
        <w:t>8</w:t>
      </w:r>
      <w:r w:rsidRPr="001A7B2B">
        <w:rPr>
          <w:rFonts w:ascii="Times New Roman" w:hAnsi="Times New Roman" w:cs="Times New Roman"/>
        </w:rPr>
        <w:t>) summarizes the distribution of indicator taxa across ecosites, demonstrating their diagnostic relevance for habitat classification and ecological monitoring.</w:t>
      </w:r>
    </w:p>
    <w:p w14:paraId="2A4E6E7B" w14:textId="1A6808EB" w:rsidR="00C03ACC" w:rsidRPr="001A7B2B" w:rsidRDefault="00EF4E8F" w:rsidP="00503DC1">
      <w:pPr>
        <w:spacing w:after="0" w:line="360" w:lineRule="auto"/>
        <w:jc w:val="center"/>
        <w:rPr>
          <w:rFonts w:ascii="Times New Roman" w:hAnsi="Times New Roman" w:cs="Times New Roman"/>
        </w:rPr>
      </w:pPr>
      <w:r>
        <w:rPr>
          <w:noProof/>
        </w:rPr>
        <w:drawing>
          <wp:inline distT="0" distB="0" distL="0" distR="0" wp14:anchorId="242AE462" wp14:editId="03CF8A8C">
            <wp:extent cx="5731510" cy="3462655"/>
            <wp:effectExtent l="0" t="0" r="2540" b="4445"/>
            <wp:docPr id="782954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54841" name=""/>
                    <pic:cNvPicPr/>
                  </pic:nvPicPr>
                  <pic:blipFill>
                    <a:blip r:embed="rId19"/>
                    <a:stretch>
                      <a:fillRect/>
                    </a:stretch>
                  </pic:blipFill>
                  <pic:spPr>
                    <a:xfrm>
                      <a:off x="0" y="0"/>
                      <a:ext cx="5731510" cy="3462655"/>
                    </a:xfrm>
                    <a:prstGeom prst="rect">
                      <a:avLst/>
                    </a:prstGeom>
                  </pic:spPr>
                </pic:pic>
              </a:graphicData>
            </a:graphic>
          </wp:inline>
        </w:drawing>
      </w:r>
    </w:p>
    <w:p w14:paraId="77DEFC60" w14:textId="0C543776" w:rsidR="000975DD" w:rsidRPr="001A7B2B" w:rsidRDefault="008C25DC" w:rsidP="007B1180">
      <w:pPr>
        <w:spacing w:after="0" w:line="360" w:lineRule="auto"/>
        <w:jc w:val="both"/>
        <w:rPr>
          <w:rFonts w:ascii="Times New Roman" w:hAnsi="Times New Roman" w:cs="Times New Roman"/>
        </w:rPr>
      </w:pPr>
      <w:r w:rsidRPr="001A7B2B">
        <w:rPr>
          <w:rFonts w:ascii="Times New Roman" w:hAnsi="Times New Roman" w:cs="Times New Roman"/>
          <w:b/>
          <w:bCs/>
        </w:rPr>
        <w:t xml:space="preserve">Figure </w:t>
      </w:r>
      <w:r w:rsidR="000508BE" w:rsidRPr="001A7B2B">
        <w:rPr>
          <w:rFonts w:ascii="Times New Roman" w:hAnsi="Times New Roman" w:cs="Times New Roman"/>
          <w:b/>
          <w:bCs/>
        </w:rPr>
        <w:t>8</w:t>
      </w:r>
      <w:r w:rsidRPr="001A7B2B">
        <w:rPr>
          <w:rFonts w:ascii="Times New Roman" w:hAnsi="Times New Roman" w:cs="Times New Roman"/>
          <w:b/>
          <w:bCs/>
        </w:rPr>
        <w:t>:</w:t>
      </w:r>
      <w:r w:rsidRPr="001A7B2B">
        <w:rPr>
          <w:rFonts w:ascii="Times New Roman" w:hAnsi="Times New Roman" w:cs="Times New Roman"/>
        </w:rPr>
        <w:t xml:space="preserve"> </w:t>
      </w:r>
      <w:r w:rsidR="000508BE" w:rsidRPr="001A7B2B">
        <w:rPr>
          <w:rFonts w:ascii="Times New Roman" w:hAnsi="Times New Roman" w:cs="Times New Roman"/>
        </w:rPr>
        <w:t>A</w:t>
      </w:r>
      <w:r w:rsidR="000975DD" w:rsidRPr="001A7B2B">
        <w:rPr>
          <w:rFonts w:ascii="Times New Roman" w:hAnsi="Times New Roman" w:cs="Times New Roman"/>
        </w:rPr>
        <w:t xml:space="preserve"> horizontal bar chart showing the distribution of indicator species across ecosites</w:t>
      </w:r>
    </w:p>
    <w:p w14:paraId="30E2400D" w14:textId="23AFD0F7" w:rsidR="00C03ACC" w:rsidRPr="001A7B2B" w:rsidRDefault="00503DC1" w:rsidP="007B1180">
      <w:pPr>
        <w:spacing w:after="0" w:line="360" w:lineRule="auto"/>
        <w:jc w:val="both"/>
        <w:rPr>
          <w:rFonts w:ascii="Times New Roman" w:hAnsi="Times New Roman" w:cs="Times New Roman"/>
          <w:b/>
          <w:bCs/>
        </w:rPr>
      </w:pPr>
      <w:r w:rsidRPr="001A7B2B">
        <w:rPr>
          <w:rFonts w:ascii="Times New Roman" w:hAnsi="Times New Roman" w:cs="Times New Roman"/>
          <w:b/>
          <w:bCs/>
        </w:rPr>
        <w:t>4. Discussion</w:t>
      </w:r>
    </w:p>
    <w:p w14:paraId="508831F7" w14:textId="1EECD97F" w:rsidR="00EC63A0" w:rsidRPr="00EC63A0" w:rsidRDefault="00EC63A0" w:rsidP="00EC63A0">
      <w:pPr>
        <w:spacing w:after="0" w:line="360" w:lineRule="auto"/>
        <w:jc w:val="both"/>
        <w:rPr>
          <w:rFonts w:ascii="Times New Roman" w:hAnsi="Times New Roman" w:cs="Times New Roman"/>
        </w:rPr>
      </w:pPr>
      <w:r w:rsidRPr="00EC63A0">
        <w:rPr>
          <w:rFonts w:ascii="Times New Roman" w:hAnsi="Times New Roman" w:cs="Times New Roman"/>
        </w:rPr>
        <w:t xml:space="preserve">The present study highlights pronounced ecological heterogeneity and functional zonation within the </w:t>
      </w:r>
      <w:proofErr w:type="spellStart"/>
      <w:r w:rsidRPr="00EC63A0">
        <w:rPr>
          <w:rFonts w:ascii="Times New Roman" w:hAnsi="Times New Roman" w:cs="Times New Roman"/>
        </w:rPr>
        <w:t>Ashtamudi</w:t>
      </w:r>
      <w:proofErr w:type="spellEnd"/>
      <w:r w:rsidRPr="00EC63A0">
        <w:rPr>
          <w:rFonts w:ascii="Times New Roman" w:hAnsi="Times New Roman" w:cs="Times New Roman"/>
        </w:rPr>
        <w:t xml:space="preserve"> wetland through a mesoecosystem-scale analysis of five distinct ecosites. Spatial variation in water quality parameters, particularly salinity, carbon dioxide, and </w:t>
      </w:r>
      <w:r w:rsidRPr="00EC63A0">
        <w:rPr>
          <w:rFonts w:ascii="Times New Roman" w:hAnsi="Times New Roman" w:cs="Times New Roman"/>
        </w:rPr>
        <w:lastRenderedPageBreak/>
        <w:t xml:space="preserve">nutrients, reflects the combined influence of hydrological connectivity, tidal mixing, and catchment-scale land-use dynamics. Elevated salinity and CO₂ concentrations at </w:t>
      </w:r>
      <w:proofErr w:type="spellStart"/>
      <w:r w:rsidRPr="00EC63A0">
        <w:rPr>
          <w:rFonts w:ascii="Times New Roman" w:hAnsi="Times New Roman" w:cs="Times New Roman"/>
        </w:rPr>
        <w:t>Neendakara</w:t>
      </w:r>
      <w:proofErr w:type="spellEnd"/>
      <w:r w:rsidRPr="00EC63A0">
        <w:rPr>
          <w:rFonts w:ascii="Times New Roman" w:hAnsi="Times New Roman" w:cs="Times New Roman"/>
        </w:rPr>
        <w:t>, the marine-influenced estuarine mouth, indicate strong tidal flushing and enhanced organic matter decomposition, consistent with pollution-driven biogeochemical processes reported earlier (Krishnan et al., 2015</w:t>
      </w:r>
      <w:r w:rsidR="00B667C1">
        <w:rPr>
          <w:rFonts w:ascii="Times New Roman" w:hAnsi="Times New Roman" w:cs="Times New Roman"/>
        </w:rPr>
        <w:t>: Alexander, 2025</w:t>
      </w:r>
      <w:r w:rsidRPr="00EC63A0">
        <w:rPr>
          <w:rFonts w:ascii="Times New Roman" w:hAnsi="Times New Roman" w:cs="Times New Roman"/>
        </w:rPr>
        <w:t xml:space="preserve">). In contrast, </w:t>
      </w:r>
      <w:proofErr w:type="spellStart"/>
      <w:r w:rsidRPr="00EC63A0">
        <w:rPr>
          <w:rFonts w:ascii="Times New Roman" w:hAnsi="Times New Roman" w:cs="Times New Roman"/>
        </w:rPr>
        <w:t>Kidapram</w:t>
      </w:r>
      <w:proofErr w:type="spellEnd"/>
      <w:r w:rsidRPr="00EC63A0">
        <w:rPr>
          <w:rFonts w:ascii="Times New Roman" w:hAnsi="Times New Roman" w:cs="Times New Roman"/>
        </w:rPr>
        <w:t xml:space="preserve"> and </w:t>
      </w:r>
      <w:proofErr w:type="spellStart"/>
      <w:r w:rsidRPr="00EC63A0">
        <w:rPr>
          <w:rFonts w:ascii="Times New Roman" w:hAnsi="Times New Roman" w:cs="Times New Roman"/>
        </w:rPr>
        <w:t>Cherikkadavu</w:t>
      </w:r>
      <w:proofErr w:type="spellEnd"/>
      <w:r w:rsidRPr="00EC63A0">
        <w:rPr>
          <w:rFonts w:ascii="Times New Roman" w:hAnsi="Times New Roman" w:cs="Times New Roman"/>
        </w:rPr>
        <w:t xml:space="preserve"> exhibited lower salinity and higher nitrate concentrations, reflecting freshwater inflow and agricultural runoff from surrounding landscapes, a pattern widely documented in coastal Kerala wetlands (Devi et al., 2022; Bassi et al., 2014). Correspondingly, phytoplankton assemblages followed clear environmental gradients, with diatoms dominating across all ecosites, indicating stable primary productivity, while the occurrence of cyanophycean taxa such as </w:t>
      </w:r>
      <w:r w:rsidRPr="00EC63A0">
        <w:rPr>
          <w:rFonts w:ascii="Times New Roman" w:hAnsi="Times New Roman" w:cs="Times New Roman"/>
          <w:i/>
          <w:iCs/>
        </w:rPr>
        <w:t>Trichodesmium</w:t>
      </w:r>
      <w:r w:rsidRPr="00EC63A0">
        <w:rPr>
          <w:rFonts w:ascii="Times New Roman" w:hAnsi="Times New Roman" w:cs="Times New Roman"/>
        </w:rPr>
        <w:t xml:space="preserve">, </w:t>
      </w:r>
      <w:r w:rsidRPr="00EC63A0">
        <w:rPr>
          <w:rFonts w:ascii="Times New Roman" w:hAnsi="Times New Roman" w:cs="Times New Roman"/>
          <w:i/>
          <w:iCs/>
        </w:rPr>
        <w:t>Anabaena</w:t>
      </w:r>
      <w:r w:rsidRPr="00EC63A0">
        <w:rPr>
          <w:rFonts w:ascii="Times New Roman" w:hAnsi="Times New Roman" w:cs="Times New Roman"/>
        </w:rPr>
        <w:t xml:space="preserve">, and </w:t>
      </w:r>
      <w:r w:rsidRPr="00EC63A0">
        <w:rPr>
          <w:rFonts w:ascii="Times New Roman" w:hAnsi="Times New Roman" w:cs="Times New Roman"/>
          <w:i/>
          <w:iCs/>
        </w:rPr>
        <w:t>Microcystis</w:t>
      </w:r>
      <w:r w:rsidRPr="00EC63A0">
        <w:rPr>
          <w:rFonts w:ascii="Times New Roman" w:hAnsi="Times New Roman" w:cs="Times New Roman"/>
        </w:rPr>
        <w:t xml:space="preserve"> at nutrient-enriched sites suggests localized eutrophication risk (Xu et al., 2020; Ravinesh et al., 2021). Enhanced </w:t>
      </w:r>
      <w:proofErr w:type="spellStart"/>
      <w:r w:rsidRPr="00EC63A0">
        <w:rPr>
          <w:rFonts w:ascii="Times New Roman" w:hAnsi="Times New Roman" w:cs="Times New Roman"/>
        </w:rPr>
        <w:t>chlorophycean</w:t>
      </w:r>
      <w:proofErr w:type="spellEnd"/>
      <w:r w:rsidRPr="00EC63A0">
        <w:rPr>
          <w:rFonts w:ascii="Times New Roman" w:hAnsi="Times New Roman" w:cs="Times New Roman"/>
        </w:rPr>
        <w:t xml:space="preserve"> diversity at freshwater-dominated ecosites further reflects ecological plasticity and transitions between lotic and lentic regimes, reinforcing the utility of phytoplankton communities as sensitive indicators of trophic status and ecosystem health.</w:t>
      </w:r>
    </w:p>
    <w:p w14:paraId="13F1BFA1" w14:textId="0C2B96B8" w:rsidR="00EC63A0" w:rsidRPr="00EC63A0" w:rsidRDefault="00EC63A0" w:rsidP="00EC63A0">
      <w:pPr>
        <w:spacing w:after="0" w:line="360" w:lineRule="auto"/>
        <w:jc w:val="both"/>
        <w:rPr>
          <w:rFonts w:ascii="Times New Roman" w:hAnsi="Times New Roman" w:cs="Times New Roman"/>
        </w:rPr>
      </w:pPr>
      <w:r w:rsidRPr="00EC63A0">
        <w:rPr>
          <w:rFonts w:ascii="Times New Roman" w:hAnsi="Times New Roman" w:cs="Times New Roman"/>
        </w:rPr>
        <w:t xml:space="preserve">The spatially explicit ecosite models developed in this study provide an integrative framework for visualizing ecological zonation and vegetation layering by linking biotic assemblages with hydrological and edaphic gradients. Unlike conventional ecosite classifications developed primarily for forest and upland systems in temperate regions (Grima et al., 2023), the present framework is specifically adapted to the dynamic conditions of tropical estuarine wetlands and aligns with ecosystem-based management and nature-based solutions advocated under global conservation agendas (Ramsar Secretariat, 2021; Grima et al., 2023). The delineation of coastal, riparian, marsh, and </w:t>
      </w:r>
      <w:proofErr w:type="spellStart"/>
      <w:r w:rsidRPr="00EC63A0">
        <w:rPr>
          <w:rFonts w:ascii="Times New Roman" w:hAnsi="Times New Roman" w:cs="Times New Roman"/>
        </w:rPr>
        <w:t>agro</w:t>
      </w:r>
      <w:proofErr w:type="spellEnd"/>
      <w:r w:rsidRPr="00EC63A0">
        <w:rPr>
          <w:rFonts w:ascii="Times New Roman" w:hAnsi="Times New Roman" w:cs="Times New Roman"/>
        </w:rPr>
        <w:t xml:space="preserve">-ecological zones </w:t>
      </w:r>
      <w:r w:rsidR="00765E9A" w:rsidRPr="00EC63A0">
        <w:rPr>
          <w:rFonts w:ascii="Times New Roman" w:hAnsi="Times New Roman" w:cs="Times New Roman"/>
        </w:rPr>
        <w:t>enhance</w:t>
      </w:r>
      <w:r w:rsidRPr="00EC63A0">
        <w:rPr>
          <w:rFonts w:ascii="Times New Roman" w:hAnsi="Times New Roman" w:cs="Times New Roman"/>
        </w:rPr>
        <w:t xml:space="preserve"> its applicability for adaptive wetland management under both the Ramsar Convention and India’s National Wetland Conservation Programme. Indicator species identified across ecosites reflect critical environmental thresholds related to salinity, nutrient availability, and hydrological regime, supporting their role in biomonitoring and restoration planning (Kathiresan &amp; Bingham, 2001; Sudeshna &amp; Sujit, 2023). This approach is methodologically consistent with the Indicator Species Analysis framework of </w:t>
      </w:r>
      <w:proofErr w:type="spellStart"/>
      <w:r w:rsidRPr="00EC63A0">
        <w:rPr>
          <w:rFonts w:ascii="Times New Roman" w:hAnsi="Times New Roman" w:cs="Times New Roman"/>
        </w:rPr>
        <w:t>Dufrêne</w:t>
      </w:r>
      <w:proofErr w:type="spellEnd"/>
      <w:r w:rsidRPr="00EC63A0">
        <w:rPr>
          <w:rFonts w:ascii="Times New Roman" w:hAnsi="Times New Roman" w:cs="Times New Roman"/>
        </w:rPr>
        <w:t xml:space="preserve"> and Legendre (1997) and extends earlier </w:t>
      </w:r>
      <w:proofErr w:type="spellStart"/>
      <w:r w:rsidRPr="00EC63A0">
        <w:rPr>
          <w:rFonts w:ascii="Times New Roman" w:hAnsi="Times New Roman" w:cs="Times New Roman"/>
        </w:rPr>
        <w:t>Ashtamudi</w:t>
      </w:r>
      <w:proofErr w:type="spellEnd"/>
      <w:r w:rsidRPr="00EC63A0">
        <w:rPr>
          <w:rFonts w:ascii="Times New Roman" w:hAnsi="Times New Roman" w:cs="Times New Roman"/>
        </w:rPr>
        <w:t xml:space="preserve">-focused studies that largely emphasized molluscan diversity, fisheries, or pollution status (Jayakumar &amp; </w:t>
      </w:r>
      <w:proofErr w:type="spellStart"/>
      <w:r w:rsidRPr="00EC63A0">
        <w:rPr>
          <w:rFonts w:ascii="Times New Roman" w:hAnsi="Times New Roman" w:cs="Times New Roman"/>
        </w:rPr>
        <w:t>Chackacherry</w:t>
      </w:r>
      <w:proofErr w:type="spellEnd"/>
      <w:r w:rsidRPr="00EC63A0">
        <w:rPr>
          <w:rFonts w:ascii="Times New Roman" w:hAnsi="Times New Roman" w:cs="Times New Roman"/>
        </w:rPr>
        <w:t xml:space="preserve">, 2011; Ravinesh et al., 2021). Overall, the ecosite-based modelling strategy presented here offers a scalable and replicable tool for site-specific conservation planning and long-term sustainability of complex tropical wetland ecosystems </w:t>
      </w:r>
      <w:r w:rsidRPr="00EC63A0">
        <w:rPr>
          <w:rFonts w:ascii="Times New Roman" w:hAnsi="Times New Roman" w:cs="Times New Roman"/>
        </w:rPr>
        <w:lastRenderedPageBreak/>
        <w:t>under increasing anthropogenic pressure</w:t>
      </w:r>
      <w:r w:rsidR="005748CF">
        <w:rPr>
          <w:rFonts w:ascii="Times New Roman" w:hAnsi="Times New Roman" w:cs="Times New Roman"/>
        </w:rPr>
        <w:t xml:space="preserve"> (</w:t>
      </w:r>
      <w:r w:rsidR="005748CF" w:rsidRPr="00245D9B">
        <w:rPr>
          <w:rFonts w:ascii="Times New Roman" w:hAnsi="Times New Roman" w:cs="Times New Roman"/>
        </w:rPr>
        <w:t xml:space="preserve">Elith et al., 2006; Phillips &amp; </w:t>
      </w:r>
      <w:proofErr w:type="spellStart"/>
      <w:r w:rsidR="005748CF" w:rsidRPr="00245D9B">
        <w:rPr>
          <w:rFonts w:ascii="Times New Roman" w:hAnsi="Times New Roman" w:cs="Times New Roman"/>
        </w:rPr>
        <w:t>Dudík</w:t>
      </w:r>
      <w:proofErr w:type="spellEnd"/>
      <w:r w:rsidR="005748CF" w:rsidRPr="00245D9B">
        <w:rPr>
          <w:rFonts w:ascii="Times New Roman" w:hAnsi="Times New Roman" w:cs="Times New Roman"/>
        </w:rPr>
        <w:t>, 2008; Olden et al., 2008</w:t>
      </w:r>
      <w:r w:rsidR="005748CF" w:rsidRPr="00245D9B">
        <w:rPr>
          <w:rFonts w:ascii="Times New Roman" w:hAnsi="Times New Roman" w:cs="Times New Roman"/>
        </w:rPr>
        <w:t>)</w:t>
      </w:r>
      <w:r w:rsidRPr="00EC63A0">
        <w:rPr>
          <w:rFonts w:ascii="Times New Roman" w:hAnsi="Times New Roman" w:cs="Times New Roman"/>
        </w:rPr>
        <w:t>.</w:t>
      </w:r>
    </w:p>
    <w:p w14:paraId="2C6BFC19" w14:textId="78DB180C" w:rsidR="00E94F2F" w:rsidRPr="001A7B2B" w:rsidRDefault="00803F39" w:rsidP="007B1180">
      <w:pPr>
        <w:spacing w:after="0" w:line="360" w:lineRule="auto"/>
        <w:jc w:val="both"/>
        <w:rPr>
          <w:rFonts w:ascii="Times New Roman" w:hAnsi="Times New Roman" w:cs="Times New Roman"/>
          <w:b/>
          <w:bCs/>
        </w:rPr>
      </w:pPr>
      <w:r w:rsidRPr="001A7B2B">
        <w:rPr>
          <w:rFonts w:ascii="Times New Roman" w:hAnsi="Times New Roman" w:cs="Times New Roman"/>
          <w:b/>
          <w:bCs/>
        </w:rPr>
        <w:t xml:space="preserve">5. </w:t>
      </w:r>
      <w:r w:rsidR="00503DC1" w:rsidRPr="001A7B2B">
        <w:rPr>
          <w:rFonts w:ascii="Times New Roman" w:hAnsi="Times New Roman" w:cs="Times New Roman"/>
          <w:b/>
          <w:bCs/>
        </w:rPr>
        <w:t>Conclusions</w:t>
      </w:r>
    </w:p>
    <w:p w14:paraId="2C76404D" w14:textId="77777777" w:rsidR="00064E18" w:rsidRPr="00064E18" w:rsidRDefault="00064E18" w:rsidP="00064E18">
      <w:pPr>
        <w:spacing w:after="0" w:line="360" w:lineRule="auto"/>
        <w:jc w:val="both"/>
        <w:rPr>
          <w:rFonts w:ascii="Times New Roman" w:hAnsi="Times New Roman" w:cs="Times New Roman"/>
        </w:rPr>
      </w:pPr>
      <w:r w:rsidRPr="00064E18">
        <w:rPr>
          <w:rFonts w:ascii="Times New Roman" w:hAnsi="Times New Roman" w:cs="Times New Roman"/>
        </w:rPr>
        <w:t xml:space="preserve">This study provides a mesoecosystem-scale ecological assessment of five representative ecosites within the Ramsar-designated </w:t>
      </w:r>
      <w:proofErr w:type="spellStart"/>
      <w:r w:rsidRPr="00064E18">
        <w:rPr>
          <w:rFonts w:ascii="Times New Roman" w:hAnsi="Times New Roman" w:cs="Times New Roman"/>
        </w:rPr>
        <w:t>Ashtamudi</w:t>
      </w:r>
      <w:proofErr w:type="spellEnd"/>
      <w:r w:rsidRPr="00064E18">
        <w:rPr>
          <w:rFonts w:ascii="Times New Roman" w:hAnsi="Times New Roman" w:cs="Times New Roman"/>
        </w:rPr>
        <w:t xml:space="preserve"> Wetland, integrating </w:t>
      </w:r>
      <w:proofErr w:type="spellStart"/>
      <w:r w:rsidRPr="00064E18">
        <w:rPr>
          <w:rFonts w:ascii="Times New Roman" w:hAnsi="Times New Roman" w:cs="Times New Roman"/>
        </w:rPr>
        <w:t>physico</w:t>
      </w:r>
      <w:proofErr w:type="spellEnd"/>
      <w:r w:rsidRPr="00064E18">
        <w:rPr>
          <w:rFonts w:ascii="Times New Roman" w:hAnsi="Times New Roman" w:cs="Times New Roman"/>
        </w:rPr>
        <w:t xml:space="preserve">-chemical water quality analysis, phytoplankton diversity, vegetation structure, and indicator species patterns to elucidate spatial heterogeneity and functional zonation. Clear ecological transitions from marine-dominated to freshwater-influenced environments were revealed through salinity and nutrient gradients, with elevated phytoplankton richness and trophic productivity at </w:t>
      </w:r>
      <w:proofErr w:type="spellStart"/>
      <w:r w:rsidRPr="00064E18">
        <w:rPr>
          <w:rFonts w:ascii="Times New Roman" w:hAnsi="Times New Roman" w:cs="Times New Roman"/>
        </w:rPr>
        <w:t>Cherikkadavu</w:t>
      </w:r>
      <w:proofErr w:type="spellEnd"/>
      <w:r w:rsidRPr="00064E18">
        <w:rPr>
          <w:rFonts w:ascii="Times New Roman" w:hAnsi="Times New Roman" w:cs="Times New Roman"/>
        </w:rPr>
        <w:t xml:space="preserve"> and </w:t>
      </w:r>
      <w:proofErr w:type="spellStart"/>
      <w:r w:rsidRPr="00064E18">
        <w:rPr>
          <w:rFonts w:ascii="Times New Roman" w:hAnsi="Times New Roman" w:cs="Times New Roman"/>
        </w:rPr>
        <w:t>Kidapram</w:t>
      </w:r>
      <w:proofErr w:type="spellEnd"/>
      <w:r w:rsidRPr="00064E18">
        <w:rPr>
          <w:rFonts w:ascii="Times New Roman" w:hAnsi="Times New Roman" w:cs="Times New Roman"/>
        </w:rPr>
        <w:t xml:space="preserve"> reflecting strong freshwater influence and ecosystem heterogeneity. The dominance of diatoms across all ecosites indicates sustained primary productivity, while the occurrence of taxa such as </w:t>
      </w:r>
      <w:r w:rsidRPr="00064E18">
        <w:rPr>
          <w:rFonts w:ascii="Times New Roman" w:hAnsi="Times New Roman" w:cs="Times New Roman"/>
          <w:i/>
          <w:iCs/>
        </w:rPr>
        <w:t>Trichodesmium</w:t>
      </w:r>
      <w:r w:rsidRPr="00064E18">
        <w:rPr>
          <w:rFonts w:ascii="Times New Roman" w:hAnsi="Times New Roman" w:cs="Times New Roman"/>
        </w:rPr>
        <w:t xml:space="preserve"> and </w:t>
      </w:r>
      <w:r w:rsidRPr="00064E18">
        <w:rPr>
          <w:rFonts w:ascii="Times New Roman" w:hAnsi="Times New Roman" w:cs="Times New Roman"/>
          <w:i/>
          <w:iCs/>
        </w:rPr>
        <w:t>Nymphaea stellata</w:t>
      </w:r>
      <w:r w:rsidRPr="00064E18">
        <w:rPr>
          <w:rFonts w:ascii="Times New Roman" w:hAnsi="Times New Roman" w:cs="Times New Roman"/>
        </w:rPr>
        <w:t xml:space="preserve"> highlights site-specific environmental conditions and ecological identity. The ecosite models developed in this study, integrating hydrological regimes, vegetation layering, and field-verified species assemblages, offer a novel and practical visual framework for understanding habitat-level ecological dynamics across shoreline, riparian, marsh, and upland zones. By translating complex ecological data into spatially explicit conceptual representations, the models address limitations of conventional large-scale assessments and support site-sensitive wetland zoning, restoration planning, and biodiversity conservation under the Ramsar conservation philosophy. Overall, the integration of bioassessment and ecosite-level modelling presented here provides a replicable and scalable framework for eco-sensitive wetland management, offering valuable guidance for planners, conservation practitioners, and local stakeholders. Long-term monitoring and ecosystem service valuation are recommended as future research priorities to further strengthen the functional application of ecosite-based wetland management strategies.</w:t>
      </w:r>
    </w:p>
    <w:p w14:paraId="7ABE2874" w14:textId="4704B6D2" w:rsidR="00DD7693" w:rsidRPr="001A7B2B" w:rsidRDefault="00DD7693" w:rsidP="00DD7693">
      <w:pPr>
        <w:spacing w:after="0" w:line="360" w:lineRule="auto"/>
        <w:jc w:val="both"/>
        <w:rPr>
          <w:rFonts w:ascii="Times New Roman" w:hAnsi="Times New Roman" w:cs="Times New Roman"/>
          <w:b/>
          <w:bCs/>
        </w:rPr>
      </w:pPr>
      <w:r w:rsidRPr="001A7B2B">
        <w:rPr>
          <w:rFonts w:ascii="Times New Roman" w:hAnsi="Times New Roman" w:cs="Times New Roman"/>
          <w:b/>
          <w:bCs/>
        </w:rPr>
        <w:t xml:space="preserve">Data Availability Statement: </w:t>
      </w:r>
      <w:r w:rsidRPr="001A7B2B">
        <w:rPr>
          <w:rFonts w:ascii="Times New Roman" w:hAnsi="Times New Roman" w:cs="Times New Roman"/>
        </w:rPr>
        <w:t xml:space="preserve">The data supporting the findings of this study are available from the corresponding author upon reasonable request. All field measurements, phytoplankton observations, and </w:t>
      </w:r>
      <w:r w:rsidR="0058259A" w:rsidRPr="001A7B2B">
        <w:rPr>
          <w:rFonts w:ascii="Times New Roman" w:hAnsi="Times New Roman" w:cs="Times New Roman"/>
        </w:rPr>
        <w:t>digital</w:t>
      </w:r>
      <w:r w:rsidRPr="001A7B2B">
        <w:rPr>
          <w:rFonts w:ascii="Times New Roman" w:hAnsi="Times New Roman" w:cs="Times New Roman"/>
        </w:rPr>
        <w:t xml:space="preserve"> models were generated and archived by the author.</w:t>
      </w:r>
    </w:p>
    <w:p w14:paraId="765E57FB" w14:textId="172EFFDF" w:rsidR="00243CCF" w:rsidRDefault="00243CCF" w:rsidP="00243CCF">
      <w:pPr>
        <w:spacing w:after="0" w:line="360" w:lineRule="auto"/>
        <w:jc w:val="both"/>
        <w:rPr>
          <w:rFonts w:ascii="Times New Roman" w:hAnsi="Times New Roman" w:cs="Times New Roman"/>
        </w:rPr>
      </w:pPr>
      <w:r w:rsidRPr="001A7B2B">
        <w:rPr>
          <w:rFonts w:ascii="Times New Roman" w:hAnsi="Times New Roman" w:cs="Times New Roman"/>
          <w:b/>
          <w:bCs/>
        </w:rPr>
        <w:t xml:space="preserve">Ethical Approval: </w:t>
      </w:r>
      <w:r w:rsidRPr="001A7B2B">
        <w:rPr>
          <w:rFonts w:ascii="Times New Roman" w:hAnsi="Times New Roman" w:cs="Times New Roman"/>
        </w:rPr>
        <w:t>This research involved no studies with human participants or animals performed by any of the authors. All field data collection complied with local environmental regulations.</w:t>
      </w:r>
    </w:p>
    <w:p w14:paraId="3CD65868" w14:textId="77777777" w:rsidR="00E87EF5" w:rsidRPr="00D64BBE" w:rsidRDefault="00E87EF5" w:rsidP="00D64BBE">
      <w:pPr>
        <w:pStyle w:val="NoSpacing"/>
        <w:spacing w:line="360" w:lineRule="auto"/>
        <w:rPr>
          <w:rFonts w:ascii="Times New Roman" w:hAnsi="Times New Roman" w:cs="Times New Roman"/>
          <w:b/>
          <w:bCs/>
          <w:sz w:val="24"/>
          <w:szCs w:val="24"/>
        </w:rPr>
      </w:pPr>
      <w:bookmarkStart w:id="0" w:name="_Hlk198031404"/>
      <w:r w:rsidRPr="00D64BBE">
        <w:rPr>
          <w:rFonts w:ascii="Times New Roman" w:hAnsi="Times New Roman" w:cs="Times New Roman"/>
          <w:b/>
          <w:bCs/>
          <w:sz w:val="24"/>
          <w:szCs w:val="24"/>
        </w:rPr>
        <w:t>Disclaimer (Artificial intelligence)</w:t>
      </w:r>
    </w:p>
    <w:p w14:paraId="5650464A" w14:textId="7F6C53F7" w:rsidR="00E87EF5" w:rsidRPr="00D64BBE" w:rsidRDefault="00E87EF5" w:rsidP="00D64BBE">
      <w:pPr>
        <w:pStyle w:val="NoSpacing"/>
        <w:spacing w:line="360" w:lineRule="auto"/>
        <w:jc w:val="both"/>
        <w:rPr>
          <w:rFonts w:ascii="Times New Roman" w:hAnsi="Times New Roman" w:cs="Times New Roman"/>
          <w:sz w:val="24"/>
          <w:szCs w:val="24"/>
        </w:rPr>
      </w:pPr>
      <w:r w:rsidRPr="00D64BBE">
        <w:rPr>
          <w:rFonts w:ascii="Times New Roman" w:hAnsi="Times New Roman" w:cs="Times New Roman"/>
          <w:sz w:val="24"/>
          <w:szCs w:val="24"/>
        </w:rPr>
        <w:lastRenderedPageBreak/>
        <w:t xml:space="preserve">Author hereby </w:t>
      </w:r>
      <w:proofErr w:type="gramStart"/>
      <w:r w:rsidRPr="00D64BBE">
        <w:rPr>
          <w:rFonts w:ascii="Times New Roman" w:hAnsi="Times New Roman" w:cs="Times New Roman"/>
          <w:sz w:val="24"/>
          <w:szCs w:val="24"/>
        </w:rPr>
        <w:t>declare</w:t>
      </w:r>
      <w:proofErr w:type="gramEnd"/>
      <w:r w:rsidRPr="00D64BBE">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2F735077" w14:textId="77777777" w:rsidR="00F22192" w:rsidRPr="00D64BBE" w:rsidRDefault="00F22192" w:rsidP="00D64BBE">
      <w:pPr>
        <w:spacing w:after="0" w:line="360" w:lineRule="auto"/>
        <w:jc w:val="both"/>
        <w:rPr>
          <w:rFonts w:ascii="Times New Roman" w:hAnsi="Times New Roman" w:cs="Times New Roman"/>
          <w:b/>
          <w:bCs/>
        </w:rPr>
      </w:pPr>
      <w:bookmarkStart w:id="1" w:name="_Hlk204034752"/>
      <w:bookmarkEnd w:id="0"/>
    </w:p>
    <w:p w14:paraId="7C561CB5" w14:textId="2424B653" w:rsidR="00F32C44" w:rsidRPr="001A7B2B" w:rsidRDefault="00503DC1" w:rsidP="007B1180">
      <w:pPr>
        <w:spacing w:after="0" w:line="360" w:lineRule="auto"/>
        <w:jc w:val="both"/>
        <w:rPr>
          <w:rFonts w:ascii="Times New Roman" w:hAnsi="Times New Roman" w:cs="Times New Roman"/>
          <w:b/>
          <w:bCs/>
        </w:rPr>
      </w:pPr>
      <w:r w:rsidRPr="001A7B2B">
        <w:rPr>
          <w:rFonts w:ascii="Times New Roman" w:hAnsi="Times New Roman" w:cs="Times New Roman"/>
          <w:b/>
          <w:bCs/>
        </w:rPr>
        <w:t>References</w:t>
      </w:r>
    </w:p>
    <w:bookmarkEnd w:id="1"/>
    <w:p w14:paraId="44362A06" w14:textId="77777777" w:rsidR="000028AD" w:rsidRPr="00920DF5" w:rsidRDefault="000028AD" w:rsidP="00DD1847">
      <w:pPr>
        <w:pStyle w:val="ListParagraph"/>
        <w:numPr>
          <w:ilvl w:val="0"/>
          <w:numId w:val="3"/>
        </w:numPr>
        <w:spacing w:after="0" w:line="360" w:lineRule="auto"/>
        <w:ind w:left="709" w:hanging="709"/>
        <w:jc w:val="both"/>
        <w:rPr>
          <w:rFonts w:ascii="Times New Roman" w:hAnsi="Times New Roman" w:cs="Times New Roman"/>
        </w:rPr>
      </w:pPr>
      <w:r w:rsidRPr="00DD1847">
        <w:rPr>
          <w:rFonts w:ascii="Times New Roman" w:hAnsi="Times New Roman" w:cs="Times New Roman"/>
        </w:rPr>
        <w:t>Alexander T.</w:t>
      </w:r>
      <w:r w:rsidRPr="00920DF5">
        <w:rPr>
          <w:rFonts w:ascii="Times New Roman" w:hAnsi="Times New Roman" w:cs="Times New Roman"/>
        </w:rPr>
        <w:t xml:space="preserve"> (2025)</w:t>
      </w:r>
      <w:r>
        <w:rPr>
          <w:rFonts w:ascii="Times New Roman" w:hAnsi="Times New Roman" w:cs="Times New Roman"/>
        </w:rPr>
        <w:t>.</w:t>
      </w:r>
      <w:r w:rsidRPr="00920DF5">
        <w:rPr>
          <w:rFonts w:ascii="Times New Roman" w:hAnsi="Times New Roman" w:cs="Times New Roman"/>
        </w:rPr>
        <w:t xml:space="preserve"> Diversity and Community Structure of Benthic Macrofauna in </w:t>
      </w:r>
      <w:proofErr w:type="spellStart"/>
      <w:r w:rsidRPr="00920DF5">
        <w:rPr>
          <w:rFonts w:ascii="Times New Roman" w:hAnsi="Times New Roman" w:cs="Times New Roman"/>
        </w:rPr>
        <w:t>Ashtamudi</w:t>
      </w:r>
      <w:proofErr w:type="spellEnd"/>
      <w:r w:rsidRPr="00920DF5">
        <w:rPr>
          <w:rFonts w:ascii="Times New Roman" w:hAnsi="Times New Roman" w:cs="Times New Roman"/>
        </w:rPr>
        <w:t xml:space="preserve"> Lake, Kerala: Implications for Estuarine Health and Productivity, </w:t>
      </w:r>
      <w:r w:rsidRPr="00DD1847">
        <w:rPr>
          <w:rFonts w:ascii="Times New Roman" w:hAnsi="Times New Roman" w:cs="Times New Roman"/>
          <w:i/>
          <w:iCs/>
        </w:rPr>
        <w:t>International Journal of Science, Architecture, Technology, and Environment</w:t>
      </w:r>
      <w:r w:rsidRPr="00920DF5">
        <w:rPr>
          <w:rFonts w:ascii="Times New Roman" w:hAnsi="Times New Roman" w:cs="Times New Roman"/>
        </w:rPr>
        <w:t xml:space="preserve">, 2 (11): 381-390. </w:t>
      </w:r>
      <w:hyperlink r:id="rId20" w:tgtFrame="_blank" w:history="1">
        <w:r w:rsidRPr="00920DF5">
          <w:rPr>
            <w:rStyle w:val="Hyperlink"/>
            <w:rFonts w:ascii="Times New Roman" w:hAnsi="Times New Roman" w:cs="Times New Roman"/>
          </w:rPr>
          <w:t>http://dx.doi.org/10.63680/ijsate1125039.032</w:t>
        </w:r>
      </w:hyperlink>
    </w:p>
    <w:p w14:paraId="6CF6EFA9" w14:textId="77777777" w:rsidR="000028AD" w:rsidRPr="001A7B2B" w:rsidRDefault="000028AD" w:rsidP="00D33116">
      <w:pPr>
        <w:pStyle w:val="ListParagraph"/>
        <w:numPr>
          <w:ilvl w:val="0"/>
          <w:numId w:val="3"/>
        </w:numPr>
        <w:spacing w:after="0" w:line="360" w:lineRule="auto"/>
        <w:ind w:left="709" w:hanging="643"/>
        <w:jc w:val="both"/>
        <w:rPr>
          <w:rFonts w:ascii="Times New Roman" w:hAnsi="Times New Roman" w:cs="Times New Roman"/>
        </w:rPr>
      </w:pPr>
      <w:r w:rsidRPr="001A7B2B">
        <w:rPr>
          <w:rFonts w:ascii="Times New Roman" w:hAnsi="Times New Roman" w:cs="Times New Roman"/>
        </w:rPr>
        <w:t>American Public Health Association (APHA). (</w:t>
      </w:r>
      <w:r>
        <w:rPr>
          <w:rFonts w:ascii="Times New Roman" w:hAnsi="Times New Roman" w:cs="Times New Roman"/>
        </w:rPr>
        <w:t>2007</w:t>
      </w:r>
      <w:r w:rsidRPr="001A7B2B">
        <w:rPr>
          <w:rFonts w:ascii="Times New Roman" w:hAnsi="Times New Roman" w:cs="Times New Roman"/>
        </w:rPr>
        <w:t xml:space="preserve">). </w:t>
      </w:r>
      <w:r w:rsidRPr="001A7B2B">
        <w:rPr>
          <w:rFonts w:ascii="Times New Roman" w:hAnsi="Times New Roman" w:cs="Times New Roman"/>
          <w:i/>
          <w:iCs/>
        </w:rPr>
        <w:t>Standard Methods for the Examination of Water and Wastewater</w:t>
      </w:r>
      <w:r w:rsidRPr="001A7B2B">
        <w:rPr>
          <w:rFonts w:ascii="Times New Roman" w:hAnsi="Times New Roman" w:cs="Times New Roman"/>
        </w:rPr>
        <w:t xml:space="preserve"> (</w:t>
      </w:r>
      <w:r>
        <w:rPr>
          <w:rFonts w:ascii="Times New Roman" w:hAnsi="Times New Roman" w:cs="Times New Roman"/>
        </w:rPr>
        <w:t>21</w:t>
      </w:r>
      <w:r w:rsidRPr="00C84C42">
        <w:rPr>
          <w:rFonts w:ascii="Times New Roman" w:hAnsi="Times New Roman" w:cs="Times New Roman"/>
          <w:vertAlign w:val="superscript"/>
        </w:rPr>
        <w:t>st</w:t>
      </w:r>
      <w:r>
        <w:rPr>
          <w:rFonts w:ascii="Times New Roman" w:hAnsi="Times New Roman" w:cs="Times New Roman"/>
        </w:rPr>
        <w:t xml:space="preserve"> </w:t>
      </w:r>
      <w:r w:rsidRPr="001A7B2B">
        <w:rPr>
          <w:rFonts w:ascii="Times New Roman" w:hAnsi="Times New Roman" w:cs="Times New Roman"/>
        </w:rPr>
        <w:t>e</w:t>
      </w:r>
      <w:r>
        <w:rPr>
          <w:rFonts w:ascii="Times New Roman" w:hAnsi="Times New Roman" w:cs="Times New Roman"/>
        </w:rPr>
        <w:t xml:space="preserve"> </w:t>
      </w:r>
      <w:r w:rsidRPr="001A7B2B">
        <w:rPr>
          <w:rFonts w:ascii="Times New Roman" w:hAnsi="Times New Roman" w:cs="Times New Roman"/>
        </w:rPr>
        <w:t>d.). American Public Health Association, Washington, DC.</w:t>
      </w:r>
      <w:r>
        <w:rPr>
          <w:rFonts w:ascii="Times New Roman" w:hAnsi="Times New Roman" w:cs="Times New Roman"/>
        </w:rPr>
        <w:t xml:space="preserve"> </w:t>
      </w:r>
      <w:hyperlink r:id="rId21" w:history="1">
        <w:r w:rsidRPr="00830801">
          <w:rPr>
            <w:rStyle w:val="Hyperlink"/>
            <w:rFonts w:ascii="Times New Roman" w:hAnsi="Times New Roman" w:cs="Times New Roman"/>
          </w:rPr>
          <w:t>https://www.standardmethods.org/</w:t>
        </w:r>
      </w:hyperlink>
      <w:r>
        <w:rPr>
          <w:rFonts w:ascii="Times New Roman" w:hAnsi="Times New Roman" w:cs="Times New Roman"/>
        </w:rPr>
        <w:t xml:space="preserve"> </w:t>
      </w:r>
    </w:p>
    <w:p w14:paraId="58550B2C" w14:textId="77777777" w:rsidR="000028AD" w:rsidRPr="00152685" w:rsidRDefault="000028AD" w:rsidP="00175E4F">
      <w:pPr>
        <w:pStyle w:val="ListParagraph"/>
        <w:numPr>
          <w:ilvl w:val="0"/>
          <w:numId w:val="3"/>
        </w:numPr>
        <w:spacing w:after="0" w:line="360" w:lineRule="auto"/>
        <w:ind w:left="709" w:hanging="643"/>
        <w:jc w:val="both"/>
      </w:pPr>
      <w:r w:rsidRPr="00C84C42">
        <w:rPr>
          <w:rFonts w:ascii="Times New Roman" w:hAnsi="Times New Roman" w:cs="Times New Roman"/>
        </w:rPr>
        <w:t xml:space="preserve">Devi, A. B., Deka, D., Aneesh, T. D., Srinivas, R., &amp; Nair, A. M. (2022). Predictive modelling of land use land cover dynamics for a tropical coastal urban city in Kerala, India. </w:t>
      </w:r>
      <w:r w:rsidRPr="00C84C42">
        <w:rPr>
          <w:rFonts w:ascii="Times New Roman" w:hAnsi="Times New Roman" w:cs="Times New Roman"/>
          <w:i/>
          <w:iCs/>
        </w:rPr>
        <w:t>Arabian Journal of Geosciences</w:t>
      </w:r>
      <w:r w:rsidRPr="00C84C42">
        <w:rPr>
          <w:rFonts w:ascii="Times New Roman" w:hAnsi="Times New Roman" w:cs="Times New Roman"/>
        </w:rPr>
        <w:t xml:space="preserve">, 15(5), 399. </w:t>
      </w:r>
      <w:r w:rsidRPr="00C84C42">
        <w:t xml:space="preserve"> </w:t>
      </w:r>
      <w:hyperlink r:id="rId22" w:history="1">
        <w:r w:rsidRPr="00A21F5F">
          <w:rPr>
            <w:rStyle w:val="Hyperlink"/>
            <w:rFonts w:ascii="Times New Roman" w:hAnsi="Times New Roman" w:cs="Times New Roman"/>
          </w:rPr>
          <w:t>https://doi.org/10.1007/s12517-022-09735-7</w:t>
        </w:r>
      </w:hyperlink>
      <w:r>
        <w:rPr>
          <w:rFonts w:ascii="Times New Roman" w:hAnsi="Times New Roman" w:cs="Times New Roman"/>
        </w:rPr>
        <w:t xml:space="preserve"> </w:t>
      </w:r>
    </w:p>
    <w:p w14:paraId="519A7CA9" w14:textId="77777777" w:rsidR="000028AD" w:rsidRPr="00687BBA" w:rsidRDefault="000028AD" w:rsidP="00175E4F">
      <w:pPr>
        <w:pStyle w:val="ListParagraph"/>
        <w:numPr>
          <w:ilvl w:val="0"/>
          <w:numId w:val="3"/>
        </w:numPr>
        <w:spacing w:after="0" w:line="360" w:lineRule="auto"/>
        <w:ind w:left="709" w:hanging="643"/>
        <w:jc w:val="both"/>
        <w:rPr>
          <w:rFonts w:ascii="Times New Roman" w:hAnsi="Times New Roman" w:cs="Times New Roman"/>
        </w:rPr>
      </w:pPr>
      <w:proofErr w:type="spellStart"/>
      <w:r w:rsidRPr="00687BBA">
        <w:rPr>
          <w:rFonts w:ascii="Times New Roman" w:hAnsi="Times New Roman" w:cs="Times New Roman"/>
        </w:rPr>
        <w:t>Dufrêne</w:t>
      </w:r>
      <w:proofErr w:type="spellEnd"/>
      <w:r w:rsidRPr="00687BBA">
        <w:rPr>
          <w:rFonts w:ascii="Times New Roman" w:hAnsi="Times New Roman" w:cs="Times New Roman"/>
        </w:rPr>
        <w:t xml:space="preserve">, M., &amp; Legendre, P. (1997). Species assemblages and indicator species: The need for a flexible asymmetrical approach. </w:t>
      </w:r>
      <w:r w:rsidRPr="00687BBA">
        <w:rPr>
          <w:rStyle w:val="Emphasis"/>
          <w:rFonts w:ascii="Times New Roman" w:eastAsiaTheme="majorEastAsia" w:hAnsi="Times New Roman" w:cs="Times New Roman"/>
        </w:rPr>
        <w:t>Ecological Monographs</w:t>
      </w:r>
      <w:r w:rsidRPr="00687BBA">
        <w:rPr>
          <w:rFonts w:ascii="Times New Roman" w:hAnsi="Times New Roman" w:cs="Times New Roman"/>
        </w:rPr>
        <w:t>, 67(3), 345</w:t>
      </w:r>
      <w:r>
        <w:rPr>
          <w:rFonts w:ascii="Times New Roman" w:hAnsi="Times New Roman" w:cs="Times New Roman"/>
        </w:rPr>
        <w:t>-</w:t>
      </w:r>
      <w:r w:rsidRPr="00687BBA">
        <w:rPr>
          <w:rFonts w:ascii="Times New Roman" w:hAnsi="Times New Roman" w:cs="Times New Roman"/>
        </w:rPr>
        <w:t xml:space="preserve">366. </w:t>
      </w:r>
      <w:hyperlink r:id="rId23" w:history="1">
        <w:r w:rsidRPr="00A21F5F">
          <w:rPr>
            <w:rStyle w:val="Hyperlink"/>
            <w:rFonts w:ascii="Times New Roman" w:hAnsi="Times New Roman" w:cs="Times New Roman"/>
          </w:rPr>
          <w:t>https://doi.org/10.2307/2963459</w:t>
        </w:r>
      </w:hyperlink>
      <w:r>
        <w:rPr>
          <w:rFonts w:ascii="Times New Roman" w:hAnsi="Times New Roman" w:cs="Times New Roman"/>
        </w:rPr>
        <w:t xml:space="preserve">  </w:t>
      </w:r>
    </w:p>
    <w:p w14:paraId="2EAD4BE4" w14:textId="77777777" w:rsidR="000028AD" w:rsidRPr="001A7B2B" w:rsidRDefault="000028AD" w:rsidP="00D33116">
      <w:pPr>
        <w:pStyle w:val="ListParagraph"/>
        <w:numPr>
          <w:ilvl w:val="0"/>
          <w:numId w:val="3"/>
        </w:numPr>
        <w:spacing w:after="0" w:line="360" w:lineRule="auto"/>
        <w:ind w:left="709" w:hanging="643"/>
        <w:jc w:val="both"/>
        <w:rPr>
          <w:rFonts w:ascii="Times New Roman" w:hAnsi="Times New Roman" w:cs="Times New Roman"/>
        </w:rPr>
      </w:pPr>
      <w:bookmarkStart w:id="2" w:name="_Hlk218074877"/>
      <w:r w:rsidRPr="00C84C42">
        <w:rPr>
          <w:rFonts w:ascii="Times New Roman" w:hAnsi="Times New Roman" w:cs="Times New Roman"/>
        </w:rPr>
        <w:t>Grima</w:t>
      </w:r>
      <w:bookmarkEnd w:id="2"/>
      <w:r w:rsidRPr="00C84C42">
        <w:rPr>
          <w:rFonts w:ascii="Times New Roman" w:hAnsi="Times New Roman" w:cs="Times New Roman"/>
        </w:rPr>
        <w:t xml:space="preserve">, N., Jutras-Perreault, M.-C., </w:t>
      </w:r>
      <w:proofErr w:type="spellStart"/>
      <w:r w:rsidRPr="00C84C42">
        <w:rPr>
          <w:rFonts w:ascii="Times New Roman" w:hAnsi="Times New Roman" w:cs="Times New Roman"/>
        </w:rPr>
        <w:t>Gobakken</w:t>
      </w:r>
      <w:proofErr w:type="spellEnd"/>
      <w:r w:rsidRPr="00C84C42">
        <w:rPr>
          <w:rFonts w:ascii="Times New Roman" w:hAnsi="Times New Roman" w:cs="Times New Roman"/>
        </w:rPr>
        <w:t xml:space="preserve">, T., &amp; </w:t>
      </w:r>
      <w:proofErr w:type="spellStart"/>
      <w:r w:rsidRPr="00C84C42">
        <w:rPr>
          <w:rFonts w:ascii="Times New Roman" w:hAnsi="Times New Roman" w:cs="Times New Roman"/>
        </w:rPr>
        <w:t>Ørka</w:t>
      </w:r>
      <w:proofErr w:type="spellEnd"/>
      <w:r w:rsidRPr="00C84C42">
        <w:rPr>
          <w:rFonts w:ascii="Times New Roman" w:hAnsi="Times New Roman" w:cs="Times New Roman"/>
        </w:rPr>
        <w:t>, H. O. (2023).</w:t>
      </w:r>
      <w:r w:rsidRPr="00C84C42">
        <w:rPr>
          <w:rFonts w:ascii="Times New Roman" w:hAnsi="Times New Roman" w:cs="Times New Roman"/>
        </w:rPr>
        <w:br/>
        <w:t xml:space="preserve">Systematic review for a set of indicators supporting the Common International Classification of Ecosystem Services. </w:t>
      </w:r>
      <w:r w:rsidRPr="00C84C42">
        <w:rPr>
          <w:rFonts w:ascii="Times New Roman" w:hAnsi="Times New Roman" w:cs="Times New Roman"/>
          <w:i/>
          <w:iCs/>
        </w:rPr>
        <w:t>Ecological Indicators</w:t>
      </w:r>
      <w:r w:rsidRPr="00C84C42">
        <w:rPr>
          <w:rFonts w:ascii="Times New Roman" w:hAnsi="Times New Roman" w:cs="Times New Roman"/>
        </w:rPr>
        <w:t>, 147, 109978.</w:t>
      </w:r>
      <w:r>
        <w:rPr>
          <w:rFonts w:ascii="Times New Roman" w:hAnsi="Times New Roman" w:cs="Times New Roman"/>
        </w:rPr>
        <w:t xml:space="preserve"> </w:t>
      </w:r>
      <w:hyperlink r:id="rId24" w:history="1">
        <w:r w:rsidRPr="00A21F5F">
          <w:rPr>
            <w:rStyle w:val="Hyperlink"/>
            <w:rFonts w:ascii="Times New Roman" w:hAnsi="Times New Roman" w:cs="Times New Roman"/>
          </w:rPr>
          <w:t>https://doi.org/10.1016/j.ecolind.2023.109978</w:t>
        </w:r>
      </w:hyperlink>
    </w:p>
    <w:p w14:paraId="49454444" w14:textId="77777777" w:rsidR="000028AD" w:rsidRPr="001A7B2B" w:rsidRDefault="000028AD" w:rsidP="00D33116">
      <w:pPr>
        <w:pStyle w:val="ListParagraph"/>
        <w:numPr>
          <w:ilvl w:val="0"/>
          <w:numId w:val="3"/>
        </w:numPr>
        <w:spacing w:after="0" w:line="360" w:lineRule="auto"/>
        <w:ind w:left="709" w:hanging="643"/>
        <w:jc w:val="both"/>
        <w:rPr>
          <w:rFonts w:ascii="Times New Roman" w:hAnsi="Times New Roman" w:cs="Times New Roman"/>
        </w:rPr>
      </w:pPr>
      <w:r w:rsidRPr="001A7B2B">
        <w:rPr>
          <w:rFonts w:ascii="Times New Roman" w:hAnsi="Times New Roman" w:cs="Times New Roman"/>
        </w:rPr>
        <w:t xml:space="preserve">Jayakumar, K.V. &amp; </w:t>
      </w:r>
      <w:proofErr w:type="spellStart"/>
      <w:r w:rsidRPr="001A7B2B">
        <w:rPr>
          <w:rFonts w:ascii="Times New Roman" w:hAnsi="Times New Roman" w:cs="Times New Roman"/>
        </w:rPr>
        <w:t>Chackacherry</w:t>
      </w:r>
      <w:proofErr w:type="spellEnd"/>
      <w:r w:rsidRPr="001A7B2B">
        <w:rPr>
          <w:rFonts w:ascii="Times New Roman" w:hAnsi="Times New Roman" w:cs="Times New Roman"/>
        </w:rPr>
        <w:t xml:space="preserve">, G. (2011). </w:t>
      </w:r>
      <w:proofErr w:type="spellStart"/>
      <w:r w:rsidRPr="001A7B2B">
        <w:rPr>
          <w:rFonts w:ascii="Times New Roman" w:hAnsi="Times New Roman" w:cs="Times New Roman"/>
        </w:rPr>
        <w:t>Ashtamudi</w:t>
      </w:r>
      <w:proofErr w:type="spellEnd"/>
      <w:r w:rsidRPr="001A7B2B">
        <w:rPr>
          <w:rFonts w:ascii="Times New Roman" w:hAnsi="Times New Roman" w:cs="Times New Roman"/>
        </w:rPr>
        <w:t xml:space="preserve"> Wetland: Values and Threats. In </w:t>
      </w:r>
      <w:r w:rsidRPr="001A7B2B">
        <w:rPr>
          <w:rFonts w:ascii="Times New Roman" w:hAnsi="Times New Roman" w:cs="Times New Roman"/>
          <w:i/>
          <w:iCs/>
        </w:rPr>
        <w:t>National Workshop on Ramsar Sites of India</w:t>
      </w:r>
      <w:r w:rsidRPr="001A7B2B">
        <w:rPr>
          <w:rFonts w:ascii="Times New Roman" w:hAnsi="Times New Roman" w:cs="Times New Roman"/>
        </w:rPr>
        <w:t>, Kolkata.</w:t>
      </w:r>
      <w:r>
        <w:rPr>
          <w:rFonts w:ascii="Times New Roman" w:hAnsi="Times New Roman" w:cs="Times New Roman"/>
        </w:rPr>
        <w:t xml:space="preserve"> </w:t>
      </w:r>
      <w:hyperlink r:id="rId25" w:history="1">
        <w:r w:rsidRPr="00A21F5F">
          <w:rPr>
            <w:rStyle w:val="Hyperlink"/>
            <w:rFonts w:ascii="Times New Roman" w:hAnsi="Times New Roman" w:cs="Times New Roman"/>
          </w:rPr>
          <w:t>https://www.researchgate.net/publication/321804444_Ashtamudi_Wetland_Kerala_Values_and_Threats</w:t>
        </w:r>
      </w:hyperlink>
      <w:r>
        <w:rPr>
          <w:rFonts w:ascii="Times New Roman" w:hAnsi="Times New Roman" w:cs="Times New Roman"/>
        </w:rPr>
        <w:t xml:space="preserve"> </w:t>
      </w:r>
    </w:p>
    <w:p w14:paraId="0158C7C3" w14:textId="77777777" w:rsidR="000028AD" w:rsidRDefault="000028AD" w:rsidP="004E6F28">
      <w:pPr>
        <w:pStyle w:val="NormalWeb"/>
        <w:numPr>
          <w:ilvl w:val="0"/>
          <w:numId w:val="3"/>
        </w:numPr>
        <w:spacing w:before="0" w:beforeAutospacing="0" w:after="0" w:afterAutospacing="0" w:line="360" w:lineRule="auto"/>
        <w:ind w:left="709" w:hanging="643"/>
        <w:jc w:val="both"/>
      </w:pPr>
      <w:r w:rsidRPr="001A7B2B">
        <w:t xml:space="preserve">Kathiresan, K., &amp; Bingham, B. L. (2001). Biology of mangroves and mangrove ecosystems. </w:t>
      </w:r>
      <w:r w:rsidRPr="0089498F">
        <w:rPr>
          <w:rStyle w:val="Emphasis"/>
          <w:rFonts w:eastAsiaTheme="majorEastAsia"/>
        </w:rPr>
        <w:t>Advances in Marine Biology</w:t>
      </w:r>
      <w:r w:rsidRPr="001A7B2B">
        <w:t>, 40, 81</w:t>
      </w:r>
      <w:r>
        <w:t>-</w:t>
      </w:r>
      <w:r w:rsidRPr="001A7B2B">
        <w:t>251. DOI: 10.1016/S0065-2881(01)40003-4</w:t>
      </w:r>
      <w:r>
        <w:t xml:space="preserve">. </w:t>
      </w:r>
      <w:hyperlink r:id="rId26" w:history="1">
        <w:r w:rsidRPr="00A21F5F">
          <w:rPr>
            <w:rStyle w:val="Hyperlink"/>
          </w:rPr>
          <w:t>https://doi.org/10.1016/S0065-2881(01)40003-4</w:t>
        </w:r>
      </w:hyperlink>
    </w:p>
    <w:p w14:paraId="45F43C43" w14:textId="77777777" w:rsidR="000028AD" w:rsidRDefault="000028AD" w:rsidP="00565EF0">
      <w:pPr>
        <w:pStyle w:val="NormalWeb"/>
        <w:numPr>
          <w:ilvl w:val="0"/>
          <w:numId w:val="3"/>
        </w:numPr>
        <w:spacing w:before="0" w:beforeAutospacing="0" w:after="0" w:afterAutospacing="0" w:line="360" w:lineRule="auto"/>
        <w:ind w:left="709" w:hanging="643"/>
        <w:jc w:val="both"/>
      </w:pPr>
      <w:r w:rsidRPr="0089498F">
        <w:t xml:space="preserve">Krishnan, J. U., Devi, S. S., </w:t>
      </w:r>
      <w:proofErr w:type="spellStart"/>
      <w:r w:rsidRPr="0089498F">
        <w:t>Jithine</w:t>
      </w:r>
      <w:proofErr w:type="spellEnd"/>
      <w:r w:rsidRPr="0089498F">
        <w:t xml:space="preserve">, J. R., Ajesh, G., &amp; Lekshmi, N. R. (2015). Pollution status of </w:t>
      </w:r>
      <w:proofErr w:type="spellStart"/>
      <w:r w:rsidRPr="0089498F">
        <w:t>Ashtamudi</w:t>
      </w:r>
      <w:proofErr w:type="spellEnd"/>
      <w:r w:rsidRPr="0089498F">
        <w:t xml:space="preserve"> Lake, Kerala, India and its impact on some keystone mangrove species: A case study. </w:t>
      </w:r>
      <w:r w:rsidRPr="0089498F">
        <w:rPr>
          <w:i/>
          <w:iCs/>
        </w:rPr>
        <w:t>International Journal of Innovative Studies in Aquatic Biology and Fisheries</w:t>
      </w:r>
      <w:r w:rsidRPr="0089498F">
        <w:t xml:space="preserve">, 1(1), 17–22. </w:t>
      </w:r>
      <w:hyperlink r:id="rId27" w:history="1">
        <w:r w:rsidRPr="00A21F5F">
          <w:rPr>
            <w:rStyle w:val="Hyperlink"/>
          </w:rPr>
          <w:t>https://www.arcjournals.org/pdfs/ijisabf/v1-i2/3.pdf</w:t>
        </w:r>
      </w:hyperlink>
    </w:p>
    <w:p w14:paraId="1EA019E8" w14:textId="77777777" w:rsidR="000028AD" w:rsidRPr="000028AD" w:rsidRDefault="000028AD" w:rsidP="000028AD">
      <w:pPr>
        <w:pStyle w:val="ListParagraph"/>
        <w:numPr>
          <w:ilvl w:val="0"/>
          <w:numId w:val="3"/>
        </w:numPr>
        <w:spacing w:after="0" w:line="360" w:lineRule="auto"/>
        <w:ind w:left="709" w:hanging="643"/>
        <w:jc w:val="both"/>
        <w:rPr>
          <w:rFonts w:ascii="Times New Roman" w:hAnsi="Times New Roman" w:cs="Times New Roman"/>
        </w:rPr>
      </w:pPr>
      <w:r w:rsidRPr="00C84C42">
        <w:rPr>
          <w:rFonts w:ascii="Times New Roman" w:hAnsi="Times New Roman" w:cs="Times New Roman"/>
        </w:rPr>
        <w:lastRenderedPageBreak/>
        <w:t xml:space="preserve">Levin, S. A. (1992). The problem of pattern and scale in ecology. </w:t>
      </w:r>
      <w:r w:rsidRPr="00C84C42">
        <w:rPr>
          <w:rFonts w:ascii="Times New Roman" w:hAnsi="Times New Roman" w:cs="Times New Roman"/>
          <w:i/>
          <w:iCs/>
        </w:rPr>
        <w:t>Ecology</w:t>
      </w:r>
      <w:r w:rsidRPr="00C84C42">
        <w:rPr>
          <w:rFonts w:ascii="Times New Roman" w:hAnsi="Times New Roman" w:cs="Times New Roman"/>
        </w:rPr>
        <w:t>, 73(6), 1943</w:t>
      </w:r>
      <w:r>
        <w:rPr>
          <w:rFonts w:ascii="Times New Roman" w:hAnsi="Times New Roman" w:cs="Times New Roman"/>
        </w:rPr>
        <w:t>-</w:t>
      </w:r>
      <w:r w:rsidRPr="00C84C42">
        <w:rPr>
          <w:rFonts w:ascii="Times New Roman" w:hAnsi="Times New Roman" w:cs="Times New Roman"/>
        </w:rPr>
        <w:t xml:space="preserve">1967. </w:t>
      </w:r>
      <w:hyperlink r:id="rId28" w:history="1">
        <w:r w:rsidRPr="00A21F5F">
          <w:rPr>
            <w:rStyle w:val="Hyperlink"/>
            <w:rFonts w:ascii="Times New Roman" w:hAnsi="Times New Roman" w:cs="Times New Roman"/>
          </w:rPr>
          <w:t>https://doi.org/10.2307/1941447</w:t>
        </w:r>
      </w:hyperlink>
    </w:p>
    <w:p w14:paraId="580120B8" w14:textId="525193CE" w:rsidR="000028AD" w:rsidRPr="000028AD" w:rsidRDefault="000028AD" w:rsidP="000028AD">
      <w:pPr>
        <w:pStyle w:val="ListParagraph"/>
        <w:numPr>
          <w:ilvl w:val="0"/>
          <w:numId w:val="3"/>
        </w:numPr>
        <w:spacing w:after="0" w:line="360" w:lineRule="auto"/>
        <w:ind w:left="709" w:hanging="643"/>
        <w:jc w:val="both"/>
        <w:rPr>
          <w:rFonts w:ascii="Times New Roman" w:hAnsi="Times New Roman" w:cs="Times New Roman"/>
        </w:rPr>
      </w:pPr>
      <w:r w:rsidRPr="000028AD">
        <w:rPr>
          <w:rFonts w:ascii="Times New Roman" w:hAnsi="Times New Roman" w:cs="Times New Roman"/>
        </w:rPr>
        <w:t xml:space="preserve">Muniz, D. H. F. &amp; Oliveira-Filho, E. C. (2023). Multivariate statistical analysis for water quality assessment: A review. </w:t>
      </w:r>
      <w:r w:rsidRPr="000028AD">
        <w:rPr>
          <w:rFonts w:ascii="Times New Roman" w:hAnsi="Times New Roman" w:cs="Times New Roman"/>
          <w:i/>
          <w:iCs/>
        </w:rPr>
        <w:t xml:space="preserve">Hydrology, </w:t>
      </w:r>
      <w:r w:rsidRPr="000028AD">
        <w:rPr>
          <w:rFonts w:ascii="Times New Roman" w:hAnsi="Times New Roman" w:cs="Times New Roman"/>
        </w:rPr>
        <w:t xml:space="preserve">10(10), 196. </w:t>
      </w:r>
      <w:hyperlink r:id="rId29" w:history="1">
        <w:r w:rsidRPr="000028AD">
          <w:rPr>
            <w:rStyle w:val="Hyperlink"/>
            <w:rFonts w:ascii="Times New Roman" w:hAnsi="Times New Roman" w:cs="Times New Roman"/>
          </w:rPr>
          <w:t>https://doi.org/10.3390/hydrology10100196</w:t>
        </w:r>
      </w:hyperlink>
      <w:r w:rsidRPr="000028AD">
        <w:rPr>
          <w:rFonts w:ascii="Times New Roman" w:hAnsi="Times New Roman" w:cs="Times New Roman"/>
        </w:rPr>
        <w:t xml:space="preserve"> </w:t>
      </w:r>
    </w:p>
    <w:p w14:paraId="3E5111C7" w14:textId="77777777" w:rsidR="000028AD" w:rsidRPr="000028AD" w:rsidRDefault="000028AD" w:rsidP="00C84C42">
      <w:pPr>
        <w:pStyle w:val="ListParagraph"/>
        <w:numPr>
          <w:ilvl w:val="0"/>
          <w:numId w:val="3"/>
        </w:numPr>
        <w:spacing w:after="0" w:line="360" w:lineRule="auto"/>
        <w:ind w:left="709" w:hanging="643"/>
        <w:jc w:val="both"/>
        <w:rPr>
          <w:rFonts w:ascii="Times New Roman" w:hAnsi="Times New Roman" w:cs="Times New Roman"/>
        </w:rPr>
      </w:pPr>
      <w:r w:rsidRPr="00C84C42">
        <w:rPr>
          <w:rFonts w:ascii="Times New Roman" w:hAnsi="Times New Roman" w:cs="Times New Roman"/>
        </w:rPr>
        <w:t>Nitin Bassi, </w:t>
      </w:r>
      <w:bookmarkStart w:id="3" w:name="baut0010-profile"/>
      <w:r w:rsidRPr="00C84C42">
        <w:rPr>
          <w:rFonts w:ascii="Times New Roman" w:hAnsi="Times New Roman" w:cs="Times New Roman"/>
        </w:rPr>
        <w:t>M. Dinesh Kumar</w:t>
      </w:r>
      <w:bookmarkEnd w:id="3"/>
      <w:r w:rsidRPr="00C84C42">
        <w:rPr>
          <w:rFonts w:ascii="Times New Roman" w:hAnsi="Times New Roman" w:cs="Times New Roman"/>
        </w:rPr>
        <w:t>, Anuradha Sharma, </w:t>
      </w:r>
      <w:bookmarkStart w:id="4" w:name="baut0020-profile"/>
      <w:r w:rsidRPr="00C84C42">
        <w:rPr>
          <w:rFonts w:ascii="Times New Roman" w:hAnsi="Times New Roman" w:cs="Times New Roman"/>
        </w:rPr>
        <w:t>P. Pardha-</w:t>
      </w:r>
      <w:proofErr w:type="spellStart"/>
      <w:r w:rsidRPr="00C84C42">
        <w:rPr>
          <w:rFonts w:ascii="Times New Roman" w:hAnsi="Times New Roman" w:cs="Times New Roman"/>
        </w:rPr>
        <w:t>Saradhi</w:t>
      </w:r>
      <w:bookmarkEnd w:id="4"/>
      <w:proofErr w:type="spellEnd"/>
      <w:r w:rsidRPr="00C84C42">
        <w:rPr>
          <w:rFonts w:ascii="Times New Roman" w:hAnsi="Times New Roman" w:cs="Times New Roman"/>
        </w:rPr>
        <w:t xml:space="preserve"> (2014). Status of wetlands in India: A review of extent, ecosystem benefits, threats and management strategies. </w:t>
      </w:r>
      <w:r w:rsidRPr="00C84C42">
        <w:rPr>
          <w:rFonts w:ascii="Times New Roman" w:hAnsi="Times New Roman" w:cs="Times New Roman"/>
          <w:i/>
          <w:iCs/>
        </w:rPr>
        <w:t>Journal of Hydrology: Regional Studies</w:t>
      </w:r>
      <w:r w:rsidRPr="00C84C42">
        <w:rPr>
          <w:rFonts w:ascii="Times New Roman" w:hAnsi="Times New Roman" w:cs="Times New Roman"/>
        </w:rPr>
        <w:t xml:space="preserve">. 2: 1-19. </w:t>
      </w:r>
      <w:hyperlink r:id="rId30" w:tgtFrame="_blank" w:tooltip="Persistent link using digital object identifier" w:history="1">
        <w:r w:rsidRPr="00F64F9F">
          <w:rPr>
            <w:rStyle w:val="Hyperlink"/>
            <w:rFonts w:ascii="Times New Roman" w:hAnsi="Times New Roman" w:cs="Times New Roman"/>
          </w:rPr>
          <w:t>https://doi.org/10.1016/j.ejrh.2014.07.001</w:t>
        </w:r>
      </w:hyperlink>
    </w:p>
    <w:p w14:paraId="4723DE74" w14:textId="77777777" w:rsidR="000028AD" w:rsidRPr="001A7B2B" w:rsidRDefault="000028AD" w:rsidP="00D33116">
      <w:pPr>
        <w:pStyle w:val="ListParagraph"/>
        <w:numPr>
          <w:ilvl w:val="0"/>
          <w:numId w:val="3"/>
        </w:numPr>
        <w:spacing w:after="0" w:line="360" w:lineRule="auto"/>
        <w:ind w:left="709" w:hanging="643"/>
        <w:jc w:val="both"/>
        <w:rPr>
          <w:rFonts w:ascii="Times New Roman" w:hAnsi="Times New Roman" w:cs="Times New Roman"/>
        </w:rPr>
      </w:pPr>
      <w:r w:rsidRPr="001A7B2B">
        <w:rPr>
          <w:rFonts w:ascii="Times New Roman" w:hAnsi="Times New Roman" w:cs="Times New Roman"/>
        </w:rPr>
        <w:t xml:space="preserve">Ramsar Convention Secretariat. (2021). </w:t>
      </w:r>
      <w:r w:rsidRPr="001A7B2B">
        <w:rPr>
          <w:rFonts w:ascii="Times New Roman" w:hAnsi="Times New Roman" w:cs="Times New Roman"/>
          <w:i/>
          <w:iCs/>
        </w:rPr>
        <w:t>Global Wetland Outlook: Special Edition 2021</w:t>
      </w:r>
      <w:r w:rsidRPr="001A7B2B">
        <w:rPr>
          <w:rFonts w:ascii="Times New Roman" w:hAnsi="Times New Roman" w:cs="Times New Roman"/>
        </w:rPr>
        <w:t>.</w:t>
      </w:r>
      <w:r>
        <w:rPr>
          <w:rFonts w:ascii="Times New Roman" w:hAnsi="Times New Roman" w:cs="Times New Roman"/>
        </w:rPr>
        <w:t xml:space="preserve"> </w:t>
      </w:r>
      <w:hyperlink r:id="rId31" w:history="1">
        <w:r w:rsidRPr="00830801">
          <w:rPr>
            <w:rStyle w:val="Hyperlink"/>
            <w:rFonts w:ascii="Times New Roman" w:hAnsi="Times New Roman" w:cs="Times New Roman"/>
          </w:rPr>
          <w:t>https://www.ramsar.org/document/global-wetland-outlook-special-edition-2021</w:t>
        </w:r>
      </w:hyperlink>
      <w:r>
        <w:rPr>
          <w:rFonts w:ascii="Times New Roman" w:hAnsi="Times New Roman" w:cs="Times New Roman"/>
        </w:rPr>
        <w:t xml:space="preserve"> </w:t>
      </w:r>
    </w:p>
    <w:p w14:paraId="4619D5D7" w14:textId="77777777" w:rsidR="000028AD" w:rsidRPr="00A81F70" w:rsidRDefault="000028AD" w:rsidP="002978BB">
      <w:pPr>
        <w:pStyle w:val="ListParagraph"/>
        <w:numPr>
          <w:ilvl w:val="0"/>
          <w:numId w:val="3"/>
        </w:numPr>
        <w:spacing w:after="0" w:line="360" w:lineRule="auto"/>
        <w:ind w:left="709" w:hanging="643"/>
        <w:jc w:val="both"/>
        <w:rPr>
          <w:rFonts w:ascii="Times New Roman" w:hAnsi="Times New Roman" w:cs="Times New Roman"/>
        </w:rPr>
      </w:pPr>
      <w:r w:rsidRPr="00C84C42">
        <w:rPr>
          <w:rFonts w:ascii="Times New Roman" w:hAnsi="Times New Roman" w:cs="Times New Roman"/>
        </w:rPr>
        <w:t xml:space="preserve">Ravinesh, R., Biju Kumar, A., &amp; Anjana, V.L. (2021). Diversity and distribution of molluscan fauna in </w:t>
      </w:r>
      <w:proofErr w:type="spellStart"/>
      <w:r w:rsidRPr="00C84C42">
        <w:rPr>
          <w:rFonts w:ascii="Times New Roman" w:hAnsi="Times New Roman" w:cs="Times New Roman"/>
        </w:rPr>
        <w:t>Ashtamudi</w:t>
      </w:r>
      <w:proofErr w:type="spellEnd"/>
      <w:r w:rsidRPr="00C84C42">
        <w:rPr>
          <w:rFonts w:ascii="Times New Roman" w:hAnsi="Times New Roman" w:cs="Times New Roman"/>
        </w:rPr>
        <w:t xml:space="preserve"> Estuary. </w:t>
      </w:r>
      <w:r w:rsidRPr="00C84C42">
        <w:rPr>
          <w:rFonts w:ascii="Times New Roman" w:hAnsi="Times New Roman" w:cs="Times New Roman"/>
          <w:i/>
          <w:iCs/>
        </w:rPr>
        <w:t>Wetlands Ecology and Management</w:t>
      </w:r>
      <w:r w:rsidRPr="00C84C42">
        <w:rPr>
          <w:rFonts w:ascii="Times New Roman" w:hAnsi="Times New Roman" w:cs="Times New Roman"/>
        </w:rPr>
        <w:t>, 29, 745</w:t>
      </w:r>
      <w:r>
        <w:rPr>
          <w:rFonts w:ascii="Times New Roman" w:hAnsi="Times New Roman" w:cs="Times New Roman"/>
        </w:rPr>
        <w:t>-</w:t>
      </w:r>
      <w:r w:rsidRPr="00C84C42">
        <w:rPr>
          <w:rFonts w:ascii="Times New Roman" w:hAnsi="Times New Roman" w:cs="Times New Roman"/>
        </w:rPr>
        <w:t xml:space="preserve">765. </w:t>
      </w:r>
      <w:hyperlink r:id="rId32" w:history="1">
        <w:r w:rsidRPr="00A81F70">
          <w:rPr>
            <w:rStyle w:val="Hyperlink"/>
            <w:rFonts w:ascii="Times New Roman" w:hAnsi="Times New Roman" w:cs="Times New Roman"/>
          </w:rPr>
          <w:t>https://doi.org/10.1007/s11273-021-09791-y</w:t>
        </w:r>
      </w:hyperlink>
      <w:r>
        <w:t xml:space="preserve"> </w:t>
      </w:r>
    </w:p>
    <w:p w14:paraId="682D80CE" w14:textId="77777777" w:rsidR="000028AD" w:rsidRDefault="000028AD" w:rsidP="00F64F9F">
      <w:pPr>
        <w:pStyle w:val="ListParagraph"/>
        <w:numPr>
          <w:ilvl w:val="0"/>
          <w:numId w:val="3"/>
        </w:numPr>
        <w:spacing w:after="0" w:line="360" w:lineRule="auto"/>
        <w:ind w:left="709" w:hanging="643"/>
        <w:jc w:val="both"/>
        <w:rPr>
          <w:rFonts w:ascii="Times New Roman" w:hAnsi="Times New Roman" w:cs="Times New Roman"/>
        </w:rPr>
      </w:pPr>
      <w:proofErr w:type="spellStart"/>
      <w:r w:rsidRPr="001A7B2B">
        <w:rPr>
          <w:rFonts w:ascii="Times New Roman" w:hAnsi="Times New Roman" w:cs="Times New Roman"/>
        </w:rPr>
        <w:t>Sreekumari</w:t>
      </w:r>
      <w:proofErr w:type="spellEnd"/>
      <w:r w:rsidRPr="001A7B2B">
        <w:rPr>
          <w:rFonts w:ascii="Times New Roman" w:hAnsi="Times New Roman" w:cs="Times New Roman"/>
        </w:rPr>
        <w:t xml:space="preserve">, V. M., John, S. E., Rajan, R. T., Kesavan, M., Kurian, S., &amp; Damodaran, P. (2016). Human interventions and consequent environmental degradation of a protected freshwater lake in Kerala, SW India. </w:t>
      </w:r>
      <w:r w:rsidRPr="001A7B2B">
        <w:rPr>
          <w:rFonts w:ascii="Times New Roman" w:hAnsi="Times New Roman" w:cs="Times New Roman"/>
          <w:i/>
          <w:iCs/>
        </w:rPr>
        <w:t>Geosciences Journal</w:t>
      </w:r>
      <w:r w:rsidRPr="001A7B2B">
        <w:rPr>
          <w:rFonts w:ascii="Times New Roman" w:hAnsi="Times New Roman" w:cs="Times New Roman"/>
        </w:rPr>
        <w:t>, 20 (3), 391</w:t>
      </w:r>
      <w:r>
        <w:rPr>
          <w:rFonts w:ascii="Times New Roman" w:hAnsi="Times New Roman" w:cs="Times New Roman"/>
        </w:rPr>
        <w:t>-</w:t>
      </w:r>
      <w:r w:rsidRPr="001A7B2B">
        <w:rPr>
          <w:rFonts w:ascii="Times New Roman" w:hAnsi="Times New Roman" w:cs="Times New Roman"/>
        </w:rPr>
        <w:t xml:space="preserve">402. </w:t>
      </w:r>
      <w:hyperlink r:id="rId33" w:history="1">
        <w:r w:rsidRPr="00A21F5F">
          <w:rPr>
            <w:rStyle w:val="Hyperlink"/>
            <w:rFonts w:ascii="Times New Roman" w:hAnsi="Times New Roman" w:cs="Times New Roman"/>
          </w:rPr>
          <w:t>https://doi.org/10.1007/s12303-015-0049-7</w:t>
        </w:r>
      </w:hyperlink>
      <w:r>
        <w:rPr>
          <w:rFonts w:ascii="Times New Roman" w:hAnsi="Times New Roman" w:cs="Times New Roman"/>
        </w:rPr>
        <w:t xml:space="preserve"> </w:t>
      </w:r>
    </w:p>
    <w:p w14:paraId="34B347A9" w14:textId="77777777" w:rsidR="000028AD" w:rsidRPr="00E07B94" w:rsidRDefault="000028AD" w:rsidP="00E07B94">
      <w:pPr>
        <w:pStyle w:val="NormalWeb"/>
        <w:numPr>
          <w:ilvl w:val="0"/>
          <w:numId w:val="3"/>
        </w:numPr>
        <w:spacing w:before="0" w:beforeAutospacing="0" w:after="0" w:afterAutospacing="0" w:line="360" w:lineRule="auto"/>
        <w:ind w:left="709" w:hanging="643"/>
        <w:jc w:val="both"/>
      </w:pPr>
      <w:r w:rsidRPr="00C84C42">
        <w:t xml:space="preserve">Sudeshna Mukherjee &amp; Sujit Kumar Mandal (2023). </w:t>
      </w:r>
      <w:r w:rsidRPr="00C84C42">
        <w:rPr>
          <w:rFonts w:eastAsiaTheme="minorHAnsi"/>
        </w:rPr>
        <w:t>Quantitative Analysis of Aquatic and Associated Macrophytes in Selected Wetlands of North Dinajpur District, West Bengal</w:t>
      </w:r>
      <w:r w:rsidRPr="00C84C42">
        <w:t>. 10(3): 205-211</w:t>
      </w:r>
      <w:r w:rsidRPr="00E07B94">
        <w:t xml:space="preserve">. </w:t>
      </w:r>
      <w:hyperlink r:id="rId34" w:history="1">
        <w:r w:rsidRPr="00E07B94">
          <w:rPr>
            <w:rStyle w:val="Hyperlink"/>
          </w:rPr>
          <w:t>https://doi.org/10.32628/IJSRSET2310253</w:t>
        </w:r>
      </w:hyperlink>
      <w:r w:rsidRPr="00E07B94">
        <w:t xml:space="preserve"> </w:t>
      </w:r>
    </w:p>
    <w:p w14:paraId="5CD0FCA7" w14:textId="77777777" w:rsidR="000028AD" w:rsidRPr="001A7B2B" w:rsidRDefault="000028AD" w:rsidP="00D33116">
      <w:pPr>
        <w:pStyle w:val="ListParagraph"/>
        <w:numPr>
          <w:ilvl w:val="0"/>
          <w:numId w:val="3"/>
        </w:numPr>
        <w:spacing w:after="0" w:line="360" w:lineRule="auto"/>
        <w:ind w:left="709" w:hanging="643"/>
        <w:jc w:val="both"/>
        <w:rPr>
          <w:rFonts w:ascii="Times New Roman" w:hAnsi="Times New Roman" w:cs="Times New Roman"/>
        </w:rPr>
      </w:pPr>
      <w:proofErr w:type="spellStart"/>
      <w:r w:rsidRPr="00C84C42">
        <w:rPr>
          <w:rFonts w:ascii="Times New Roman" w:hAnsi="Times New Roman" w:cs="Times New Roman"/>
        </w:rPr>
        <w:t>Wolfslehner</w:t>
      </w:r>
      <w:proofErr w:type="spellEnd"/>
      <w:r w:rsidRPr="00C84C42">
        <w:rPr>
          <w:rFonts w:ascii="Times New Roman" w:hAnsi="Times New Roman" w:cs="Times New Roman"/>
        </w:rPr>
        <w:t xml:space="preserve">, B., &amp; </w:t>
      </w:r>
      <w:proofErr w:type="spellStart"/>
      <w:r w:rsidRPr="00C84C42">
        <w:rPr>
          <w:rFonts w:ascii="Times New Roman" w:hAnsi="Times New Roman" w:cs="Times New Roman"/>
        </w:rPr>
        <w:t>Vacik</w:t>
      </w:r>
      <w:proofErr w:type="spellEnd"/>
      <w:r w:rsidRPr="00C84C42">
        <w:rPr>
          <w:rFonts w:ascii="Times New Roman" w:hAnsi="Times New Roman" w:cs="Times New Roman"/>
        </w:rPr>
        <w:t xml:space="preserve">, H. (2011). Mapping indicator models: From intuitive problem structuring to quantified decision-making in sustainable forest management. </w:t>
      </w:r>
      <w:r w:rsidRPr="00C84C42">
        <w:rPr>
          <w:rFonts w:ascii="Times New Roman" w:hAnsi="Times New Roman" w:cs="Times New Roman"/>
          <w:i/>
          <w:iCs/>
        </w:rPr>
        <w:t>Ecological Indicators</w:t>
      </w:r>
      <w:r w:rsidRPr="00C84C42">
        <w:rPr>
          <w:rFonts w:ascii="Times New Roman" w:hAnsi="Times New Roman" w:cs="Times New Roman"/>
        </w:rPr>
        <w:t xml:space="preserve">, 11, 274–283. </w:t>
      </w:r>
      <w:hyperlink r:id="rId35" w:history="1">
        <w:r w:rsidRPr="00A21F5F">
          <w:rPr>
            <w:rStyle w:val="Hyperlink"/>
            <w:rFonts w:ascii="Times New Roman" w:hAnsi="Times New Roman" w:cs="Times New Roman"/>
          </w:rPr>
          <w:t>https://doi.org/10.1016/j.ecolind.2010.05.004</w:t>
        </w:r>
      </w:hyperlink>
    </w:p>
    <w:p w14:paraId="58797FD6" w14:textId="77777777" w:rsidR="000028AD" w:rsidRPr="004E3FB7" w:rsidRDefault="000028AD" w:rsidP="00F64F9F">
      <w:pPr>
        <w:pStyle w:val="ListParagraph"/>
        <w:numPr>
          <w:ilvl w:val="0"/>
          <w:numId w:val="3"/>
        </w:numPr>
        <w:spacing w:after="0" w:line="360" w:lineRule="auto"/>
        <w:ind w:left="709" w:hanging="643"/>
        <w:jc w:val="both"/>
        <w:rPr>
          <w:rFonts w:ascii="Times New Roman" w:hAnsi="Times New Roman" w:cs="Times New Roman"/>
          <w:color w:val="EE0000"/>
        </w:rPr>
      </w:pPr>
      <w:r w:rsidRPr="00C84C42">
        <w:rPr>
          <w:rFonts w:ascii="Times New Roman" w:hAnsi="Times New Roman" w:cs="Times New Roman"/>
        </w:rPr>
        <w:t>Xibao Xu, Minkun Chen, </w:t>
      </w:r>
      <w:bookmarkStart w:id="5" w:name="bau3-profile"/>
      <w:r w:rsidRPr="00C84C42">
        <w:rPr>
          <w:rFonts w:ascii="Times New Roman" w:hAnsi="Times New Roman" w:cs="Times New Roman"/>
        </w:rPr>
        <w:t>Guishan Yang</w:t>
      </w:r>
      <w:bookmarkEnd w:id="5"/>
      <w:r w:rsidRPr="00C84C42">
        <w:rPr>
          <w:rFonts w:ascii="Times New Roman" w:hAnsi="Times New Roman" w:cs="Times New Roman"/>
        </w:rPr>
        <w:t>, </w:t>
      </w:r>
      <w:bookmarkStart w:id="6" w:name="bau4-profile"/>
      <w:r w:rsidRPr="00C84C42">
        <w:rPr>
          <w:rFonts w:ascii="Times New Roman" w:hAnsi="Times New Roman" w:cs="Times New Roman"/>
        </w:rPr>
        <w:t>Bo Jiang</w:t>
      </w:r>
      <w:bookmarkEnd w:id="6"/>
      <w:r w:rsidRPr="00C84C42">
        <w:rPr>
          <w:rFonts w:ascii="Times New Roman" w:hAnsi="Times New Roman" w:cs="Times New Roman"/>
        </w:rPr>
        <w:t>, Ji Zhang. (2020). Wetland ecosystem services research: A critical review. Global Ecology and Conservation. 22: 1-10</w:t>
      </w:r>
      <w:r w:rsidRPr="00F64F9F">
        <w:rPr>
          <w:rFonts w:ascii="Times New Roman" w:hAnsi="Times New Roman" w:cs="Times New Roman"/>
          <w:color w:val="00B050"/>
        </w:rPr>
        <w:t xml:space="preserve">. </w:t>
      </w:r>
      <w:hyperlink r:id="rId36" w:tgtFrame="_blank" w:tooltip="Persistent link using digital object identifier" w:history="1">
        <w:r w:rsidRPr="00F64F9F">
          <w:rPr>
            <w:rStyle w:val="Hyperlink"/>
            <w:rFonts w:ascii="Times New Roman" w:hAnsi="Times New Roman" w:cs="Times New Roman"/>
          </w:rPr>
          <w:t>https://doi.org/10.1016/j.gecco.2020.e01027</w:t>
        </w:r>
      </w:hyperlink>
    </w:p>
    <w:p w14:paraId="1EDA1FC3" w14:textId="21CC3D62" w:rsidR="004E3FB7" w:rsidRDefault="004E3FB7" w:rsidP="00F64F9F">
      <w:pPr>
        <w:pStyle w:val="ListParagraph"/>
        <w:numPr>
          <w:ilvl w:val="0"/>
          <w:numId w:val="3"/>
        </w:numPr>
        <w:spacing w:after="0" w:line="360" w:lineRule="auto"/>
        <w:ind w:left="709" w:hanging="643"/>
        <w:jc w:val="both"/>
        <w:rPr>
          <w:rFonts w:ascii="Times New Roman" w:hAnsi="Times New Roman" w:cs="Times New Roman"/>
          <w:color w:val="EE0000"/>
        </w:rPr>
      </w:pPr>
      <w:r w:rsidRPr="004E3FB7">
        <w:rPr>
          <w:rFonts w:ascii="Times New Roman" w:hAnsi="Times New Roman" w:cs="Times New Roman"/>
          <w:color w:val="EE0000"/>
        </w:rPr>
        <w:t xml:space="preserve">Elith, J., et al. (2006). Novel methods improve prediction of species’ distributions from occurrence data. </w:t>
      </w:r>
      <w:proofErr w:type="spellStart"/>
      <w:r w:rsidRPr="004E3FB7">
        <w:rPr>
          <w:rFonts w:ascii="Times New Roman" w:hAnsi="Times New Roman" w:cs="Times New Roman"/>
          <w:i/>
          <w:iCs/>
          <w:color w:val="EE0000"/>
        </w:rPr>
        <w:t>Ecography</w:t>
      </w:r>
      <w:proofErr w:type="spellEnd"/>
      <w:r w:rsidRPr="004E3FB7">
        <w:rPr>
          <w:rFonts w:ascii="Times New Roman" w:hAnsi="Times New Roman" w:cs="Times New Roman"/>
          <w:color w:val="EE0000"/>
        </w:rPr>
        <w:t xml:space="preserve">, 29, 129–151. </w:t>
      </w:r>
      <w:hyperlink r:id="rId37" w:history="1">
        <w:r w:rsidR="00E93C4A" w:rsidRPr="00E831A0">
          <w:rPr>
            <w:rStyle w:val="Hyperlink"/>
            <w:rFonts w:ascii="Times New Roman" w:hAnsi="Times New Roman" w:cs="Times New Roman"/>
          </w:rPr>
          <w:t>https://doi.org/10.1111/j.2006.0906-7590.04596.x</w:t>
        </w:r>
      </w:hyperlink>
    </w:p>
    <w:p w14:paraId="55A020DB" w14:textId="6157B730" w:rsidR="00E93C4A" w:rsidRDefault="00E93C4A" w:rsidP="00F64F9F">
      <w:pPr>
        <w:pStyle w:val="ListParagraph"/>
        <w:numPr>
          <w:ilvl w:val="0"/>
          <w:numId w:val="3"/>
        </w:numPr>
        <w:spacing w:after="0" w:line="360" w:lineRule="auto"/>
        <w:ind w:left="709" w:hanging="643"/>
        <w:jc w:val="both"/>
        <w:rPr>
          <w:rFonts w:ascii="Times New Roman" w:hAnsi="Times New Roman" w:cs="Times New Roman"/>
          <w:color w:val="EE0000"/>
        </w:rPr>
      </w:pPr>
      <w:r w:rsidRPr="00E93C4A">
        <w:rPr>
          <w:rFonts w:ascii="Times New Roman" w:hAnsi="Times New Roman" w:cs="Times New Roman"/>
          <w:color w:val="EE0000"/>
        </w:rPr>
        <w:t xml:space="preserve">Phillips, S. J., &amp; </w:t>
      </w:r>
      <w:proofErr w:type="spellStart"/>
      <w:r w:rsidRPr="00E93C4A">
        <w:rPr>
          <w:rFonts w:ascii="Times New Roman" w:hAnsi="Times New Roman" w:cs="Times New Roman"/>
          <w:color w:val="EE0000"/>
        </w:rPr>
        <w:t>Dudík</w:t>
      </w:r>
      <w:proofErr w:type="spellEnd"/>
      <w:r w:rsidRPr="00E93C4A">
        <w:rPr>
          <w:rFonts w:ascii="Times New Roman" w:hAnsi="Times New Roman" w:cs="Times New Roman"/>
          <w:color w:val="EE0000"/>
        </w:rPr>
        <w:t xml:space="preserve">, M. (2008). </w:t>
      </w:r>
      <w:proofErr w:type="spellStart"/>
      <w:r w:rsidRPr="00E93C4A">
        <w:rPr>
          <w:rFonts w:ascii="Times New Roman" w:hAnsi="Times New Roman" w:cs="Times New Roman"/>
          <w:color w:val="EE0000"/>
        </w:rPr>
        <w:t>Modeling</w:t>
      </w:r>
      <w:proofErr w:type="spellEnd"/>
      <w:r w:rsidRPr="00E93C4A">
        <w:rPr>
          <w:rFonts w:ascii="Times New Roman" w:hAnsi="Times New Roman" w:cs="Times New Roman"/>
          <w:color w:val="EE0000"/>
        </w:rPr>
        <w:t xml:space="preserve"> of species distributions with </w:t>
      </w:r>
      <w:proofErr w:type="spellStart"/>
      <w:r w:rsidRPr="00E93C4A">
        <w:rPr>
          <w:rFonts w:ascii="Times New Roman" w:hAnsi="Times New Roman" w:cs="Times New Roman"/>
          <w:color w:val="EE0000"/>
        </w:rPr>
        <w:t>MaxEnt</w:t>
      </w:r>
      <w:proofErr w:type="spellEnd"/>
      <w:r w:rsidRPr="00E93C4A">
        <w:rPr>
          <w:rFonts w:ascii="Times New Roman" w:hAnsi="Times New Roman" w:cs="Times New Roman"/>
          <w:color w:val="EE0000"/>
        </w:rPr>
        <w:t xml:space="preserve">: new extensions and a comprehensive evaluation. </w:t>
      </w:r>
      <w:proofErr w:type="spellStart"/>
      <w:r w:rsidRPr="00E93C4A">
        <w:rPr>
          <w:rFonts w:ascii="Times New Roman" w:hAnsi="Times New Roman" w:cs="Times New Roman"/>
          <w:i/>
          <w:iCs/>
          <w:color w:val="EE0000"/>
        </w:rPr>
        <w:t>Ecography</w:t>
      </w:r>
      <w:proofErr w:type="spellEnd"/>
      <w:r w:rsidRPr="00E93C4A">
        <w:rPr>
          <w:rFonts w:ascii="Times New Roman" w:hAnsi="Times New Roman" w:cs="Times New Roman"/>
          <w:color w:val="EE0000"/>
        </w:rPr>
        <w:t xml:space="preserve">, 31, 161–175. </w:t>
      </w:r>
      <w:hyperlink r:id="rId38" w:tgtFrame="_new" w:history="1">
        <w:r w:rsidRPr="00E93C4A">
          <w:rPr>
            <w:rStyle w:val="Hyperlink"/>
            <w:rFonts w:ascii="Times New Roman" w:hAnsi="Times New Roman" w:cs="Times New Roman"/>
          </w:rPr>
          <w:t>https://doi.org/10.1111/j.0906-7590.2008.5203.x</w:t>
        </w:r>
      </w:hyperlink>
    </w:p>
    <w:p w14:paraId="791A2784" w14:textId="3517492D" w:rsidR="00E93C4A" w:rsidRPr="00E93C4A" w:rsidRDefault="00E93C4A" w:rsidP="00F64F9F">
      <w:pPr>
        <w:pStyle w:val="ListParagraph"/>
        <w:numPr>
          <w:ilvl w:val="0"/>
          <w:numId w:val="3"/>
        </w:numPr>
        <w:spacing w:after="0" w:line="360" w:lineRule="auto"/>
        <w:ind w:left="709" w:hanging="643"/>
        <w:jc w:val="both"/>
        <w:rPr>
          <w:rFonts w:ascii="Times New Roman" w:hAnsi="Times New Roman" w:cs="Times New Roman"/>
          <w:color w:val="EE0000"/>
        </w:rPr>
      </w:pPr>
      <w:r w:rsidRPr="00E93C4A">
        <w:rPr>
          <w:rFonts w:ascii="Times New Roman" w:hAnsi="Times New Roman" w:cs="Times New Roman"/>
          <w:color w:val="EE0000"/>
        </w:rPr>
        <w:lastRenderedPageBreak/>
        <w:t xml:space="preserve">Olden, J. D., Lawler, J. J., &amp; Poff, N. L. (2008). </w:t>
      </w:r>
      <w:r w:rsidRPr="00E93C4A">
        <w:rPr>
          <w:rFonts w:ascii="Times New Roman" w:hAnsi="Times New Roman" w:cs="Times New Roman"/>
          <w:i/>
          <w:iCs/>
          <w:color w:val="EE0000"/>
        </w:rPr>
        <w:t>Machine learning methods without tears: a primer for ecologists.</w:t>
      </w:r>
      <w:r w:rsidRPr="00E93C4A">
        <w:rPr>
          <w:rFonts w:ascii="Times New Roman" w:hAnsi="Times New Roman" w:cs="Times New Roman"/>
          <w:color w:val="EE0000"/>
        </w:rPr>
        <w:t xml:space="preserve"> The Quarterly Review of Biology, 83(2), 171–193. </w:t>
      </w:r>
      <w:hyperlink r:id="rId39" w:history="1">
        <w:r w:rsidRPr="00E831A0">
          <w:rPr>
            <w:rStyle w:val="Hyperlink"/>
            <w:rFonts w:ascii="Times New Roman" w:hAnsi="Times New Roman" w:cs="Times New Roman"/>
          </w:rPr>
          <w:t>https://doi.org/10.1086/587826</w:t>
        </w:r>
      </w:hyperlink>
      <w:r>
        <w:rPr>
          <w:rFonts w:ascii="Times New Roman" w:hAnsi="Times New Roman" w:cs="Times New Roman"/>
          <w:color w:val="EE0000"/>
        </w:rPr>
        <w:t xml:space="preserve"> </w:t>
      </w:r>
    </w:p>
    <w:sectPr w:rsidR="00E93C4A" w:rsidRPr="00E93C4A">
      <w:headerReference w:type="even" r:id="rId40"/>
      <w:headerReference w:type="default" r:id="rId41"/>
      <w:footerReference w:type="even" r:id="rId42"/>
      <w:footerReference w:type="default" r:id="rId43"/>
      <w:headerReference w:type="first" r:id="rId44"/>
      <w:footerReference w:type="firs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0BA8D" w14:textId="77777777" w:rsidR="00506565" w:rsidRDefault="00506565" w:rsidP="00803F39">
      <w:pPr>
        <w:spacing w:after="0" w:line="240" w:lineRule="auto"/>
      </w:pPr>
      <w:r>
        <w:separator/>
      </w:r>
    </w:p>
  </w:endnote>
  <w:endnote w:type="continuationSeparator" w:id="0">
    <w:p w14:paraId="1A97706E" w14:textId="77777777" w:rsidR="00506565" w:rsidRDefault="00506565" w:rsidP="0080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59AA9" w14:textId="77777777" w:rsidR="005F5766" w:rsidRDefault="005F57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644832"/>
      <w:docPartObj>
        <w:docPartGallery w:val="Page Numbers (Bottom of Page)"/>
        <w:docPartUnique/>
      </w:docPartObj>
    </w:sdtPr>
    <w:sdtEndPr>
      <w:rPr>
        <w:noProof/>
      </w:rPr>
    </w:sdtEndPr>
    <w:sdtContent>
      <w:p w14:paraId="5C5ED896" w14:textId="55AA17AD" w:rsidR="00803F39" w:rsidRDefault="00803F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34769A" w14:textId="77777777" w:rsidR="00803F39" w:rsidRDefault="00803F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B51B1" w14:textId="77777777" w:rsidR="005F5766" w:rsidRDefault="005F5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F37E6" w14:textId="77777777" w:rsidR="00506565" w:rsidRDefault="00506565" w:rsidP="00803F39">
      <w:pPr>
        <w:spacing w:after="0" w:line="240" w:lineRule="auto"/>
      </w:pPr>
      <w:r>
        <w:separator/>
      </w:r>
    </w:p>
  </w:footnote>
  <w:footnote w:type="continuationSeparator" w:id="0">
    <w:p w14:paraId="56983C47" w14:textId="77777777" w:rsidR="00506565" w:rsidRDefault="00506565" w:rsidP="00803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54797" w14:textId="5E25B119" w:rsidR="005F5766" w:rsidRDefault="00000000">
    <w:pPr>
      <w:pStyle w:val="Header"/>
    </w:pPr>
    <w:r>
      <w:rPr>
        <w:noProof/>
      </w:rPr>
      <w:pict w14:anchorId="07338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0938"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44CA" w14:textId="42AE8213" w:rsidR="005F5766" w:rsidRDefault="00000000">
    <w:pPr>
      <w:pStyle w:val="Header"/>
    </w:pPr>
    <w:r>
      <w:rPr>
        <w:noProof/>
      </w:rPr>
      <w:pict w14:anchorId="7DDA8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0939"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77F36" w14:textId="308F6E41" w:rsidR="005F5766" w:rsidRDefault="00000000">
    <w:pPr>
      <w:pStyle w:val="Header"/>
    </w:pPr>
    <w:r>
      <w:rPr>
        <w:noProof/>
      </w:rPr>
      <w:pict w14:anchorId="01E10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0937"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4775D"/>
    <w:multiLevelType w:val="hybridMultilevel"/>
    <w:tmpl w:val="F490FCC4"/>
    <w:lvl w:ilvl="0" w:tplc="AFC22BF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3D3149D"/>
    <w:multiLevelType w:val="multilevel"/>
    <w:tmpl w:val="E9CC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7F6345"/>
    <w:multiLevelType w:val="hybridMultilevel"/>
    <w:tmpl w:val="A5B4744A"/>
    <w:lvl w:ilvl="0" w:tplc="A9F4A312">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E0F0FB9"/>
    <w:multiLevelType w:val="multilevel"/>
    <w:tmpl w:val="A0DA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F84E8A"/>
    <w:multiLevelType w:val="hybridMultilevel"/>
    <w:tmpl w:val="6FFEE9C4"/>
    <w:lvl w:ilvl="0" w:tplc="4009000F">
      <w:start w:val="1"/>
      <w:numFmt w:val="decimal"/>
      <w:lvlText w:val="%1."/>
      <w:lvlJc w:val="left"/>
      <w:pPr>
        <w:ind w:left="1080" w:hanging="360"/>
      </w:pPr>
      <w:rPr>
        <w:rFonts w:hint="default"/>
        <w:color w:val="77206D" w:themeColor="accent5" w:themeShade="B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022390416">
    <w:abstractNumId w:val="1"/>
  </w:num>
  <w:num w:numId="2" w16cid:durableId="2112120634">
    <w:abstractNumId w:val="3"/>
  </w:num>
  <w:num w:numId="3" w16cid:durableId="1258714364">
    <w:abstractNumId w:val="0"/>
  </w:num>
  <w:num w:numId="4" w16cid:durableId="952251191">
    <w:abstractNumId w:val="4"/>
  </w:num>
  <w:num w:numId="5" w16cid:durableId="15262912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DD0"/>
    <w:rsid w:val="000028AD"/>
    <w:rsid w:val="000502A0"/>
    <w:rsid w:val="000508BE"/>
    <w:rsid w:val="00064E18"/>
    <w:rsid w:val="00073D9A"/>
    <w:rsid w:val="00081938"/>
    <w:rsid w:val="000975DD"/>
    <w:rsid w:val="000A205F"/>
    <w:rsid w:val="000C0D43"/>
    <w:rsid w:val="000E707F"/>
    <w:rsid w:val="00113547"/>
    <w:rsid w:val="00131C3D"/>
    <w:rsid w:val="00152685"/>
    <w:rsid w:val="00175237"/>
    <w:rsid w:val="00194F5C"/>
    <w:rsid w:val="001A7B2B"/>
    <w:rsid w:val="001B54D3"/>
    <w:rsid w:val="001C5076"/>
    <w:rsid w:val="001F2420"/>
    <w:rsid w:val="001F5F94"/>
    <w:rsid w:val="00200F64"/>
    <w:rsid w:val="00216FF9"/>
    <w:rsid w:val="00237B6B"/>
    <w:rsid w:val="00241815"/>
    <w:rsid w:val="00243CCF"/>
    <w:rsid w:val="00245D9B"/>
    <w:rsid w:val="0025602C"/>
    <w:rsid w:val="002C3D77"/>
    <w:rsid w:val="002E2EF3"/>
    <w:rsid w:val="002F4EA9"/>
    <w:rsid w:val="003437E5"/>
    <w:rsid w:val="00390F24"/>
    <w:rsid w:val="003B03C0"/>
    <w:rsid w:val="003F62F1"/>
    <w:rsid w:val="00410CA4"/>
    <w:rsid w:val="004154EC"/>
    <w:rsid w:val="00434049"/>
    <w:rsid w:val="00451844"/>
    <w:rsid w:val="004642E6"/>
    <w:rsid w:val="004B1514"/>
    <w:rsid w:val="004C3381"/>
    <w:rsid w:val="004E3FB7"/>
    <w:rsid w:val="004F2B47"/>
    <w:rsid w:val="004F47EA"/>
    <w:rsid w:val="005023D2"/>
    <w:rsid w:val="00503DC1"/>
    <w:rsid w:val="00506565"/>
    <w:rsid w:val="005161B4"/>
    <w:rsid w:val="00537E13"/>
    <w:rsid w:val="0054767B"/>
    <w:rsid w:val="00547B59"/>
    <w:rsid w:val="005748CF"/>
    <w:rsid w:val="0058259A"/>
    <w:rsid w:val="00584855"/>
    <w:rsid w:val="00594CE1"/>
    <w:rsid w:val="00597842"/>
    <w:rsid w:val="005E5ED8"/>
    <w:rsid w:val="005F5766"/>
    <w:rsid w:val="00600200"/>
    <w:rsid w:val="00612575"/>
    <w:rsid w:val="006132FE"/>
    <w:rsid w:val="00621D58"/>
    <w:rsid w:val="00631EDE"/>
    <w:rsid w:val="00656EB8"/>
    <w:rsid w:val="00687BBA"/>
    <w:rsid w:val="006921A7"/>
    <w:rsid w:val="006A05A6"/>
    <w:rsid w:val="006D0D18"/>
    <w:rsid w:val="0070010A"/>
    <w:rsid w:val="00700F89"/>
    <w:rsid w:val="007111CD"/>
    <w:rsid w:val="00752C88"/>
    <w:rsid w:val="00755CD4"/>
    <w:rsid w:val="00761A9F"/>
    <w:rsid w:val="007655D6"/>
    <w:rsid w:val="00765E9A"/>
    <w:rsid w:val="00794708"/>
    <w:rsid w:val="007B1180"/>
    <w:rsid w:val="007D0805"/>
    <w:rsid w:val="007D155D"/>
    <w:rsid w:val="00802880"/>
    <w:rsid w:val="00803F39"/>
    <w:rsid w:val="00865884"/>
    <w:rsid w:val="0089498F"/>
    <w:rsid w:val="008B79EC"/>
    <w:rsid w:val="008C10D7"/>
    <w:rsid w:val="008C25DC"/>
    <w:rsid w:val="0090102B"/>
    <w:rsid w:val="00924C7D"/>
    <w:rsid w:val="00997463"/>
    <w:rsid w:val="009C4AEF"/>
    <w:rsid w:val="00A00384"/>
    <w:rsid w:val="00A14283"/>
    <w:rsid w:val="00A33D1A"/>
    <w:rsid w:val="00A41DD0"/>
    <w:rsid w:val="00A60F6A"/>
    <w:rsid w:val="00A81F70"/>
    <w:rsid w:val="00A952E8"/>
    <w:rsid w:val="00AC1E02"/>
    <w:rsid w:val="00AE5D04"/>
    <w:rsid w:val="00B04BFD"/>
    <w:rsid w:val="00B06C0C"/>
    <w:rsid w:val="00B21D4F"/>
    <w:rsid w:val="00B334B4"/>
    <w:rsid w:val="00B46A6A"/>
    <w:rsid w:val="00B667C1"/>
    <w:rsid w:val="00BC1457"/>
    <w:rsid w:val="00BC5046"/>
    <w:rsid w:val="00BC6A31"/>
    <w:rsid w:val="00BD0005"/>
    <w:rsid w:val="00BD140F"/>
    <w:rsid w:val="00BF0C8F"/>
    <w:rsid w:val="00C03ACC"/>
    <w:rsid w:val="00C22D9D"/>
    <w:rsid w:val="00C813AE"/>
    <w:rsid w:val="00C84C42"/>
    <w:rsid w:val="00C87D68"/>
    <w:rsid w:val="00D03E73"/>
    <w:rsid w:val="00D32879"/>
    <w:rsid w:val="00D33116"/>
    <w:rsid w:val="00D4079F"/>
    <w:rsid w:val="00D451C8"/>
    <w:rsid w:val="00D64BBE"/>
    <w:rsid w:val="00D76BE8"/>
    <w:rsid w:val="00D86CEF"/>
    <w:rsid w:val="00D940DE"/>
    <w:rsid w:val="00DD1847"/>
    <w:rsid w:val="00DD7693"/>
    <w:rsid w:val="00E07B94"/>
    <w:rsid w:val="00E45748"/>
    <w:rsid w:val="00E51E71"/>
    <w:rsid w:val="00E74EF1"/>
    <w:rsid w:val="00E76A30"/>
    <w:rsid w:val="00E87EF5"/>
    <w:rsid w:val="00E917B5"/>
    <w:rsid w:val="00E93C4A"/>
    <w:rsid w:val="00E94442"/>
    <w:rsid w:val="00E94465"/>
    <w:rsid w:val="00E94F2F"/>
    <w:rsid w:val="00EB2E7C"/>
    <w:rsid w:val="00EB33F6"/>
    <w:rsid w:val="00EC5F2D"/>
    <w:rsid w:val="00EC63A0"/>
    <w:rsid w:val="00EC6ACA"/>
    <w:rsid w:val="00EF4E8F"/>
    <w:rsid w:val="00F13F5E"/>
    <w:rsid w:val="00F22192"/>
    <w:rsid w:val="00F32C44"/>
    <w:rsid w:val="00F64F9F"/>
    <w:rsid w:val="00F70B09"/>
    <w:rsid w:val="00F838DE"/>
    <w:rsid w:val="00F9733A"/>
    <w:rsid w:val="00FB374B"/>
    <w:rsid w:val="00FE4338"/>
    <w:rsid w:val="00FE51CB"/>
    <w:rsid w:val="00FE660B"/>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88F8D"/>
  <w15:chartTrackingRefBased/>
  <w15:docId w15:val="{4DEC25F7-EC2D-4378-AA3F-5EC6AA36B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1D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1D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1D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1D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1D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1D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1D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1D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1D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D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1D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1D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1D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1D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1D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1D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1D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1DD0"/>
    <w:rPr>
      <w:rFonts w:eastAsiaTheme="majorEastAsia" w:cstheme="majorBidi"/>
      <w:color w:val="272727" w:themeColor="text1" w:themeTint="D8"/>
    </w:rPr>
  </w:style>
  <w:style w:type="paragraph" w:styleId="Title">
    <w:name w:val="Title"/>
    <w:basedOn w:val="Normal"/>
    <w:next w:val="Normal"/>
    <w:link w:val="TitleChar"/>
    <w:uiPriority w:val="10"/>
    <w:qFormat/>
    <w:rsid w:val="00A41D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1D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1D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1D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1DD0"/>
    <w:pPr>
      <w:spacing w:before="160"/>
      <w:jc w:val="center"/>
    </w:pPr>
    <w:rPr>
      <w:i/>
      <w:iCs/>
      <w:color w:val="404040" w:themeColor="text1" w:themeTint="BF"/>
    </w:rPr>
  </w:style>
  <w:style w:type="character" w:customStyle="1" w:styleId="QuoteChar">
    <w:name w:val="Quote Char"/>
    <w:basedOn w:val="DefaultParagraphFont"/>
    <w:link w:val="Quote"/>
    <w:uiPriority w:val="29"/>
    <w:rsid w:val="00A41DD0"/>
    <w:rPr>
      <w:i/>
      <w:iCs/>
      <w:color w:val="404040" w:themeColor="text1" w:themeTint="BF"/>
    </w:rPr>
  </w:style>
  <w:style w:type="paragraph" w:styleId="ListParagraph">
    <w:name w:val="List Paragraph"/>
    <w:basedOn w:val="Normal"/>
    <w:uiPriority w:val="34"/>
    <w:qFormat/>
    <w:rsid w:val="00A41DD0"/>
    <w:pPr>
      <w:ind w:left="720"/>
      <w:contextualSpacing/>
    </w:pPr>
  </w:style>
  <w:style w:type="character" w:styleId="IntenseEmphasis">
    <w:name w:val="Intense Emphasis"/>
    <w:basedOn w:val="DefaultParagraphFont"/>
    <w:uiPriority w:val="21"/>
    <w:qFormat/>
    <w:rsid w:val="00A41DD0"/>
    <w:rPr>
      <w:i/>
      <w:iCs/>
      <w:color w:val="0F4761" w:themeColor="accent1" w:themeShade="BF"/>
    </w:rPr>
  </w:style>
  <w:style w:type="paragraph" w:styleId="IntenseQuote">
    <w:name w:val="Intense Quote"/>
    <w:basedOn w:val="Normal"/>
    <w:next w:val="Normal"/>
    <w:link w:val="IntenseQuoteChar"/>
    <w:uiPriority w:val="30"/>
    <w:qFormat/>
    <w:rsid w:val="00A41D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1DD0"/>
    <w:rPr>
      <w:i/>
      <w:iCs/>
      <w:color w:val="0F4761" w:themeColor="accent1" w:themeShade="BF"/>
    </w:rPr>
  </w:style>
  <w:style w:type="character" w:styleId="IntenseReference">
    <w:name w:val="Intense Reference"/>
    <w:basedOn w:val="DefaultParagraphFont"/>
    <w:uiPriority w:val="32"/>
    <w:qFormat/>
    <w:rsid w:val="00A41DD0"/>
    <w:rPr>
      <w:b/>
      <w:bCs/>
      <w:smallCaps/>
      <w:color w:val="0F4761" w:themeColor="accent1" w:themeShade="BF"/>
      <w:spacing w:val="5"/>
    </w:rPr>
  </w:style>
  <w:style w:type="table" w:styleId="TableGrid">
    <w:name w:val="Table Grid"/>
    <w:basedOn w:val="TableNormal"/>
    <w:uiPriority w:val="39"/>
    <w:rsid w:val="00584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3ACC"/>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styleId="Emphasis">
    <w:name w:val="Emphasis"/>
    <w:basedOn w:val="DefaultParagraphFont"/>
    <w:uiPriority w:val="20"/>
    <w:qFormat/>
    <w:rsid w:val="00C03ACC"/>
    <w:rPr>
      <w:i/>
      <w:iCs/>
    </w:rPr>
  </w:style>
  <w:style w:type="character" w:styleId="Hyperlink">
    <w:name w:val="Hyperlink"/>
    <w:basedOn w:val="DefaultParagraphFont"/>
    <w:uiPriority w:val="99"/>
    <w:unhideWhenUsed/>
    <w:rsid w:val="0090102B"/>
    <w:rPr>
      <w:color w:val="467886" w:themeColor="hyperlink"/>
      <w:u w:val="single"/>
    </w:rPr>
  </w:style>
  <w:style w:type="character" w:styleId="UnresolvedMention">
    <w:name w:val="Unresolved Mention"/>
    <w:basedOn w:val="DefaultParagraphFont"/>
    <w:uiPriority w:val="99"/>
    <w:semiHidden/>
    <w:unhideWhenUsed/>
    <w:rsid w:val="001F5F94"/>
    <w:rPr>
      <w:color w:val="605E5C"/>
      <w:shd w:val="clear" w:color="auto" w:fill="E1DFDD"/>
    </w:rPr>
  </w:style>
  <w:style w:type="paragraph" w:styleId="Header">
    <w:name w:val="header"/>
    <w:basedOn w:val="Normal"/>
    <w:link w:val="HeaderChar"/>
    <w:uiPriority w:val="99"/>
    <w:unhideWhenUsed/>
    <w:rsid w:val="0080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F39"/>
  </w:style>
  <w:style w:type="paragraph" w:styleId="Footer">
    <w:name w:val="footer"/>
    <w:basedOn w:val="Normal"/>
    <w:link w:val="FooterChar"/>
    <w:uiPriority w:val="99"/>
    <w:unhideWhenUsed/>
    <w:rsid w:val="0080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F39"/>
  </w:style>
  <w:style w:type="paragraph" w:styleId="NoSpacing">
    <w:name w:val="No Spacing"/>
    <w:uiPriority w:val="1"/>
    <w:qFormat/>
    <w:rsid w:val="00E87EF5"/>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10122">
      <w:bodyDiv w:val="1"/>
      <w:marLeft w:val="0"/>
      <w:marRight w:val="0"/>
      <w:marTop w:val="0"/>
      <w:marBottom w:val="0"/>
      <w:divBdr>
        <w:top w:val="none" w:sz="0" w:space="0" w:color="auto"/>
        <w:left w:val="none" w:sz="0" w:space="0" w:color="auto"/>
        <w:bottom w:val="none" w:sz="0" w:space="0" w:color="auto"/>
        <w:right w:val="none" w:sz="0" w:space="0" w:color="auto"/>
      </w:divBdr>
    </w:div>
    <w:div w:id="233005907">
      <w:bodyDiv w:val="1"/>
      <w:marLeft w:val="0"/>
      <w:marRight w:val="0"/>
      <w:marTop w:val="0"/>
      <w:marBottom w:val="0"/>
      <w:divBdr>
        <w:top w:val="none" w:sz="0" w:space="0" w:color="auto"/>
        <w:left w:val="none" w:sz="0" w:space="0" w:color="auto"/>
        <w:bottom w:val="none" w:sz="0" w:space="0" w:color="auto"/>
        <w:right w:val="none" w:sz="0" w:space="0" w:color="auto"/>
      </w:divBdr>
    </w:div>
    <w:div w:id="239994454">
      <w:bodyDiv w:val="1"/>
      <w:marLeft w:val="0"/>
      <w:marRight w:val="0"/>
      <w:marTop w:val="0"/>
      <w:marBottom w:val="0"/>
      <w:divBdr>
        <w:top w:val="none" w:sz="0" w:space="0" w:color="auto"/>
        <w:left w:val="none" w:sz="0" w:space="0" w:color="auto"/>
        <w:bottom w:val="none" w:sz="0" w:space="0" w:color="auto"/>
        <w:right w:val="none" w:sz="0" w:space="0" w:color="auto"/>
      </w:divBdr>
    </w:div>
    <w:div w:id="277489299">
      <w:bodyDiv w:val="1"/>
      <w:marLeft w:val="0"/>
      <w:marRight w:val="0"/>
      <w:marTop w:val="0"/>
      <w:marBottom w:val="0"/>
      <w:divBdr>
        <w:top w:val="none" w:sz="0" w:space="0" w:color="auto"/>
        <w:left w:val="none" w:sz="0" w:space="0" w:color="auto"/>
        <w:bottom w:val="none" w:sz="0" w:space="0" w:color="auto"/>
        <w:right w:val="none" w:sz="0" w:space="0" w:color="auto"/>
      </w:divBdr>
    </w:div>
    <w:div w:id="285743524">
      <w:bodyDiv w:val="1"/>
      <w:marLeft w:val="0"/>
      <w:marRight w:val="0"/>
      <w:marTop w:val="0"/>
      <w:marBottom w:val="0"/>
      <w:divBdr>
        <w:top w:val="none" w:sz="0" w:space="0" w:color="auto"/>
        <w:left w:val="none" w:sz="0" w:space="0" w:color="auto"/>
        <w:bottom w:val="none" w:sz="0" w:space="0" w:color="auto"/>
        <w:right w:val="none" w:sz="0" w:space="0" w:color="auto"/>
      </w:divBdr>
    </w:div>
    <w:div w:id="307562505">
      <w:bodyDiv w:val="1"/>
      <w:marLeft w:val="0"/>
      <w:marRight w:val="0"/>
      <w:marTop w:val="0"/>
      <w:marBottom w:val="0"/>
      <w:divBdr>
        <w:top w:val="none" w:sz="0" w:space="0" w:color="auto"/>
        <w:left w:val="none" w:sz="0" w:space="0" w:color="auto"/>
        <w:bottom w:val="none" w:sz="0" w:space="0" w:color="auto"/>
        <w:right w:val="none" w:sz="0" w:space="0" w:color="auto"/>
      </w:divBdr>
    </w:div>
    <w:div w:id="349841263">
      <w:bodyDiv w:val="1"/>
      <w:marLeft w:val="0"/>
      <w:marRight w:val="0"/>
      <w:marTop w:val="0"/>
      <w:marBottom w:val="0"/>
      <w:divBdr>
        <w:top w:val="none" w:sz="0" w:space="0" w:color="auto"/>
        <w:left w:val="none" w:sz="0" w:space="0" w:color="auto"/>
        <w:bottom w:val="none" w:sz="0" w:space="0" w:color="auto"/>
        <w:right w:val="none" w:sz="0" w:space="0" w:color="auto"/>
      </w:divBdr>
    </w:div>
    <w:div w:id="431753490">
      <w:bodyDiv w:val="1"/>
      <w:marLeft w:val="0"/>
      <w:marRight w:val="0"/>
      <w:marTop w:val="0"/>
      <w:marBottom w:val="0"/>
      <w:divBdr>
        <w:top w:val="none" w:sz="0" w:space="0" w:color="auto"/>
        <w:left w:val="none" w:sz="0" w:space="0" w:color="auto"/>
        <w:bottom w:val="none" w:sz="0" w:space="0" w:color="auto"/>
        <w:right w:val="none" w:sz="0" w:space="0" w:color="auto"/>
      </w:divBdr>
    </w:div>
    <w:div w:id="432675144">
      <w:bodyDiv w:val="1"/>
      <w:marLeft w:val="0"/>
      <w:marRight w:val="0"/>
      <w:marTop w:val="0"/>
      <w:marBottom w:val="0"/>
      <w:divBdr>
        <w:top w:val="none" w:sz="0" w:space="0" w:color="auto"/>
        <w:left w:val="none" w:sz="0" w:space="0" w:color="auto"/>
        <w:bottom w:val="none" w:sz="0" w:space="0" w:color="auto"/>
        <w:right w:val="none" w:sz="0" w:space="0" w:color="auto"/>
      </w:divBdr>
    </w:div>
    <w:div w:id="454643837">
      <w:bodyDiv w:val="1"/>
      <w:marLeft w:val="0"/>
      <w:marRight w:val="0"/>
      <w:marTop w:val="0"/>
      <w:marBottom w:val="0"/>
      <w:divBdr>
        <w:top w:val="none" w:sz="0" w:space="0" w:color="auto"/>
        <w:left w:val="none" w:sz="0" w:space="0" w:color="auto"/>
        <w:bottom w:val="none" w:sz="0" w:space="0" w:color="auto"/>
        <w:right w:val="none" w:sz="0" w:space="0" w:color="auto"/>
      </w:divBdr>
    </w:div>
    <w:div w:id="501051068">
      <w:bodyDiv w:val="1"/>
      <w:marLeft w:val="0"/>
      <w:marRight w:val="0"/>
      <w:marTop w:val="0"/>
      <w:marBottom w:val="0"/>
      <w:divBdr>
        <w:top w:val="none" w:sz="0" w:space="0" w:color="auto"/>
        <w:left w:val="none" w:sz="0" w:space="0" w:color="auto"/>
        <w:bottom w:val="none" w:sz="0" w:space="0" w:color="auto"/>
        <w:right w:val="none" w:sz="0" w:space="0" w:color="auto"/>
      </w:divBdr>
    </w:div>
    <w:div w:id="558058730">
      <w:bodyDiv w:val="1"/>
      <w:marLeft w:val="0"/>
      <w:marRight w:val="0"/>
      <w:marTop w:val="0"/>
      <w:marBottom w:val="0"/>
      <w:divBdr>
        <w:top w:val="none" w:sz="0" w:space="0" w:color="auto"/>
        <w:left w:val="none" w:sz="0" w:space="0" w:color="auto"/>
        <w:bottom w:val="none" w:sz="0" w:space="0" w:color="auto"/>
        <w:right w:val="none" w:sz="0" w:space="0" w:color="auto"/>
      </w:divBdr>
    </w:div>
    <w:div w:id="591478597">
      <w:bodyDiv w:val="1"/>
      <w:marLeft w:val="0"/>
      <w:marRight w:val="0"/>
      <w:marTop w:val="0"/>
      <w:marBottom w:val="0"/>
      <w:divBdr>
        <w:top w:val="none" w:sz="0" w:space="0" w:color="auto"/>
        <w:left w:val="none" w:sz="0" w:space="0" w:color="auto"/>
        <w:bottom w:val="none" w:sz="0" w:space="0" w:color="auto"/>
        <w:right w:val="none" w:sz="0" w:space="0" w:color="auto"/>
      </w:divBdr>
      <w:divsChild>
        <w:div w:id="30782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9239799">
          <w:blockQuote w:val="1"/>
          <w:marLeft w:val="720"/>
          <w:marRight w:val="720"/>
          <w:marTop w:val="100"/>
          <w:marBottom w:val="100"/>
          <w:divBdr>
            <w:top w:val="none" w:sz="0" w:space="0" w:color="auto"/>
            <w:left w:val="none" w:sz="0" w:space="0" w:color="auto"/>
            <w:bottom w:val="none" w:sz="0" w:space="0" w:color="auto"/>
            <w:right w:val="none" w:sz="0" w:space="0" w:color="auto"/>
          </w:divBdr>
        </w:div>
        <w:div w:id="585920262">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241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3371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5643229">
      <w:bodyDiv w:val="1"/>
      <w:marLeft w:val="0"/>
      <w:marRight w:val="0"/>
      <w:marTop w:val="0"/>
      <w:marBottom w:val="0"/>
      <w:divBdr>
        <w:top w:val="none" w:sz="0" w:space="0" w:color="auto"/>
        <w:left w:val="none" w:sz="0" w:space="0" w:color="auto"/>
        <w:bottom w:val="none" w:sz="0" w:space="0" w:color="auto"/>
        <w:right w:val="none" w:sz="0" w:space="0" w:color="auto"/>
      </w:divBdr>
    </w:div>
    <w:div w:id="721750033">
      <w:bodyDiv w:val="1"/>
      <w:marLeft w:val="0"/>
      <w:marRight w:val="0"/>
      <w:marTop w:val="0"/>
      <w:marBottom w:val="0"/>
      <w:divBdr>
        <w:top w:val="none" w:sz="0" w:space="0" w:color="auto"/>
        <w:left w:val="none" w:sz="0" w:space="0" w:color="auto"/>
        <w:bottom w:val="none" w:sz="0" w:space="0" w:color="auto"/>
        <w:right w:val="none" w:sz="0" w:space="0" w:color="auto"/>
      </w:divBdr>
    </w:div>
    <w:div w:id="732891406">
      <w:bodyDiv w:val="1"/>
      <w:marLeft w:val="0"/>
      <w:marRight w:val="0"/>
      <w:marTop w:val="0"/>
      <w:marBottom w:val="0"/>
      <w:divBdr>
        <w:top w:val="none" w:sz="0" w:space="0" w:color="auto"/>
        <w:left w:val="none" w:sz="0" w:space="0" w:color="auto"/>
        <w:bottom w:val="none" w:sz="0" w:space="0" w:color="auto"/>
        <w:right w:val="none" w:sz="0" w:space="0" w:color="auto"/>
      </w:divBdr>
    </w:div>
    <w:div w:id="746342835">
      <w:bodyDiv w:val="1"/>
      <w:marLeft w:val="0"/>
      <w:marRight w:val="0"/>
      <w:marTop w:val="0"/>
      <w:marBottom w:val="0"/>
      <w:divBdr>
        <w:top w:val="none" w:sz="0" w:space="0" w:color="auto"/>
        <w:left w:val="none" w:sz="0" w:space="0" w:color="auto"/>
        <w:bottom w:val="none" w:sz="0" w:space="0" w:color="auto"/>
        <w:right w:val="none" w:sz="0" w:space="0" w:color="auto"/>
      </w:divBdr>
    </w:div>
    <w:div w:id="769862470">
      <w:bodyDiv w:val="1"/>
      <w:marLeft w:val="0"/>
      <w:marRight w:val="0"/>
      <w:marTop w:val="0"/>
      <w:marBottom w:val="0"/>
      <w:divBdr>
        <w:top w:val="none" w:sz="0" w:space="0" w:color="auto"/>
        <w:left w:val="none" w:sz="0" w:space="0" w:color="auto"/>
        <w:bottom w:val="none" w:sz="0" w:space="0" w:color="auto"/>
        <w:right w:val="none" w:sz="0" w:space="0" w:color="auto"/>
      </w:divBdr>
    </w:div>
    <w:div w:id="773745235">
      <w:bodyDiv w:val="1"/>
      <w:marLeft w:val="0"/>
      <w:marRight w:val="0"/>
      <w:marTop w:val="0"/>
      <w:marBottom w:val="0"/>
      <w:divBdr>
        <w:top w:val="none" w:sz="0" w:space="0" w:color="auto"/>
        <w:left w:val="none" w:sz="0" w:space="0" w:color="auto"/>
        <w:bottom w:val="none" w:sz="0" w:space="0" w:color="auto"/>
        <w:right w:val="none" w:sz="0" w:space="0" w:color="auto"/>
      </w:divBdr>
    </w:div>
    <w:div w:id="825240921">
      <w:bodyDiv w:val="1"/>
      <w:marLeft w:val="0"/>
      <w:marRight w:val="0"/>
      <w:marTop w:val="0"/>
      <w:marBottom w:val="0"/>
      <w:divBdr>
        <w:top w:val="none" w:sz="0" w:space="0" w:color="auto"/>
        <w:left w:val="none" w:sz="0" w:space="0" w:color="auto"/>
        <w:bottom w:val="none" w:sz="0" w:space="0" w:color="auto"/>
        <w:right w:val="none" w:sz="0" w:space="0" w:color="auto"/>
      </w:divBdr>
    </w:div>
    <w:div w:id="876966889">
      <w:bodyDiv w:val="1"/>
      <w:marLeft w:val="0"/>
      <w:marRight w:val="0"/>
      <w:marTop w:val="0"/>
      <w:marBottom w:val="0"/>
      <w:divBdr>
        <w:top w:val="none" w:sz="0" w:space="0" w:color="auto"/>
        <w:left w:val="none" w:sz="0" w:space="0" w:color="auto"/>
        <w:bottom w:val="none" w:sz="0" w:space="0" w:color="auto"/>
        <w:right w:val="none" w:sz="0" w:space="0" w:color="auto"/>
      </w:divBdr>
    </w:div>
    <w:div w:id="913783142">
      <w:bodyDiv w:val="1"/>
      <w:marLeft w:val="0"/>
      <w:marRight w:val="0"/>
      <w:marTop w:val="0"/>
      <w:marBottom w:val="0"/>
      <w:divBdr>
        <w:top w:val="none" w:sz="0" w:space="0" w:color="auto"/>
        <w:left w:val="none" w:sz="0" w:space="0" w:color="auto"/>
        <w:bottom w:val="none" w:sz="0" w:space="0" w:color="auto"/>
        <w:right w:val="none" w:sz="0" w:space="0" w:color="auto"/>
      </w:divBdr>
      <w:divsChild>
        <w:div w:id="6258138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131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25968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795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551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051685">
      <w:bodyDiv w:val="1"/>
      <w:marLeft w:val="0"/>
      <w:marRight w:val="0"/>
      <w:marTop w:val="0"/>
      <w:marBottom w:val="0"/>
      <w:divBdr>
        <w:top w:val="none" w:sz="0" w:space="0" w:color="auto"/>
        <w:left w:val="none" w:sz="0" w:space="0" w:color="auto"/>
        <w:bottom w:val="none" w:sz="0" w:space="0" w:color="auto"/>
        <w:right w:val="none" w:sz="0" w:space="0" w:color="auto"/>
      </w:divBdr>
    </w:div>
    <w:div w:id="972559489">
      <w:bodyDiv w:val="1"/>
      <w:marLeft w:val="0"/>
      <w:marRight w:val="0"/>
      <w:marTop w:val="0"/>
      <w:marBottom w:val="0"/>
      <w:divBdr>
        <w:top w:val="none" w:sz="0" w:space="0" w:color="auto"/>
        <w:left w:val="none" w:sz="0" w:space="0" w:color="auto"/>
        <w:bottom w:val="none" w:sz="0" w:space="0" w:color="auto"/>
        <w:right w:val="none" w:sz="0" w:space="0" w:color="auto"/>
      </w:divBdr>
    </w:div>
    <w:div w:id="978921666">
      <w:bodyDiv w:val="1"/>
      <w:marLeft w:val="0"/>
      <w:marRight w:val="0"/>
      <w:marTop w:val="0"/>
      <w:marBottom w:val="0"/>
      <w:divBdr>
        <w:top w:val="none" w:sz="0" w:space="0" w:color="auto"/>
        <w:left w:val="none" w:sz="0" w:space="0" w:color="auto"/>
        <w:bottom w:val="none" w:sz="0" w:space="0" w:color="auto"/>
        <w:right w:val="none" w:sz="0" w:space="0" w:color="auto"/>
      </w:divBdr>
    </w:div>
    <w:div w:id="1177307525">
      <w:bodyDiv w:val="1"/>
      <w:marLeft w:val="0"/>
      <w:marRight w:val="0"/>
      <w:marTop w:val="0"/>
      <w:marBottom w:val="0"/>
      <w:divBdr>
        <w:top w:val="none" w:sz="0" w:space="0" w:color="auto"/>
        <w:left w:val="none" w:sz="0" w:space="0" w:color="auto"/>
        <w:bottom w:val="none" w:sz="0" w:space="0" w:color="auto"/>
        <w:right w:val="none" w:sz="0" w:space="0" w:color="auto"/>
      </w:divBdr>
    </w:div>
    <w:div w:id="1194997501">
      <w:bodyDiv w:val="1"/>
      <w:marLeft w:val="0"/>
      <w:marRight w:val="0"/>
      <w:marTop w:val="0"/>
      <w:marBottom w:val="0"/>
      <w:divBdr>
        <w:top w:val="none" w:sz="0" w:space="0" w:color="auto"/>
        <w:left w:val="none" w:sz="0" w:space="0" w:color="auto"/>
        <w:bottom w:val="none" w:sz="0" w:space="0" w:color="auto"/>
        <w:right w:val="none" w:sz="0" w:space="0" w:color="auto"/>
      </w:divBdr>
    </w:div>
    <w:div w:id="1207376267">
      <w:bodyDiv w:val="1"/>
      <w:marLeft w:val="0"/>
      <w:marRight w:val="0"/>
      <w:marTop w:val="0"/>
      <w:marBottom w:val="0"/>
      <w:divBdr>
        <w:top w:val="none" w:sz="0" w:space="0" w:color="auto"/>
        <w:left w:val="none" w:sz="0" w:space="0" w:color="auto"/>
        <w:bottom w:val="none" w:sz="0" w:space="0" w:color="auto"/>
        <w:right w:val="none" w:sz="0" w:space="0" w:color="auto"/>
      </w:divBdr>
    </w:div>
    <w:div w:id="1244989052">
      <w:bodyDiv w:val="1"/>
      <w:marLeft w:val="0"/>
      <w:marRight w:val="0"/>
      <w:marTop w:val="0"/>
      <w:marBottom w:val="0"/>
      <w:divBdr>
        <w:top w:val="none" w:sz="0" w:space="0" w:color="auto"/>
        <w:left w:val="none" w:sz="0" w:space="0" w:color="auto"/>
        <w:bottom w:val="none" w:sz="0" w:space="0" w:color="auto"/>
        <w:right w:val="none" w:sz="0" w:space="0" w:color="auto"/>
      </w:divBdr>
    </w:div>
    <w:div w:id="1262299227">
      <w:bodyDiv w:val="1"/>
      <w:marLeft w:val="0"/>
      <w:marRight w:val="0"/>
      <w:marTop w:val="0"/>
      <w:marBottom w:val="0"/>
      <w:divBdr>
        <w:top w:val="none" w:sz="0" w:space="0" w:color="auto"/>
        <w:left w:val="none" w:sz="0" w:space="0" w:color="auto"/>
        <w:bottom w:val="none" w:sz="0" w:space="0" w:color="auto"/>
        <w:right w:val="none" w:sz="0" w:space="0" w:color="auto"/>
      </w:divBdr>
    </w:div>
    <w:div w:id="1314794084">
      <w:bodyDiv w:val="1"/>
      <w:marLeft w:val="0"/>
      <w:marRight w:val="0"/>
      <w:marTop w:val="0"/>
      <w:marBottom w:val="0"/>
      <w:divBdr>
        <w:top w:val="none" w:sz="0" w:space="0" w:color="auto"/>
        <w:left w:val="none" w:sz="0" w:space="0" w:color="auto"/>
        <w:bottom w:val="none" w:sz="0" w:space="0" w:color="auto"/>
        <w:right w:val="none" w:sz="0" w:space="0" w:color="auto"/>
      </w:divBdr>
    </w:div>
    <w:div w:id="1443262953">
      <w:bodyDiv w:val="1"/>
      <w:marLeft w:val="0"/>
      <w:marRight w:val="0"/>
      <w:marTop w:val="0"/>
      <w:marBottom w:val="0"/>
      <w:divBdr>
        <w:top w:val="none" w:sz="0" w:space="0" w:color="auto"/>
        <w:left w:val="none" w:sz="0" w:space="0" w:color="auto"/>
        <w:bottom w:val="none" w:sz="0" w:space="0" w:color="auto"/>
        <w:right w:val="none" w:sz="0" w:space="0" w:color="auto"/>
      </w:divBdr>
    </w:div>
    <w:div w:id="1460756773">
      <w:bodyDiv w:val="1"/>
      <w:marLeft w:val="0"/>
      <w:marRight w:val="0"/>
      <w:marTop w:val="0"/>
      <w:marBottom w:val="0"/>
      <w:divBdr>
        <w:top w:val="none" w:sz="0" w:space="0" w:color="auto"/>
        <w:left w:val="none" w:sz="0" w:space="0" w:color="auto"/>
        <w:bottom w:val="none" w:sz="0" w:space="0" w:color="auto"/>
        <w:right w:val="none" w:sz="0" w:space="0" w:color="auto"/>
      </w:divBdr>
    </w:div>
    <w:div w:id="1475370924">
      <w:bodyDiv w:val="1"/>
      <w:marLeft w:val="0"/>
      <w:marRight w:val="0"/>
      <w:marTop w:val="0"/>
      <w:marBottom w:val="0"/>
      <w:divBdr>
        <w:top w:val="none" w:sz="0" w:space="0" w:color="auto"/>
        <w:left w:val="none" w:sz="0" w:space="0" w:color="auto"/>
        <w:bottom w:val="none" w:sz="0" w:space="0" w:color="auto"/>
        <w:right w:val="none" w:sz="0" w:space="0" w:color="auto"/>
      </w:divBdr>
    </w:div>
    <w:div w:id="1482845770">
      <w:bodyDiv w:val="1"/>
      <w:marLeft w:val="0"/>
      <w:marRight w:val="0"/>
      <w:marTop w:val="0"/>
      <w:marBottom w:val="0"/>
      <w:divBdr>
        <w:top w:val="none" w:sz="0" w:space="0" w:color="auto"/>
        <w:left w:val="none" w:sz="0" w:space="0" w:color="auto"/>
        <w:bottom w:val="none" w:sz="0" w:space="0" w:color="auto"/>
        <w:right w:val="none" w:sz="0" w:space="0" w:color="auto"/>
      </w:divBdr>
    </w:div>
    <w:div w:id="1488857202">
      <w:bodyDiv w:val="1"/>
      <w:marLeft w:val="0"/>
      <w:marRight w:val="0"/>
      <w:marTop w:val="0"/>
      <w:marBottom w:val="0"/>
      <w:divBdr>
        <w:top w:val="none" w:sz="0" w:space="0" w:color="auto"/>
        <w:left w:val="none" w:sz="0" w:space="0" w:color="auto"/>
        <w:bottom w:val="none" w:sz="0" w:space="0" w:color="auto"/>
        <w:right w:val="none" w:sz="0" w:space="0" w:color="auto"/>
      </w:divBdr>
    </w:div>
    <w:div w:id="1522039990">
      <w:bodyDiv w:val="1"/>
      <w:marLeft w:val="0"/>
      <w:marRight w:val="0"/>
      <w:marTop w:val="0"/>
      <w:marBottom w:val="0"/>
      <w:divBdr>
        <w:top w:val="none" w:sz="0" w:space="0" w:color="auto"/>
        <w:left w:val="none" w:sz="0" w:space="0" w:color="auto"/>
        <w:bottom w:val="none" w:sz="0" w:space="0" w:color="auto"/>
        <w:right w:val="none" w:sz="0" w:space="0" w:color="auto"/>
      </w:divBdr>
    </w:div>
    <w:div w:id="1613004414">
      <w:bodyDiv w:val="1"/>
      <w:marLeft w:val="0"/>
      <w:marRight w:val="0"/>
      <w:marTop w:val="0"/>
      <w:marBottom w:val="0"/>
      <w:divBdr>
        <w:top w:val="none" w:sz="0" w:space="0" w:color="auto"/>
        <w:left w:val="none" w:sz="0" w:space="0" w:color="auto"/>
        <w:bottom w:val="none" w:sz="0" w:space="0" w:color="auto"/>
        <w:right w:val="none" w:sz="0" w:space="0" w:color="auto"/>
      </w:divBdr>
    </w:div>
    <w:div w:id="1652714796">
      <w:bodyDiv w:val="1"/>
      <w:marLeft w:val="0"/>
      <w:marRight w:val="0"/>
      <w:marTop w:val="0"/>
      <w:marBottom w:val="0"/>
      <w:divBdr>
        <w:top w:val="none" w:sz="0" w:space="0" w:color="auto"/>
        <w:left w:val="none" w:sz="0" w:space="0" w:color="auto"/>
        <w:bottom w:val="none" w:sz="0" w:space="0" w:color="auto"/>
        <w:right w:val="none" w:sz="0" w:space="0" w:color="auto"/>
      </w:divBdr>
    </w:div>
    <w:div w:id="1681735170">
      <w:bodyDiv w:val="1"/>
      <w:marLeft w:val="0"/>
      <w:marRight w:val="0"/>
      <w:marTop w:val="0"/>
      <w:marBottom w:val="0"/>
      <w:divBdr>
        <w:top w:val="none" w:sz="0" w:space="0" w:color="auto"/>
        <w:left w:val="none" w:sz="0" w:space="0" w:color="auto"/>
        <w:bottom w:val="none" w:sz="0" w:space="0" w:color="auto"/>
        <w:right w:val="none" w:sz="0" w:space="0" w:color="auto"/>
      </w:divBdr>
    </w:div>
    <w:div w:id="1744914936">
      <w:bodyDiv w:val="1"/>
      <w:marLeft w:val="0"/>
      <w:marRight w:val="0"/>
      <w:marTop w:val="0"/>
      <w:marBottom w:val="0"/>
      <w:divBdr>
        <w:top w:val="none" w:sz="0" w:space="0" w:color="auto"/>
        <w:left w:val="none" w:sz="0" w:space="0" w:color="auto"/>
        <w:bottom w:val="none" w:sz="0" w:space="0" w:color="auto"/>
        <w:right w:val="none" w:sz="0" w:space="0" w:color="auto"/>
      </w:divBdr>
    </w:div>
    <w:div w:id="1752003756">
      <w:bodyDiv w:val="1"/>
      <w:marLeft w:val="0"/>
      <w:marRight w:val="0"/>
      <w:marTop w:val="0"/>
      <w:marBottom w:val="0"/>
      <w:divBdr>
        <w:top w:val="none" w:sz="0" w:space="0" w:color="auto"/>
        <w:left w:val="none" w:sz="0" w:space="0" w:color="auto"/>
        <w:bottom w:val="none" w:sz="0" w:space="0" w:color="auto"/>
        <w:right w:val="none" w:sz="0" w:space="0" w:color="auto"/>
      </w:divBdr>
    </w:div>
    <w:div w:id="1894078655">
      <w:bodyDiv w:val="1"/>
      <w:marLeft w:val="0"/>
      <w:marRight w:val="0"/>
      <w:marTop w:val="0"/>
      <w:marBottom w:val="0"/>
      <w:divBdr>
        <w:top w:val="none" w:sz="0" w:space="0" w:color="auto"/>
        <w:left w:val="none" w:sz="0" w:space="0" w:color="auto"/>
        <w:bottom w:val="none" w:sz="0" w:space="0" w:color="auto"/>
        <w:right w:val="none" w:sz="0" w:space="0" w:color="auto"/>
      </w:divBdr>
    </w:div>
    <w:div w:id="1984891552">
      <w:bodyDiv w:val="1"/>
      <w:marLeft w:val="0"/>
      <w:marRight w:val="0"/>
      <w:marTop w:val="0"/>
      <w:marBottom w:val="0"/>
      <w:divBdr>
        <w:top w:val="none" w:sz="0" w:space="0" w:color="auto"/>
        <w:left w:val="none" w:sz="0" w:space="0" w:color="auto"/>
        <w:bottom w:val="none" w:sz="0" w:space="0" w:color="auto"/>
        <w:right w:val="none" w:sz="0" w:space="0" w:color="auto"/>
      </w:divBdr>
    </w:div>
    <w:div w:id="2008899174">
      <w:bodyDiv w:val="1"/>
      <w:marLeft w:val="0"/>
      <w:marRight w:val="0"/>
      <w:marTop w:val="0"/>
      <w:marBottom w:val="0"/>
      <w:divBdr>
        <w:top w:val="none" w:sz="0" w:space="0" w:color="auto"/>
        <w:left w:val="none" w:sz="0" w:space="0" w:color="auto"/>
        <w:bottom w:val="none" w:sz="0" w:space="0" w:color="auto"/>
        <w:right w:val="none" w:sz="0" w:space="0" w:color="auto"/>
      </w:divBdr>
    </w:div>
    <w:div w:id="2056001063">
      <w:bodyDiv w:val="1"/>
      <w:marLeft w:val="0"/>
      <w:marRight w:val="0"/>
      <w:marTop w:val="0"/>
      <w:marBottom w:val="0"/>
      <w:divBdr>
        <w:top w:val="none" w:sz="0" w:space="0" w:color="auto"/>
        <w:left w:val="none" w:sz="0" w:space="0" w:color="auto"/>
        <w:bottom w:val="none" w:sz="0" w:space="0" w:color="auto"/>
        <w:right w:val="none" w:sz="0" w:space="0" w:color="auto"/>
      </w:divBdr>
    </w:div>
    <w:div w:id="2067298724">
      <w:bodyDiv w:val="1"/>
      <w:marLeft w:val="0"/>
      <w:marRight w:val="0"/>
      <w:marTop w:val="0"/>
      <w:marBottom w:val="0"/>
      <w:divBdr>
        <w:top w:val="none" w:sz="0" w:space="0" w:color="auto"/>
        <w:left w:val="none" w:sz="0" w:space="0" w:color="auto"/>
        <w:bottom w:val="none" w:sz="0" w:space="0" w:color="auto"/>
        <w:right w:val="none" w:sz="0" w:space="0" w:color="auto"/>
      </w:divBdr>
    </w:div>
    <w:div w:id="213478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1016/S0065-2881(01)40003-4" TargetMode="External"/><Relationship Id="rId39" Type="http://schemas.openxmlformats.org/officeDocument/2006/relationships/hyperlink" Target="https://doi.org/10.1086/587826" TargetMode="External"/><Relationship Id="rId21" Type="http://schemas.openxmlformats.org/officeDocument/2006/relationships/hyperlink" Target="https://www.standardmethods.org/" TargetMode="External"/><Relationship Id="rId34" Type="http://schemas.openxmlformats.org/officeDocument/2006/relationships/hyperlink" Target="https://doi.org/10.32628/IJSRSET2310253"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3390/hydrology1010019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6/j.ecolind.2023.109978" TargetMode="External"/><Relationship Id="rId32" Type="http://schemas.openxmlformats.org/officeDocument/2006/relationships/hyperlink" Target="https://doi.org/10.1007/s11273-021-09791-y" TargetMode="External"/><Relationship Id="rId37" Type="http://schemas.openxmlformats.org/officeDocument/2006/relationships/hyperlink" Target="https://doi.org/10.1111/j.2006.0906-7590.04596.x"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2307/2963459" TargetMode="External"/><Relationship Id="rId28" Type="http://schemas.openxmlformats.org/officeDocument/2006/relationships/hyperlink" Target="https://doi.org/10.2307/1941447" TargetMode="External"/><Relationship Id="rId36" Type="http://schemas.openxmlformats.org/officeDocument/2006/relationships/hyperlink" Target="https://doi.org/10.1016/j.gecco.2020.e0102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ramsar.org/document/global-wetland-outlook-special-edition-2021"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s12517-022-09735-7" TargetMode="External"/><Relationship Id="rId27" Type="http://schemas.openxmlformats.org/officeDocument/2006/relationships/hyperlink" Target="https://www.arcjournals.org/pdfs/ijisabf/v1-i2/3.pdf" TargetMode="External"/><Relationship Id="rId30" Type="http://schemas.openxmlformats.org/officeDocument/2006/relationships/hyperlink" Target="https://doi.org/10.1016/j.ejrh.2014.07.001" TargetMode="External"/><Relationship Id="rId35" Type="http://schemas.openxmlformats.org/officeDocument/2006/relationships/hyperlink" Target="https://doi.org/10.1016/j.ecolind.2010.05.004" TargetMode="External"/><Relationship Id="rId43"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researchgate.net/publication/321804444_Ashtamudi_Wetland_Kerala_Values_and_Threats" TargetMode="External"/><Relationship Id="rId33" Type="http://schemas.openxmlformats.org/officeDocument/2006/relationships/hyperlink" Target="https://doi.org/10.1007/s12303-015-0049-7" TargetMode="External"/><Relationship Id="rId38" Type="http://schemas.openxmlformats.org/officeDocument/2006/relationships/hyperlink" Target="https://doi.org/10.1111/j.0906-7590.2008.5203.x" TargetMode="External"/><Relationship Id="rId46" Type="http://schemas.openxmlformats.org/officeDocument/2006/relationships/fontTable" Target="fontTable.xml"/><Relationship Id="rId20" Type="http://schemas.openxmlformats.org/officeDocument/2006/relationships/hyperlink" Target="http://dx.doi.org/10.63680/ijsate1125039.032"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3648</TotalTime>
  <Pages>19</Pages>
  <Words>4915</Words>
  <Characters>28022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Alexander Thomas</dc:creator>
  <cp:keywords/>
  <dc:description/>
  <cp:lastModifiedBy>Dr. Alexander Thomas</cp:lastModifiedBy>
  <cp:revision>76</cp:revision>
  <dcterms:created xsi:type="dcterms:W3CDTF">2025-07-17T15:39:00Z</dcterms:created>
  <dcterms:modified xsi:type="dcterms:W3CDTF">2026-01-13T16:25:00Z</dcterms:modified>
</cp:coreProperties>
</file>