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DEB2B" w14:textId="10A2847C" w:rsidR="00004D66" w:rsidRPr="00404368" w:rsidRDefault="00404368" w:rsidP="00C84282">
      <w:pPr>
        <w:spacing w:before="100" w:beforeAutospacing="1" w:after="100" w:afterAutospacing="1"/>
        <w:outlineLvl w:val="1"/>
        <w:rPr>
          <w:rFonts w:ascii="Arial" w:hAnsi="Arial" w:cs="Arial"/>
          <w:b/>
          <w:bCs/>
          <w:color w:val="000000"/>
          <w:sz w:val="36"/>
          <w:szCs w:val="36"/>
          <w:u w:val="single"/>
        </w:rPr>
      </w:pPr>
      <w:bookmarkStart w:id="0" w:name="_GoBack"/>
      <w:bookmarkEnd w:id="0"/>
      <w:r w:rsidRPr="00404368">
        <w:rPr>
          <w:rFonts w:ascii="Arial" w:hAnsi="Arial" w:cs="Arial"/>
          <w:b/>
          <w:bCs/>
          <w:color w:val="000000"/>
          <w:sz w:val="36"/>
          <w:szCs w:val="36"/>
          <w:u w:val="single"/>
        </w:rPr>
        <w:t>Minireview Article</w:t>
      </w:r>
    </w:p>
    <w:p w14:paraId="5D80DA62" w14:textId="0D899C4D" w:rsidR="00C84282" w:rsidRPr="00C84282" w:rsidRDefault="00C84282" w:rsidP="00C84282">
      <w:pPr>
        <w:spacing w:before="100" w:beforeAutospacing="1" w:after="100" w:afterAutospacing="1"/>
        <w:outlineLvl w:val="1"/>
        <w:rPr>
          <w:rFonts w:ascii="Arial" w:hAnsi="Arial" w:cs="Arial"/>
          <w:b/>
          <w:bCs/>
          <w:color w:val="000000"/>
          <w:sz w:val="36"/>
          <w:szCs w:val="36"/>
        </w:rPr>
      </w:pPr>
      <w:r w:rsidRPr="00C84282">
        <w:rPr>
          <w:rFonts w:ascii="Arial" w:hAnsi="Arial" w:cs="Arial"/>
          <w:b/>
          <w:bCs/>
          <w:color w:val="000000"/>
          <w:sz w:val="36"/>
          <w:szCs w:val="36"/>
        </w:rPr>
        <w:t>Respiratory Syncytial Virus in Yemen: A Minireview of Epidemiology, Surveillance Gaps, and Vaccine Readiness</w:t>
      </w:r>
    </w:p>
    <w:p w14:paraId="11C38EE5" w14:textId="77777777" w:rsidR="00790ADA" w:rsidRDefault="00790ADA" w:rsidP="00441B6F">
      <w:pPr>
        <w:pStyle w:val="Affiliation"/>
        <w:spacing w:after="0" w:line="240" w:lineRule="auto"/>
        <w:jc w:val="both"/>
        <w:rPr>
          <w:rFonts w:ascii="Arial" w:hAnsi="Arial" w:cs="Arial"/>
        </w:rPr>
      </w:pPr>
    </w:p>
    <w:p w14:paraId="164D9919" w14:textId="77777777" w:rsidR="002C57D2" w:rsidRPr="00FB3A86" w:rsidRDefault="002C57D2" w:rsidP="00441B6F">
      <w:pPr>
        <w:pStyle w:val="Affiliation"/>
        <w:spacing w:after="0" w:line="240" w:lineRule="auto"/>
        <w:jc w:val="both"/>
        <w:rPr>
          <w:rFonts w:ascii="Arial" w:hAnsi="Arial" w:cs="Arial"/>
        </w:rPr>
      </w:pPr>
    </w:p>
    <w:p w14:paraId="39F70682" w14:textId="77777777" w:rsidR="00B01FCD" w:rsidRPr="00FB3A86" w:rsidRDefault="00F576B4" w:rsidP="00441B6F">
      <w:pPr>
        <w:pStyle w:val="Copyright"/>
        <w:spacing w:after="0" w:line="240" w:lineRule="auto"/>
        <w:jc w:val="both"/>
        <w:rPr>
          <w:rFonts w:ascii="Arial" w:hAnsi="Arial" w:cs="Arial"/>
        </w:rPr>
        <w:sectPr w:rsidR="00B01FCD" w:rsidRPr="00FB3A86" w:rsidSect="00FF18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4D38E4" wp14:editId="438C437E">
                <wp:extent cx="5303520" cy="635"/>
                <wp:effectExtent l="0" t="12700" r="5080" b="12065"/>
                <wp:docPr id="12804137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06FFA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54C18C6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544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354FB3" w14:textId="77777777" w:rsidTr="001E44FE">
        <w:tc>
          <w:tcPr>
            <w:tcW w:w="9576" w:type="dxa"/>
            <w:shd w:val="clear" w:color="auto" w:fill="F2F2F2"/>
          </w:tcPr>
          <w:p w14:paraId="3698B68E" w14:textId="00DF80F8" w:rsidR="004E4362" w:rsidRPr="004E4362" w:rsidRDefault="004E4362" w:rsidP="004E4362">
            <w:pPr>
              <w:pStyle w:val="Body"/>
              <w:spacing w:after="0"/>
              <w:rPr>
                <w:rFonts w:ascii="Arial" w:eastAsia="Calibri" w:hAnsi="Arial" w:cs="Arial"/>
                <w:szCs w:val="22"/>
              </w:rPr>
            </w:pPr>
            <w:r w:rsidRPr="004E4362">
              <w:rPr>
                <w:rFonts w:ascii="Arial" w:eastAsia="Calibri" w:hAnsi="Arial" w:cs="Arial"/>
                <w:szCs w:val="22"/>
              </w:rPr>
              <w:t xml:space="preserve">Respiratory syncytial virus (RSV) is a leading cause of lung infections in young children, especially in countries like Yemen. Hospital studies show high RSV rates among children under five, but many cases in the community go unreported. </w:t>
            </w:r>
            <w:r w:rsidR="005E25B1" w:rsidRPr="00502E74">
              <w:rPr>
                <w:rFonts w:ascii="Arial" w:hAnsi="Arial" w:cs="Arial"/>
                <w:highlight w:val="yellow"/>
              </w:rPr>
              <w:t xml:space="preserve">This Minireview seeks to address the critical data gap by </w:t>
            </w:r>
            <w:proofErr w:type="spellStart"/>
            <w:r w:rsidR="00F6461B">
              <w:rPr>
                <w:rFonts w:ascii="Arial" w:hAnsi="Arial" w:cs="Arial"/>
                <w:highlight w:val="yellow"/>
              </w:rPr>
              <w:t>synthesising</w:t>
            </w:r>
            <w:proofErr w:type="spellEnd"/>
            <w:r w:rsidR="005E25B1" w:rsidRPr="00502E74">
              <w:rPr>
                <w:rFonts w:ascii="Arial" w:hAnsi="Arial" w:cs="Arial"/>
                <w:highlight w:val="yellow"/>
              </w:rPr>
              <w:t xml:space="preserve"> available RSV literature within the context of Yemen’s health system. It explores national and regional epidemiological patterns, identifies risk factors unique to the Yemeni population, and examines barriers to effective surveillance and </w:t>
            </w:r>
            <w:proofErr w:type="spellStart"/>
            <w:r w:rsidR="005E25B1">
              <w:rPr>
                <w:rFonts w:ascii="Arial" w:hAnsi="Arial" w:cs="Arial"/>
                <w:highlight w:val="yellow"/>
              </w:rPr>
              <w:t>immunisation</w:t>
            </w:r>
            <w:proofErr w:type="spellEnd"/>
            <w:r w:rsidR="005E25B1" w:rsidRPr="00502E74">
              <w:rPr>
                <w:rFonts w:ascii="Arial" w:hAnsi="Arial" w:cs="Arial"/>
                <w:highlight w:val="yellow"/>
              </w:rPr>
              <w:t>.</w:t>
            </w:r>
            <w:r w:rsidR="005E25B1" w:rsidRPr="00EE5DB0">
              <w:rPr>
                <w:rFonts w:ascii="Arial" w:hAnsi="Arial" w:cs="Arial"/>
              </w:rPr>
              <w:t xml:space="preserve"> </w:t>
            </w:r>
            <w:r w:rsidRPr="004E4362">
              <w:rPr>
                <w:rFonts w:ascii="Arial" w:eastAsia="Calibri" w:hAnsi="Arial" w:cs="Arial"/>
                <w:szCs w:val="22"/>
              </w:rPr>
              <w:t>Factors like indoor air pollution, tobacco smoke, poor nutrition, and crowded living conditions make the problem worse. Yemen’s health system struggles to respond due to conflict, limited resources, and weak surveillance.</w:t>
            </w:r>
            <w:r>
              <w:rPr>
                <w:rFonts w:ascii="Arial" w:eastAsia="Calibri" w:hAnsi="Arial" w:cs="Arial"/>
                <w:szCs w:val="22"/>
              </w:rPr>
              <w:t xml:space="preserve"> </w:t>
            </w:r>
            <w:r w:rsidRPr="004E4362">
              <w:rPr>
                <w:rFonts w:ascii="Arial" w:eastAsia="Calibri" w:hAnsi="Arial" w:cs="Arial"/>
                <w:szCs w:val="22"/>
              </w:rPr>
              <w:t xml:space="preserve">While new tools like RSV vaccines and monoclonal antibodies are now available in wealthy countries, Yemen is not yet ready to use them. Unlike Spain, which rolled out RSV protection successfully, Yemen lacks plans and funding to do the same. </w:t>
            </w:r>
            <w:r w:rsidR="007029BB" w:rsidRPr="00502E74">
              <w:rPr>
                <w:rFonts w:ascii="Arial" w:hAnsi="Arial" w:cs="Arial"/>
                <w:highlight w:val="yellow"/>
              </w:rPr>
              <w:t>Moreover, the country is not integrated into the WHO's Global Influenza Surveillance and Response System, depriving policymakers of seasonality data critical for vaccine timing.</w:t>
            </w:r>
            <w:r w:rsidR="007029BB" w:rsidRPr="000112D0">
              <w:rPr>
                <w:rFonts w:ascii="Arial" w:hAnsi="Arial" w:cs="Arial"/>
              </w:rPr>
              <w:t xml:space="preserve"> </w:t>
            </w:r>
            <w:r w:rsidRPr="004E4362">
              <w:rPr>
                <w:rFonts w:ascii="Arial" w:eastAsia="Calibri" w:hAnsi="Arial" w:cs="Arial"/>
                <w:szCs w:val="22"/>
              </w:rPr>
              <w:t xml:space="preserve">Without proper data and tracking, </w:t>
            </w:r>
            <w:proofErr w:type="gramStart"/>
            <w:r w:rsidRPr="004E4362">
              <w:rPr>
                <w:rFonts w:ascii="Arial" w:eastAsia="Calibri" w:hAnsi="Arial" w:cs="Arial"/>
                <w:szCs w:val="22"/>
              </w:rPr>
              <w:t>it’s</w:t>
            </w:r>
            <w:proofErr w:type="gramEnd"/>
            <w:r w:rsidRPr="004E4362">
              <w:rPr>
                <w:rFonts w:ascii="Arial" w:eastAsia="Calibri" w:hAnsi="Arial" w:cs="Arial"/>
                <w:szCs w:val="22"/>
              </w:rPr>
              <w:t xml:space="preserve"> hard to know when and where the virus spreads.</w:t>
            </w:r>
            <w:r>
              <w:rPr>
                <w:rFonts w:ascii="Arial" w:eastAsia="Calibri" w:hAnsi="Arial" w:cs="Arial"/>
                <w:szCs w:val="22"/>
              </w:rPr>
              <w:t xml:space="preserve"> </w:t>
            </w:r>
            <w:r w:rsidRPr="004E4362">
              <w:rPr>
                <w:rFonts w:ascii="Arial" w:eastAsia="Calibri" w:hAnsi="Arial" w:cs="Arial"/>
                <w:szCs w:val="22"/>
              </w:rPr>
              <w:t xml:space="preserve">This review calls for better surveillance, training for healthcare workers, and stronger public health planning. Global partnerships and support are key to </w:t>
            </w:r>
            <w:r w:rsidR="005E25B1" w:rsidRPr="00502E74">
              <w:rPr>
                <w:rFonts w:ascii="Arial" w:eastAsia="Calibri" w:hAnsi="Arial" w:cs="Arial"/>
                <w:szCs w:val="22"/>
                <w:highlight w:val="yellow"/>
              </w:rPr>
              <w:t>helping</w:t>
            </w:r>
            <w:r w:rsidR="005E25B1" w:rsidRPr="004E4362">
              <w:rPr>
                <w:rFonts w:ascii="Arial" w:eastAsia="Calibri" w:hAnsi="Arial" w:cs="Arial"/>
                <w:szCs w:val="22"/>
              </w:rPr>
              <w:t xml:space="preserve"> </w:t>
            </w:r>
            <w:r w:rsidRPr="004E4362">
              <w:rPr>
                <w:rFonts w:ascii="Arial" w:eastAsia="Calibri" w:hAnsi="Arial" w:cs="Arial"/>
                <w:szCs w:val="22"/>
              </w:rPr>
              <w:t>Yemen join the fight against RSV. Improving awareness and preparing the country for future vaccine rollouts will protect vulnerable children and close the gap between Yemen and other countries.</w:t>
            </w:r>
          </w:p>
          <w:p w14:paraId="1BA03C48" w14:textId="77777777" w:rsidR="00505F06" w:rsidRPr="004E4362" w:rsidRDefault="00505F06" w:rsidP="00441B6F">
            <w:pPr>
              <w:pStyle w:val="Body"/>
              <w:spacing w:after="0"/>
              <w:rPr>
                <w:rFonts w:ascii="Arial" w:eastAsia="Calibri" w:hAnsi="Arial" w:cs="Arial"/>
                <w:szCs w:val="22"/>
              </w:rPr>
            </w:pPr>
          </w:p>
        </w:tc>
      </w:tr>
    </w:tbl>
    <w:p w14:paraId="313F730D" w14:textId="77777777" w:rsidR="00636EB2" w:rsidRDefault="00636EB2" w:rsidP="00441B6F">
      <w:pPr>
        <w:pStyle w:val="Body"/>
        <w:spacing w:after="0"/>
        <w:rPr>
          <w:rFonts w:ascii="Arial" w:hAnsi="Arial" w:cs="Arial"/>
          <w:i/>
        </w:rPr>
      </w:pPr>
    </w:p>
    <w:p w14:paraId="6A2D7849" w14:textId="32A77494" w:rsidR="00505F06" w:rsidRDefault="00A24E7E" w:rsidP="00310CB6">
      <w:pPr>
        <w:pStyle w:val="Body"/>
        <w:spacing w:after="0"/>
        <w:rPr>
          <w:rFonts w:ascii="Arial" w:hAnsi="Arial" w:cs="Arial"/>
          <w:i/>
        </w:rPr>
      </w:pPr>
      <w:r w:rsidRPr="00502E74">
        <w:rPr>
          <w:rFonts w:ascii="Arial" w:hAnsi="Arial" w:cs="Arial"/>
          <w:b/>
          <w:bCs/>
          <w:iCs/>
        </w:rPr>
        <w:t>Keywords</w:t>
      </w:r>
      <w:r>
        <w:rPr>
          <w:rFonts w:ascii="Arial" w:hAnsi="Arial" w:cs="Arial"/>
          <w:i/>
        </w:rPr>
        <w:t xml:space="preserve">: </w:t>
      </w:r>
      <w:r w:rsidR="004E4362" w:rsidRPr="00502E74">
        <w:rPr>
          <w:rFonts w:ascii="Arial" w:hAnsi="Arial" w:cs="Arial"/>
          <w:i/>
          <w:highlight w:val="yellow"/>
        </w:rPr>
        <w:t>Respiratory Syncytial Virus</w:t>
      </w:r>
      <w:r w:rsidR="004E4362">
        <w:rPr>
          <w:rFonts w:ascii="Arial" w:hAnsi="Arial" w:cs="Arial"/>
          <w:i/>
        </w:rPr>
        <w:t xml:space="preserve">, </w:t>
      </w:r>
      <w:r w:rsidR="004E4362" w:rsidRPr="004E4362">
        <w:rPr>
          <w:rFonts w:ascii="Arial" w:hAnsi="Arial" w:cs="Arial"/>
          <w:i/>
        </w:rPr>
        <w:t>Yemen</w:t>
      </w:r>
      <w:r w:rsidR="004E4362">
        <w:rPr>
          <w:rFonts w:ascii="Arial" w:hAnsi="Arial" w:cs="Arial"/>
          <w:i/>
        </w:rPr>
        <w:t xml:space="preserve">, </w:t>
      </w:r>
      <w:r w:rsidR="004E4362" w:rsidRPr="004E4362">
        <w:rPr>
          <w:rFonts w:ascii="Arial" w:hAnsi="Arial" w:cs="Arial"/>
          <w:i/>
        </w:rPr>
        <w:t xml:space="preserve">Pediatric </w:t>
      </w:r>
      <w:r w:rsidR="004E4362" w:rsidRPr="00502E74">
        <w:rPr>
          <w:rFonts w:ascii="Arial" w:hAnsi="Arial" w:cs="Arial"/>
          <w:i/>
          <w:highlight w:val="yellow"/>
        </w:rPr>
        <w:t xml:space="preserve">infections, </w:t>
      </w:r>
      <w:r w:rsidR="00310CB6" w:rsidRPr="00502E74">
        <w:rPr>
          <w:rFonts w:ascii="Arial" w:hAnsi="Arial" w:cs="Arial"/>
          <w:i/>
          <w:highlight w:val="yellow"/>
        </w:rPr>
        <w:t>Vaccine</w:t>
      </w:r>
      <w:r w:rsidR="00310CB6" w:rsidRPr="00310CB6">
        <w:rPr>
          <w:rFonts w:ascii="Arial" w:hAnsi="Arial" w:cs="Arial"/>
          <w:i/>
        </w:rPr>
        <w:t xml:space="preserve"> readiness</w:t>
      </w:r>
      <w:r w:rsidR="00310CB6">
        <w:rPr>
          <w:rFonts w:ascii="Arial" w:hAnsi="Arial" w:cs="Arial"/>
          <w:i/>
        </w:rPr>
        <w:t xml:space="preserve">, </w:t>
      </w:r>
      <w:r w:rsidR="00310CB6" w:rsidRPr="00310CB6">
        <w:rPr>
          <w:rFonts w:ascii="Arial" w:hAnsi="Arial" w:cs="Arial"/>
          <w:i/>
        </w:rPr>
        <w:t xml:space="preserve">Public </w:t>
      </w:r>
      <w:r w:rsidR="00310CB6" w:rsidRPr="00502E74">
        <w:rPr>
          <w:rFonts w:ascii="Arial" w:hAnsi="Arial" w:cs="Arial"/>
          <w:i/>
          <w:highlight w:val="yellow"/>
        </w:rPr>
        <w:t>health, Health</w:t>
      </w:r>
      <w:r w:rsidR="00310CB6" w:rsidRPr="00310CB6">
        <w:rPr>
          <w:rFonts w:ascii="Arial" w:hAnsi="Arial" w:cs="Arial"/>
          <w:i/>
        </w:rPr>
        <w:t xml:space="preserve"> policy</w:t>
      </w:r>
    </w:p>
    <w:p w14:paraId="6D6C7C0E" w14:textId="77777777" w:rsidR="00F279FC" w:rsidRPr="00A24E7E" w:rsidRDefault="00F279FC" w:rsidP="00F279FC">
      <w:pPr>
        <w:pStyle w:val="Body"/>
        <w:spacing w:after="0"/>
        <w:rPr>
          <w:rFonts w:ascii="Arial" w:hAnsi="Arial" w:cs="Arial"/>
          <w:i/>
        </w:rPr>
      </w:pPr>
    </w:p>
    <w:p w14:paraId="75E028B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8793AF" w14:textId="77777777" w:rsidR="00790ADA" w:rsidRPr="00FB3A86" w:rsidRDefault="00790ADA" w:rsidP="00441B6F">
      <w:pPr>
        <w:pStyle w:val="AbstHead"/>
        <w:spacing w:after="0"/>
        <w:jc w:val="both"/>
        <w:rPr>
          <w:rFonts w:ascii="Arial" w:hAnsi="Arial" w:cs="Arial"/>
        </w:rPr>
      </w:pPr>
    </w:p>
    <w:p w14:paraId="73395CE4" w14:textId="77777777" w:rsidR="00EE5DB0" w:rsidRPr="00EE5DB0" w:rsidRDefault="00EE5DB0" w:rsidP="00EE5DB0">
      <w:pPr>
        <w:pStyle w:val="Body"/>
        <w:spacing w:after="0"/>
        <w:rPr>
          <w:rFonts w:ascii="Arial" w:hAnsi="Arial" w:cs="Arial"/>
        </w:rPr>
      </w:pPr>
      <w:r w:rsidRPr="00EE5DB0">
        <w:rPr>
          <w:rFonts w:ascii="Arial" w:hAnsi="Arial" w:cs="Arial"/>
        </w:rPr>
        <w:t>Respiratory Syncytial Virus (RSV) is an enveloped, negative-sense single-stranded RNA virus belonging to the </w:t>
      </w:r>
      <w:r w:rsidRPr="00EE5DB0">
        <w:rPr>
          <w:rFonts w:ascii="Arial" w:hAnsi="Arial" w:cs="Arial"/>
          <w:i/>
          <w:iCs/>
        </w:rPr>
        <w:t>Pneumoviridae</w:t>
      </w:r>
      <w:r w:rsidRPr="00EE5DB0">
        <w:rPr>
          <w:rFonts w:ascii="Arial" w:hAnsi="Arial" w:cs="Arial"/>
        </w:rPr>
        <w:t> family. It remains one of the leading causes of acute lower respiratory tract infections (ALRTIs) among infants and young children globally. RSV primarily presents as bronchiolitis and pneumonia in children under two years, contributing significantly to pediatric morbidity and mortality, especially in resource-limited settings (Daniels, 2024; Mulot et al., 2022). Nearly every child experiences RSV infection by age two, with reinfections common throughout life due to incomplete and short-lived immunity (Obando-Pacheco et al., 2018).</w:t>
      </w:r>
    </w:p>
    <w:p w14:paraId="7AAD7921" w14:textId="1C3688C9" w:rsidR="00EE5DB0" w:rsidRDefault="00EE5DB0" w:rsidP="00EE5DB0">
      <w:pPr>
        <w:pStyle w:val="Body"/>
        <w:spacing w:after="0"/>
        <w:rPr>
          <w:rFonts w:ascii="Arial" w:hAnsi="Arial" w:cs="Arial"/>
        </w:rPr>
      </w:pPr>
      <w:r w:rsidRPr="00EE5DB0">
        <w:rPr>
          <w:rFonts w:ascii="Arial" w:hAnsi="Arial" w:cs="Arial"/>
        </w:rPr>
        <w:t xml:space="preserve">The virus's structure plays a key role in its ability to infect host cells and evade immune detection. Figure 1 illustrates the key components of RSV, including the fusion (F) and attachment (G) glycoproteins that facilitate cell entry and replication. These proteins are major targets for current </w:t>
      </w:r>
      <w:proofErr w:type="spellStart"/>
      <w:r w:rsidR="00BC65FF" w:rsidRPr="00502E74">
        <w:rPr>
          <w:rFonts w:ascii="Arial" w:hAnsi="Arial" w:cs="Arial"/>
          <w:highlight w:val="yellow"/>
        </w:rPr>
        <w:t>immunisation</w:t>
      </w:r>
      <w:proofErr w:type="spellEnd"/>
      <w:r w:rsidR="00BC65FF" w:rsidRPr="00502E74">
        <w:rPr>
          <w:rFonts w:ascii="Arial" w:hAnsi="Arial" w:cs="Arial"/>
          <w:highlight w:val="yellow"/>
        </w:rPr>
        <w:t xml:space="preserve"> </w:t>
      </w:r>
      <w:r w:rsidRPr="00502E74">
        <w:rPr>
          <w:rFonts w:ascii="Arial" w:hAnsi="Arial" w:cs="Arial"/>
          <w:highlight w:val="yellow"/>
        </w:rPr>
        <w:t>strategies</w:t>
      </w:r>
      <w:r w:rsidRPr="00EE5DB0">
        <w:rPr>
          <w:rFonts w:ascii="Arial" w:hAnsi="Arial" w:cs="Arial"/>
        </w:rPr>
        <w:t xml:space="preserve"> and therapeutic development. The pathophysiological cascade—beginning with epithelial invasion and followed by immune activation and mucus overproduction</w:t>
      </w:r>
      <w:r w:rsidR="00BC65FF">
        <w:rPr>
          <w:rFonts w:ascii="Arial" w:hAnsi="Arial" w:cs="Arial"/>
        </w:rPr>
        <w:t xml:space="preserve">- </w:t>
      </w:r>
      <w:r w:rsidRPr="00EE5DB0">
        <w:rPr>
          <w:rFonts w:ascii="Arial" w:hAnsi="Arial" w:cs="Arial"/>
        </w:rPr>
        <w:t>results in airway obstruction, particularly dangerous in infants with narrow bronchial passages.</w:t>
      </w:r>
    </w:p>
    <w:p w14:paraId="1A6531AF" w14:textId="4A3A3842" w:rsidR="00F23AC5" w:rsidRPr="00502E74" w:rsidRDefault="00F23AC5" w:rsidP="00F23AC5">
      <w:pPr>
        <w:spacing w:after="160" w:line="259" w:lineRule="auto"/>
        <w:jc w:val="both"/>
        <w:rPr>
          <w:rFonts w:ascii="Arial" w:eastAsia="Calibri" w:hAnsi="Arial" w:cs="Arial"/>
          <w:color w:val="1B1B1B"/>
          <w:kern w:val="2"/>
          <w:shd w:val="clear" w:color="auto" w:fill="FFFFFF"/>
          <w:lang w:val="en-GB"/>
        </w:rPr>
      </w:pPr>
      <w:r w:rsidRPr="00502E74">
        <w:rPr>
          <w:rFonts w:ascii="Arial" w:eastAsia="Calibri" w:hAnsi="Arial" w:cs="Arial"/>
          <w:color w:val="1A1A1A"/>
          <w:kern w:val="2"/>
          <w:highlight w:val="yellow"/>
          <w:shd w:val="clear" w:color="auto" w:fill="FFFFFF"/>
          <w:lang w:val="en-GB"/>
        </w:rPr>
        <w:t xml:space="preserve">Interleukin-10 (IL-10) is a key regulator of immune homeostasis </w:t>
      </w:r>
      <w:r w:rsidR="007E62A7" w:rsidRPr="00502E74">
        <w:rPr>
          <w:rFonts w:ascii="Arial" w:eastAsia="Calibri" w:hAnsi="Arial" w:cs="Arial"/>
          <w:color w:val="1A1A1A"/>
          <w:kern w:val="2"/>
          <w:highlight w:val="yellow"/>
          <w:shd w:val="clear" w:color="auto" w:fill="FFFFFF"/>
          <w:lang w:val="en-GB"/>
        </w:rPr>
        <w:t>(</w:t>
      </w:r>
      <w:r w:rsidR="007E62A7" w:rsidRPr="00502E74">
        <w:rPr>
          <w:rFonts w:ascii="Arial" w:eastAsia="Calibri" w:hAnsi="Arial" w:cs="Arial"/>
          <w:highlight w:val="yellow"/>
        </w:rPr>
        <w:t>Mohammed et al., 2021</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 xml:space="preserve">, as an immune-regulatory cytokine </w:t>
      </w:r>
      <w:r w:rsidR="007E62A7" w:rsidRPr="00502E74">
        <w:rPr>
          <w:rFonts w:ascii="Arial" w:eastAsia="Calibri" w:hAnsi="Arial" w:cs="Arial"/>
          <w:color w:val="1A1A1A"/>
          <w:kern w:val="2"/>
          <w:highlight w:val="yellow"/>
          <w:shd w:val="clear" w:color="auto" w:fill="FFFFFF"/>
          <w:lang w:val="en-GB"/>
        </w:rPr>
        <w:t>(</w:t>
      </w:r>
      <w:proofErr w:type="spellStart"/>
      <w:r w:rsidR="007E62A7" w:rsidRPr="00502E74">
        <w:rPr>
          <w:rFonts w:ascii="Arial" w:eastAsia="Calibri" w:hAnsi="Arial" w:cs="Arial"/>
          <w:highlight w:val="yellow"/>
        </w:rPr>
        <w:t>Fergany</w:t>
      </w:r>
      <w:proofErr w:type="spellEnd"/>
      <w:r w:rsidR="007E62A7" w:rsidRPr="00502E74">
        <w:rPr>
          <w:rFonts w:ascii="Arial" w:eastAsia="Calibri" w:hAnsi="Arial" w:cs="Arial"/>
          <w:highlight w:val="yellow"/>
        </w:rPr>
        <w:t xml:space="preserve"> et al., 2025</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 xml:space="preserve">, so it plays a critical role in the pathogenesis of RSV bronchiolitis and subsequent airway </w:t>
      </w:r>
      <w:proofErr w:type="spellStart"/>
      <w:r w:rsidRPr="00502E74">
        <w:rPr>
          <w:rFonts w:ascii="Arial" w:eastAsia="Calibri" w:hAnsi="Arial" w:cs="Arial"/>
          <w:color w:val="1A1A1A"/>
          <w:kern w:val="2"/>
          <w:highlight w:val="yellow"/>
          <w:shd w:val="clear" w:color="auto" w:fill="FFFFFF"/>
          <w:lang w:val="en-GB"/>
        </w:rPr>
        <w:t>hyperresponsiveness</w:t>
      </w:r>
      <w:proofErr w:type="spellEnd"/>
      <w:r w:rsidRPr="00502E74">
        <w:rPr>
          <w:rFonts w:ascii="Arial" w:eastAsia="Calibri" w:hAnsi="Arial" w:cs="Arial"/>
          <w:color w:val="1A1A1A"/>
          <w:kern w:val="2"/>
          <w:highlight w:val="yellow"/>
          <w:shd w:val="clear" w:color="auto" w:fill="FFFFFF"/>
          <w:lang w:val="en-GB"/>
        </w:rPr>
        <w:t xml:space="preserve"> </w:t>
      </w:r>
      <w:r w:rsidR="007E62A7" w:rsidRPr="00502E74">
        <w:rPr>
          <w:rFonts w:ascii="Arial" w:eastAsia="Calibri" w:hAnsi="Arial" w:cs="Arial"/>
          <w:color w:val="1A1A1A"/>
          <w:kern w:val="2"/>
          <w:highlight w:val="yellow"/>
          <w:shd w:val="clear" w:color="auto" w:fill="FFFFFF"/>
          <w:lang w:val="en-GB"/>
        </w:rPr>
        <w:t>(</w:t>
      </w:r>
      <w:proofErr w:type="spellStart"/>
      <w:r w:rsidR="007E62A7" w:rsidRPr="00502E74">
        <w:rPr>
          <w:rFonts w:ascii="Arial" w:eastAsia="Calibri" w:hAnsi="Arial" w:cs="Arial"/>
          <w:highlight w:val="yellow"/>
        </w:rPr>
        <w:t>Schuurhof</w:t>
      </w:r>
      <w:proofErr w:type="spellEnd"/>
      <w:r w:rsidR="007E62A7" w:rsidRPr="00502E74">
        <w:rPr>
          <w:rFonts w:ascii="Arial" w:eastAsia="Calibri" w:hAnsi="Arial" w:cs="Arial"/>
          <w:highlight w:val="yellow"/>
        </w:rPr>
        <w:t xml:space="preserve"> et al., 2011</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 xml:space="preserve">. PD-L1 is responsible for T cell activation, proliferation, and cytotoxic secretion </w:t>
      </w:r>
      <w:r w:rsidR="007E62A7" w:rsidRPr="00502E74">
        <w:rPr>
          <w:rFonts w:ascii="Arial" w:eastAsia="Calibri" w:hAnsi="Arial" w:cs="Arial"/>
          <w:color w:val="1A1A1A"/>
          <w:kern w:val="2"/>
          <w:highlight w:val="yellow"/>
          <w:shd w:val="clear" w:color="auto" w:fill="FFFFFF"/>
          <w:lang w:val="en-GB"/>
        </w:rPr>
        <w:t>(</w:t>
      </w:r>
      <w:r w:rsidR="007E62A7" w:rsidRPr="00502E74">
        <w:rPr>
          <w:rFonts w:ascii="Arial" w:eastAsia="Calibri" w:hAnsi="Arial" w:cs="Arial"/>
          <w:highlight w:val="yellow"/>
        </w:rPr>
        <w:t>Abdel Hafeez et al., 2021</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 xml:space="preserve">, so therapeutic strategies that target the PD-L1-PD-1 pathway might increase antiviral </w:t>
      </w:r>
      <w:r w:rsidRPr="00502E74">
        <w:rPr>
          <w:rFonts w:ascii="Arial" w:eastAsia="Calibri" w:hAnsi="Arial" w:cs="Arial"/>
          <w:color w:val="1A1A1A"/>
          <w:kern w:val="2"/>
          <w:highlight w:val="yellow"/>
          <w:shd w:val="clear" w:color="auto" w:fill="FFFFFF"/>
          <w:lang w:val="en-GB"/>
        </w:rPr>
        <w:lastRenderedPageBreak/>
        <w:t xml:space="preserve">immune responses to RSV </w:t>
      </w:r>
      <w:r w:rsidR="007E62A7" w:rsidRPr="00502E74">
        <w:rPr>
          <w:rFonts w:ascii="Arial" w:eastAsia="Calibri" w:hAnsi="Arial" w:cs="Arial"/>
          <w:color w:val="1A1A1A"/>
          <w:kern w:val="2"/>
          <w:highlight w:val="yellow"/>
          <w:shd w:val="clear" w:color="auto" w:fill="FFFFFF"/>
          <w:lang w:val="en-GB"/>
        </w:rPr>
        <w:t>(</w:t>
      </w:r>
      <w:proofErr w:type="spellStart"/>
      <w:r w:rsidR="007E62A7" w:rsidRPr="00502E74">
        <w:rPr>
          <w:rFonts w:ascii="Arial" w:eastAsia="Calibri" w:hAnsi="Arial" w:cs="Arial"/>
          <w:highlight w:val="yellow"/>
        </w:rPr>
        <w:t>Telcian</w:t>
      </w:r>
      <w:proofErr w:type="spellEnd"/>
      <w:r w:rsidR="007E62A7" w:rsidRPr="00502E74">
        <w:rPr>
          <w:rFonts w:ascii="Arial" w:eastAsia="Calibri" w:hAnsi="Arial" w:cs="Arial"/>
          <w:highlight w:val="yellow"/>
        </w:rPr>
        <w:t xml:space="preserve"> et al., 2011</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F1F1F"/>
          <w:kern w:val="2"/>
          <w:highlight w:val="yellow"/>
          <w:lang w:val="en-GB"/>
        </w:rPr>
        <w:t xml:space="preserve"> RSV increases </w:t>
      </w:r>
      <w:r w:rsidR="00BC65FF">
        <w:rPr>
          <w:rFonts w:ascii="Arial" w:eastAsia="Calibri" w:hAnsi="Arial" w:cs="Arial"/>
          <w:color w:val="1F1F1F"/>
          <w:kern w:val="2"/>
          <w:highlight w:val="yellow"/>
          <w:lang w:val="en-GB"/>
        </w:rPr>
        <w:t xml:space="preserve">the </w:t>
      </w:r>
      <w:r w:rsidRPr="00502E74">
        <w:rPr>
          <w:rFonts w:ascii="Arial" w:eastAsia="Calibri" w:hAnsi="Arial" w:cs="Arial"/>
          <w:color w:val="1F1F1F"/>
          <w:kern w:val="2"/>
          <w:highlight w:val="yellow"/>
          <w:lang w:val="en-GB"/>
        </w:rPr>
        <w:t xml:space="preserve">permeability of the bronchial airway epithelial monolayer via VEGF induction </w:t>
      </w:r>
      <w:r w:rsidR="007E62A7" w:rsidRPr="00502E74">
        <w:rPr>
          <w:rFonts w:ascii="Arial" w:eastAsia="Calibri" w:hAnsi="Arial" w:cs="Arial"/>
          <w:color w:val="1F1F1F"/>
          <w:kern w:val="2"/>
          <w:highlight w:val="yellow"/>
          <w:lang w:val="en-GB"/>
        </w:rPr>
        <w:t>(</w:t>
      </w:r>
      <w:r w:rsidR="007E62A7" w:rsidRPr="00502E74">
        <w:rPr>
          <w:rFonts w:ascii="Arial" w:eastAsia="Calibri" w:hAnsi="Arial" w:cs="Arial"/>
          <w:highlight w:val="yellow"/>
        </w:rPr>
        <w:t>Kilani et al., 2004</w:t>
      </w:r>
      <w:r w:rsidR="007E62A7" w:rsidRPr="00502E74">
        <w:rPr>
          <w:rFonts w:ascii="Arial" w:eastAsia="Calibri" w:hAnsi="Arial" w:cs="Arial"/>
          <w:color w:val="1F1F1F"/>
          <w:kern w:val="2"/>
          <w:highlight w:val="yellow"/>
          <w:lang w:val="en-GB"/>
        </w:rPr>
        <w:t>)</w:t>
      </w:r>
      <w:r w:rsidR="00BC65FF">
        <w:rPr>
          <w:rFonts w:ascii="Arial" w:eastAsia="Calibri" w:hAnsi="Arial" w:cs="Arial"/>
          <w:color w:val="1F1F1F"/>
          <w:kern w:val="2"/>
          <w:highlight w:val="yellow"/>
          <w:lang w:val="en-GB"/>
        </w:rPr>
        <w:t>;</w:t>
      </w:r>
      <w:r w:rsidRPr="00502E74">
        <w:rPr>
          <w:rFonts w:ascii="Arial" w:eastAsia="Calibri" w:hAnsi="Arial" w:cs="Arial"/>
          <w:color w:val="1F1F1F"/>
          <w:kern w:val="2"/>
          <w:highlight w:val="yellow"/>
          <w:lang w:val="en-GB"/>
        </w:rPr>
        <w:t xml:space="preserve"> the latter</w:t>
      </w:r>
      <w:r w:rsidRPr="00502E74">
        <w:rPr>
          <w:rFonts w:ascii="Arial" w:eastAsia="Calibri" w:hAnsi="Arial" w:cs="Arial"/>
          <w:color w:val="2E2E2E"/>
          <w:kern w:val="2"/>
          <w:highlight w:val="yellow"/>
          <w:shd w:val="clear" w:color="auto" w:fill="FFFFFF"/>
          <w:lang w:val="en-GB"/>
        </w:rPr>
        <w:t xml:space="preserve"> </w:t>
      </w:r>
      <w:proofErr w:type="gramStart"/>
      <w:r w:rsidRPr="00502E74">
        <w:rPr>
          <w:rFonts w:ascii="Arial" w:eastAsia="Calibri" w:hAnsi="Arial" w:cs="Arial"/>
          <w:color w:val="2E2E2E"/>
          <w:kern w:val="2"/>
          <w:highlight w:val="yellow"/>
          <w:shd w:val="clear" w:color="auto" w:fill="FFFFFF"/>
          <w:lang w:val="en-GB"/>
        </w:rPr>
        <w:t>is considered</w:t>
      </w:r>
      <w:proofErr w:type="gramEnd"/>
      <w:r w:rsidRPr="00502E74">
        <w:rPr>
          <w:rFonts w:ascii="Arial" w:eastAsia="Calibri" w:hAnsi="Arial" w:cs="Arial"/>
          <w:color w:val="2E2E2E"/>
          <w:kern w:val="2"/>
          <w:highlight w:val="yellow"/>
          <w:shd w:val="clear" w:color="auto" w:fill="FFFFFF"/>
          <w:lang w:val="en-GB"/>
        </w:rPr>
        <w:t xml:space="preserve"> a key regulator in </w:t>
      </w:r>
      <w:r w:rsidRPr="00502E74">
        <w:rPr>
          <w:rFonts w:ascii="Arial" w:eastAsia="Calibri" w:hAnsi="Arial" w:cs="Arial"/>
          <w:color w:val="1A1A1A"/>
          <w:kern w:val="2"/>
          <w:highlight w:val="yellow"/>
          <w:shd w:val="clear" w:color="auto" w:fill="FFFFFF"/>
          <w:lang w:val="en-GB"/>
        </w:rPr>
        <w:t xml:space="preserve">angiogenesis and an important driver of </w:t>
      </w:r>
      <w:r w:rsidR="00BC65FF">
        <w:rPr>
          <w:rFonts w:ascii="Arial" w:eastAsia="Calibri" w:hAnsi="Arial" w:cs="Arial"/>
          <w:color w:val="1A1A1A"/>
          <w:kern w:val="2"/>
          <w:highlight w:val="yellow"/>
          <w:shd w:val="clear" w:color="auto" w:fill="FFFFFF"/>
          <w:lang w:val="en-GB"/>
        </w:rPr>
        <w:t>neovascularisation</w:t>
      </w:r>
      <w:r w:rsidRPr="00502E74">
        <w:rPr>
          <w:rFonts w:ascii="Arial" w:eastAsia="Calibri" w:hAnsi="Arial" w:cs="Arial"/>
          <w:color w:val="1A1A1A"/>
          <w:kern w:val="2"/>
          <w:highlight w:val="yellow"/>
          <w:shd w:val="clear" w:color="auto" w:fill="FFFFFF"/>
          <w:lang w:val="en-GB"/>
        </w:rPr>
        <w:t xml:space="preserve"> </w:t>
      </w:r>
      <w:r w:rsidR="007E62A7" w:rsidRPr="00502E74">
        <w:rPr>
          <w:rFonts w:ascii="Arial" w:eastAsia="Calibri" w:hAnsi="Arial" w:cs="Arial"/>
          <w:color w:val="1A1A1A"/>
          <w:kern w:val="2"/>
          <w:highlight w:val="yellow"/>
          <w:shd w:val="clear" w:color="auto" w:fill="FFFFFF"/>
          <w:lang w:val="en-GB"/>
        </w:rPr>
        <w:t>(</w:t>
      </w:r>
      <w:proofErr w:type="spellStart"/>
      <w:r w:rsidR="007E62A7" w:rsidRPr="00502E74">
        <w:rPr>
          <w:rFonts w:ascii="Arial" w:eastAsia="Calibri" w:hAnsi="Arial" w:cs="Arial"/>
          <w:highlight w:val="yellow"/>
        </w:rPr>
        <w:t>Khallaf</w:t>
      </w:r>
      <w:proofErr w:type="spellEnd"/>
      <w:r w:rsidR="007E62A7" w:rsidRPr="00502E74">
        <w:rPr>
          <w:rFonts w:ascii="Arial" w:eastAsia="Calibri" w:hAnsi="Arial" w:cs="Arial"/>
          <w:highlight w:val="yellow"/>
        </w:rPr>
        <w:t xml:space="preserve"> et al., 2021</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 xml:space="preserve">. Toll-like receptors 4 (TLR4), play a considerable role in the host defence against </w:t>
      </w:r>
      <w:r w:rsidR="00D340C2" w:rsidRPr="00502E74">
        <w:rPr>
          <w:rFonts w:ascii="Arial" w:eastAsia="Calibri" w:hAnsi="Arial" w:cs="Arial"/>
          <w:color w:val="1A1A1A"/>
          <w:kern w:val="2"/>
          <w:highlight w:val="yellow"/>
          <w:shd w:val="clear" w:color="auto" w:fill="FFFFFF"/>
          <w:lang w:val="en-GB"/>
        </w:rPr>
        <w:t>microorganisms</w:t>
      </w:r>
      <w:r w:rsidRPr="00502E74">
        <w:rPr>
          <w:rFonts w:ascii="Arial" w:eastAsia="Calibri" w:hAnsi="Arial" w:cs="Arial"/>
          <w:color w:val="1A1A1A"/>
          <w:kern w:val="2"/>
          <w:highlight w:val="yellow"/>
          <w:shd w:val="clear" w:color="auto" w:fill="FFFFFF"/>
          <w:lang w:val="en-GB"/>
        </w:rPr>
        <w:t xml:space="preserve"> and contributes to pulmonary RSV pathogenesis and activation of cellular immunity </w:t>
      </w:r>
      <w:r w:rsidR="007E62A7" w:rsidRPr="00502E74">
        <w:rPr>
          <w:rFonts w:ascii="Arial" w:eastAsia="Calibri" w:hAnsi="Arial" w:cs="Arial"/>
          <w:color w:val="1A1A1A"/>
          <w:kern w:val="2"/>
          <w:highlight w:val="yellow"/>
          <w:shd w:val="clear" w:color="auto" w:fill="FFFFFF"/>
          <w:lang w:val="en-GB"/>
        </w:rPr>
        <w:t>(</w:t>
      </w:r>
      <w:r w:rsidR="007E62A7" w:rsidRPr="00502E74">
        <w:rPr>
          <w:rFonts w:ascii="Arial" w:eastAsia="Calibri" w:hAnsi="Arial" w:cs="Arial"/>
          <w:highlight w:val="yellow"/>
        </w:rPr>
        <w:t>Marzec et al., 2019</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w:t>
      </w:r>
      <w:bookmarkStart w:id="1" w:name="_Hlk205071713"/>
      <w:r w:rsidRPr="00502E74">
        <w:rPr>
          <w:rFonts w:ascii="Arial" w:eastAsia="Calibri" w:hAnsi="Arial" w:cs="Arial"/>
          <w:color w:val="1A1A1A"/>
          <w:kern w:val="2"/>
          <w:highlight w:val="yellow"/>
          <w:shd w:val="clear" w:color="auto" w:fill="FFFFFF"/>
          <w:lang w:val="en-GB"/>
        </w:rPr>
        <w:t xml:space="preserve"> TGF-β1</w:t>
      </w:r>
      <w:bookmarkEnd w:id="1"/>
      <w:r w:rsidRPr="00502E74">
        <w:rPr>
          <w:rFonts w:ascii="Arial" w:eastAsia="Calibri" w:hAnsi="Arial" w:cs="Arial"/>
          <w:color w:val="1A1A1A"/>
          <w:kern w:val="2"/>
          <w:highlight w:val="yellow"/>
          <w:shd w:val="clear" w:color="auto" w:fill="FFFFFF"/>
          <w:lang w:val="en-GB"/>
        </w:rPr>
        <w:t xml:space="preserve"> is a key regulator of immune homeostasis </w:t>
      </w:r>
      <w:r w:rsidR="007E62A7" w:rsidRPr="00502E74">
        <w:rPr>
          <w:rFonts w:ascii="Arial" w:eastAsia="Calibri" w:hAnsi="Arial" w:cs="Arial"/>
          <w:color w:val="1A1A1A"/>
          <w:kern w:val="2"/>
          <w:highlight w:val="yellow"/>
          <w:shd w:val="clear" w:color="auto" w:fill="FFFFFF"/>
          <w:lang w:val="en-GB"/>
        </w:rPr>
        <w:t>(</w:t>
      </w:r>
      <w:r w:rsidR="007E62A7" w:rsidRPr="00502E74">
        <w:rPr>
          <w:rFonts w:ascii="Arial" w:eastAsia="Calibri" w:hAnsi="Arial" w:cs="Arial"/>
          <w:highlight w:val="yellow"/>
        </w:rPr>
        <w:t>Abdel Hammed et al., 2022</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 xml:space="preserve"> and acts as a major regulator of RSV dendritic cells -T-cell responses, which could contribute to immunopathology </w:t>
      </w:r>
      <w:r w:rsidR="007E62A7" w:rsidRPr="00502E74">
        <w:rPr>
          <w:rFonts w:ascii="Arial" w:eastAsia="Calibri" w:hAnsi="Arial" w:cs="Arial"/>
          <w:color w:val="1A1A1A"/>
          <w:kern w:val="2"/>
          <w:highlight w:val="yellow"/>
          <w:shd w:val="clear" w:color="auto" w:fill="FFFFFF"/>
          <w:lang w:val="en-GB"/>
        </w:rPr>
        <w:t>(</w:t>
      </w:r>
      <w:r w:rsidR="007E62A7" w:rsidRPr="00502E74">
        <w:rPr>
          <w:rFonts w:ascii="Arial" w:eastAsia="Calibri" w:hAnsi="Arial" w:cs="Arial"/>
          <w:highlight w:val="yellow"/>
        </w:rPr>
        <w:t>Thornburg et al., 2010</w:t>
      </w:r>
      <w:r w:rsidR="007E62A7" w:rsidRPr="00502E74">
        <w:rPr>
          <w:rFonts w:ascii="Arial" w:eastAsia="Calibri" w:hAnsi="Arial" w:cs="Arial"/>
          <w:color w:val="1A1A1A"/>
          <w:kern w:val="2"/>
          <w:highlight w:val="yellow"/>
          <w:shd w:val="clear" w:color="auto" w:fill="FFFFFF"/>
          <w:lang w:val="en-GB"/>
        </w:rPr>
        <w:t>)</w:t>
      </w:r>
      <w:r w:rsidRPr="00502E74">
        <w:rPr>
          <w:rFonts w:ascii="Arial" w:eastAsia="Calibri" w:hAnsi="Arial" w:cs="Arial"/>
          <w:color w:val="1A1A1A"/>
          <w:kern w:val="2"/>
          <w:highlight w:val="yellow"/>
          <w:shd w:val="clear" w:color="auto" w:fill="FFFFFF"/>
          <w:lang w:val="en-GB"/>
        </w:rPr>
        <w:t>.</w:t>
      </w:r>
    </w:p>
    <w:p w14:paraId="64DD1C5C" w14:textId="77777777" w:rsidR="00F23AC5" w:rsidRPr="00502E74" w:rsidRDefault="00F23AC5" w:rsidP="00EE5DB0">
      <w:pPr>
        <w:pStyle w:val="Body"/>
        <w:spacing w:after="0"/>
        <w:rPr>
          <w:rFonts w:ascii="Arial" w:hAnsi="Arial" w:cs="Arial"/>
          <w:lang w:val="en-GB"/>
        </w:rPr>
      </w:pPr>
    </w:p>
    <w:p w14:paraId="6C0CF32D" w14:textId="732A40B6" w:rsidR="00EE5DB0" w:rsidRPr="00EE5DB0" w:rsidRDefault="00EE5DB0" w:rsidP="00EE5DB0">
      <w:pPr>
        <w:pStyle w:val="Body"/>
        <w:spacing w:after="0"/>
        <w:rPr>
          <w:rFonts w:ascii="Arial" w:hAnsi="Arial" w:cs="Arial"/>
        </w:rPr>
      </w:pPr>
      <w:r w:rsidRPr="00EE5DB0">
        <w:rPr>
          <w:rFonts w:ascii="Arial" w:hAnsi="Arial" w:cs="Arial"/>
        </w:rPr>
        <w:t xml:space="preserve">Global epidemiological data estimate that RSV accounts for over 33 million ALRTI cases annually, leading to approximately 3 million </w:t>
      </w:r>
      <w:proofErr w:type="spellStart"/>
      <w:r w:rsidRPr="00EE5DB0">
        <w:rPr>
          <w:rFonts w:ascii="Arial" w:hAnsi="Arial" w:cs="Arial"/>
        </w:rPr>
        <w:t>ho</w:t>
      </w:r>
      <w:r w:rsidRPr="00502E74">
        <w:rPr>
          <w:rFonts w:ascii="Arial" w:hAnsi="Arial" w:cs="Arial"/>
          <w:highlight w:val="yellow"/>
        </w:rPr>
        <w:t>spitali</w:t>
      </w:r>
      <w:r w:rsidR="00BC65FF" w:rsidRPr="00502E74">
        <w:rPr>
          <w:rFonts w:ascii="Arial" w:hAnsi="Arial" w:cs="Arial"/>
          <w:highlight w:val="yellow"/>
        </w:rPr>
        <w:t>s</w:t>
      </w:r>
      <w:r w:rsidRPr="00502E74">
        <w:rPr>
          <w:rFonts w:ascii="Arial" w:hAnsi="Arial" w:cs="Arial"/>
          <w:highlight w:val="yellow"/>
        </w:rPr>
        <w:t>ations</w:t>
      </w:r>
      <w:proofErr w:type="spellEnd"/>
      <w:r w:rsidRPr="00EE5DB0">
        <w:rPr>
          <w:rFonts w:ascii="Arial" w:hAnsi="Arial" w:cs="Arial"/>
        </w:rPr>
        <w:t xml:space="preserve"> and up to 118,000 deaths in children under five years old. Alarmingly, the majority of these deaths occur in low- and middle-income countries (LMICs), where healthcare access and surveillance systems are often limited or fragmented (Shi et al., 2017; Wu et al., 2024). These figures may still underestimate the true burden, as facility-based data often fail to capture mortality occurring outside hospitals. In LMICs, </w:t>
      </w:r>
      <w:proofErr w:type="gramStart"/>
      <w:r w:rsidRPr="00EE5DB0">
        <w:rPr>
          <w:rFonts w:ascii="Arial" w:hAnsi="Arial" w:cs="Arial"/>
        </w:rPr>
        <w:t>a substantial portion of RSV-related deaths transpire</w:t>
      </w:r>
      <w:proofErr w:type="gramEnd"/>
      <w:r w:rsidRPr="00EE5DB0">
        <w:rPr>
          <w:rFonts w:ascii="Arial" w:hAnsi="Arial" w:cs="Arial"/>
        </w:rPr>
        <w:t xml:space="preserve"> in community settings, particularly among infants younger than six months (Srikantiah et al., 2021).</w:t>
      </w:r>
    </w:p>
    <w:p w14:paraId="47D9FFDB" w14:textId="4FC19297" w:rsidR="00EE5DB0" w:rsidRPr="00EE5DB0" w:rsidRDefault="00EE5DB0" w:rsidP="00EE5DB0">
      <w:pPr>
        <w:pStyle w:val="Body"/>
        <w:spacing w:after="0"/>
        <w:rPr>
          <w:rFonts w:ascii="Arial" w:hAnsi="Arial" w:cs="Arial"/>
        </w:rPr>
      </w:pPr>
      <w:r w:rsidRPr="00EE5DB0">
        <w:rPr>
          <w:rFonts w:ascii="Arial" w:hAnsi="Arial" w:cs="Arial"/>
        </w:rPr>
        <w:t xml:space="preserve">Yemen presents a critical case in point. Decades of civil conflict and humanitarian crises have severely impaired its healthcare infrastructure. Fragmented health systems, inconsistent access to care, and interruptions to national disease surveillance programs have become major obstacles to accurate disease estimation and prevention efforts (Qirbi &amp; Ismail, 2017). Malnutrition affects over 45% of children under five in Yemen, increasing susceptibility to infectious diseases like RSV (Al-Taj et al., 2025). Environmental and </w:t>
      </w:r>
      <w:proofErr w:type="spellStart"/>
      <w:r w:rsidR="005E25B1" w:rsidRPr="00502E74">
        <w:rPr>
          <w:rFonts w:ascii="Arial" w:hAnsi="Arial" w:cs="Arial"/>
          <w:highlight w:val="yellow"/>
        </w:rPr>
        <w:t>behavioural</w:t>
      </w:r>
      <w:proofErr w:type="spellEnd"/>
      <w:r w:rsidR="005E25B1" w:rsidRPr="00502E74">
        <w:rPr>
          <w:rFonts w:ascii="Arial" w:hAnsi="Arial" w:cs="Arial"/>
          <w:highlight w:val="yellow"/>
        </w:rPr>
        <w:t xml:space="preserve"> </w:t>
      </w:r>
      <w:r w:rsidRPr="00502E74">
        <w:rPr>
          <w:rFonts w:ascii="Arial" w:hAnsi="Arial" w:cs="Arial"/>
          <w:highlight w:val="yellow"/>
        </w:rPr>
        <w:t>factors</w:t>
      </w:r>
      <w:r w:rsidRPr="00EE5DB0">
        <w:rPr>
          <w:rFonts w:ascii="Arial" w:hAnsi="Arial" w:cs="Arial"/>
        </w:rPr>
        <w:t>—such as exposure to indoor air pollution, lack of access to clean cooking fuel, overcrowded living conditions, and limited exclusive breastfeeding</w:t>
      </w:r>
      <w:r w:rsidR="005E25B1">
        <w:rPr>
          <w:rFonts w:ascii="Arial" w:hAnsi="Arial" w:cs="Arial"/>
        </w:rPr>
        <w:t xml:space="preserve">- </w:t>
      </w:r>
      <w:r w:rsidRPr="00EE5DB0">
        <w:rPr>
          <w:rFonts w:ascii="Arial" w:hAnsi="Arial" w:cs="Arial"/>
        </w:rPr>
        <w:t>further elevate RSV severity and transmission risk.</w:t>
      </w:r>
    </w:p>
    <w:p w14:paraId="11394DCD" w14:textId="502178C8" w:rsidR="00EE5DB0" w:rsidRPr="00EE5DB0" w:rsidRDefault="00EE5DB0" w:rsidP="00EE5DB0">
      <w:pPr>
        <w:pStyle w:val="Body"/>
        <w:spacing w:after="0"/>
        <w:rPr>
          <w:rFonts w:ascii="Arial" w:hAnsi="Arial" w:cs="Arial"/>
        </w:rPr>
      </w:pPr>
      <w:r w:rsidRPr="00EE5DB0">
        <w:rPr>
          <w:rFonts w:ascii="Arial" w:hAnsi="Arial" w:cs="Arial"/>
        </w:rPr>
        <w:t xml:space="preserve">The most recent RSV surveillance report from Yemen, dated between 2014 and 2015, indicated a 41.1% RSV positivity rate among severe acute respiratory infection (SARI) cases (Al-Taj et al., 2025). Yet, since then, no updated epidemiological data </w:t>
      </w:r>
      <w:proofErr w:type="gramStart"/>
      <w:r w:rsidRPr="00EE5DB0">
        <w:rPr>
          <w:rFonts w:ascii="Arial" w:hAnsi="Arial" w:cs="Arial"/>
        </w:rPr>
        <w:t>have been published</w:t>
      </w:r>
      <w:proofErr w:type="gramEnd"/>
      <w:r w:rsidRPr="00EE5DB0">
        <w:rPr>
          <w:rFonts w:ascii="Arial" w:hAnsi="Arial" w:cs="Arial"/>
        </w:rPr>
        <w:t xml:space="preserve">. This absence of current national-level reporting hinders timely public health interventions and leaves policymakers unable to respond effectively to seasonal RSV outbreaks. The lack of reliable baseline data also complicates the introduction of novel </w:t>
      </w:r>
      <w:proofErr w:type="spellStart"/>
      <w:r w:rsidR="005E25B1" w:rsidRPr="00502E74">
        <w:rPr>
          <w:rFonts w:ascii="Arial" w:hAnsi="Arial" w:cs="Arial"/>
          <w:highlight w:val="yellow"/>
        </w:rPr>
        <w:t>immunisation</w:t>
      </w:r>
      <w:proofErr w:type="spellEnd"/>
      <w:r w:rsidR="005E25B1" w:rsidRPr="00EE5DB0">
        <w:rPr>
          <w:rFonts w:ascii="Arial" w:hAnsi="Arial" w:cs="Arial"/>
        </w:rPr>
        <w:t xml:space="preserve"> </w:t>
      </w:r>
      <w:r w:rsidRPr="00EE5DB0">
        <w:rPr>
          <w:rFonts w:ascii="Arial" w:hAnsi="Arial" w:cs="Arial"/>
        </w:rPr>
        <w:t>strategies, such as monoclonal antibodies and candidate RSV vaccines, which require detailed burden assessments and preparedness planning.</w:t>
      </w:r>
      <w:r w:rsidR="006173C6">
        <w:rPr>
          <w:rFonts w:ascii="Arial" w:hAnsi="Arial" w:cs="Arial"/>
        </w:rPr>
        <w:t xml:space="preserve"> </w:t>
      </w:r>
      <w:r w:rsidR="006173C6" w:rsidRPr="00502E74">
        <w:rPr>
          <w:rFonts w:ascii="Arial" w:hAnsi="Arial" w:cs="Arial"/>
          <w:highlight w:val="yellow"/>
        </w:rPr>
        <w:t xml:space="preserve">Treatment of RSV infection is largely supportive, with modalities such as bronchodilators, epinephrine, corticosteroids, and hypertonic saline. Meanwhile, no vaccines have proven effective in preventing RSV infection. Nevertheless, various RSV vaccines, including particle-based, vector-based, </w:t>
      </w:r>
      <w:proofErr w:type="gramStart"/>
      <w:r w:rsidR="006173C6" w:rsidRPr="00502E74">
        <w:rPr>
          <w:rFonts w:ascii="Arial" w:hAnsi="Arial" w:cs="Arial"/>
          <w:highlight w:val="yellow"/>
        </w:rPr>
        <w:t>live-attenuated</w:t>
      </w:r>
      <w:proofErr w:type="gramEnd"/>
      <w:r w:rsidR="006173C6" w:rsidRPr="00502E74">
        <w:rPr>
          <w:rFonts w:ascii="Arial" w:hAnsi="Arial" w:cs="Arial"/>
          <w:highlight w:val="yellow"/>
        </w:rPr>
        <w:t xml:space="preserve"> or chimeric, and subunit vaccines, are in various stages of clinical trials</w:t>
      </w:r>
      <w:r w:rsidR="001A0E7E">
        <w:rPr>
          <w:rFonts w:ascii="Arial" w:hAnsi="Arial" w:cs="Arial"/>
          <w:highlight w:val="yellow"/>
        </w:rPr>
        <w:t xml:space="preserve"> (</w:t>
      </w:r>
      <w:r w:rsidR="008647DC">
        <w:rPr>
          <w:rFonts w:ascii="Arial" w:hAnsi="Arial" w:cs="Arial"/>
          <w:highlight w:val="yellow"/>
        </w:rPr>
        <w:t>Qiu et al., 2022</w:t>
      </w:r>
      <w:r w:rsidR="001A0E7E">
        <w:rPr>
          <w:rFonts w:ascii="Arial" w:hAnsi="Arial" w:cs="Arial"/>
          <w:highlight w:val="yellow"/>
        </w:rPr>
        <w:t>)</w:t>
      </w:r>
      <w:r w:rsidR="006173C6" w:rsidRPr="00502E74">
        <w:rPr>
          <w:rFonts w:ascii="Arial" w:hAnsi="Arial" w:cs="Arial"/>
          <w:highlight w:val="yellow"/>
        </w:rPr>
        <w:t>.</w:t>
      </w:r>
      <w:r w:rsidR="006173C6" w:rsidRPr="006173C6">
        <w:rPr>
          <w:rFonts w:ascii="Arial" w:hAnsi="Arial" w:cs="Arial"/>
        </w:rPr>
        <w:t xml:space="preserve"> </w:t>
      </w:r>
    </w:p>
    <w:p w14:paraId="5E6A71C2" w14:textId="40D012D6" w:rsidR="00EE5DB0" w:rsidRPr="00EE5DB0" w:rsidRDefault="00EE5DB0" w:rsidP="00EE5DB0">
      <w:pPr>
        <w:pStyle w:val="Body"/>
        <w:spacing w:after="0"/>
        <w:rPr>
          <w:rFonts w:ascii="Arial" w:hAnsi="Arial" w:cs="Arial"/>
        </w:rPr>
      </w:pPr>
      <w:r w:rsidRPr="00EE5DB0">
        <w:rPr>
          <w:rFonts w:ascii="Arial" w:hAnsi="Arial" w:cs="Arial"/>
        </w:rPr>
        <w:t xml:space="preserve">Promising tools like nirsevimab, a long-acting monoclonal antibody shown to reduce RSV-related </w:t>
      </w:r>
      <w:proofErr w:type="spellStart"/>
      <w:r w:rsidR="00F6461B" w:rsidRPr="00502E74">
        <w:rPr>
          <w:rFonts w:ascii="Arial" w:hAnsi="Arial" w:cs="Arial"/>
          <w:highlight w:val="yellow"/>
        </w:rPr>
        <w:t>hospitalisations</w:t>
      </w:r>
      <w:proofErr w:type="spellEnd"/>
      <w:r w:rsidR="00F6461B" w:rsidRPr="00502E74">
        <w:rPr>
          <w:rFonts w:ascii="Arial" w:hAnsi="Arial" w:cs="Arial"/>
          <w:highlight w:val="yellow"/>
        </w:rPr>
        <w:t xml:space="preserve"> </w:t>
      </w:r>
      <w:r w:rsidRPr="00502E74">
        <w:rPr>
          <w:rFonts w:ascii="Arial" w:hAnsi="Arial" w:cs="Arial"/>
          <w:highlight w:val="yellow"/>
        </w:rPr>
        <w:t>in infants</w:t>
      </w:r>
      <w:r w:rsidRPr="00EE5DB0">
        <w:rPr>
          <w:rFonts w:ascii="Arial" w:hAnsi="Arial" w:cs="Arial"/>
        </w:rPr>
        <w:t xml:space="preserve">, have demonstrated efficacy in global clinical trials (Hammitt et al., 2022). However, the feasibility of implementing such interventions in Yemen remains low due to constrained resources and the absence of comprehensive surveillance data. Without measurable disease burden estimates, Yemen risks being further </w:t>
      </w:r>
      <w:proofErr w:type="spellStart"/>
      <w:r w:rsidR="005E25B1" w:rsidRPr="00502E74">
        <w:rPr>
          <w:rFonts w:ascii="Arial" w:hAnsi="Arial" w:cs="Arial"/>
          <w:highlight w:val="yellow"/>
        </w:rPr>
        <w:t>marginalised</w:t>
      </w:r>
      <w:proofErr w:type="spellEnd"/>
      <w:r w:rsidR="005E25B1" w:rsidRPr="00EE5DB0">
        <w:rPr>
          <w:rFonts w:ascii="Arial" w:hAnsi="Arial" w:cs="Arial"/>
        </w:rPr>
        <w:t xml:space="preserve"> </w:t>
      </w:r>
      <w:r w:rsidRPr="00EE5DB0">
        <w:rPr>
          <w:rFonts w:ascii="Arial" w:hAnsi="Arial" w:cs="Arial"/>
        </w:rPr>
        <w:t xml:space="preserve">in global </w:t>
      </w:r>
      <w:proofErr w:type="spellStart"/>
      <w:r w:rsidR="00F6461B" w:rsidRPr="00502E74">
        <w:rPr>
          <w:rFonts w:ascii="Arial" w:hAnsi="Arial" w:cs="Arial"/>
          <w:highlight w:val="yellow"/>
        </w:rPr>
        <w:t>immunisation</w:t>
      </w:r>
      <w:proofErr w:type="spellEnd"/>
      <w:r w:rsidR="00F6461B" w:rsidRPr="00EE5DB0">
        <w:rPr>
          <w:rFonts w:ascii="Arial" w:hAnsi="Arial" w:cs="Arial"/>
        </w:rPr>
        <w:t xml:space="preserve"> </w:t>
      </w:r>
      <w:r w:rsidRPr="00EE5DB0">
        <w:rPr>
          <w:rFonts w:ascii="Arial" w:hAnsi="Arial" w:cs="Arial"/>
        </w:rPr>
        <w:t>initiatives and vaccine allocation schemes.</w:t>
      </w:r>
    </w:p>
    <w:p w14:paraId="349B19D6" w14:textId="0432E771" w:rsidR="00EE5DB0" w:rsidRPr="00EE5DB0" w:rsidRDefault="00EE5DB0" w:rsidP="00EE5DB0">
      <w:pPr>
        <w:pStyle w:val="Body"/>
        <w:spacing w:after="0"/>
        <w:rPr>
          <w:rFonts w:ascii="Arial" w:hAnsi="Arial" w:cs="Arial"/>
        </w:rPr>
      </w:pPr>
      <w:r>
        <w:rPr>
          <w:noProof/>
        </w:rPr>
        <mc:AlternateContent>
          <mc:Choice Requires="wps">
            <w:drawing>
              <wp:anchor distT="0" distB="0" distL="114300" distR="114300" simplePos="0" relativeHeight="251660288" behindDoc="0" locked="0" layoutInCell="1" allowOverlap="1" wp14:anchorId="7706093E" wp14:editId="3D9D92E0">
                <wp:simplePos x="0" y="0"/>
                <wp:positionH relativeFrom="column">
                  <wp:posOffset>2163604</wp:posOffset>
                </wp:positionH>
                <wp:positionV relativeFrom="paragraph">
                  <wp:posOffset>2882106</wp:posOffset>
                </wp:positionV>
                <wp:extent cx="2957195" cy="635"/>
                <wp:effectExtent l="0" t="0" r="1905" b="12065"/>
                <wp:wrapTopAndBottom/>
                <wp:docPr id="1234309233" name="Text Box 1"/>
                <wp:cNvGraphicFramePr/>
                <a:graphic xmlns:a="http://schemas.openxmlformats.org/drawingml/2006/main">
                  <a:graphicData uri="http://schemas.microsoft.com/office/word/2010/wordprocessingShape">
                    <wps:wsp>
                      <wps:cNvSpPr txBox="1"/>
                      <wps:spPr>
                        <a:xfrm>
                          <a:off x="0" y="0"/>
                          <a:ext cx="2957195" cy="635"/>
                        </a:xfrm>
                        <a:prstGeom prst="rect">
                          <a:avLst/>
                        </a:prstGeom>
                        <a:solidFill>
                          <a:prstClr val="white"/>
                        </a:solidFill>
                        <a:ln>
                          <a:noFill/>
                        </a:ln>
                      </wps:spPr>
                      <wps:txbx>
                        <w:txbxContent>
                          <w:p w14:paraId="121236C5" w14:textId="77777777" w:rsidR="00EE5DB0" w:rsidRDefault="00EE5DB0" w:rsidP="00EE5DB0">
                            <w:pPr>
                              <w:pStyle w:val="Caption"/>
                            </w:pPr>
                            <w:r>
                              <w:t xml:space="preserve">Figure </w:t>
                            </w:r>
                            <w:r w:rsidR="00226AD1">
                              <w:fldChar w:fldCharType="begin"/>
                            </w:r>
                            <w:r w:rsidR="00226AD1">
                              <w:instrText xml:space="preserve"> SEQ Figure \* ARABIC </w:instrText>
                            </w:r>
                            <w:r w:rsidR="00226AD1">
                              <w:fldChar w:fldCharType="separate"/>
                            </w:r>
                            <w:r>
                              <w:rPr>
                                <w:noProof/>
                              </w:rPr>
                              <w:t>1</w:t>
                            </w:r>
                            <w:r w:rsidR="00226AD1">
                              <w:rPr>
                                <w:noProof/>
                              </w:rPr>
                              <w:fldChar w:fldCharType="end"/>
                            </w:r>
                            <w:r>
                              <w:t xml:space="preserve">:  </w:t>
                            </w:r>
                            <w:r w:rsidRPr="006E4FDB">
                              <w:t xml:space="preserve">Structure </w:t>
                            </w:r>
                            <w:r>
                              <w:t xml:space="preserve">of </w:t>
                            </w:r>
                            <w:r w:rsidRPr="006E4FDB">
                              <w:t>Respiratory Syncytial Virus</w:t>
                            </w:r>
                          </w:p>
                          <w:p w14:paraId="5FCBE3A1" w14:textId="77777777" w:rsidR="00EE5DB0" w:rsidRPr="00EE5DB0" w:rsidRDefault="00EE5DB0" w:rsidP="00EE5DB0">
                            <w:pPr>
                              <w:rPr>
                                <w:rFonts w:asciiTheme="minorBidi" w:hAnsiTheme="minorBidi" w:cstheme="minorBidi"/>
                                <w:i/>
                                <w:iCs/>
                                <w:sz w:val="13"/>
                                <w:szCs w:val="13"/>
                              </w:rPr>
                            </w:pPr>
                            <w:r w:rsidRPr="00EE5DB0">
                              <w:rPr>
                                <w:rStyle w:val="Strong"/>
                                <w:rFonts w:asciiTheme="minorBidi" w:hAnsiTheme="minorBidi" w:cstheme="minorBidi"/>
                                <w:i/>
                                <w:iCs/>
                                <w:color w:val="000000"/>
                                <w:sz w:val="13"/>
                                <w:szCs w:val="13"/>
                              </w:rPr>
                              <w:t>Source:</w:t>
                            </w:r>
                            <w:r w:rsidRPr="00EE5DB0">
                              <w:rPr>
                                <w:rStyle w:val="apple-converted-space"/>
                                <w:rFonts w:asciiTheme="minorBidi" w:hAnsiTheme="minorBidi" w:cstheme="minorBidi"/>
                                <w:i/>
                                <w:iCs/>
                                <w:color w:val="000000"/>
                                <w:sz w:val="13"/>
                                <w:szCs w:val="13"/>
                              </w:rPr>
                              <w:t> </w:t>
                            </w:r>
                            <w:proofErr w:type="spellStart"/>
                            <w:r w:rsidRPr="00EE5DB0">
                              <w:rPr>
                                <w:rFonts w:asciiTheme="minorBidi" w:hAnsiTheme="minorBidi" w:cstheme="minorBidi"/>
                                <w:i/>
                                <w:iCs/>
                                <w:color w:val="000000"/>
                                <w:sz w:val="13"/>
                                <w:szCs w:val="13"/>
                              </w:rPr>
                              <w:t>Cusabio</w:t>
                            </w:r>
                            <w:proofErr w:type="spellEnd"/>
                            <w:r w:rsidRPr="00EE5DB0">
                              <w:rPr>
                                <w:rFonts w:asciiTheme="minorBidi" w:hAnsiTheme="minorBidi" w:cstheme="minorBidi"/>
                                <w:i/>
                                <w:iCs/>
                                <w:color w:val="000000"/>
                                <w:sz w:val="13"/>
                                <w:szCs w:val="13"/>
                              </w:rPr>
                              <w:t>.</w:t>
                            </w:r>
                            <w:r w:rsidRPr="00EE5DB0">
                              <w:rPr>
                                <w:rStyle w:val="apple-converted-space"/>
                                <w:rFonts w:asciiTheme="minorBidi" w:hAnsiTheme="minorBidi" w:cstheme="minorBidi"/>
                                <w:i/>
                                <w:iCs/>
                                <w:color w:val="000000"/>
                                <w:sz w:val="13"/>
                                <w:szCs w:val="13"/>
                              </w:rPr>
                              <w:t> </w:t>
                            </w:r>
                            <w:r w:rsidRPr="00EE5DB0">
                              <w:rPr>
                                <w:rStyle w:val="Emphasis"/>
                                <w:rFonts w:asciiTheme="minorBidi" w:hAnsiTheme="minorBidi" w:cstheme="minorBidi"/>
                                <w:i w:val="0"/>
                                <w:iCs w:val="0"/>
                                <w:color w:val="000000"/>
                                <w:sz w:val="13"/>
                                <w:szCs w:val="13"/>
                              </w:rPr>
                              <w:t>Pathophysiology of RSV: Structure, Entry and Immune Response.</w:t>
                            </w:r>
                            <w:r w:rsidRPr="00EE5DB0">
                              <w:rPr>
                                <w:rFonts w:asciiTheme="minorBidi" w:hAnsiTheme="minorBidi" w:cstheme="minorBidi"/>
                                <w:i/>
                                <w:iCs/>
                                <w:sz w:val="13"/>
                                <w:szCs w:val="13"/>
                              </w:rPr>
                              <w:t>https://www.cusabio.com/infectious-diseases/respiratory-syncytial-virus.html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06093E" id="_x0000_t202" coordsize="21600,21600" o:spt="202" path="m,l,21600r21600,l21600,xe">
                <v:stroke joinstyle="miter"/>
                <v:path gradientshapeok="t" o:connecttype="rect"/>
              </v:shapetype>
              <v:shape id="Text Box 1" o:spid="_x0000_s1026" type="#_x0000_t202" style="position:absolute;left:0;text-align:left;margin-left:170.35pt;margin-top:226.95pt;width:232.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9mFgIAADgEAAAOAAAAZHJzL2Uyb0RvYy54bWysU8GO2jAQvVfqP1i+lwAV2y4irCgrqkpo&#10;dyW22rNxHGLJ8bhjQ0K/vmMnge22p6oXZ+IZv/G897y4a2vDTgq9BpvzyWjMmbISCm0POf/+vPnw&#10;mTMfhC2EAatyflae3y3fv1s0bq6mUIEpFDICsX7euJxXIbh5lnlZqVr4EThlKVkC1iLQLx6yAkVD&#10;6LXJpuPxTdYAFg5BKu9p975L8mXCL0slw2NZehWYyTndLaQV07qPa7ZciPkBhau07K8h/uEWtdCW&#10;ml6g7kUQ7Ij6D6haSwQPZRhJqDMoSy1VmoGmmYzfTLOrhFNpFiLHuwtN/v/ByofTzj0hC+0XaEnA&#10;SEjj/NzTZpynLbGOX7opozxReL7QptrAJG1Ob2efJrczziTlbj7OIkZ2PerQh68KahaDnCNpkqgS&#10;p60PXelQEjt5MLrYaGPiT0ysDbKTIP2aSgfVg/9WZWystRBPdYBxJ7vOEaPQ7tt+uD0UZ5oZobOD&#10;d3KjqdFW+PAkkPSnMcnT4ZGW0kCTc+gjzirAn3/bj/UkC2U5a8hPOfc/jgIVZ+abJcGi+YYAh2A/&#10;BPZYr4FGnNBrcTKFdACDGcISoX4hq69iF0oJK6lXzsMQrkPnanoqUq1WqYgs5kTY2p2TEXog9Ll9&#10;Eeh6OQKp+ACD08T8jSpdbdLFrY6BKE6SRUI7FnueyZ5J9P4pRf+//k9V1we//AUAAP//AwBQSwME&#10;FAAGAAgAAAAhAPSc+bjhAAAACwEAAA8AAABkcnMvZG93bnJldi54bWxMj7FOwzAQhnck3sE6JBZE&#10;bYhJS4hTVRUMdKlIu7C58TUOxHZkO214e9wJxrv79N/3l8vJ9OSEPnTOCniYMSBoG6c62wrY797u&#10;F0BClFbJ3lkU8IMBltX1VSkL5c72A091bEkKsaGQAnSMQ0FpaDQaGWZuQJtuR+eNjGn0LVVenlO4&#10;6ekjYzk1srPpg5YDrjU23/VoBGz551bfjcfXzYpn/n0/rvOvthbi9mZavQCJOMU/GC76SR2q5HRw&#10;o1WB9AIyzuYJFcCfsmcgiViwnAM5XDacAa1K+r9D9QsAAP//AwBQSwECLQAUAAYACAAAACEAtoM4&#10;kv4AAADhAQAAEwAAAAAAAAAAAAAAAAAAAAAAW0NvbnRlbnRfVHlwZXNdLnhtbFBLAQItABQABgAI&#10;AAAAIQA4/SH/1gAAAJQBAAALAAAAAAAAAAAAAAAAAC8BAABfcmVscy8ucmVsc1BLAQItABQABgAI&#10;AAAAIQDN5M9mFgIAADgEAAAOAAAAAAAAAAAAAAAAAC4CAABkcnMvZTJvRG9jLnhtbFBLAQItABQA&#10;BgAIAAAAIQD0nPm44QAAAAsBAAAPAAAAAAAAAAAAAAAAAHAEAABkcnMvZG93bnJldi54bWxQSwUG&#10;AAAAAAQABADzAAAAfgUAAAAA&#10;" stroked="f">
                <v:textbox style="mso-fit-shape-to-text:t" inset="0,0,0,0">
                  <w:txbxContent>
                    <w:p w14:paraId="121236C5" w14:textId="77777777" w:rsidR="00EE5DB0" w:rsidRDefault="00EE5DB0" w:rsidP="00EE5DB0">
                      <w:pPr>
                        <w:pStyle w:val="Caption"/>
                      </w:pPr>
                      <w:r>
                        <w:t xml:space="preserve">Figure </w:t>
                      </w:r>
                      <w:fldSimple w:instr=" SEQ Figure \* ARABIC ">
                        <w:r>
                          <w:rPr>
                            <w:noProof/>
                          </w:rPr>
                          <w:t>1</w:t>
                        </w:r>
                      </w:fldSimple>
                      <w:r>
                        <w:t xml:space="preserve">:  </w:t>
                      </w:r>
                      <w:r w:rsidRPr="006E4FDB">
                        <w:t xml:space="preserve">Structure </w:t>
                      </w:r>
                      <w:r>
                        <w:t xml:space="preserve">of </w:t>
                      </w:r>
                      <w:r w:rsidRPr="006E4FDB">
                        <w:t>Respiratory Syncytial Virus</w:t>
                      </w:r>
                    </w:p>
                    <w:p w14:paraId="5FCBE3A1" w14:textId="77777777" w:rsidR="00EE5DB0" w:rsidRPr="00EE5DB0" w:rsidRDefault="00EE5DB0" w:rsidP="00EE5DB0">
                      <w:pPr>
                        <w:rPr>
                          <w:rFonts w:asciiTheme="minorBidi" w:hAnsiTheme="minorBidi" w:cstheme="minorBidi"/>
                          <w:i/>
                          <w:iCs/>
                          <w:sz w:val="13"/>
                          <w:szCs w:val="13"/>
                        </w:rPr>
                      </w:pPr>
                      <w:r w:rsidRPr="00EE5DB0">
                        <w:rPr>
                          <w:rStyle w:val="Strong"/>
                          <w:rFonts w:asciiTheme="minorBidi" w:hAnsiTheme="minorBidi" w:cstheme="minorBidi"/>
                          <w:i/>
                          <w:iCs/>
                          <w:color w:val="000000"/>
                          <w:sz w:val="13"/>
                          <w:szCs w:val="13"/>
                        </w:rPr>
                        <w:t>Source:</w:t>
                      </w:r>
                      <w:r w:rsidRPr="00EE5DB0">
                        <w:rPr>
                          <w:rStyle w:val="apple-converted-space"/>
                          <w:rFonts w:asciiTheme="minorBidi" w:hAnsiTheme="minorBidi" w:cstheme="minorBidi"/>
                          <w:i/>
                          <w:iCs/>
                          <w:color w:val="000000"/>
                          <w:sz w:val="13"/>
                          <w:szCs w:val="13"/>
                        </w:rPr>
                        <w:t> </w:t>
                      </w:r>
                      <w:proofErr w:type="spellStart"/>
                      <w:r w:rsidRPr="00EE5DB0">
                        <w:rPr>
                          <w:rFonts w:asciiTheme="minorBidi" w:hAnsiTheme="minorBidi" w:cstheme="minorBidi"/>
                          <w:i/>
                          <w:iCs/>
                          <w:color w:val="000000"/>
                          <w:sz w:val="13"/>
                          <w:szCs w:val="13"/>
                        </w:rPr>
                        <w:t>Cusabio</w:t>
                      </w:r>
                      <w:proofErr w:type="spellEnd"/>
                      <w:r w:rsidRPr="00EE5DB0">
                        <w:rPr>
                          <w:rFonts w:asciiTheme="minorBidi" w:hAnsiTheme="minorBidi" w:cstheme="minorBidi"/>
                          <w:i/>
                          <w:iCs/>
                          <w:color w:val="000000"/>
                          <w:sz w:val="13"/>
                          <w:szCs w:val="13"/>
                        </w:rPr>
                        <w:t>.</w:t>
                      </w:r>
                      <w:r w:rsidRPr="00EE5DB0">
                        <w:rPr>
                          <w:rStyle w:val="apple-converted-space"/>
                          <w:rFonts w:asciiTheme="minorBidi" w:hAnsiTheme="minorBidi" w:cstheme="minorBidi"/>
                          <w:i/>
                          <w:iCs/>
                          <w:color w:val="000000"/>
                          <w:sz w:val="13"/>
                          <w:szCs w:val="13"/>
                        </w:rPr>
                        <w:t> </w:t>
                      </w:r>
                      <w:r w:rsidRPr="00EE5DB0">
                        <w:rPr>
                          <w:rStyle w:val="Emphasis"/>
                          <w:rFonts w:asciiTheme="minorBidi" w:hAnsiTheme="minorBidi" w:cstheme="minorBidi"/>
                          <w:i w:val="0"/>
                          <w:iCs w:val="0"/>
                          <w:color w:val="000000"/>
                          <w:sz w:val="13"/>
                          <w:szCs w:val="13"/>
                        </w:rPr>
                        <w:t>Pathophysiology of RSV: Structure, Entry and Immune Response.</w:t>
                      </w:r>
                      <w:r w:rsidRPr="00EE5DB0">
                        <w:rPr>
                          <w:rFonts w:asciiTheme="minorBidi" w:hAnsiTheme="minorBidi" w:cstheme="minorBidi"/>
                          <w:i/>
                          <w:iCs/>
                          <w:sz w:val="13"/>
                          <w:szCs w:val="13"/>
                        </w:rPr>
                        <w:t>https://www.cusabio.com/infectious-diseases/respiratory-syncytial-virus.html</w:t>
                      </w:r>
                    </w:p>
                  </w:txbxContent>
                </v:textbox>
                <w10:wrap type="topAndBottom"/>
              </v:shape>
            </w:pict>
          </mc:Fallback>
        </mc:AlternateContent>
      </w:r>
      <w:r>
        <w:rPr>
          <w:noProof/>
        </w:rPr>
        <w:drawing>
          <wp:anchor distT="0" distB="0" distL="114300" distR="114300" simplePos="0" relativeHeight="251658240" behindDoc="0" locked="0" layoutInCell="1" allowOverlap="1" wp14:anchorId="61185EE2" wp14:editId="7EFCF730">
            <wp:simplePos x="0" y="0"/>
            <wp:positionH relativeFrom="column">
              <wp:posOffset>1985487</wp:posOffset>
            </wp:positionH>
            <wp:positionV relativeFrom="paragraph">
              <wp:posOffset>792480</wp:posOffset>
            </wp:positionV>
            <wp:extent cx="2957195" cy="2218690"/>
            <wp:effectExtent l="0" t="0" r="1905" b="3810"/>
            <wp:wrapTopAndBottom/>
            <wp:docPr id="1330765685" name="Picture 2" descr="Structure of the coronavir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ucture of the coronavirus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7195"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DB0">
        <w:rPr>
          <w:rFonts w:ascii="Arial" w:hAnsi="Arial" w:cs="Arial"/>
        </w:rPr>
        <w:t xml:space="preserve">This Minireview seeks to address the critical data gap by </w:t>
      </w:r>
      <w:proofErr w:type="spellStart"/>
      <w:r w:rsidR="00F6461B" w:rsidRPr="00502E74">
        <w:rPr>
          <w:rFonts w:ascii="Arial" w:hAnsi="Arial" w:cs="Arial"/>
          <w:highlight w:val="yellow"/>
        </w:rPr>
        <w:t>synthesising</w:t>
      </w:r>
      <w:proofErr w:type="spellEnd"/>
      <w:r w:rsidR="00F6461B" w:rsidRPr="00502E74">
        <w:rPr>
          <w:rFonts w:ascii="Arial" w:hAnsi="Arial" w:cs="Arial"/>
          <w:highlight w:val="yellow"/>
        </w:rPr>
        <w:t xml:space="preserve"> </w:t>
      </w:r>
      <w:r w:rsidRPr="00502E74">
        <w:rPr>
          <w:rFonts w:ascii="Arial" w:hAnsi="Arial" w:cs="Arial"/>
          <w:highlight w:val="yellow"/>
        </w:rPr>
        <w:t>available</w:t>
      </w:r>
      <w:r w:rsidRPr="00EE5DB0">
        <w:rPr>
          <w:rFonts w:ascii="Arial" w:hAnsi="Arial" w:cs="Arial"/>
        </w:rPr>
        <w:t xml:space="preserve"> RSV literature within the context of Yemen’s health system. It explores national and regional epidemiological patterns, identifies risk factors unique to the Yemeni population, and examines barriers to effective surveillance and </w:t>
      </w:r>
      <w:proofErr w:type="spellStart"/>
      <w:r w:rsidR="00F6461B" w:rsidRPr="00502E74">
        <w:rPr>
          <w:rFonts w:ascii="Arial" w:hAnsi="Arial" w:cs="Arial"/>
          <w:highlight w:val="yellow"/>
        </w:rPr>
        <w:t>immunisatio</w:t>
      </w:r>
      <w:r w:rsidR="00F6461B">
        <w:rPr>
          <w:rFonts w:ascii="Arial" w:hAnsi="Arial" w:cs="Arial"/>
        </w:rPr>
        <w:t>n</w:t>
      </w:r>
      <w:proofErr w:type="spellEnd"/>
      <w:r w:rsidRPr="00EE5DB0">
        <w:rPr>
          <w:rFonts w:ascii="Arial" w:hAnsi="Arial" w:cs="Arial"/>
        </w:rPr>
        <w:t>. In doing so, it contributes to a broader dialogue on equitable infectious disease prevention and underscores the need for tailored public health solutions in countries affected by prolonged crises and limited resources.</w:t>
      </w:r>
      <w:r>
        <w:fldChar w:fldCharType="begin"/>
      </w:r>
      <w:r>
        <w:instrText xml:space="preserve"> INCLUDEPICTURE "/Users/halahalkorbi/Library/Group Containers/UBF8T346G9.ms/WebArchiveCopyPasteTempFiles/com.microsoft.Word/Structure-of-RSV.webp" \* MERGEFORMATINET </w:instrText>
      </w:r>
      <w:r>
        <w:fldChar w:fldCharType="end"/>
      </w:r>
      <w:r w:rsidRPr="00EE5DB0">
        <w:rPr>
          <w:rFonts w:ascii="Arial" w:hAnsi="Arial" w:cs="Arial"/>
        </w:rPr>
        <w:fldChar w:fldCharType="begin"/>
      </w:r>
      <w:r w:rsidRPr="00EE5DB0">
        <w:rPr>
          <w:rFonts w:ascii="Arial" w:hAnsi="Arial" w:cs="Arial"/>
        </w:rPr>
        <w:instrText xml:space="preserve"> INCLUDEPICTURE "/Users/halahalkorbi/Library/Group Containers/UBF8T346G9.ms/WebArchiveCopyPasteTempFiles/com.microsoft.Word/Structure-of-RSV.webp" \* MERGEFORMATINET </w:instrText>
      </w:r>
      <w:r w:rsidRPr="00EE5DB0">
        <w:rPr>
          <w:rFonts w:ascii="Arial" w:hAnsi="Arial" w:cs="Arial"/>
        </w:rPr>
        <w:fldChar w:fldCharType="end"/>
      </w:r>
    </w:p>
    <w:p w14:paraId="3D3AF1F8" w14:textId="77777777" w:rsidR="00790ADA" w:rsidRPr="00F576B4" w:rsidRDefault="00790ADA" w:rsidP="00441B6F">
      <w:pPr>
        <w:pStyle w:val="Body"/>
        <w:spacing w:after="0"/>
        <w:rPr>
          <w:rFonts w:ascii="Arial" w:hAnsi="Arial" w:cs="Arial"/>
        </w:rPr>
      </w:pPr>
    </w:p>
    <w:p w14:paraId="19619F06"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511E5A2F" w14:textId="77777777" w:rsidR="00790ADA" w:rsidRPr="00FB3A86" w:rsidRDefault="00790ADA" w:rsidP="00441B6F">
      <w:pPr>
        <w:pStyle w:val="AbstHead"/>
        <w:spacing w:after="0"/>
        <w:jc w:val="both"/>
        <w:rPr>
          <w:rFonts w:ascii="Arial" w:hAnsi="Arial" w:cs="Arial"/>
        </w:rPr>
      </w:pPr>
    </w:p>
    <w:p w14:paraId="14768EF9" w14:textId="1353D2A7" w:rsidR="00A03B96" w:rsidRDefault="00F279FC" w:rsidP="00F279FC">
      <w:pPr>
        <w:pStyle w:val="Body"/>
        <w:spacing w:after="0"/>
        <w:rPr>
          <w:rFonts w:ascii="Arial" w:hAnsi="Arial" w:cs="Arial"/>
        </w:rPr>
      </w:pPr>
      <w:r w:rsidRPr="00F279FC">
        <w:rPr>
          <w:rFonts w:ascii="Arial" w:hAnsi="Arial" w:cs="Arial"/>
        </w:rPr>
        <w:t xml:space="preserve">This </w:t>
      </w:r>
      <w:proofErr w:type="spellStart"/>
      <w:r w:rsidRPr="00F279FC">
        <w:rPr>
          <w:rFonts w:ascii="Arial" w:hAnsi="Arial" w:cs="Arial"/>
        </w:rPr>
        <w:t>Minireview</w:t>
      </w:r>
      <w:proofErr w:type="spellEnd"/>
      <w:r w:rsidRPr="00F279FC">
        <w:rPr>
          <w:rFonts w:ascii="Arial" w:hAnsi="Arial" w:cs="Arial"/>
        </w:rPr>
        <w:t xml:space="preserve"> </w:t>
      </w:r>
      <w:proofErr w:type="spellStart"/>
      <w:r w:rsidR="00B05C89" w:rsidRPr="00502E74">
        <w:rPr>
          <w:rFonts w:ascii="Arial" w:hAnsi="Arial" w:cs="Arial"/>
          <w:highlight w:val="yellow"/>
        </w:rPr>
        <w:t>utilises</w:t>
      </w:r>
      <w:proofErr w:type="spellEnd"/>
      <w:r w:rsidR="00B05C89" w:rsidRPr="00F279FC">
        <w:rPr>
          <w:rFonts w:ascii="Arial" w:hAnsi="Arial" w:cs="Arial"/>
        </w:rPr>
        <w:t xml:space="preserve"> </w:t>
      </w:r>
      <w:r w:rsidRPr="00F279FC">
        <w:rPr>
          <w:rFonts w:ascii="Arial" w:hAnsi="Arial" w:cs="Arial"/>
        </w:rPr>
        <w:t xml:space="preserve">a narrative synthesis approach, drawing on peer-reviewed literature published between 2017 and 2025 to explore the epidemiology of respiratory syncytial virus (RSV) in Yemen within a global context. A targeted selection of nine studies </w:t>
      </w:r>
      <w:proofErr w:type="gramStart"/>
      <w:r w:rsidRPr="00F279FC">
        <w:rPr>
          <w:rFonts w:ascii="Arial" w:hAnsi="Arial" w:cs="Arial"/>
        </w:rPr>
        <w:t>was reviewed</w:t>
      </w:r>
      <w:proofErr w:type="gramEnd"/>
      <w:r w:rsidRPr="00F279FC">
        <w:rPr>
          <w:rFonts w:ascii="Arial" w:hAnsi="Arial" w:cs="Arial"/>
        </w:rPr>
        <w:t xml:space="preserve">, encompassing global RSV seasonality, burden of disease in LMICs, risk factors in Yemen, and the impact of preventive tools. Priority </w:t>
      </w:r>
      <w:proofErr w:type="gramStart"/>
      <w:r w:rsidRPr="00F279FC">
        <w:rPr>
          <w:rFonts w:ascii="Arial" w:hAnsi="Arial" w:cs="Arial"/>
        </w:rPr>
        <w:t>was given</w:t>
      </w:r>
      <w:proofErr w:type="gramEnd"/>
      <w:r w:rsidRPr="00F279FC">
        <w:rPr>
          <w:rFonts w:ascii="Arial" w:hAnsi="Arial" w:cs="Arial"/>
        </w:rPr>
        <w:t xml:space="preserve"> to multicenter studies, systematic reviews, and national-level surveillance data relevant to pediatric populations. Key themes</w:t>
      </w:r>
      <w:r w:rsidR="00C84282">
        <w:rPr>
          <w:rFonts w:ascii="Arial" w:hAnsi="Arial" w:cs="Arial"/>
        </w:rPr>
        <w:t xml:space="preserve">, </w:t>
      </w:r>
      <w:r w:rsidRPr="00F279FC">
        <w:rPr>
          <w:rFonts w:ascii="Arial" w:hAnsi="Arial" w:cs="Arial"/>
        </w:rPr>
        <w:t xml:space="preserve">including disease burden, surveillance gaps, risk factors, and </w:t>
      </w:r>
      <w:proofErr w:type="spellStart"/>
      <w:r w:rsidR="00B05C89" w:rsidRPr="00502E74">
        <w:rPr>
          <w:rFonts w:ascii="Arial" w:hAnsi="Arial" w:cs="Arial"/>
          <w:highlight w:val="yellow"/>
        </w:rPr>
        <w:t>immunisation</w:t>
      </w:r>
      <w:proofErr w:type="spellEnd"/>
      <w:r w:rsidR="00B05C89" w:rsidRPr="00F279FC">
        <w:rPr>
          <w:rFonts w:ascii="Arial" w:hAnsi="Arial" w:cs="Arial"/>
        </w:rPr>
        <w:t xml:space="preserve"> </w:t>
      </w:r>
      <w:r w:rsidRPr="00F279FC">
        <w:rPr>
          <w:rFonts w:ascii="Arial" w:hAnsi="Arial" w:cs="Arial"/>
        </w:rPr>
        <w:t>strategies</w:t>
      </w:r>
      <w:r w:rsidR="00C84282">
        <w:rPr>
          <w:rFonts w:ascii="Arial" w:hAnsi="Arial" w:cs="Arial"/>
        </w:rPr>
        <w:t xml:space="preserve">, </w:t>
      </w:r>
      <w:r w:rsidRPr="00F279FC">
        <w:rPr>
          <w:rFonts w:ascii="Arial" w:hAnsi="Arial" w:cs="Arial"/>
        </w:rPr>
        <w:t>were extracted to construct an integrated overview suitable for highlighting public health challenges in conflict-affected settings like Yemen.</w:t>
      </w:r>
    </w:p>
    <w:p w14:paraId="2357AE64" w14:textId="77777777" w:rsidR="00790ADA" w:rsidRPr="00FB3A86" w:rsidRDefault="00790ADA" w:rsidP="00441B6F">
      <w:pPr>
        <w:pStyle w:val="Body"/>
        <w:spacing w:after="0"/>
        <w:rPr>
          <w:rFonts w:ascii="Arial" w:hAnsi="Arial" w:cs="Arial"/>
        </w:rPr>
      </w:pPr>
    </w:p>
    <w:p w14:paraId="75C9F4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A9C8AD" w14:textId="11C4F9CF" w:rsidR="000112D0" w:rsidRPr="000112D0" w:rsidRDefault="000112D0" w:rsidP="000112D0">
      <w:pPr>
        <w:pStyle w:val="Body"/>
        <w:spacing w:after="0"/>
        <w:rPr>
          <w:rFonts w:ascii="Arial" w:hAnsi="Arial" w:cs="Arial"/>
        </w:rPr>
      </w:pPr>
      <w:r w:rsidRPr="000112D0">
        <w:rPr>
          <w:rFonts w:ascii="Arial" w:hAnsi="Arial" w:cs="Arial"/>
        </w:rPr>
        <w:t xml:space="preserve">Respiratory Syncytial Virus (RSV) is a major contributor to pediatric morbidity and mortality worldwide, particularly among infants and young children under five years of age (Shi et al., 2017). In low- and middle-income countries (LMICs), RSV burden remains disproportionately high due to structural health challenges and underdeveloped surveillance systems. Yemen, in particular, exemplifies the vulnerabilities faced by conflict-affected nations grappling with limited resources, fragmented health infrastructure, and underinvestment in </w:t>
      </w:r>
      <w:proofErr w:type="spellStart"/>
      <w:r w:rsidR="00B05C89" w:rsidRPr="00502E74">
        <w:rPr>
          <w:rFonts w:ascii="Arial" w:hAnsi="Arial" w:cs="Arial"/>
          <w:highlight w:val="yellow"/>
        </w:rPr>
        <w:t>immunisation</w:t>
      </w:r>
      <w:proofErr w:type="spellEnd"/>
      <w:r w:rsidR="00B05C89" w:rsidRPr="000112D0">
        <w:rPr>
          <w:rFonts w:ascii="Arial" w:hAnsi="Arial" w:cs="Arial"/>
        </w:rPr>
        <w:t xml:space="preserve"> </w:t>
      </w:r>
      <w:r w:rsidRPr="000112D0">
        <w:rPr>
          <w:rFonts w:ascii="Arial" w:hAnsi="Arial" w:cs="Arial"/>
        </w:rPr>
        <w:t>and diagnostics. Despite growing global awareness of RSV and advances in vaccine and monoclonal antibody development, Yemen remains significantly underrepresented in epidemiological reporting and public health preparedness.</w:t>
      </w:r>
    </w:p>
    <w:p w14:paraId="0F847CC7" w14:textId="77777777" w:rsidR="000112D0" w:rsidRPr="000112D0" w:rsidRDefault="000112D0" w:rsidP="000112D0">
      <w:pPr>
        <w:pStyle w:val="Body"/>
        <w:spacing w:after="0"/>
        <w:rPr>
          <w:rFonts w:ascii="Arial" w:hAnsi="Arial" w:cs="Arial"/>
          <w:b/>
          <w:bCs/>
        </w:rPr>
      </w:pPr>
      <w:r w:rsidRPr="000112D0">
        <w:rPr>
          <w:rFonts w:ascii="Arial" w:hAnsi="Arial" w:cs="Arial"/>
          <w:b/>
          <w:bCs/>
        </w:rPr>
        <w:t>Burden of RSV in Yemen</w:t>
      </w:r>
    </w:p>
    <w:p w14:paraId="68B38F4B" w14:textId="4CB022F6" w:rsidR="000112D0" w:rsidRPr="000112D0" w:rsidRDefault="000112D0" w:rsidP="000112D0">
      <w:pPr>
        <w:pStyle w:val="Body"/>
        <w:spacing w:after="0"/>
        <w:rPr>
          <w:rFonts w:ascii="Arial" w:hAnsi="Arial" w:cs="Arial"/>
        </w:rPr>
      </w:pPr>
      <w:r w:rsidRPr="000112D0">
        <w:rPr>
          <w:rFonts w:ascii="Arial" w:hAnsi="Arial" w:cs="Arial"/>
        </w:rPr>
        <w:t xml:space="preserve">Hospital-based studies from Yemen indicate alarmingly high RSV positivity rates among children under five. A landmark study in Sana’a reported a 35% positivity rate among SARI cases (Al-Sonboli et al., 2005), while more recent data from 2014–2015 show a rate of 41.1% (Al-Taj et al., 2025). These findings suggest substantial circulation of RSV; however, they </w:t>
      </w:r>
      <w:proofErr w:type="gramStart"/>
      <w:r w:rsidRPr="000112D0">
        <w:rPr>
          <w:rFonts w:ascii="Arial" w:hAnsi="Arial" w:cs="Arial"/>
        </w:rPr>
        <w:t>are based</w:t>
      </w:r>
      <w:proofErr w:type="gramEnd"/>
      <w:r w:rsidRPr="000112D0">
        <w:rPr>
          <w:rFonts w:ascii="Arial" w:hAnsi="Arial" w:cs="Arial"/>
        </w:rPr>
        <w:t xml:space="preserve"> only on </w:t>
      </w:r>
      <w:proofErr w:type="spellStart"/>
      <w:r w:rsidRPr="000112D0">
        <w:rPr>
          <w:rFonts w:ascii="Arial" w:hAnsi="Arial" w:cs="Arial"/>
        </w:rPr>
        <w:t>hospitali</w:t>
      </w:r>
      <w:r w:rsidR="00B05C89">
        <w:rPr>
          <w:rFonts w:ascii="Arial" w:hAnsi="Arial" w:cs="Arial"/>
        </w:rPr>
        <w:t>s</w:t>
      </w:r>
      <w:r w:rsidRPr="000112D0">
        <w:rPr>
          <w:rFonts w:ascii="Arial" w:hAnsi="Arial" w:cs="Arial"/>
        </w:rPr>
        <w:t>ed</w:t>
      </w:r>
      <w:proofErr w:type="spellEnd"/>
      <w:r w:rsidRPr="000112D0">
        <w:rPr>
          <w:rFonts w:ascii="Arial" w:hAnsi="Arial" w:cs="Arial"/>
        </w:rPr>
        <w:t xml:space="preserve"> cohorts, thus failing to account for community-level infections and RSV-related mortality that occurs outside formal health facilities. Similar gaps </w:t>
      </w:r>
      <w:proofErr w:type="gramStart"/>
      <w:r w:rsidRPr="000112D0">
        <w:rPr>
          <w:rFonts w:ascii="Arial" w:hAnsi="Arial" w:cs="Arial"/>
        </w:rPr>
        <w:t>have been observed</w:t>
      </w:r>
      <w:proofErr w:type="gramEnd"/>
      <w:r w:rsidRPr="000112D0">
        <w:rPr>
          <w:rFonts w:ascii="Arial" w:hAnsi="Arial" w:cs="Arial"/>
        </w:rPr>
        <w:t xml:space="preserve"> in other LMICs such as Nigeria and Bangladesh, where household-based surveillance has revealed significant unreported disease burden (Rahman et al., 2022; Olajide et al., 2023).</w:t>
      </w:r>
    </w:p>
    <w:p w14:paraId="4B8D2881" w14:textId="77777777" w:rsidR="000112D0" w:rsidRDefault="000112D0" w:rsidP="00F735F4">
      <w:pPr>
        <w:pStyle w:val="Body"/>
        <w:spacing w:after="0"/>
        <w:rPr>
          <w:rFonts w:ascii="Arial" w:hAnsi="Arial" w:cs="Arial"/>
        </w:rPr>
      </w:pPr>
      <w:r w:rsidRPr="000112D0">
        <w:rPr>
          <w:rFonts w:ascii="Arial" w:hAnsi="Arial" w:cs="Arial"/>
        </w:rPr>
        <w:t>Yemen’s vulnerabilities are compounded by factors such as widespread malnutrition (affecting over 45% of children under five), exposure to indoor pollutants from biomass fuels, tobacco smoke, overcrowding, and inconsistent breastfeeding practices—all of which heighten susceptibility to respiratory infections (Al-Taj et al., 2025). These social and environmental determinants are echoed in countries like Mozambique and India, where RSV is similarly aggravated by socio-economic stressors (</w:t>
      </w:r>
      <w:r w:rsidR="00F735F4" w:rsidRPr="00F735F4">
        <w:rPr>
          <w:rFonts w:ascii="Arial" w:hAnsi="Arial" w:cs="Arial"/>
        </w:rPr>
        <w:t>Chadha</w:t>
      </w:r>
      <w:r w:rsidR="00F735F4">
        <w:rPr>
          <w:rFonts w:ascii="Arial" w:hAnsi="Arial" w:cs="Arial"/>
        </w:rPr>
        <w:t xml:space="preserve"> et. al.</w:t>
      </w:r>
      <w:r w:rsidRPr="000112D0">
        <w:rPr>
          <w:rFonts w:ascii="Arial" w:hAnsi="Arial" w:cs="Arial"/>
        </w:rPr>
        <w:t>, 202</w:t>
      </w:r>
      <w:r w:rsidR="00F735F4">
        <w:rPr>
          <w:rFonts w:ascii="Arial" w:hAnsi="Arial" w:cs="Arial"/>
        </w:rPr>
        <w:t>2</w:t>
      </w:r>
      <w:r w:rsidRPr="000112D0">
        <w:rPr>
          <w:rFonts w:ascii="Arial" w:hAnsi="Arial" w:cs="Arial"/>
        </w:rPr>
        <w:t>; WHO, 2024).</w:t>
      </w:r>
    </w:p>
    <w:p w14:paraId="0157CB29" w14:textId="77777777" w:rsidR="000112D0" w:rsidRPr="000112D0" w:rsidRDefault="000112D0" w:rsidP="000112D0">
      <w:pPr>
        <w:pStyle w:val="Body"/>
        <w:spacing w:after="0"/>
        <w:rPr>
          <w:rFonts w:ascii="Arial" w:hAnsi="Arial" w:cs="Arial"/>
        </w:rPr>
      </w:pPr>
      <w:r w:rsidRPr="000112D0">
        <w:rPr>
          <w:rFonts w:ascii="Arial" w:hAnsi="Arial" w:cs="Arial"/>
        </w:rPr>
        <w:t>Hospital-based studies from Yemen indicate alarmingly high RSV positivity rates among children under five. A landmark study in Sana’a reported a 35% positivity rate among SARI cases (Al-</w:t>
      </w:r>
      <w:proofErr w:type="spellStart"/>
      <w:r w:rsidRPr="000112D0">
        <w:rPr>
          <w:rFonts w:ascii="Arial" w:hAnsi="Arial" w:cs="Arial"/>
        </w:rPr>
        <w:t>Sonboli</w:t>
      </w:r>
      <w:proofErr w:type="spellEnd"/>
      <w:r w:rsidRPr="000112D0">
        <w:rPr>
          <w:rFonts w:ascii="Arial" w:hAnsi="Arial" w:cs="Arial"/>
        </w:rPr>
        <w:t xml:space="preserve"> et al., 2005), while more recent data from 2014–2015 show a rate of 41.1% (Al-Taj et al., 2025). Earlier work by Al-</w:t>
      </w:r>
      <w:proofErr w:type="spellStart"/>
      <w:r w:rsidRPr="000112D0">
        <w:rPr>
          <w:rFonts w:ascii="Arial" w:hAnsi="Arial" w:cs="Arial"/>
        </w:rPr>
        <w:t>Sonboli</w:t>
      </w:r>
      <w:proofErr w:type="spellEnd"/>
      <w:r w:rsidRPr="000112D0">
        <w:rPr>
          <w:rFonts w:ascii="Arial" w:hAnsi="Arial" w:cs="Arial"/>
        </w:rPr>
        <w:t xml:space="preserve"> et al. (2006) also highlighted the co-circulation of RSV and human metapneumovirus in Yemeni children, reinforcing the long-standing burden of respiratory viruses and the need for multiplex diagnostic approaches. These findings suggest substantial circulation of RSV; however, they </w:t>
      </w:r>
      <w:proofErr w:type="gramStart"/>
      <w:r w:rsidRPr="000112D0">
        <w:rPr>
          <w:rFonts w:ascii="Arial" w:hAnsi="Arial" w:cs="Arial"/>
        </w:rPr>
        <w:t>are based</w:t>
      </w:r>
      <w:proofErr w:type="gramEnd"/>
      <w:r w:rsidRPr="000112D0">
        <w:rPr>
          <w:rFonts w:ascii="Arial" w:hAnsi="Arial" w:cs="Arial"/>
        </w:rPr>
        <w:t xml:space="preserve"> only on hospitalized cohorts, thus failing to account for community-level infections and RSV-related mortality that occurs outside formal health facilities.</w:t>
      </w:r>
    </w:p>
    <w:p w14:paraId="2019A5C2" w14:textId="77777777" w:rsidR="000112D0" w:rsidRPr="000112D0" w:rsidRDefault="000112D0" w:rsidP="000112D0">
      <w:pPr>
        <w:pStyle w:val="Body"/>
        <w:spacing w:after="0"/>
        <w:rPr>
          <w:rFonts w:ascii="Arial" w:hAnsi="Arial" w:cs="Arial"/>
          <w:b/>
          <w:bCs/>
        </w:rPr>
      </w:pPr>
      <w:r w:rsidRPr="000112D0">
        <w:rPr>
          <w:rFonts w:ascii="Arial" w:hAnsi="Arial" w:cs="Arial"/>
          <w:b/>
          <w:bCs/>
        </w:rPr>
        <w:t>Surveillance and Diagnostic Limitations</w:t>
      </w:r>
    </w:p>
    <w:p w14:paraId="12F8D05B" w14:textId="799EFC56" w:rsidR="000112D0" w:rsidRPr="000112D0" w:rsidRDefault="000112D0" w:rsidP="000112D0">
      <w:pPr>
        <w:pStyle w:val="Body"/>
        <w:spacing w:after="0"/>
        <w:rPr>
          <w:rFonts w:ascii="Arial" w:hAnsi="Arial" w:cs="Arial"/>
        </w:rPr>
      </w:pPr>
      <w:r w:rsidRPr="000112D0">
        <w:rPr>
          <w:rFonts w:ascii="Arial" w:hAnsi="Arial" w:cs="Arial"/>
        </w:rPr>
        <w:t xml:space="preserve">One of the most pressing issues in Yemen’s fight against RSV is the lack of </w:t>
      </w:r>
      <w:proofErr w:type="spellStart"/>
      <w:r w:rsidR="00B05C89" w:rsidRPr="00502E74">
        <w:rPr>
          <w:rFonts w:ascii="Arial" w:hAnsi="Arial" w:cs="Arial"/>
          <w:highlight w:val="yellow"/>
        </w:rPr>
        <w:t>standardised</w:t>
      </w:r>
      <w:proofErr w:type="spellEnd"/>
      <w:r w:rsidR="00B05C89" w:rsidRPr="00502E74">
        <w:rPr>
          <w:rFonts w:ascii="Arial" w:hAnsi="Arial" w:cs="Arial"/>
          <w:highlight w:val="yellow"/>
        </w:rPr>
        <w:t xml:space="preserve"> </w:t>
      </w:r>
      <w:r w:rsidRPr="00502E74">
        <w:rPr>
          <w:rFonts w:ascii="Arial" w:hAnsi="Arial" w:cs="Arial"/>
          <w:highlight w:val="yellow"/>
        </w:rPr>
        <w:t>and</w:t>
      </w:r>
      <w:r w:rsidRPr="000112D0">
        <w:rPr>
          <w:rFonts w:ascii="Arial" w:hAnsi="Arial" w:cs="Arial"/>
        </w:rPr>
        <w:t xml:space="preserve"> ongoing surveillance. The country has no recent national epidemiological data beyond 2015, and is not integrated into the WHO’s Global Influenza Surveillance and Response System (GISRS), which is being used to expand RSV tracking globally (WHO, 2024). In contrast, countries such as Kenya and South Africa have adopted GISRS-linked sentinel surveillance sites that allow for timely seasonal monitoring and strain </w:t>
      </w:r>
      <w:proofErr w:type="spellStart"/>
      <w:r w:rsidR="00B05C89" w:rsidRPr="00502E74">
        <w:rPr>
          <w:rFonts w:ascii="Arial" w:hAnsi="Arial" w:cs="Arial"/>
          <w:highlight w:val="yellow"/>
        </w:rPr>
        <w:t>characterisation</w:t>
      </w:r>
      <w:proofErr w:type="spellEnd"/>
      <w:r w:rsidR="00B05C89" w:rsidRPr="00502E74">
        <w:rPr>
          <w:rFonts w:ascii="Arial" w:hAnsi="Arial" w:cs="Arial"/>
          <w:highlight w:val="yellow"/>
        </w:rPr>
        <w:t xml:space="preserve"> </w:t>
      </w:r>
      <w:r w:rsidRPr="00502E74">
        <w:rPr>
          <w:rFonts w:ascii="Arial" w:hAnsi="Arial" w:cs="Arial"/>
          <w:highlight w:val="yellow"/>
        </w:rPr>
        <w:t>(</w:t>
      </w:r>
      <w:proofErr w:type="spellStart"/>
      <w:r w:rsidRPr="00502E74">
        <w:rPr>
          <w:rFonts w:ascii="Arial" w:hAnsi="Arial" w:cs="Arial"/>
          <w:highlight w:val="yellow"/>
        </w:rPr>
        <w:t>Nyawanda</w:t>
      </w:r>
      <w:proofErr w:type="spellEnd"/>
      <w:r w:rsidRPr="000112D0">
        <w:rPr>
          <w:rFonts w:ascii="Arial" w:hAnsi="Arial" w:cs="Arial"/>
        </w:rPr>
        <w:t xml:space="preserve"> et al., 2023; Moyes et al., 2023).</w:t>
      </w:r>
    </w:p>
    <w:p w14:paraId="6E5DFFF8" w14:textId="77777777" w:rsidR="000112D0" w:rsidRDefault="000112D0" w:rsidP="000112D0">
      <w:pPr>
        <w:pStyle w:val="Body"/>
        <w:spacing w:after="0"/>
        <w:rPr>
          <w:rFonts w:ascii="Arial" w:hAnsi="Arial" w:cs="Arial"/>
        </w:rPr>
      </w:pPr>
      <w:r w:rsidRPr="000112D0">
        <w:rPr>
          <w:rFonts w:ascii="Arial" w:hAnsi="Arial" w:cs="Arial"/>
        </w:rPr>
        <w:t>Diagnostic tools for RSV remain largely absent across Yemeni hospitals. Most facilities rely on clinical symptoms rather than laboratory confirmation, resulting in inconsistent case definitions. Moreover, point-of-care RSV tests</w:t>
      </w:r>
      <w:r w:rsidR="00F735F4">
        <w:rPr>
          <w:rFonts w:ascii="Arial" w:hAnsi="Arial" w:cs="Arial"/>
        </w:rPr>
        <w:t xml:space="preserve">, </w:t>
      </w:r>
      <w:r w:rsidRPr="000112D0">
        <w:rPr>
          <w:rFonts w:ascii="Arial" w:hAnsi="Arial" w:cs="Arial"/>
        </w:rPr>
        <w:t>widely used in other LMICs</w:t>
      </w:r>
      <w:r w:rsidR="00F735F4">
        <w:rPr>
          <w:rFonts w:ascii="Arial" w:hAnsi="Arial" w:cs="Arial"/>
        </w:rPr>
        <w:t xml:space="preserve">, </w:t>
      </w:r>
      <w:r w:rsidRPr="000112D0">
        <w:rPr>
          <w:rFonts w:ascii="Arial" w:hAnsi="Arial" w:cs="Arial"/>
        </w:rPr>
        <w:t>are not routinely available in Yemen due to procurement challenges and supply chain disruptions. This leads to significant underestimation of RSV burden and hinders effective health planning.</w:t>
      </w:r>
    </w:p>
    <w:p w14:paraId="2731CB89" w14:textId="77777777" w:rsidR="000112D0" w:rsidRPr="000112D0" w:rsidRDefault="000112D0" w:rsidP="000112D0">
      <w:pPr>
        <w:pStyle w:val="Body"/>
        <w:spacing w:after="0"/>
        <w:rPr>
          <w:rFonts w:ascii="Arial" w:hAnsi="Arial" w:cs="Arial"/>
        </w:rPr>
      </w:pPr>
    </w:p>
    <w:p w14:paraId="3C5A215C" w14:textId="77777777" w:rsidR="000112D0" w:rsidRDefault="000112D0" w:rsidP="000112D0">
      <w:pPr>
        <w:pStyle w:val="Caption"/>
        <w:keepNext/>
      </w:pPr>
      <w:r>
        <w:t xml:space="preserve">Table </w:t>
      </w:r>
      <w:r w:rsidR="00226AD1">
        <w:fldChar w:fldCharType="begin"/>
      </w:r>
      <w:r w:rsidR="00226AD1">
        <w:instrText xml:space="preserve"> SEQ Table \* ARABIC </w:instrText>
      </w:r>
      <w:r w:rsidR="00226AD1">
        <w:fldChar w:fldCharType="separate"/>
      </w:r>
      <w:r>
        <w:rPr>
          <w:noProof/>
        </w:rPr>
        <w:t>1</w:t>
      </w:r>
      <w:r w:rsidR="00226AD1">
        <w:rPr>
          <w:noProof/>
        </w:rPr>
        <w:fldChar w:fldCharType="end"/>
      </w:r>
      <w:r>
        <w:t xml:space="preserve">: </w:t>
      </w:r>
      <w:r w:rsidRPr="00CD3D67">
        <w:t>Comparative Overview of RSV Surveillance and Vaccine Readiness</w:t>
      </w:r>
    </w:p>
    <w:p w14:paraId="68BE910C" w14:textId="77777777" w:rsidR="000112D0" w:rsidRPr="000112D0" w:rsidRDefault="000112D0" w:rsidP="000112D0"/>
    <w:tbl>
      <w:tblPr>
        <w:tblStyle w:val="GridTable1Light"/>
        <w:tblW w:w="0" w:type="auto"/>
        <w:tblLook w:val="04A0" w:firstRow="1" w:lastRow="0" w:firstColumn="1" w:lastColumn="0" w:noHBand="0" w:noVBand="1"/>
      </w:tblPr>
      <w:tblGrid>
        <w:gridCol w:w="1287"/>
        <w:gridCol w:w="2368"/>
        <w:gridCol w:w="1847"/>
        <w:gridCol w:w="2487"/>
        <w:gridCol w:w="2377"/>
      </w:tblGrid>
      <w:tr w:rsidR="000112D0" w:rsidRPr="000112D0" w14:paraId="5CA01F94" w14:textId="77777777" w:rsidTr="00011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F7643" w14:textId="77777777" w:rsidR="000112D0" w:rsidRPr="000112D0" w:rsidRDefault="000112D0" w:rsidP="000112D0">
            <w:pPr>
              <w:jc w:val="center"/>
              <w:rPr>
                <w:rFonts w:asciiTheme="minorBidi" w:hAnsiTheme="minorBidi" w:cstheme="minorBidi"/>
                <w:color w:val="000000"/>
                <w:sz w:val="18"/>
                <w:szCs w:val="18"/>
              </w:rPr>
            </w:pPr>
            <w:r w:rsidRPr="000112D0">
              <w:rPr>
                <w:rFonts w:asciiTheme="minorBidi" w:hAnsiTheme="minorBidi" w:cstheme="minorBidi"/>
                <w:color w:val="000000"/>
                <w:sz w:val="18"/>
                <w:szCs w:val="18"/>
              </w:rPr>
              <w:t>Country</w:t>
            </w:r>
          </w:p>
        </w:tc>
        <w:tc>
          <w:tcPr>
            <w:tcW w:w="0" w:type="auto"/>
            <w:hideMark/>
          </w:tcPr>
          <w:p w14:paraId="3EF8E0AD"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Surveillance Status</w:t>
            </w:r>
          </w:p>
        </w:tc>
        <w:tc>
          <w:tcPr>
            <w:tcW w:w="0" w:type="auto"/>
            <w:hideMark/>
          </w:tcPr>
          <w:p w14:paraId="6CD01BE5"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Vaccine Readiness</w:t>
            </w:r>
          </w:p>
        </w:tc>
        <w:tc>
          <w:tcPr>
            <w:tcW w:w="0" w:type="auto"/>
            <w:hideMark/>
          </w:tcPr>
          <w:p w14:paraId="06CB123C"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Community Data Available</w:t>
            </w:r>
          </w:p>
        </w:tc>
        <w:tc>
          <w:tcPr>
            <w:tcW w:w="0" w:type="auto"/>
            <w:hideMark/>
          </w:tcPr>
          <w:p w14:paraId="37874CF5" w14:textId="77777777" w:rsidR="000112D0" w:rsidRPr="000112D0" w:rsidRDefault="000112D0" w:rsidP="000112D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Key Barriers</w:t>
            </w:r>
          </w:p>
        </w:tc>
      </w:tr>
      <w:tr w:rsidR="000112D0" w:rsidRPr="000112D0" w14:paraId="2EC60E00"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05E86309"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Yemen</w:t>
            </w:r>
          </w:p>
        </w:tc>
        <w:tc>
          <w:tcPr>
            <w:tcW w:w="0" w:type="auto"/>
            <w:hideMark/>
          </w:tcPr>
          <w:p w14:paraId="3F2C03D2"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Hospital-based (2015)</w:t>
            </w:r>
          </w:p>
        </w:tc>
        <w:tc>
          <w:tcPr>
            <w:tcW w:w="0" w:type="auto"/>
            <w:hideMark/>
          </w:tcPr>
          <w:p w14:paraId="169B67EF"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Very Low</w:t>
            </w:r>
          </w:p>
        </w:tc>
        <w:tc>
          <w:tcPr>
            <w:tcW w:w="0" w:type="auto"/>
            <w:hideMark/>
          </w:tcPr>
          <w:p w14:paraId="62EEEABA"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No</w:t>
            </w:r>
          </w:p>
        </w:tc>
        <w:tc>
          <w:tcPr>
            <w:tcW w:w="0" w:type="auto"/>
            <w:hideMark/>
          </w:tcPr>
          <w:p w14:paraId="02AFD68A"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Conflict, poor infrastructure</w:t>
            </w:r>
          </w:p>
        </w:tc>
      </w:tr>
      <w:tr w:rsidR="000112D0" w:rsidRPr="000112D0" w14:paraId="6D0910AA"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7F13F3BC"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Kenya</w:t>
            </w:r>
          </w:p>
        </w:tc>
        <w:tc>
          <w:tcPr>
            <w:tcW w:w="0" w:type="auto"/>
            <w:hideMark/>
          </w:tcPr>
          <w:p w14:paraId="3B7A6D0E"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GISRS-linked sentinel</w:t>
            </w:r>
          </w:p>
        </w:tc>
        <w:tc>
          <w:tcPr>
            <w:tcW w:w="0" w:type="auto"/>
            <w:hideMark/>
          </w:tcPr>
          <w:p w14:paraId="62B6925E"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Moderate</w:t>
            </w:r>
          </w:p>
        </w:tc>
        <w:tc>
          <w:tcPr>
            <w:tcW w:w="0" w:type="auto"/>
            <w:hideMark/>
          </w:tcPr>
          <w:p w14:paraId="111A09A7"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 (limited studies)</w:t>
            </w:r>
          </w:p>
        </w:tc>
        <w:tc>
          <w:tcPr>
            <w:tcW w:w="0" w:type="auto"/>
            <w:hideMark/>
          </w:tcPr>
          <w:p w14:paraId="2EF0F58E"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Supply chain challenges</w:t>
            </w:r>
          </w:p>
        </w:tc>
      </w:tr>
      <w:tr w:rsidR="000112D0" w:rsidRPr="000112D0" w14:paraId="10BBE7A8"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0FD13FEC"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India</w:t>
            </w:r>
          </w:p>
        </w:tc>
        <w:tc>
          <w:tcPr>
            <w:tcW w:w="0" w:type="auto"/>
            <w:hideMark/>
          </w:tcPr>
          <w:p w14:paraId="698E0571"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GISRS-integrated</w:t>
            </w:r>
          </w:p>
        </w:tc>
        <w:tc>
          <w:tcPr>
            <w:tcW w:w="0" w:type="auto"/>
            <w:hideMark/>
          </w:tcPr>
          <w:p w14:paraId="0873AF8C"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High</w:t>
            </w:r>
          </w:p>
        </w:tc>
        <w:tc>
          <w:tcPr>
            <w:tcW w:w="0" w:type="auto"/>
            <w:hideMark/>
          </w:tcPr>
          <w:p w14:paraId="59224C20"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w:t>
            </w:r>
          </w:p>
        </w:tc>
        <w:tc>
          <w:tcPr>
            <w:tcW w:w="0" w:type="auto"/>
            <w:hideMark/>
          </w:tcPr>
          <w:p w14:paraId="13CF3F4B"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Seasonal variability</w:t>
            </w:r>
          </w:p>
        </w:tc>
      </w:tr>
      <w:tr w:rsidR="000112D0" w:rsidRPr="000112D0" w14:paraId="38DDC567"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13B2CF7B"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Bangladesh</w:t>
            </w:r>
          </w:p>
        </w:tc>
        <w:tc>
          <w:tcPr>
            <w:tcW w:w="0" w:type="auto"/>
            <w:hideMark/>
          </w:tcPr>
          <w:p w14:paraId="4DCE650B"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NGO-supported household</w:t>
            </w:r>
          </w:p>
        </w:tc>
        <w:tc>
          <w:tcPr>
            <w:tcW w:w="0" w:type="auto"/>
            <w:hideMark/>
          </w:tcPr>
          <w:p w14:paraId="02073C27"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Moderate</w:t>
            </w:r>
          </w:p>
        </w:tc>
        <w:tc>
          <w:tcPr>
            <w:tcW w:w="0" w:type="auto"/>
            <w:hideMark/>
          </w:tcPr>
          <w:p w14:paraId="6A9B5FE2"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w:t>
            </w:r>
          </w:p>
        </w:tc>
        <w:tc>
          <w:tcPr>
            <w:tcW w:w="0" w:type="auto"/>
            <w:hideMark/>
          </w:tcPr>
          <w:p w14:paraId="65BA5863"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Funding and coordination</w:t>
            </w:r>
          </w:p>
        </w:tc>
      </w:tr>
      <w:tr w:rsidR="000112D0" w:rsidRPr="000112D0" w14:paraId="12E570D7" w14:textId="77777777" w:rsidTr="000112D0">
        <w:tc>
          <w:tcPr>
            <w:cnfStyle w:val="001000000000" w:firstRow="0" w:lastRow="0" w:firstColumn="1" w:lastColumn="0" w:oddVBand="0" w:evenVBand="0" w:oddHBand="0" w:evenHBand="0" w:firstRowFirstColumn="0" w:firstRowLastColumn="0" w:lastRowFirstColumn="0" w:lastRowLastColumn="0"/>
            <w:tcW w:w="0" w:type="auto"/>
            <w:hideMark/>
          </w:tcPr>
          <w:p w14:paraId="2EEAC86D" w14:textId="77777777" w:rsidR="000112D0" w:rsidRPr="000112D0" w:rsidRDefault="000112D0" w:rsidP="000112D0">
            <w:pPr>
              <w:rPr>
                <w:rFonts w:asciiTheme="minorBidi" w:hAnsiTheme="minorBidi" w:cstheme="minorBidi"/>
                <w:color w:val="000000"/>
                <w:sz w:val="18"/>
                <w:szCs w:val="18"/>
              </w:rPr>
            </w:pPr>
            <w:r w:rsidRPr="000112D0">
              <w:rPr>
                <w:rFonts w:asciiTheme="minorBidi" w:hAnsiTheme="minorBidi" w:cstheme="minorBidi"/>
                <w:color w:val="000000"/>
                <w:sz w:val="18"/>
                <w:szCs w:val="18"/>
              </w:rPr>
              <w:t>South Africa</w:t>
            </w:r>
          </w:p>
        </w:tc>
        <w:tc>
          <w:tcPr>
            <w:tcW w:w="0" w:type="auto"/>
            <w:hideMark/>
          </w:tcPr>
          <w:p w14:paraId="0017C66F"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National trial network</w:t>
            </w:r>
          </w:p>
        </w:tc>
        <w:tc>
          <w:tcPr>
            <w:tcW w:w="0" w:type="auto"/>
            <w:hideMark/>
          </w:tcPr>
          <w:p w14:paraId="2B2432B8"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High</w:t>
            </w:r>
          </w:p>
        </w:tc>
        <w:tc>
          <w:tcPr>
            <w:tcW w:w="0" w:type="auto"/>
            <w:hideMark/>
          </w:tcPr>
          <w:p w14:paraId="26BA7EA2"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Yes</w:t>
            </w:r>
          </w:p>
        </w:tc>
        <w:tc>
          <w:tcPr>
            <w:tcW w:w="0" w:type="auto"/>
            <w:hideMark/>
          </w:tcPr>
          <w:p w14:paraId="5B98E065" w14:textId="77777777" w:rsidR="000112D0" w:rsidRPr="000112D0" w:rsidRDefault="000112D0" w:rsidP="000112D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sidRPr="000112D0">
              <w:rPr>
                <w:rFonts w:asciiTheme="minorBidi" w:hAnsiTheme="minorBidi" w:cstheme="minorBidi"/>
                <w:color w:val="000000"/>
                <w:sz w:val="18"/>
                <w:szCs w:val="18"/>
              </w:rPr>
              <w:t>Regulatory delays</w:t>
            </w:r>
          </w:p>
        </w:tc>
      </w:tr>
    </w:tbl>
    <w:p w14:paraId="07269C09" w14:textId="77777777" w:rsidR="000112D0" w:rsidRDefault="000112D0" w:rsidP="000112D0">
      <w:pPr>
        <w:pStyle w:val="Body"/>
        <w:spacing w:after="0"/>
        <w:rPr>
          <w:rFonts w:asciiTheme="minorBidi" w:hAnsiTheme="minorBidi" w:cstheme="minorBidi"/>
          <w:i/>
          <w:iCs/>
          <w:color w:val="000000"/>
          <w:sz w:val="13"/>
          <w:szCs w:val="13"/>
        </w:rPr>
      </w:pPr>
      <w:proofErr w:type="spellStart"/>
      <w:r w:rsidRPr="00F23AC5">
        <w:rPr>
          <w:rFonts w:asciiTheme="minorBidi" w:hAnsiTheme="minorBidi" w:cstheme="minorBidi"/>
          <w:i/>
          <w:iCs/>
          <w:color w:val="000000"/>
          <w:sz w:val="13"/>
          <w:szCs w:val="13"/>
          <w:lang w:val="es-US"/>
        </w:rPr>
        <w:t>Sources</w:t>
      </w:r>
      <w:proofErr w:type="spellEnd"/>
      <w:r w:rsidRPr="00F23AC5">
        <w:rPr>
          <w:rFonts w:asciiTheme="minorBidi" w:hAnsiTheme="minorBidi" w:cstheme="minorBidi"/>
          <w:i/>
          <w:iCs/>
          <w:color w:val="000000"/>
          <w:sz w:val="13"/>
          <w:szCs w:val="13"/>
          <w:lang w:val="es-US"/>
        </w:rPr>
        <w:t>: Al-</w:t>
      </w:r>
      <w:proofErr w:type="spellStart"/>
      <w:r w:rsidRPr="00F23AC5">
        <w:rPr>
          <w:rFonts w:asciiTheme="minorBidi" w:hAnsiTheme="minorBidi" w:cstheme="minorBidi"/>
          <w:i/>
          <w:iCs/>
          <w:color w:val="000000"/>
          <w:sz w:val="13"/>
          <w:szCs w:val="13"/>
          <w:lang w:val="es-US"/>
        </w:rPr>
        <w:t>Taj</w:t>
      </w:r>
      <w:proofErr w:type="spellEnd"/>
      <w:r w:rsidRPr="00F23AC5">
        <w:rPr>
          <w:rFonts w:asciiTheme="minorBidi" w:hAnsiTheme="minorBidi" w:cstheme="minorBidi"/>
          <w:i/>
          <w:iCs/>
          <w:color w:val="000000"/>
          <w:sz w:val="13"/>
          <w:szCs w:val="13"/>
          <w:lang w:val="es-US"/>
        </w:rPr>
        <w:t xml:space="preserve"> et al. (2025); </w:t>
      </w:r>
      <w:proofErr w:type="spellStart"/>
      <w:r w:rsidRPr="00F23AC5">
        <w:rPr>
          <w:rFonts w:asciiTheme="minorBidi" w:hAnsiTheme="minorBidi" w:cstheme="minorBidi"/>
          <w:i/>
          <w:iCs/>
          <w:color w:val="000000"/>
          <w:sz w:val="13"/>
          <w:szCs w:val="13"/>
          <w:lang w:val="es-US"/>
        </w:rPr>
        <w:t>Moyes</w:t>
      </w:r>
      <w:proofErr w:type="spellEnd"/>
      <w:r w:rsidRPr="00F23AC5">
        <w:rPr>
          <w:rFonts w:asciiTheme="minorBidi" w:hAnsiTheme="minorBidi" w:cstheme="minorBidi"/>
          <w:i/>
          <w:iCs/>
          <w:color w:val="000000"/>
          <w:sz w:val="13"/>
          <w:szCs w:val="13"/>
          <w:lang w:val="es-US"/>
        </w:rPr>
        <w:t xml:space="preserve"> et al. </w:t>
      </w:r>
      <w:r w:rsidRPr="000112D0">
        <w:rPr>
          <w:rFonts w:asciiTheme="minorBidi" w:hAnsiTheme="minorBidi" w:cstheme="minorBidi"/>
          <w:i/>
          <w:iCs/>
          <w:color w:val="000000"/>
          <w:sz w:val="13"/>
          <w:szCs w:val="13"/>
        </w:rPr>
        <w:t>(2023); WHO (2024); Rahman et al. (2022)</w:t>
      </w:r>
    </w:p>
    <w:p w14:paraId="6F3CB406" w14:textId="77777777" w:rsidR="000112D0" w:rsidRDefault="000112D0" w:rsidP="000112D0">
      <w:pPr>
        <w:pStyle w:val="Body"/>
        <w:spacing w:after="0"/>
        <w:rPr>
          <w:rFonts w:asciiTheme="minorBidi" w:hAnsiTheme="minorBidi" w:cstheme="minorBidi"/>
          <w:i/>
          <w:iCs/>
          <w:color w:val="000000"/>
          <w:sz w:val="13"/>
          <w:szCs w:val="13"/>
        </w:rPr>
      </w:pPr>
    </w:p>
    <w:p w14:paraId="06D33136" w14:textId="77777777" w:rsidR="000112D0" w:rsidRDefault="000112D0" w:rsidP="000112D0">
      <w:pPr>
        <w:pStyle w:val="Body"/>
        <w:spacing w:after="0"/>
        <w:rPr>
          <w:rFonts w:asciiTheme="minorBidi" w:hAnsiTheme="minorBidi" w:cstheme="minorBidi"/>
          <w:i/>
          <w:iCs/>
          <w:color w:val="000000"/>
          <w:sz w:val="13"/>
          <w:szCs w:val="13"/>
        </w:rPr>
      </w:pPr>
    </w:p>
    <w:p w14:paraId="6F138ECD" w14:textId="77777777" w:rsidR="000112D0" w:rsidRPr="000112D0" w:rsidRDefault="000112D0" w:rsidP="000112D0">
      <w:pPr>
        <w:pStyle w:val="Body"/>
        <w:spacing w:after="0"/>
        <w:rPr>
          <w:rFonts w:ascii="Arial" w:hAnsi="Arial" w:cs="Arial"/>
          <w:b/>
          <w:bCs/>
          <w:color w:val="000000"/>
        </w:rPr>
      </w:pPr>
      <w:r w:rsidRPr="000112D0">
        <w:rPr>
          <w:rFonts w:ascii="Arial" w:hAnsi="Arial" w:cs="Arial"/>
          <w:b/>
          <w:bCs/>
          <w:color w:val="000000"/>
        </w:rPr>
        <w:lastRenderedPageBreak/>
        <w:t>Vaccine Development and Equity Gaps</w:t>
      </w:r>
    </w:p>
    <w:p w14:paraId="5C5A326D" w14:textId="63437AFB" w:rsidR="000112D0" w:rsidRPr="000112D0" w:rsidRDefault="000112D0" w:rsidP="000112D0">
      <w:pPr>
        <w:pStyle w:val="Body"/>
        <w:spacing w:after="0"/>
        <w:rPr>
          <w:rFonts w:ascii="Arial" w:hAnsi="Arial" w:cs="Arial"/>
          <w:color w:val="000000"/>
        </w:rPr>
      </w:pPr>
      <w:r w:rsidRPr="000112D0">
        <w:rPr>
          <w:rFonts w:ascii="Arial" w:hAnsi="Arial" w:cs="Arial"/>
          <w:color w:val="000000"/>
        </w:rPr>
        <w:t xml:space="preserve">Over the past few years, RSV preventive tools have rapidly evolved, </w:t>
      </w:r>
      <w:r w:rsidRPr="00502E74">
        <w:rPr>
          <w:rFonts w:ascii="Arial" w:hAnsi="Arial" w:cs="Arial"/>
          <w:color w:val="000000"/>
          <w:highlight w:val="yellow"/>
        </w:rPr>
        <w:t xml:space="preserve">with </w:t>
      </w:r>
      <w:r w:rsidR="00B05C89" w:rsidRPr="00502E74">
        <w:rPr>
          <w:rFonts w:ascii="Arial" w:hAnsi="Arial" w:cs="Arial"/>
          <w:color w:val="000000"/>
          <w:highlight w:val="yellow"/>
        </w:rPr>
        <w:t xml:space="preserve">the </w:t>
      </w:r>
      <w:r w:rsidRPr="00502E74">
        <w:rPr>
          <w:rFonts w:ascii="Arial" w:hAnsi="Arial" w:cs="Arial"/>
          <w:color w:val="000000"/>
          <w:highlight w:val="yellow"/>
        </w:rPr>
        <w:t>WHO</w:t>
      </w:r>
      <w:r w:rsidRPr="000112D0">
        <w:rPr>
          <w:rFonts w:ascii="Arial" w:hAnsi="Arial" w:cs="Arial"/>
          <w:color w:val="000000"/>
        </w:rPr>
        <w:t xml:space="preserve"> now recommending maternal RSV vaccines and long-acting monoclonal antibodies (mAbs) as effective strategies to protect infants (PATH, 2025). Nirsevimab, for example, has demonstrated &gt;75% efficacy in reducing RSV-related </w:t>
      </w:r>
      <w:proofErr w:type="spellStart"/>
      <w:r w:rsidR="00B05C89" w:rsidRPr="00502E74">
        <w:rPr>
          <w:rFonts w:ascii="Arial" w:hAnsi="Arial" w:cs="Arial"/>
          <w:color w:val="000000"/>
          <w:highlight w:val="yellow"/>
        </w:rPr>
        <w:t>hospitalisations</w:t>
      </w:r>
      <w:proofErr w:type="spellEnd"/>
      <w:r w:rsidR="00B05C89" w:rsidRPr="000112D0">
        <w:rPr>
          <w:rFonts w:ascii="Arial" w:hAnsi="Arial" w:cs="Arial"/>
          <w:color w:val="000000"/>
        </w:rPr>
        <w:t xml:space="preserve"> </w:t>
      </w:r>
      <w:r w:rsidRPr="000112D0">
        <w:rPr>
          <w:rFonts w:ascii="Arial" w:hAnsi="Arial" w:cs="Arial"/>
          <w:color w:val="000000"/>
        </w:rPr>
        <w:t>in healthy infants during their first season (Hammitt et al., 2022). In high-income countries (HICs), such as Spain, national health systems have successfully implemented nirsevimab, reaching &gt;90% coverage among eligible infants in its first year of rollout (Pérez Casas et al., 2024).</w:t>
      </w:r>
    </w:p>
    <w:p w14:paraId="0B4D656E" w14:textId="2ED1E63F" w:rsidR="000112D0" w:rsidRPr="000112D0" w:rsidRDefault="000112D0" w:rsidP="000112D0">
      <w:pPr>
        <w:pStyle w:val="Body"/>
        <w:spacing w:after="0"/>
        <w:rPr>
          <w:rFonts w:ascii="Arial" w:hAnsi="Arial" w:cs="Arial"/>
          <w:color w:val="000000"/>
        </w:rPr>
      </w:pPr>
      <w:r w:rsidRPr="000112D0">
        <w:rPr>
          <w:rFonts w:ascii="Arial" w:hAnsi="Arial" w:cs="Arial"/>
          <w:color w:val="000000"/>
        </w:rPr>
        <w:t xml:space="preserve">In contrast, Yemen has not introduced any RSV preventive product to date. </w:t>
      </w:r>
      <w:proofErr w:type="gramStart"/>
      <w:r w:rsidRPr="000112D0">
        <w:rPr>
          <w:rFonts w:ascii="Arial" w:hAnsi="Arial" w:cs="Arial"/>
          <w:color w:val="000000"/>
        </w:rPr>
        <w:t xml:space="preserve">The country lacks a national </w:t>
      </w:r>
      <w:proofErr w:type="spellStart"/>
      <w:r w:rsidR="00B05C89" w:rsidRPr="00502E74">
        <w:rPr>
          <w:rFonts w:ascii="Arial" w:hAnsi="Arial" w:cs="Arial"/>
          <w:color w:val="000000"/>
          <w:highlight w:val="yellow"/>
        </w:rPr>
        <w:t>immunisation</w:t>
      </w:r>
      <w:proofErr w:type="spellEnd"/>
      <w:r w:rsidR="00B05C89" w:rsidRPr="00502E74">
        <w:rPr>
          <w:rFonts w:ascii="Arial" w:hAnsi="Arial" w:cs="Arial"/>
          <w:color w:val="000000"/>
          <w:highlight w:val="yellow"/>
        </w:rPr>
        <w:t xml:space="preserve"> </w:t>
      </w:r>
      <w:r w:rsidRPr="00502E74">
        <w:rPr>
          <w:rFonts w:ascii="Arial" w:hAnsi="Arial" w:cs="Arial"/>
          <w:color w:val="000000"/>
          <w:highlight w:val="yellow"/>
        </w:rPr>
        <w:t>policy</w:t>
      </w:r>
      <w:r w:rsidRPr="000112D0">
        <w:rPr>
          <w:rFonts w:ascii="Arial" w:hAnsi="Arial" w:cs="Arial"/>
          <w:color w:val="000000"/>
        </w:rPr>
        <w:t xml:space="preserve"> for RSV and has not conducted readiness assessments for vaccine deployment.</w:t>
      </w:r>
      <w:proofErr w:type="gramEnd"/>
      <w:r w:rsidRPr="000112D0">
        <w:rPr>
          <w:rFonts w:ascii="Arial" w:hAnsi="Arial" w:cs="Arial"/>
          <w:color w:val="000000"/>
        </w:rPr>
        <w:t xml:space="preserve"> Key barriers include underdeveloped cold chain infrastructure, lack of trained personnel, limited budget allocation, and dependency on humanitarian aid. These systemic issues have also hindered Yemen’s ability to engage with global vaccine financing schemes, such as those coordinated by Gavi and WHO.</w:t>
      </w:r>
    </w:p>
    <w:p w14:paraId="3338DAAB" w14:textId="238707CC" w:rsidR="000112D0" w:rsidRPr="000112D0" w:rsidRDefault="000112D0" w:rsidP="000112D0">
      <w:pPr>
        <w:pStyle w:val="Body"/>
        <w:spacing w:after="0"/>
        <w:rPr>
          <w:rFonts w:ascii="Arial" w:hAnsi="Arial" w:cs="Arial"/>
          <w:color w:val="000000"/>
        </w:rPr>
      </w:pPr>
      <w:r w:rsidRPr="000112D0">
        <w:rPr>
          <w:rFonts w:ascii="Arial" w:hAnsi="Arial" w:cs="Arial"/>
          <w:color w:val="000000"/>
        </w:rPr>
        <w:t xml:space="preserve">In countries like Kenya and South Africa, vaccine trials and pilot implementation strategies </w:t>
      </w:r>
      <w:proofErr w:type="gramStart"/>
      <w:r w:rsidRPr="000112D0">
        <w:rPr>
          <w:rFonts w:ascii="Arial" w:hAnsi="Arial" w:cs="Arial"/>
          <w:color w:val="000000"/>
        </w:rPr>
        <w:t>have been launched</w:t>
      </w:r>
      <w:proofErr w:type="gramEnd"/>
      <w:r w:rsidRPr="000112D0">
        <w:rPr>
          <w:rFonts w:ascii="Arial" w:hAnsi="Arial" w:cs="Arial"/>
          <w:color w:val="000000"/>
        </w:rPr>
        <w:t xml:space="preserve"> through international collaborations. These efforts include maternal </w:t>
      </w:r>
      <w:proofErr w:type="spellStart"/>
      <w:r w:rsidR="00B05C89" w:rsidRPr="00502E74">
        <w:rPr>
          <w:rFonts w:ascii="Arial" w:hAnsi="Arial" w:cs="Arial"/>
          <w:color w:val="000000"/>
          <w:highlight w:val="yellow"/>
        </w:rPr>
        <w:t>immunisation</w:t>
      </w:r>
      <w:proofErr w:type="spellEnd"/>
      <w:r w:rsidR="00B05C89" w:rsidRPr="00502E74">
        <w:rPr>
          <w:rFonts w:ascii="Arial" w:hAnsi="Arial" w:cs="Arial"/>
          <w:color w:val="000000"/>
          <w:highlight w:val="yellow"/>
        </w:rPr>
        <w:t xml:space="preserve"> </w:t>
      </w:r>
      <w:r w:rsidRPr="00502E74">
        <w:rPr>
          <w:rFonts w:ascii="Arial" w:hAnsi="Arial" w:cs="Arial"/>
          <w:color w:val="000000"/>
          <w:highlight w:val="yellow"/>
        </w:rPr>
        <w:t>studies</w:t>
      </w:r>
      <w:r w:rsidRPr="000112D0">
        <w:rPr>
          <w:rFonts w:ascii="Arial" w:hAnsi="Arial" w:cs="Arial"/>
          <w:color w:val="000000"/>
        </w:rPr>
        <w:t xml:space="preserve"> and </w:t>
      </w:r>
      <w:r w:rsidR="00B05C89" w:rsidRPr="00502E74">
        <w:rPr>
          <w:rFonts w:ascii="Arial" w:hAnsi="Arial" w:cs="Arial"/>
          <w:color w:val="000000"/>
          <w:highlight w:val="yellow"/>
        </w:rPr>
        <w:t>modelling</w:t>
      </w:r>
      <w:r w:rsidR="00B05C89" w:rsidRPr="000112D0">
        <w:rPr>
          <w:rFonts w:ascii="Arial" w:hAnsi="Arial" w:cs="Arial"/>
          <w:color w:val="000000"/>
        </w:rPr>
        <w:t xml:space="preserve"> </w:t>
      </w:r>
      <w:r w:rsidRPr="000112D0">
        <w:rPr>
          <w:rFonts w:ascii="Arial" w:hAnsi="Arial" w:cs="Arial"/>
          <w:color w:val="000000"/>
        </w:rPr>
        <w:t xml:space="preserve">exercises to understand cost-effectiveness in LMIC settings (Moyes et al., 2023; Baral et al., 2021). Such initiatives remain absent in Yemen, leaving it further </w:t>
      </w:r>
      <w:proofErr w:type="spellStart"/>
      <w:r w:rsidR="00B05C89" w:rsidRPr="00502E74">
        <w:rPr>
          <w:rFonts w:ascii="Arial" w:hAnsi="Arial" w:cs="Arial"/>
          <w:color w:val="000000"/>
          <w:highlight w:val="yellow"/>
        </w:rPr>
        <w:t>marginalised</w:t>
      </w:r>
      <w:proofErr w:type="spellEnd"/>
      <w:r w:rsidR="00B05C89" w:rsidRPr="000112D0">
        <w:rPr>
          <w:rFonts w:ascii="Arial" w:hAnsi="Arial" w:cs="Arial"/>
          <w:color w:val="000000"/>
        </w:rPr>
        <w:t xml:space="preserve"> </w:t>
      </w:r>
      <w:r w:rsidRPr="000112D0">
        <w:rPr>
          <w:rFonts w:ascii="Arial" w:hAnsi="Arial" w:cs="Arial"/>
          <w:color w:val="000000"/>
        </w:rPr>
        <w:t>in global health planning.</w:t>
      </w:r>
    </w:p>
    <w:p w14:paraId="2729A452" w14:textId="77777777" w:rsidR="000112D0" w:rsidRPr="000112D0" w:rsidRDefault="000112D0" w:rsidP="000112D0">
      <w:pPr>
        <w:pStyle w:val="Body"/>
        <w:spacing w:after="0"/>
        <w:rPr>
          <w:rFonts w:ascii="Arial" w:hAnsi="Arial" w:cs="Arial"/>
          <w:b/>
          <w:bCs/>
          <w:color w:val="000000"/>
        </w:rPr>
      </w:pPr>
      <w:r w:rsidRPr="000112D0">
        <w:rPr>
          <w:rFonts w:ascii="Arial" w:hAnsi="Arial" w:cs="Arial"/>
          <w:b/>
          <w:bCs/>
          <w:color w:val="000000"/>
        </w:rPr>
        <w:t>Strategic Pathways Forward</w:t>
      </w:r>
    </w:p>
    <w:p w14:paraId="03919B3C" w14:textId="77777777" w:rsidR="000112D0" w:rsidRPr="000112D0" w:rsidRDefault="000112D0" w:rsidP="000112D0">
      <w:pPr>
        <w:pStyle w:val="Body"/>
        <w:spacing w:after="0"/>
        <w:rPr>
          <w:rFonts w:ascii="Arial" w:hAnsi="Arial" w:cs="Arial"/>
          <w:color w:val="000000"/>
        </w:rPr>
      </w:pPr>
      <w:r w:rsidRPr="000112D0">
        <w:rPr>
          <w:rFonts w:ascii="Arial" w:hAnsi="Arial" w:cs="Arial"/>
          <w:color w:val="000000"/>
        </w:rPr>
        <w:t>To address Yemen’s RSV challenges, a multifaceted strategy is essential:</w:t>
      </w:r>
    </w:p>
    <w:p w14:paraId="03FCFE2E"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Conduct national burden assessments</w:t>
      </w:r>
      <w:r w:rsidRPr="000112D0">
        <w:rPr>
          <w:rFonts w:ascii="Arial" w:hAnsi="Arial" w:cs="Arial"/>
          <w:color w:val="000000"/>
        </w:rPr>
        <w:t> using sentinel hospitals and point-of-care diagnostics to estimate RSV prevalence.</w:t>
      </w:r>
    </w:p>
    <w:p w14:paraId="1BAFD2BA" w14:textId="0E42F082"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 xml:space="preserve">Develop an RSV </w:t>
      </w:r>
      <w:proofErr w:type="spellStart"/>
      <w:r w:rsidR="00B05C89" w:rsidRPr="00502E74">
        <w:rPr>
          <w:rFonts w:ascii="Arial" w:hAnsi="Arial" w:cs="Arial"/>
          <w:b/>
          <w:bCs/>
          <w:color w:val="000000"/>
          <w:highlight w:val="yellow"/>
        </w:rPr>
        <w:t>immunisation</w:t>
      </w:r>
      <w:proofErr w:type="spellEnd"/>
      <w:r w:rsidR="00B05C89" w:rsidRPr="00502E74">
        <w:rPr>
          <w:rFonts w:ascii="Arial" w:hAnsi="Arial" w:cs="Arial"/>
          <w:b/>
          <w:bCs/>
          <w:color w:val="000000"/>
          <w:highlight w:val="yellow"/>
        </w:rPr>
        <w:t xml:space="preserve"> </w:t>
      </w:r>
      <w:r w:rsidRPr="00502E74">
        <w:rPr>
          <w:rFonts w:ascii="Arial" w:hAnsi="Arial" w:cs="Arial"/>
          <w:b/>
          <w:bCs/>
          <w:color w:val="000000"/>
          <w:highlight w:val="yellow"/>
        </w:rPr>
        <w:t>roadmap</w:t>
      </w:r>
      <w:r w:rsidRPr="000112D0">
        <w:rPr>
          <w:rFonts w:ascii="Arial" w:hAnsi="Arial" w:cs="Arial"/>
          <w:color w:val="000000"/>
        </w:rPr>
        <w:t> aligned with WHO recommendations and informed by local feasibility studies.</w:t>
      </w:r>
    </w:p>
    <w:p w14:paraId="4333DCE5"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Strengthen cold chain capacity</w:t>
      </w:r>
      <w:r w:rsidRPr="000112D0">
        <w:rPr>
          <w:rFonts w:ascii="Arial" w:hAnsi="Arial" w:cs="Arial"/>
          <w:color w:val="000000"/>
        </w:rPr>
        <w:t> by investing in solar-powered refrigerators and training healthcare workers.</w:t>
      </w:r>
    </w:p>
    <w:p w14:paraId="37AE274A"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Implement mobile and household-level surveillance</w:t>
      </w:r>
      <w:r w:rsidRPr="000112D0">
        <w:rPr>
          <w:rFonts w:ascii="Arial" w:hAnsi="Arial" w:cs="Arial"/>
          <w:color w:val="000000"/>
        </w:rPr>
        <w:t> in partnership with local NGOs to uncover hidden RSV cases.</w:t>
      </w:r>
    </w:p>
    <w:p w14:paraId="2F262384"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Increase public awareness</w:t>
      </w:r>
      <w:r w:rsidRPr="000112D0">
        <w:rPr>
          <w:rFonts w:ascii="Arial" w:hAnsi="Arial" w:cs="Arial"/>
          <w:color w:val="000000"/>
        </w:rPr>
        <w:t> through community health education on RSV symptoms, transmission, and prevention.</w:t>
      </w:r>
    </w:p>
    <w:p w14:paraId="652D4C6D" w14:textId="77777777" w:rsidR="000112D0" w:rsidRPr="000112D0" w:rsidRDefault="000112D0" w:rsidP="000112D0">
      <w:pPr>
        <w:pStyle w:val="Body"/>
        <w:numPr>
          <w:ilvl w:val="0"/>
          <w:numId w:val="33"/>
        </w:numPr>
        <w:spacing w:after="0"/>
        <w:rPr>
          <w:rFonts w:ascii="Arial" w:hAnsi="Arial" w:cs="Arial"/>
          <w:color w:val="000000"/>
        </w:rPr>
      </w:pPr>
      <w:r w:rsidRPr="000112D0">
        <w:rPr>
          <w:rFonts w:ascii="Arial" w:hAnsi="Arial" w:cs="Arial"/>
          <w:b/>
          <w:bCs/>
          <w:color w:val="000000"/>
        </w:rPr>
        <w:t>Engage global stakeholders</w:t>
      </w:r>
      <w:r w:rsidRPr="000112D0">
        <w:rPr>
          <w:rFonts w:ascii="Arial" w:hAnsi="Arial" w:cs="Arial"/>
          <w:color w:val="000000"/>
        </w:rPr>
        <w:t> to secure funding, technical support, and inclusion in vaccine allocation strategies.</w:t>
      </w:r>
    </w:p>
    <w:p w14:paraId="15D9EAC2" w14:textId="39116512" w:rsidR="000112D0" w:rsidRPr="000112D0" w:rsidRDefault="000112D0" w:rsidP="000112D0">
      <w:pPr>
        <w:pStyle w:val="Body"/>
        <w:spacing w:after="0"/>
        <w:rPr>
          <w:rFonts w:ascii="Arial" w:hAnsi="Arial" w:cs="Arial"/>
          <w:color w:val="000000"/>
        </w:rPr>
      </w:pPr>
      <w:r w:rsidRPr="000112D0">
        <w:rPr>
          <w:rFonts w:ascii="Arial" w:hAnsi="Arial" w:cs="Arial"/>
          <w:color w:val="000000"/>
        </w:rPr>
        <w:t>Countries like Bangladesh have successfully implemented mobile surveillance technologies to capture real-time respiratory disease data and guide local interventions (</w:t>
      </w:r>
      <w:r w:rsidR="00F735F4">
        <w:rPr>
          <w:rFonts w:ascii="Arial" w:hAnsi="Arial" w:cs="Arial"/>
          <w:color w:val="222222"/>
          <w:shd w:val="clear" w:color="auto" w:fill="FFFFFF"/>
        </w:rPr>
        <w:t>Islam</w:t>
      </w:r>
      <w:r w:rsidRPr="000112D0">
        <w:rPr>
          <w:rFonts w:ascii="Arial" w:hAnsi="Arial" w:cs="Arial"/>
          <w:color w:val="000000"/>
        </w:rPr>
        <w:t xml:space="preserve"> et al., 202</w:t>
      </w:r>
      <w:r w:rsidR="00F735F4">
        <w:rPr>
          <w:rFonts w:ascii="Arial" w:hAnsi="Arial" w:cs="Arial"/>
          <w:color w:val="000000"/>
        </w:rPr>
        <w:t>5</w:t>
      </w:r>
      <w:r w:rsidRPr="000112D0">
        <w:rPr>
          <w:rFonts w:ascii="Arial" w:hAnsi="Arial" w:cs="Arial"/>
          <w:color w:val="000000"/>
        </w:rPr>
        <w:t xml:space="preserve">). Yemen could adopt similar systems, especially in urban </w:t>
      </w:r>
      <w:proofErr w:type="spellStart"/>
      <w:r w:rsidR="00B05C89" w:rsidRPr="00502E74">
        <w:rPr>
          <w:rFonts w:ascii="Arial" w:hAnsi="Arial" w:cs="Arial"/>
          <w:color w:val="000000"/>
          <w:highlight w:val="yellow"/>
        </w:rPr>
        <w:t>centres</w:t>
      </w:r>
      <w:proofErr w:type="spellEnd"/>
      <w:r w:rsidR="00B05C89" w:rsidRPr="00502E74">
        <w:rPr>
          <w:rFonts w:ascii="Arial" w:hAnsi="Arial" w:cs="Arial"/>
          <w:color w:val="000000"/>
          <w:highlight w:val="yellow"/>
        </w:rPr>
        <w:t xml:space="preserve"> </w:t>
      </w:r>
      <w:r w:rsidRPr="00502E74">
        <w:rPr>
          <w:rFonts w:ascii="Arial" w:hAnsi="Arial" w:cs="Arial"/>
          <w:color w:val="000000"/>
          <w:highlight w:val="yellow"/>
        </w:rPr>
        <w:t>such</w:t>
      </w:r>
      <w:r w:rsidRPr="000112D0">
        <w:rPr>
          <w:rFonts w:ascii="Arial" w:hAnsi="Arial" w:cs="Arial"/>
          <w:color w:val="000000"/>
        </w:rPr>
        <w:t xml:space="preserve"> as Sana’a and Taiz, where health infrastructure remains relatively intact.</w:t>
      </w:r>
    </w:p>
    <w:p w14:paraId="640FE34D" w14:textId="77777777" w:rsidR="000112D0" w:rsidRPr="000112D0" w:rsidRDefault="000112D0" w:rsidP="000112D0">
      <w:pPr>
        <w:pStyle w:val="Body"/>
        <w:spacing w:after="0"/>
        <w:rPr>
          <w:rFonts w:ascii="Arial" w:hAnsi="Arial" w:cs="Arial"/>
          <w:i/>
          <w:iCs/>
          <w:color w:val="000000"/>
          <w:sz w:val="13"/>
          <w:szCs w:val="13"/>
        </w:rPr>
      </w:pPr>
    </w:p>
    <w:p w14:paraId="508FDE1C" w14:textId="77777777" w:rsidR="000112D0" w:rsidRPr="000112D0" w:rsidRDefault="000112D0" w:rsidP="000112D0">
      <w:pPr>
        <w:pStyle w:val="Body"/>
        <w:spacing w:after="0"/>
        <w:rPr>
          <w:rFonts w:ascii="Arial" w:hAnsi="Arial" w:cs="Arial"/>
          <w:i/>
          <w:iCs/>
          <w:color w:val="000000"/>
          <w:sz w:val="13"/>
          <w:szCs w:val="13"/>
        </w:rPr>
      </w:pPr>
    </w:p>
    <w:p w14:paraId="3A48A98B" w14:textId="77777777" w:rsidR="00B01FCD" w:rsidRDefault="000112D0"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9D1D61" w14:textId="77777777" w:rsidR="00790ADA" w:rsidRPr="00FB3A86" w:rsidRDefault="00790ADA" w:rsidP="00441B6F">
      <w:pPr>
        <w:pStyle w:val="ConcHead"/>
        <w:spacing w:after="0"/>
        <w:jc w:val="both"/>
        <w:rPr>
          <w:rFonts w:ascii="Arial" w:hAnsi="Arial" w:cs="Arial"/>
        </w:rPr>
      </w:pPr>
    </w:p>
    <w:p w14:paraId="767CCA95" w14:textId="1C335681" w:rsidR="00790ADA" w:rsidRDefault="000112D0" w:rsidP="000112D0">
      <w:pPr>
        <w:pStyle w:val="Body"/>
        <w:spacing w:after="0"/>
        <w:rPr>
          <w:rFonts w:ascii="Arial" w:hAnsi="Arial" w:cs="Arial"/>
        </w:rPr>
      </w:pPr>
      <w:r w:rsidRPr="000112D0">
        <w:rPr>
          <w:rFonts w:ascii="Arial" w:hAnsi="Arial" w:cs="Arial"/>
        </w:rPr>
        <w:t>Yemen’s battle with Respiratory Syncytial Virus (RSV) reflects an urgent public health crisis compounded by conflict, fragile infrastructure, and neglect in surveillance. Despite high positivity rates among children under five</w:t>
      </w:r>
      <w:r w:rsidR="00F735F4">
        <w:rPr>
          <w:rFonts w:ascii="Arial" w:hAnsi="Arial" w:cs="Arial"/>
        </w:rPr>
        <w:t xml:space="preserve">, </w:t>
      </w:r>
      <w:r w:rsidRPr="000112D0">
        <w:rPr>
          <w:rFonts w:ascii="Arial" w:hAnsi="Arial" w:cs="Arial"/>
        </w:rPr>
        <w:t>ranging from 35–41% in hospital settings</w:t>
      </w:r>
      <w:r w:rsidR="00F735F4">
        <w:rPr>
          <w:rFonts w:ascii="Arial" w:hAnsi="Arial" w:cs="Arial"/>
        </w:rPr>
        <w:t xml:space="preserve">, </w:t>
      </w:r>
      <w:r w:rsidRPr="000112D0">
        <w:rPr>
          <w:rFonts w:ascii="Arial" w:hAnsi="Arial" w:cs="Arial"/>
        </w:rPr>
        <w:t xml:space="preserve">community-level infections remain largely invisible due to the absence of national surveillance and diagnostic capacity. Environmental risk factors such as indoor air pollution, tobacco smoke exposure, overcrowding, and malnutrition intensify RSV severity across vulnerable populations. While other LMICs are beginning to deploy maternal vaccines and monoclonal antibodies, Yemen remains sidelined, lacking readiness </w:t>
      </w:r>
      <w:r w:rsidRPr="00502E74">
        <w:rPr>
          <w:rFonts w:ascii="Arial" w:hAnsi="Arial" w:cs="Arial"/>
          <w:highlight w:val="yellow"/>
        </w:rPr>
        <w:t xml:space="preserve">assessments, </w:t>
      </w:r>
      <w:proofErr w:type="spellStart"/>
      <w:r w:rsidR="00B05C89" w:rsidRPr="00502E74">
        <w:rPr>
          <w:rFonts w:ascii="Arial" w:hAnsi="Arial" w:cs="Arial"/>
          <w:highlight w:val="yellow"/>
        </w:rPr>
        <w:t>immunisation</w:t>
      </w:r>
      <w:proofErr w:type="spellEnd"/>
      <w:r w:rsidR="00B05C89" w:rsidRPr="00502E74">
        <w:rPr>
          <w:rFonts w:ascii="Arial" w:hAnsi="Arial" w:cs="Arial"/>
          <w:highlight w:val="yellow"/>
        </w:rPr>
        <w:t xml:space="preserve"> </w:t>
      </w:r>
      <w:r w:rsidRPr="00502E74">
        <w:rPr>
          <w:rFonts w:ascii="Arial" w:hAnsi="Arial" w:cs="Arial"/>
          <w:highlight w:val="yellow"/>
        </w:rPr>
        <w:t>frameworks</w:t>
      </w:r>
      <w:r w:rsidRPr="000112D0">
        <w:rPr>
          <w:rFonts w:ascii="Arial" w:hAnsi="Arial" w:cs="Arial"/>
        </w:rPr>
        <w:t xml:space="preserve">, and cold chain systems. Moreover, the country is not integrated into </w:t>
      </w:r>
      <w:r>
        <w:rPr>
          <w:rFonts w:ascii="Arial" w:hAnsi="Arial" w:cs="Arial"/>
        </w:rPr>
        <w:t xml:space="preserve">the </w:t>
      </w:r>
      <w:r w:rsidRPr="000112D0">
        <w:rPr>
          <w:rFonts w:ascii="Arial" w:hAnsi="Arial" w:cs="Arial"/>
        </w:rPr>
        <w:t xml:space="preserve">WHO's Global Influenza Surveillance and Response System, depriving policymakers of seasonality data critical for vaccine timing. </w:t>
      </w:r>
      <w:proofErr w:type="gramStart"/>
      <w:r w:rsidRPr="000112D0">
        <w:rPr>
          <w:rFonts w:ascii="Arial" w:hAnsi="Arial" w:cs="Arial"/>
        </w:rPr>
        <w:t>These gaps</w:t>
      </w:r>
      <w:r w:rsidR="00F735F4">
        <w:rPr>
          <w:rFonts w:ascii="Arial" w:hAnsi="Arial" w:cs="Arial"/>
        </w:rPr>
        <w:t xml:space="preserve">, </w:t>
      </w:r>
      <w:r w:rsidRPr="000112D0">
        <w:rPr>
          <w:rFonts w:ascii="Arial" w:hAnsi="Arial" w:cs="Arial"/>
        </w:rPr>
        <w:t>policy, data, infrastructure, and awareness</w:t>
      </w:r>
      <w:r w:rsidR="00F735F4">
        <w:rPr>
          <w:rFonts w:ascii="Arial" w:hAnsi="Arial" w:cs="Arial"/>
        </w:rPr>
        <w:t xml:space="preserve">, </w:t>
      </w:r>
      <w:r w:rsidRPr="000112D0">
        <w:rPr>
          <w:rFonts w:ascii="Arial" w:hAnsi="Arial" w:cs="Arial"/>
        </w:rPr>
        <w:t xml:space="preserve">must be addressed through a strategic, multipronged approach: (1) Establish sentinel surveillance sites equipped with point-of-care diagnostics to enable standardized case definitions and real-time data reporting; (2) Conduct RSV vaccine readiness assessments in collaboration with international partners like WHO and Gavi, followed by integration of preventive tools into the Expanded </w:t>
      </w:r>
      <w:proofErr w:type="spellStart"/>
      <w:r w:rsidRPr="000112D0">
        <w:rPr>
          <w:rFonts w:ascii="Arial" w:hAnsi="Arial" w:cs="Arial"/>
        </w:rPr>
        <w:t>Programm</w:t>
      </w:r>
      <w:r>
        <w:rPr>
          <w:rFonts w:ascii="Arial" w:hAnsi="Arial" w:cs="Arial"/>
        </w:rPr>
        <w:t>e</w:t>
      </w:r>
      <w:proofErr w:type="spellEnd"/>
      <w:r w:rsidRPr="000112D0">
        <w:rPr>
          <w:rFonts w:ascii="Arial" w:hAnsi="Arial" w:cs="Arial"/>
        </w:rPr>
        <w:t xml:space="preserve"> on Immunization; (3) Strengthen cold chain systems and train frontline healthcare workers to support vaccine deployment; (4) Launch culturally relevant awareness campaigns targeting caregivers and communities to promote early recognition and prevention; and (5) Advocate for Yemen’s inclusion into GISRS and other global RSV monitoring networks to unlock comparative analytics and inform local strategies.</w:t>
      </w:r>
      <w:proofErr w:type="gramEnd"/>
      <w:r w:rsidRPr="000112D0">
        <w:rPr>
          <w:rFonts w:ascii="Arial" w:hAnsi="Arial" w:cs="Arial"/>
        </w:rPr>
        <w:t xml:space="preserve"> These steps offer a roadmap for Yemen to not only reduce RSV-related morbidity and mortality but also rebuild foundational public health systems. </w:t>
      </w:r>
      <w:proofErr w:type="spellStart"/>
      <w:r w:rsidR="00805D60" w:rsidRPr="00502E74">
        <w:rPr>
          <w:rFonts w:ascii="Arial" w:hAnsi="Arial" w:cs="Arial"/>
          <w:highlight w:val="yellow"/>
        </w:rPr>
        <w:t>Prioritising</w:t>
      </w:r>
      <w:proofErr w:type="spellEnd"/>
      <w:r w:rsidR="00805D60" w:rsidRPr="00502E74">
        <w:rPr>
          <w:rFonts w:ascii="Arial" w:hAnsi="Arial" w:cs="Arial"/>
          <w:highlight w:val="yellow"/>
        </w:rPr>
        <w:t xml:space="preserve"> </w:t>
      </w:r>
      <w:r w:rsidRPr="00502E74">
        <w:rPr>
          <w:rFonts w:ascii="Arial" w:hAnsi="Arial" w:cs="Arial"/>
          <w:highlight w:val="yellow"/>
        </w:rPr>
        <w:t>RSV</w:t>
      </w:r>
      <w:r w:rsidRPr="000112D0">
        <w:rPr>
          <w:rFonts w:ascii="Arial" w:hAnsi="Arial" w:cs="Arial"/>
        </w:rPr>
        <w:t xml:space="preserve"> is no longer optional</w:t>
      </w:r>
      <w:r>
        <w:rPr>
          <w:rFonts w:ascii="Arial" w:hAnsi="Arial" w:cs="Arial"/>
        </w:rPr>
        <w:t>; i</w:t>
      </w:r>
      <w:r w:rsidRPr="000112D0">
        <w:rPr>
          <w:rFonts w:ascii="Arial" w:hAnsi="Arial" w:cs="Arial"/>
        </w:rPr>
        <w:t>t is a necessity for safeguarding the country’s youngest and most vulnerable generation.</w:t>
      </w:r>
    </w:p>
    <w:p w14:paraId="2C74A6BF" w14:textId="77777777" w:rsidR="000112D0" w:rsidRPr="00EE5DB0" w:rsidRDefault="000112D0" w:rsidP="000112D0">
      <w:pPr>
        <w:pStyle w:val="Body"/>
        <w:spacing w:after="0"/>
        <w:rPr>
          <w:rFonts w:ascii="Arial" w:hAnsi="Arial" w:cs="Arial"/>
        </w:rPr>
      </w:pPr>
    </w:p>
    <w:p w14:paraId="6EB6B08B" w14:textId="77777777" w:rsidR="004E4362" w:rsidRPr="00315186" w:rsidRDefault="004E4362" w:rsidP="004E4362"/>
    <w:p w14:paraId="719FB3F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6C8D58B" w14:textId="77777777" w:rsidR="00860000" w:rsidRPr="00786D36" w:rsidRDefault="00860000" w:rsidP="00441B6F">
      <w:pPr>
        <w:pStyle w:val="ReferHead"/>
        <w:spacing w:after="0"/>
        <w:jc w:val="both"/>
        <w:rPr>
          <w:rFonts w:ascii="Arial" w:hAnsi="Arial" w:cs="Arial"/>
        </w:rPr>
      </w:pPr>
    </w:p>
    <w:p w14:paraId="31B4E6E0" w14:textId="77777777" w:rsidR="004E4362" w:rsidRDefault="004E4362" w:rsidP="004E4362">
      <w:pPr>
        <w:pStyle w:val="ReferHead"/>
        <w:spacing w:after="0"/>
        <w:jc w:val="both"/>
        <w:rPr>
          <w:rFonts w:ascii="Arial" w:hAnsi="Arial" w:cs="Arial"/>
          <w:b w:val="0"/>
          <w:caps w:val="0"/>
          <w:sz w:val="20"/>
        </w:rPr>
      </w:pPr>
      <w:r w:rsidRPr="004E4362">
        <w:rPr>
          <w:rFonts w:ascii="Arial" w:hAnsi="Arial" w:cs="Arial"/>
          <w:b w:val="0"/>
          <w:caps w:val="0"/>
          <w:sz w:val="20"/>
        </w:rPr>
        <w:t xml:space="preserve">The author declares no financial or personal relationships that could have influenced the content or interpretation of this Minireview. All work was conducted independently and without support from organizations or entities with </w:t>
      </w:r>
      <w:proofErr w:type="gramStart"/>
      <w:r w:rsidRPr="004E4362">
        <w:rPr>
          <w:rFonts w:ascii="Arial" w:hAnsi="Arial" w:cs="Arial"/>
          <w:b w:val="0"/>
          <w:caps w:val="0"/>
          <w:sz w:val="20"/>
        </w:rPr>
        <w:t>vested interests</w:t>
      </w:r>
      <w:proofErr w:type="gramEnd"/>
      <w:r w:rsidRPr="004E4362">
        <w:rPr>
          <w:rFonts w:ascii="Arial" w:hAnsi="Arial" w:cs="Arial"/>
          <w:b w:val="0"/>
          <w:caps w:val="0"/>
          <w:sz w:val="20"/>
        </w:rPr>
        <w:t>.</w:t>
      </w:r>
    </w:p>
    <w:p w14:paraId="0409EDC1" w14:textId="77777777" w:rsidR="004E4362" w:rsidRDefault="004E4362" w:rsidP="004E4362">
      <w:pPr>
        <w:pStyle w:val="ReferHead"/>
        <w:spacing w:after="0"/>
        <w:jc w:val="both"/>
        <w:rPr>
          <w:rFonts w:ascii="Arial" w:hAnsi="Arial" w:cs="Arial"/>
          <w:b w:val="0"/>
          <w:caps w:val="0"/>
          <w:sz w:val="20"/>
        </w:rPr>
      </w:pPr>
    </w:p>
    <w:p w14:paraId="0BF2B871" w14:textId="77777777" w:rsidR="004E4362" w:rsidRPr="00243150" w:rsidRDefault="004E4362" w:rsidP="004E4362">
      <w:pPr>
        <w:spacing w:after="200" w:line="276" w:lineRule="auto"/>
        <w:rPr>
          <w:rFonts w:ascii="Arial" w:hAnsi="Arial" w:cs="Arial"/>
          <w:b/>
          <w:bCs/>
          <w:caps/>
          <w:sz w:val="22"/>
        </w:rPr>
      </w:pPr>
      <w:r w:rsidRPr="00243150">
        <w:rPr>
          <w:rFonts w:ascii="Arial" w:hAnsi="Arial" w:cs="Arial"/>
          <w:b/>
          <w:bCs/>
          <w:caps/>
          <w:sz w:val="22"/>
        </w:rPr>
        <w:t>Disclaimer (Artificial intelligence)</w:t>
      </w:r>
    </w:p>
    <w:p w14:paraId="799A8AC8" w14:textId="77777777" w:rsidR="004E4362" w:rsidRPr="00243150" w:rsidRDefault="004E4362" w:rsidP="004E4362">
      <w:pPr>
        <w:spacing w:after="200" w:line="276" w:lineRule="auto"/>
        <w:rPr>
          <w:rFonts w:ascii="Arial" w:hAnsi="Arial" w:cs="Arial"/>
        </w:rPr>
      </w:pPr>
      <w:r w:rsidRPr="00243150">
        <w:rPr>
          <w:rFonts w:ascii="Arial" w:hAnsi="Arial" w:cs="Arial"/>
        </w:rPr>
        <w:t xml:space="preserve">Author(s) hereby declare that generative AI technologies such as Large Language Models </w:t>
      </w:r>
      <w:proofErr w:type="gramStart"/>
      <w:r w:rsidRPr="00243150">
        <w:rPr>
          <w:rFonts w:ascii="Arial" w:hAnsi="Arial" w:cs="Arial"/>
        </w:rPr>
        <w:t>have been used</w:t>
      </w:r>
      <w:proofErr w:type="gramEnd"/>
      <w:r w:rsidRPr="00243150">
        <w:rPr>
          <w:rFonts w:ascii="Arial" w:hAnsi="Arial" w:cs="Arial"/>
        </w:rPr>
        <w:t xml:space="preserve"> during the editing of this manuscript. The explanation below includes the name, version, model, and source of the generative AI technology, as well as a description of its use.</w:t>
      </w:r>
    </w:p>
    <w:p w14:paraId="38CB22A7" w14:textId="77777777" w:rsidR="004E4362" w:rsidRPr="00243150" w:rsidRDefault="004E4362" w:rsidP="004E4362">
      <w:pPr>
        <w:spacing w:after="200" w:line="276" w:lineRule="auto"/>
        <w:rPr>
          <w:rFonts w:ascii="Arial" w:hAnsi="Arial" w:cs="Arial"/>
        </w:rPr>
      </w:pPr>
      <w:r w:rsidRPr="00243150">
        <w:rPr>
          <w:rFonts w:ascii="Arial" w:hAnsi="Arial" w:cs="Arial"/>
        </w:rPr>
        <w:t xml:space="preserve">Details of AI usage </w:t>
      </w:r>
      <w:proofErr w:type="gramStart"/>
      <w:r w:rsidRPr="00243150">
        <w:rPr>
          <w:rFonts w:ascii="Arial" w:hAnsi="Arial" w:cs="Arial"/>
        </w:rPr>
        <w:t>are given</w:t>
      </w:r>
      <w:proofErr w:type="gramEnd"/>
      <w:r w:rsidRPr="00243150">
        <w:rPr>
          <w:rFonts w:ascii="Arial" w:hAnsi="Arial" w:cs="Arial"/>
        </w:rPr>
        <w:t xml:space="preserve"> below:</w:t>
      </w:r>
    </w:p>
    <w:p w14:paraId="63FD2E38" w14:textId="77777777" w:rsidR="004E4362" w:rsidRPr="00243150" w:rsidRDefault="004E4362" w:rsidP="004E4362">
      <w:pPr>
        <w:numPr>
          <w:ilvl w:val="0"/>
          <w:numId w:val="32"/>
        </w:numPr>
        <w:spacing w:after="200" w:line="276" w:lineRule="auto"/>
        <w:rPr>
          <w:rFonts w:ascii="Arial" w:hAnsi="Arial" w:cs="Arial"/>
        </w:rPr>
      </w:pPr>
      <w:r w:rsidRPr="00243150">
        <w:rPr>
          <w:rFonts w:ascii="Arial" w:hAnsi="Arial" w:cs="Arial"/>
        </w:rPr>
        <w:t>AI Tool Name and Source: ChatGPT, developed by OpenAI (</w:t>
      </w:r>
      <w:hyperlink r:id="rId15" w:tgtFrame="_new" w:history="1">
        <w:r w:rsidRPr="00243150">
          <w:rPr>
            <w:rFonts w:ascii="Arial" w:hAnsi="Arial" w:cs="Arial"/>
          </w:rPr>
          <w:t>https://chat.openai.com</w:t>
        </w:r>
      </w:hyperlink>
      <w:r w:rsidRPr="00243150">
        <w:rPr>
          <w:rFonts w:ascii="Arial" w:hAnsi="Arial" w:cs="Arial"/>
        </w:rPr>
        <w:t>).</w:t>
      </w:r>
    </w:p>
    <w:p w14:paraId="02E2F41D" w14:textId="77777777" w:rsidR="004E4362" w:rsidRDefault="004E4362" w:rsidP="004E4362">
      <w:pPr>
        <w:numPr>
          <w:ilvl w:val="0"/>
          <w:numId w:val="32"/>
        </w:numPr>
        <w:spacing w:after="200" w:line="276" w:lineRule="auto"/>
        <w:rPr>
          <w:rFonts w:ascii="Arial" w:hAnsi="Arial" w:cs="Arial"/>
        </w:rPr>
      </w:pPr>
      <w:r w:rsidRPr="00243150">
        <w:rPr>
          <w:rFonts w:ascii="Arial" w:hAnsi="Arial" w:cs="Arial"/>
        </w:rPr>
        <w:t>Version and Model: GPT-4o, OpenAI (July 2025 version).</w:t>
      </w:r>
    </w:p>
    <w:p w14:paraId="57BBA0E0" w14:textId="77777777" w:rsidR="004E4362" w:rsidRDefault="004E4362" w:rsidP="004E4362">
      <w:pPr>
        <w:numPr>
          <w:ilvl w:val="0"/>
          <w:numId w:val="32"/>
        </w:numPr>
        <w:spacing w:after="200" w:line="276" w:lineRule="auto"/>
        <w:rPr>
          <w:rFonts w:ascii="Arial" w:hAnsi="Arial" w:cs="Arial"/>
        </w:rPr>
      </w:pPr>
      <w:r w:rsidRPr="00243150">
        <w:rPr>
          <w:rFonts w:ascii="Arial" w:hAnsi="Arial" w:cs="Arial"/>
        </w:rPr>
        <w:t xml:space="preserve">Purpose of Use: The AI </w:t>
      </w:r>
      <w:proofErr w:type="gramStart"/>
      <w:r w:rsidRPr="00243150">
        <w:rPr>
          <w:rFonts w:ascii="Arial" w:hAnsi="Arial" w:cs="Arial"/>
        </w:rPr>
        <w:t>was used</w:t>
      </w:r>
      <w:proofErr w:type="gramEnd"/>
      <w:r w:rsidRPr="00243150">
        <w:rPr>
          <w:rFonts w:ascii="Arial" w:hAnsi="Arial" w:cs="Arial"/>
        </w:rPr>
        <w:t xml:space="preserve"> solely for grammar correction, sentence structure refinement, and improvement of clarity and readability in the manuscript. No content was generated or interpreted by the AI; </w:t>
      </w:r>
      <w:proofErr w:type="gramStart"/>
      <w:r w:rsidRPr="00243150">
        <w:rPr>
          <w:rFonts w:ascii="Arial" w:hAnsi="Arial" w:cs="Arial"/>
        </w:rPr>
        <w:t>all scientific content, data, analysis, and conclusions were produced by the authors</w:t>
      </w:r>
      <w:proofErr w:type="gramEnd"/>
      <w:r w:rsidRPr="00243150">
        <w:rPr>
          <w:rFonts w:ascii="Arial" w:hAnsi="Arial" w:cs="Arial"/>
        </w:rPr>
        <w:t>.</w:t>
      </w:r>
    </w:p>
    <w:p w14:paraId="2BF6144B" w14:textId="77777777" w:rsidR="008924D8" w:rsidRDefault="008924D8" w:rsidP="008924D8">
      <w:pPr>
        <w:spacing w:after="200" w:line="276" w:lineRule="auto"/>
        <w:rPr>
          <w:rFonts w:ascii="Arial" w:hAnsi="Arial" w:cs="Arial"/>
        </w:rPr>
      </w:pPr>
    </w:p>
    <w:p w14:paraId="58BC5793" w14:textId="08478796" w:rsidR="008924D8" w:rsidRPr="008924D8" w:rsidRDefault="008924D8" w:rsidP="008924D8">
      <w:pPr>
        <w:spacing w:after="200" w:line="276" w:lineRule="auto"/>
        <w:rPr>
          <w:rFonts w:ascii="Arial" w:hAnsi="Arial" w:cs="Arial"/>
        </w:rPr>
      </w:pPr>
      <w:r w:rsidRPr="008924D8">
        <w:rPr>
          <w:rFonts w:ascii="Arial" w:hAnsi="Arial" w:cs="Arial"/>
        </w:rPr>
        <w:t>COMPETING INTERESTS:</w:t>
      </w:r>
    </w:p>
    <w:p w14:paraId="0BC1BBB6" w14:textId="4C7896C4" w:rsidR="008924D8" w:rsidRPr="00243150" w:rsidRDefault="008924D8" w:rsidP="008924D8">
      <w:pPr>
        <w:spacing w:after="200" w:line="276" w:lineRule="auto"/>
        <w:rPr>
          <w:rFonts w:ascii="Arial" w:hAnsi="Arial" w:cs="Arial"/>
        </w:rPr>
      </w:pPr>
      <w:r w:rsidRPr="008924D8">
        <w:rPr>
          <w:rFonts w:ascii="Arial" w:hAnsi="Arial" w:cs="Arial"/>
        </w:rPr>
        <w:t>Authors have declared that they have no known competing financial interests OR non-financial interests OR personal relationships that could have appeared to influence the work reported in this paper.</w:t>
      </w:r>
    </w:p>
    <w:p w14:paraId="54178EE3" w14:textId="77777777" w:rsidR="001A29D8" w:rsidRDefault="001A29D8" w:rsidP="00441B6F">
      <w:pPr>
        <w:pStyle w:val="ReferHead"/>
        <w:spacing w:after="0"/>
        <w:jc w:val="both"/>
        <w:rPr>
          <w:rFonts w:ascii="Arial" w:hAnsi="Arial" w:cs="Arial"/>
          <w:b w:val="0"/>
          <w:caps w:val="0"/>
          <w:sz w:val="20"/>
        </w:rPr>
      </w:pPr>
    </w:p>
    <w:p w14:paraId="26D17F52" w14:textId="77777777" w:rsidR="005C784C" w:rsidRDefault="005C784C" w:rsidP="00441B6F">
      <w:pPr>
        <w:pStyle w:val="ReferHead"/>
        <w:spacing w:after="0"/>
        <w:jc w:val="both"/>
        <w:rPr>
          <w:rFonts w:ascii="Arial" w:hAnsi="Arial" w:cs="Arial"/>
          <w:b w:val="0"/>
          <w:caps w:val="0"/>
          <w:sz w:val="20"/>
        </w:rPr>
      </w:pPr>
    </w:p>
    <w:p w14:paraId="4E0E32FF" w14:textId="77777777" w:rsidR="00860000" w:rsidRDefault="00860000" w:rsidP="00A056DB">
      <w:pPr>
        <w:pStyle w:val="ReferHead"/>
        <w:spacing w:after="0"/>
        <w:jc w:val="both"/>
        <w:rPr>
          <w:rFonts w:ascii="Arial" w:hAnsi="Arial" w:cs="Arial"/>
        </w:rPr>
      </w:pPr>
    </w:p>
    <w:p w14:paraId="11C7420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3D7EEF"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Daniels, D. (2024). A review of respiratory syncytial virus epidemiology among children: Linking effective prevention to vulnerable populations.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Journal of the Pediatric Infectious Diseases Society, 13</w:t>
      </w:r>
      <w:r w:rsidRPr="00AF74C8">
        <w:rPr>
          <w:rFonts w:asciiTheme="minorBidi" w:hAnsiTheme="minorBidi" w:cstheme="minorBidi"/>
          <w:sz w:val="20"/>
          <w:szCs w:val="20"/>
        </w:rPr>
        <w:t>(Supplement_2), S131–S136.</w:t>
      </w:r>
    </w:p>
    <w:p w14:paraId="663B4F9E"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Mulot, G., Benchaib, M., Plaisant, F., Ploin, D., Gillet, Y., Javouhey, E</w:t>
      </w:r>
      <w:proofErr w:type="gramStart"/>
      <w:r w:rsidRPr="00AF74C8">
        <w:rPr>
          <w:rFonts w:asciiTheme="minorBidi" w:hAnsiTheme="minorBidi" w:cstheme="minorBidi"/>
          <w:sz w:val="20"/>
          <w:szCs w:val="20"/>
        </w:rPr>
        <w:t>., ...</w:t>
      </w:r>
      <w:proofErr w:type="gramEnd"/>
      <w:r w:rsidRPr="00AF74C8">
        <w:rPr>
          <w:rFonts w:asciiTheme="minorBidi" w:hAnsiTheme="minorBidi" w:cstheme="minorBidi"/>
          <w:sz w:val="20"/>
          <w:szCs w:val="20"/>
        </w:rPr>
        <w:t xml:space="preserve"> &amp; Butin, M. (2022). Risk factors of very severe RSV infections in a multicenter cohort of very preterm and extreme preterm babies receiving or not palivizumab.</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Frontiers in Pediatrics, 10</w:t>
      </w:r>
      <w:r w:rsidRPr="00AF74C8">
        <w:rPr>
          <w:rFonts w:asciiTheme="minorBidi" w:hAnsiTheme="minorBidi" w:cstheme="minorBidi"/>
          <w:sz w:val="20"/>
          <w:szCs w:val="20"/>
        </w:rPr>
        <w:t>, 884120.</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https://doi.org/10.3389/fped.2022.884120</w:t>
      </w:r>
    </w:p>
    <w:p w14:paraId="0C6A5477" w14:textId="77777777" w:rsidR="00AF74C8" w:rsidRPr="00AF74C8" w:rsidRDefault="00AF74C8" w:rsidP="00AF74C8">
      <w:pPr>
        <w:pStyle w:val="NormalWeb"/>
        <w:numPr>
          <w:ilvl w:val="0"/>
          <w:numId w:val="31"/>
        </w:numPr>
        <w:rPr>
          <w:rFonts w:asciiTheme="minorBidi" w:hAnsiTheme="minorBidi" w:cstheme="minorBidi"/>
          <w:sz w:val="20"/>
          <w:szCs w:val="20"/>
        </w:rPr>
      </w:pPr>
      <w:r w:rsidRPr="00F23AC5">
        <w:rPr>
          <w:rFonts w:asciiTheme="minorBidi" w:hAnsiTheme="minorBidi" w:cstheme="minorBidi"/>
          <w:sz w:val="20"/>
          <w:szCs w:val="20"/>
          <w:lang w:val="es-US"/>
        </w:rPr>
        <w:t>Obando-Pacheco, P., Justicia-Grande, A. J., Rivero-Calle, I., Rodríguez-</w:t>
      </w:r>
      <w:proofErr w:type="spellStart"/>
      <w:r w:rsidRPr="00F23AC5">
        <w:rPr>
          <w:rFonts w:asciiTheme="minorBidi" w:hAnsiTheme="minorBidi" w:cstheme="minorBidi"/>
          <w:sz w:val="20"/>
          <w:szCs w:val="20"/>
          <w:lang w:val="es-US"/>
        </w:rPr>
        <w:t>Tenreiro</w:t>
      </w:r>
      <w:proofErr w:type="spellEnd"/>
      <w:r w:rsidRPr="00F23AC5">
        <w:rPr>
          <w:rFonts w:asciiTheme="minorBidi" w:hAnsiTheme="minorBidi" w:cstheme="minorBidi"/>
          <w:sz w:val="20"/>
          <w:szCs w:val="20"/>
          <w:lang w:val="es-US"/>
        </w:rPr>
        <w:t xml:space="preserve">, C., </w:t>
      </w:r>
      <w:proofErr w:type="spellStart"/>
      <w:r w:rsidRPr="00F23AC5">
        <w:rPr>
          <w:rFonts w:asciiTheme="minorBidi" w:hAnsiTheme="minorBidi" w:cstheme="minorBidi"/>
          <w:sz w:val="20"/>
          <w:szCs w:val="20"/>
          <w:lang w:val="es-US"/>
        </w:rPr>
        <w:t>Sly</w:t>
      </w:r>
      <w:proofErr w:type="spellEnd"/>
      <w:r w:rsidRPr="00F23AC5">
        <w:rPr>
          <w:rFonts w:asciiTheme="minorBidi" w:hAnsiTheme="minorBidi" w:cstheme="minorBidi"/>
          <w:sz w:val="20"/>
          <w:szCs w:val="20"/>
          <w:lang w:val="es-US"/>
        </w:rPr>
        <w:t xml:space="preserve">, P., </w:t>
      </w:r>
      <w:proofErr w:type="spellStart"/>
      <w:r w:rsidRPr="00F23AC5">
        <w:rPr>
          <w:rFonts w:asciiTheme="minorBidi" w:hAnsiTheme="minorBidi" w:cstheme="minorBidi"/>
          <w:sz w:val="20"/>
          <w:szCs w:val="20"/>
          <w:lang w:val="es-US"/>
        </w:rPr>
        <w:t>Ramilo</w:t>
      </w:r>
      <w:proofErr w:type="spellEnd"/>
      <w:r w:rsidRPr="00F23AC5">
        <w:rPr>
          <w:rFonts w:asciiTheme="minorBidi" w:hAnsiTheme="minorBidi" w:cstheme="minorBidi"/>
          <w:sz w:val="20"/>
          <w:szCs w:val="20"/>
          <w:lang w:val="es-US"/>
        </w:rPr>
        <w:t xml:space="preserve">, O., ... </w:t>
      </w:r>
      <w:r w:rsidRPr="00AF74C8">
        <w:rPr>
          <w:rFonts w:asciiTheme="minorBidi" w:hAnsiTheme="minorBidi" w:cstheme="minorBidi"/>
          <w:sz w:val="20"/>
          <w:szCs w:val="20"/>
        </w:rPr>
        <w:t xml:space="preserve">&amp; </w:t>
      </w:r>
      <w:proofErr w:type="spellStart"/>
      <w:r w:rsidRPr="00AF74C8">
        <w:rPr>
          <w:rFonts w:asciiTheme="minorBidi" w:hAnsiTheme="minorBidi" w:cstheme="minorBidi"/>
          <w:sz w:val="20"/>
          <w:szCs w:val="20"/>
        </w:rPr>
        <w:t>Martinón</w:t>
      </w:r>
      <w:proofErr w:type="spellEnd"/>
      <w:r w:rsidRPr="00AF74C8">
        <w:rPr>
          <w:rFonts w:asciiTheme="minorBidi" w:hAnsiTheme="minorBidi" w:cstheme="minorBidi"/>
          <w:sz w:val="20"/>
          <w:szCs w:val="20"/>
        </w:rPr>
        <w:t>-Torres, F. (2018). Respiratory syncytial virus seasonality: A global overview.</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The Journal of Infectious Diseases, 217</w:t>
      </w:r>
      <w:r w:rsidRPr="00AF74C8">
        <w:rPr>
          <w:rFonts w:asciiTheme="minorBidi" w:hAnsiTheme="minorBidi" w:cstheme="minorBidi"/>
          <w:sz w:val="20"/>
          <w:szCs w:val="20"/>
        </w:rPr>
        <w:t>(9), 1356–1364.</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https://doi.org/10.1093/infdis/jiy056</w:t>
      </w:r>
    </w:p>
    <w:p w14:paraId="66371A91"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Cusabio. (2023).</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Pathophysiology of RSV: Structure, entry and immune response</w:t>
      </w:r>
      <w:r w:rsidRPr="00AF74C8">
        <w:rPr>
          <w:rFonts w:asciiTheme="minorBidi" w:hAnsiTheme="minorBidi" w:cstheme="minorBidi"/>
          <w:sz w:val="20"/>
          <w:szCs w:val="20"/>
        </w:rPr>
        <w:t>.</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https://www.cusabio.com/infectious-diseases/respiratory-syncytial-virus.html</w:t>
      </w:r>
    </w:p>
    <w:p w14:paraId="6B031580"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Shi, T., McAllister, D. A., O'Brien, K. L., Simoes, E. A. F., Madhi, S. A., Gessner, B. D., ... &amp; Nair, H. (2017). Global burden of acute lower respiratory infections due to respiratory syncytial virus in young children: A systematic review and meta-analysis.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The Lancet, 390</w:t>
      </w:r>
      <w:r w:rsidRPr="00AF74C8">
        <w:rPr>
          <w:rFonts w:asciiTheme="minorBidi" w:hAnsiTheme="minorBidi" w:cstheme="minorBidi"/>
          <w:sz w:val="20"/>
          <w:szCs w:val="20"/>
        </w:rPr>
        <w:t>(10098), 946–958. https://doi.org/10.1016/S0140-6736(17)30938-8</w:t>
      </w:r>
    </w:p>
    <w:p w14:paraId="705CADC2"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Wu, M., Wu, Q., Liu, D., Zu, W., Zhang, D., &amp; Chen, L. (2024). The global burden of lower respiratory infections attributable to respiratory syncytial virus in 204 countries and territories, 1990–2019: Findings from the Global Burden of Disease Study 2019.</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Internal and Emergency Medicine, 19</w:t>
      </w:r>
      <w:r w:rsidRPr="00AF74C8">
        <w:rPr>
          <w:rFonts w:asciiTheme="minorBidi" w:hAnsiTheme="minorBidi" w:cstheme="minorBidi"/>
          <w:sz w:val="20"/>
          <w:szCs w:val="20"/>
        </w:rPr>
        <w:t>(1), 59–70.</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https://doi.org/10.1007/s11739-023-03438-x</w:t>
      </w:r>
    </w:p>
    <w:p w14:paraId="2E82D8CC"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Srikantiah, P., Vora, P., &amp; Klugman, K. P. (2021). Assessing the full burden of respiratory syncytial virus in young infants in low- and middle-income countries: The importance of community mortality studies.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Clinical Infectious Diseases, 73</w:t>
      </w:r>
      <w:r w:rsidRPr="00AF74C8">
        <w:rPr>
          <w:rFonts w:asciiTheme="minorBidi" w:hAnsiTheme="minorBidi" w:cstheme="minorBidi"/>
          <w:sz w:val="20"/>
          <w:szCs w:val="20"/>
        </w:rPr>
        <w:t>(Supplement_3), S177–S179.</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https://doi.org/10.1093/cid/ciab486</w:t>
      </w:r>
    </w:p>
    <w:p w14:paraId="6CC3E48C" w14:textId="77777777" w:rsidR="00AF74C8" w:rsidRPr="00AF74C8" w:rsidRDefault="00AF74C8" w:rsidP="00AF74C8">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Qirbi, N., &amp; Ismail, S. A. (2017). Health system functionality in a low-income country in the midst of conflict: The case of Yemen.</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Health Policy and Planning, 32</w:t>
      </w:r>
      <w:r w:rsidRPr="00AF74C8">
        <w:rPr>
          <w:rFonts w:asciiTheme="minorBidi" w:hAnsiTheme="minorBidi" w:cstheme="minorBidi"/>
          <w:sz w:val="20"/>
          <w:szCs w:val="20"/>
        </w:rPr>
        <w:t>(6), 911–922.</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https://doi.org/10.1093/heapol/czx031</w:t>
      </w:r>
    </w:p>
    <w:p w14:paraId="3223B1EA" w14:textId="77777777" w:rsidR="00AF74C8" w:rsidRPr="00AF74C8" w:rsidRDefault="00AF74C8" w:rsidP="00AF74C8">
      <w:pPr>
        <w:pStyle w:val="NormalWeb"/>
        <w:numPr>
          <w:ilvl w:val="0"/>
          <w:numId w:val="31"/>
        </w:numPr>
        <w:rPr>
          <w:rFonts w:asciiTheme="minorBidi" w:hAnsiTheme="minorBidi" w:cstheme="minorBidi"/>
          <w:sz w:val="20"/>
          <w:szCs w:val="20"/>
        </w:rPr>
      </w:pPr>
      <w:r w:rsidRPr="00F23AC5">
        <w:rPr>
          <w:rFonts w:asciiTheme="minorBidi" w:hAnsiTheme="minorBidi" w:cstheme="minorBidi"/>
          <w:sz w:val="20"/>
          <w:szCs w:val="20"/>
          <w:lang w:val="es-US"/>
        </w:rPr>
        <w:lastRenderedPageBreak/>
        <w:t xml:space="preserve">Al-Taj, M. A., </w:t>
      </w:r>
      <w:proofErr w:type="spellStart"/>
      <w:r w:rsidRPr="00F23AC5">
        <w:rPr>
          <w:rFonts w:asciiTheme="minorBidi" w:hAnsiTheme="minorBidi" w:cstheme="minorBidi"/>
          <w:sz w:val="20"/>
          <w:szCs w:val="20"/>
          <w:lang w:val="es-US"/>
        </w:rPr>
        <w:t>AlKhulidy</w:t>
      </w:r>
      <w:proofErr w:type="spellEnd"/>
      <w:r w:rsidRPr="00F23AC5">
        <w:rPr>
          <w:rFonts w:asciiTheme="minorBidi" w:hAnsiTheme="minorBidi" w:cstheme="minorBidi"/>
          <w:sz w:val="20"/>
          <w:szCs w:val="20"/>
          <w:lang w:val="es-US"/>
        </w:rPr>
        <w:t xml:space="preserve">, R. E., </w:t>
      </w:r>
      <w:proofErr w:type="spellStart"/>
      <w:r w:rsidRPr="00F23AC5">
        <w:rPr>
          <w:rFonts w:asciiTheme="minorBidi" w:hAnsiTheme="minorBidi" w:cstheme="minorBidi"/>
          <w:sz w:val="20"/>
          <w:szCs w:val="20"/>
          <w:lang w:val="es-US"/>
        </w:rPr>
        <w:t>Alomary</w:t>
      </w:r>
      <w:proofErr w:type="spellEnd"/>
      <w:r w:rsidRPr="00F23AC5">
        <w:rPr>
          <w:rFonts w:asciiTheme="minorBidi" w:hAnsiTheme="minorBidi" w:cstheme="minorBidi"/>
          <w:sz w:val="20"/>
          <w:szCs w:val="20"/>
          <w:lang w:val="es-US"/>
        </w:rPr>
        <w:t xml:space="preserve">, S. S., </w:t>
      </w:r>
      <w:proofErr w:type="spellStart"/>
      <w:r w:rsidRPr="00F23AC5">
        <w:rPr>
          <w:rFonts w:asciiTheme="minorBidi" w:hAnsiTheme="minorBidi" w:cstheme="minorBidi"/>
          <w:sz w:val="20"/>
          <w:szCs w:val="20"/>
          <w:lang w:val="es-US"/>
        </w:rPr>
        <w:t>Hablh</w:t>
      </w:r>
      <w:proofErr w:type="spellEnd"/>
      <w:r w:rsidRPr="00F23AC5">
        <w:rPr>
          <w:rFonts w:asciiTheme="minorBidi" w:hAnsiTheme="minorBidi" w:cstheme="minorBidi"/>
          <w:sz w:val="20"/>
          <w:szCs w:val="20"/>
          <w:lang w:val="es-US"/>
        </w:rPr>
        <w:t xml:space="preserve">, E. A., Sanad, A., </w:t>
      </w:r>
      <w:proofErr w:type="spellStart"/>
      <w:r w:rsidRPr="00F23AC5">
        <w:rPr>
          <w:rFonts w:asciiTheme="minorBidi" w:hAnsiTheme="minorBidi" w:cstheme="minorBidi"/>
          <w:sz w:val="20"/>
          <w:szCs w:val="20"/>
          <w:lang w:val="es-US"/>
        </w:rPr>
        <w:t>Yahya</w:t>
      </w:r>
      <w:proofErr w:type="spellEnd"/>
      <w:r w:rsidRPr="00F23AC5">
        <w:rPr>
          <w:rFonts w:asciiTheme="minorBidi" w:hAnsiTheme="minorBidi" w:cstheme="minorBidi"/>
          <w:sz w:val="20"/>
          <w:szCs w:val="20"/>
          <w:lang w:val="es-US"/>
        </w:rPr>
        <w:t xml:space="preserve">, K. T., ... &amp; </w:t>
      </w:r>
      <w:proofErr w:type="spellStart"/>
      <w:r w:rsidRPr="00F23AC5">
        <w:rPr>
          <w:rFonts w:asciiTheme="minorBidi" w:hAnsiTheme="minorBidi" w:cstheme="minorBidi"/>
          <w:sz w:val="20"/>
          <w:szCs w:val="20"/>
          <w:lang w:val="es-US"/>
        </w:rPr>
        <w:t>Aldoori</w:t>
      </w:r>
      <w:proofErr w:type="spellEnd"/>
      <w:r w:rsidRPr="00F23AC5">
        <w:rPr>
          <w:rFonts w:asciiTheme="minorBidi" w:hAnsiTheme="minorBidi" w:cstheme="minorBidi"/>
          <w:sz w:val="20"/>
          <w:szCs w:val="20"/>
          <w:lang w:val="es-US"/>
        </w:rPr>
        <w:t xml:space="preserve">, A. A. (2025). </w:t>
      </w:r>
      <w:r w:rsidRPr="00AF74C8">
        <w:rPr>
          <w:rFonts w:asciiTheme="minorBidi" w:hAnsiTheme="minorBidi" w:cstheme="minorBidi"/>
          <w:sz w:val="20"/>
          <w:szCs w:val="20"/>
        </w:rPr>
        <w:t>Risk factors for acute respiratory infection among children in Yemen: A hospital-based matched case-control study.</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BMC Pediatrics, 25</w:t>
      </w:r>
      <w:r w:rsidRPr="00AF74C8">
        <w:rPr>
          <w:rFonts w:asciiTheme="minorBidi" w:hAnsiTheme="minorBidi" w:cstheme="minorBidi"/>
          <w:sz w:val="20"/>
          <w:szCs w:val="20"/>
        </w:rPr>
        <w:t>(1), 528.</w:t>
      </w:r>
    </w:p>
    <w:p w14:paraId="1E6D3CF2" w14:textId="77777777" w:rsidR="00AF74C8" w:rsidRPr="000112D0" w:rsidRDefault="00AF74C8" w:rsidP="000112D0">
      <w:pPr>
        <w:pStyle w:val="NormalWeb"/>
        <w:numPr>
          <w:ilvl w:val="0"/>
          <w:numId w:val="31"/>
        </w:numPr>
        <w:rPr>
          <w:rFonts w:asciiTheme="minorBidi" w:hAnsiTheme="minorBidi" w:cstheme="minorBidi"/>
          <w:sz w:val="20"/>
          <w:szCs w:val="20"/>
        </w:rPr>
      </w:pPr>
      <w:r w:rsidRPr="00AF74C8">
        <w:rPr>
          <w:rFonts w:asciiTheme="minorBidi" w:hAnsiTheme="minorBidi" w:cstheme="minorBidi"/>
          <w:sz w:val="20"/>
          <w:szCs w:val="20"/>
        </w:rPr>
        <w:t>Hammitt, L. L., Dagan, R., Yuan, Y., Baca Cots, M., Bosheva, M., Madhi, S. A</w:t>
      </w:r>
      <w:proofErr w:type="gramStart"/>
      <w:r w:rsidRPr="00AF74C8">
        <w:rPr>
          <w:rFonts w:asciiTheme="minorBidi" w:hAnsiTheme="minorBidi" w:cstheme="minorBidi"/>
          <w:sz w:val="20"/>
          <w:szCs w:val="20"/>
        </w:rPr>
        <w:t>., ...</w:t>
      </w:r>
      <w:proofErr w:type="gramEnd"/>
      <w:r w:rsidRPr="00AF74C8">
        <w:rPr>
          <w:rFonts w:asciiTheme="minorBidi" w:hAnsiTheme="minorBidi" w:cstheme="minorBidi"/>
          <w:sz w:val="20"/>
          <w:szCs w:val="20"/>
        </w:rPr>
        <w:t xml:space="preserve"> &amp; Villafana, T. (2022). Nirsevimab for prevention of RSV in healthy </w:t>
      </w:r>
      <w:proofErr w:type="gramStart"/>
      <w:r w:rsidRPr="00AF74C8">
        <w:rPr>
          <w:rFonts w:asciiTheme="minorBidi" w:hAnsiTheme="minorBidi" w:cstheme="minorBidi"/>
          <w:sz w:val="20"/>
          <w:szCs w:val="20"/>
        </w:rPr>
        <w:t>late-preterm</w:t>
      </w:r>
      <w:proofErr w:type="gramEnd"/>
      <w:r w:rsidRPr="00AF74C8">
        <w:rPr>
          <w:rFonts w:asciiTheme="minorBidi" w:hAnsiTheme="minorBidi" w:cstheme="minorBidi"/>
          <w:sz w:val="20"/>
          <w:szCs w:val="20"/>
        </w:rPr>
        <w:t xml:space="preserve"> and term infants.</w:t>
      </w:r>
      <w:r w:rsidRPr="00AF74C8">
        <w:rPr>
          <w:rStyle w:val="apple-converted-space"/>
          <w:rFonts w:asciiTheme="minorBidi" w:hAnsiTheme="minorBidi" w:cstheme="minorBidi"/>
          <w:sz w:val="20"/>
          <w:szCs w:val="20"/>
        </w:rPr>
        <w:t> </w:t>
      </w:r>
      <w:r w:rsidRPr="00AF74C8">
        <w:rPr>
          <w:rStyle w:val="Emphasis"/>
          <w:rFonts w:asciiTheme="minorBidi" w:hAnsiTheme="minorBidi" w:cstheme="minorBidi"/>
          <w:sz w:val="20"/>
          <w:szCs w:val="20"/>
        </w:rPr>
        <w:t>New England Journal of Medicine, 386</w:t>
      </w:r>
      <w:r w:rsidRPr="00AF74C8">
        <w:rPr>
          <w:rFonts w:asciiTheme="minorBidi" w:hAnsiTheme="minorBidi" w:cstheme="minorBidi"/>
          <w:sz w:val="20"/>
          <w:szCs w:val="20"/>
        </w:rPr>
        <w:t>(9), 837–846.</w:t>
      </w:r>
      <w:r w:rsidRPr="00AF74C8">
        <w:rPr>
          <w:rStyle w:val="apple-converted-space"/>
          <w:rFonts w:asciiTheme="minorBidi" w:hAnsiTheme="minorBidi" w:cstheme="minorBidi"/>
          <w:sz w:val="20"/>
          <w:szCs w:val="20"/>
        </w:rPr>
        <w:t> </w:t>
      </w:r>
      <w:r w:rsidRPr="00AF74C8">
        <w:rPr>
          <w:rFonts w:asciiTheme="minorBidi" w:hAnsiTheme="minorBidi" w:cstheme="minorBidi"/>
          <w:sz w:val="20"/>
          <w:szCs w:val="20"/>
        </w:rPr>
        <w:t>https://doi.org/10.1056/NEJMoa2110275</w:t>
      </w:r>
    </w:p>
    <w:p w14:paraId="5FC7C8B5" w14:textId="77777777" w:rsidR="00C84282" w:rsidRPr="00C84282" w:rsidRDefault="00C84282" w:rsidP="00C84282">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23AC5">
        <w:rPr>
          <w:rFonts w:ascii="Arial" w:hAnsi="Arial" w:cs="Arial"/>
          <w:color w:val="222222"/>
          <w:sz w:val="20"/>
          <w:szCs w:val="20"/>
          <w:shd w:val="clear" w:color="auto" w:fill="FFFFFF"/>
          <w:lang w:val="es-US"/>
        </w:rPr>
        <w:t>Al-</w:t>
      </w:r>
      <w:proofErr w:type="spellStart"/>
      <w:r w:rsidRPr="00F23AC5">
        <w:rPr>
          <w:rFonts w:ascii="Arial" w:hAnsi="Arial" w:cs="Arial"/>
          <w:color w:val="222222"/>
          <w:sz w:val="20"/>
          <w:szCs w:val="20"/>
          <w:shd w:val="clear" w:color="auto" w:fill="FFFFFF"/>
          <w:lang w:val="es-US"/>
        </w:rPr>
        <w:t>Sonboli</w:t>
      </w:r>
      <w:proofErr w:type="spellEnd"/>
      <w:r w:rsidRPr="00F23AC5">
        <w:rPr>
          <w:rFonts w:ascii="Arial" w:hAnsi="Arial" w:cs="Arial"/>
          <w:color w:val="222222"/>
          <w:sz w:val="20"/>
          <w:szCs w:val="20"/>
          <w:shd w:val="clear" w:color="auto" w:fill="FFFFFF"/>
          <w:lang w:val="es-US"/>
        </w:rPr>
        <w:t>, N., Hart, C. A., Al-</w:t>
      </w:r>
      <w:proofErr w:type="spellStart"/>
      <w:r w:rsidRPr="00F23AC5">
        <w:rPr>
          <w:rFonts w:ascii="Arial" w:hAnsi="Arial" w:cs="Arial"/>
          <w:color w:val="222222"/>
          <w:sz w:val="20"/>
          <w:szCs w:val="20"/>
          <w:shd w:val="clear" w:color="auto" w:fill="FFFFFF"/>
          <w:lang w:val="es-US"/>
        </w:rPr>
        <w:t>Aeryani</w:t>
      </w:r>
      <w:proofErr w:type="spellEnd"/>
      <w:r w:rsidRPr="00F23AC5">
        <w:rPr>
          <w:rFonts w:ascii="Arial" w:hAnsi="Arial" w:cs="Arial"/>
          <w:color w:val="222222"/>
          <w:sz w:val="20"/>
          <w:szCs w:val="20"/>
          <w:shd w:val="clear" w:color="auto" w:fill="FFFFFF"/>
          <w:lang w:val="es-US"/>
        </w:rPr>
        <w:t xml:space="preserve">, A., </w:t>
      </w:r>
      <w:proofErr w:type="spellStart"/>
      <w:r w:rsidRPr="00F23AC5">
        <w:rPr>
          <w:rFonts w:ascii="Arial" w:hAnsi="Arial" w:cs="Arial"/>
          <w:color w:val="222222"/>
          <w:sz w:val="20"/>
          <w:szCs w:val="20"/>
          <w:shd w:val="clear" w:color="auto" w:fill="FFFFFF"/>
          <w:lang w:val="es-US"/>
        </w:rPr>
        <w:t>Banajeh</w:t>
      </w:r>
      <w:proofErr w:type="spellEnd"/>
      <w:r w:rsidRPr="00F23AC5">
        <w:rPr>
          <w:rFonts w:ascii="Arial" w:hAnsi="Arial" w:cs="Arial"/>
          <w:color w:val="222222"/>
          <w:sz w:val="20"/>
          <w:szCs w:val="20"/>
          <w:shd w:val="clear" w:color="auto" w:fill="FFFFFF"/>
          <w:lang w:val="es-US"/>
        </w:rPr>
        <w:t>, S. M., Al-</w:t>
      </w:r>
      <w:proofErr w:type="spellStart"/>
      <w:r w:rsidRPr="00F23AC5">
        <w:rPr>
          <w:rFonts w:ascii="Arial" w:hAnsi="Arial" w:cs="Arial"/>
          <w:color w:val="222222"/>
          <w:sz w:val="20"/>
          <w:szCs w:val="20"/>
          <w:shd w:val="clear" w:color="auto" w:fill="FFFFFF"/>
          <w:lang w:val="es-US"/>
        </w:rPr>
        <w:t>Aghbari</w:t>
      </w:r>
      <w:proofErr w:type="spellEnd"/>
      <w:r w:rsidRPr="00F23AC5">
        <w:rPr>
          <w:rFonts w:ascii="Arial" w:hAnsi="Arial" w:cs="Arial"/>
          <w:color w:val="222222"/>
          <w:sz w:val="20"/>
          <w:szCs w:val="20"/>
          <w:shd w:val="clear" w:color="auto" w:fill="FFFFFF"/>
          <w:lang w:val="es-US"/>
        </w:rPr>
        <w:t xml:space="preserve">, N., Dove, W., &amp; Cuevas, L. E. (2005). </w:t>
      </w:r>
      <w:r>
        <w:rPr>
          <w:rFonts w:ascii="Arial" w:hAnsi="Arial" w:cs="Arial"/>
          <w:color w:val="222222"/>
          <w:sz w:val="20"/>
          <w:szCs w:val="20"/>
          <w:shd w:val="clear" w:color="auto" w:fill="FFFFFF"/>
        </w:rPr>
        <w:t>Respiratory syncytial virus and human metapneumovirus in children with acute respiratory infections in Yemen.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The Pediatric infectious disease journal</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24</w:t>
      </w:r>
      <w:r>
        <w:rPr>
          <w:rFonts w:ascii="Arial" w:hAnsi="Arial" w:cs="Arial"/>
          <w:color w:val="222222"/>
          <w:sz w:val="20"/>
          <w:szCs w:val="20"/>
          <w:shd w:val="clear" w:color="auto" w:fill="FFFFFF"/>
        </w:rPr>
        <w:t>(8), 734-736.</w:t>
      </w:r>
    </w:p>
    <w:p w14:paraId="0E6BBBD2" w14:textId="77777777" w:rsidR="00C84282" w:rsidRPr="00F735F4" w:rsidRDefault="00C84282" w:rsidP="00C84282">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23AC5">
        <w:rPr>
          <w:rFonts w:ascii="Arial" w:hAnsi="Arial" w:cs="Arial"/>
          <w:color w:val="222222"/>
          <w:sz w:val="20"/>
          <w:szCs w:val="20"/>
          <w:shd w:val="clear" w:color="auto" w:fill="FFFFFF"/>
          <w:lang w:val="es-US"/>
        </w:rPr>
        <w:t>Al-</w:t>
      </w:r>
      <w:proofErr w:type="spellStart"/>
      <w:r w:rsidRPr="00F23AC5">
        <w:rPr>
          <w:rFonts w:ascii="Arial" w:hAnsi="Arial" w:cs="Arial"/>
          <w:color w:val="222222"/>
          <w:sz w:val="20"/>
          <w:szCs w:val="20"/>
          <w:shd w:val="clear" w:color="auto" w:fill="FFFFFF"/>
          <w:lang w:val="es-US"/>
        </w:rPr>
        <w:t>Sonboli</w:t>
      </w:r>
      <w:proofErr w:type="spellEnd"/>
      <w:r w:rsidRPr="00F23AC5">
        <w:rPr>
          <w:rFonts w:ascii="Arial" w:hAnsi="Arial" w:cs="Arial"/>
          <w:color w:val="222222"/>
          <w:sz w:val="20"/>
          <w:szCs w:val="20"/>
          <w:shd w:val="clear" w:color="auto" w:fill="FFFFFF"/>
          <w:lang w:val="es-US"/>
        </w:rPr>
        <w:t>, N., Hart, C. A., Al-</w:t>
      </w:r>
      <w:proofErr w:type="spellStart"/>
      <w:r w:rsidRPr="00F23AC5">
        <w:rPr>
          <w:rFonts w:ascii="Arial" w:hAnsi="Arial" w:cs="Arial"/>
          <w:color w:val="222222"/>
          <w:sz w:val="20"/>
          <w:szCs w:val="20"/>
          <w:shd w:val="clear" w:color="auto" w:fill="FFFFFF"/>
          <w:lang w:val="es-US"/>
        </w:rPr>
        <w:t>Aghbari</w:t>
      </w:r>
      <w:proofErr w:type="spellEnd"/>
      <w:r w:rsidRPr="00F23AC5">
        <w:rPr>
          <w:rFonts w:ascii="Arial" w:hAnsi="Arial" w:cs="Arial"/>
          <w:color w:val="222222"/>
          <w:sz w:val="20"/>
          <w:szCs w:val="20"/>
          <w:shd w:val="clear" w:color="auto" w:fill="FFFFFF"/>
          <w:lang w:val="es-US"/>
        </w:rPr>
        <w:t>, N., Al-</w:t>
      </w:r>
      <w:proofErr w:type="spellStart"/>
      <w:r w:rsidRPr="00F23AC5">
        <w:rPr>
          <w:rFonts w:ascii="Arial" w:hAnsi="Arial" w:cs="Arial"/>
          <w:color w:val="222222"/>
          <w:sz w:val="20"/>
          <w:szCs w:val="20"/>
          <w:shd w:val="clear" w:color="auto" w:fill="FFFFFF"/>
          <w:lang w:val="es-US"/>
        </w:rPr>
        <w:t>Ansi</w:t>
      </w:r>
      <w:proofErr w:type="spellEnd"/>
      <w:r w:rsidRPr="00F23AC5">
        <w:rPr>
          <w:rFonts w:ascii="Arial" w:hAnsi="Arial" w:cs="Arial"/>
          <w:color w:val="222222"/>
          <w:sz w:val="20"/>
          <w:szCs w:val="20"/>
          <w:shd w:val="clear" w:color="auto" w:fill="FFFFFF"/>
          <w:lang w:val="es-US"/>
        </w:rPr>
        <w:t xml:space="preserve">, A., </w:t>
      </w:r>
      <w:proofErr w:type="spellStart"/>
      <w:r w:rsidRPr="00F23AC5">
        <w:rPr>
          <w:rFonts w:ascii="Arial" w:hAnsi="Arial" w:cs="Arial"/>
          <w:color w:val="222222"/>
          <w:sz w:val="20"/>
          <w:szCs w:val="20"/>
          <w:shd w:val="clear" w:color="auto" w:fill="FFFFFF"/>
          <w:lang w:val="es-US"/>
        </w:rPr>
        <w:t>Ashoor</w:t>
      </w:r>
      <w:proofErr w:type="spellEnd"/>
      <w:r w:rsidRPr="00F23AC5">
        <w:rPr>
          <w:rFonts w:ascii="Arial" w:hAnsi="Arial" w:cs="Arial"/>
          <w:color w:val="222222"/>
          <w:sz w:val="20"/>
          <w:szCs w:val="20"/>
          <w:shd w:val="clear" w:color="auto" w:fill="FFFFFF"/>
          <w:lang w:val="es-US"/>
        </w:rPr>
        <w:t xml:space="preserve">, O., &amp; Cuevas, L. E. (2006). </w:t>
      </w:r>
      <w:r>
        <w:rPr>
          <w:rFonts w:ascii="Arial" w:hAnsi="Arial" w:cs="Arial"/>
          <w:color w:val="222222"/>
          <w:sz w:val="20"/>
          <w:szCs w:val="20"/>
          <w:shd w:val="clear" w:color="auto" w:fill="FFFFFF"/>
        </w:rPr>
        <w:t>Human metapneumovirus and respiratory syncytial virus disease in children, Yemen.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Emerging Infectious Diseases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12</w:t>
      </w:r>
      <w:r>
        <w:rPr>
          <w:rFonts w:ascii="Arial" w:hAnsi="Arial" w:cs="Arial"/>
          <w:color w:val="222222"/>
          <w:sz w:val="20"/>
          <w:szCs w:val="20"/>
          <w:shd w:val="clear" w:color="auto" w:fill="FFFFFF"/>
        </w:rPr>
        <w:t>(9), 1437.</w:t>
      </w:r>
    </w:p>
    <w:p w14:paraId="561128A0" w14:textId="77777777" w:rsidR="00F735F4" w:rsidRPr="002C60C5"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Baral, R., Higgins, D., Regan, K., &amp; Pecenka, C. (2021). Impact and cost-effectiveness of potential interventions against infant respiratory syncytial virus (RSV) in 131 low-income and middle-income countries using a static cohort model.</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BMJ open</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11</w:t>
      </w:r>
      <w:r>
        <w:rPr>
          <w:rFonts w:ascii="Arial" w:hAnsi="Arial" w:cs="Arial"/>
          <w:color w:val="222222"/>
          <w:sz w:val="20"/>
          <w:szCs w:val="20"/>
          <w:shd w:val="clear" w:color="auto" w:fill="FFFFFF"/>
        </w:rPr>
        <w:t>(4), e046563.</w:t>
      </w:r>
    </w:p>
    <w:p w14:paraId="6B506AF3" w14:textId="77777777" w:rsidR="00F735F4" w:rsidRPr="002C60C5"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Moyes, J., Tempia, S., Walaza, S., McMorrow, M. L., Treurnicht, F., Wolter, N</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Cohen, C. (2023). The burden of RSV-associated illness in children aged&lt; 5 years, South Africa, 2011 to 2016.</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BMC medicine</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21</w:t>
      </w:r>
      <w:r>
        <w:rPr>
          <w:rFonts w:ascii="Arial" w:hAnsi="Arial" w:cs="Arial"/>
          <w:color w:val="222222"/>
          <w:sz w:val="20"/>
          <w:szCs w:val="20"/>
          <w:shd w:val="clear" w:color="auto" w:fill="FFFFFF"/>
        </w:rPr>
        <w:t>(1), 139.</w:t>
      </w:r>
    </w:p>
    <w:p w14:paraId="0723CA8A" w14:textId="77777777" w:rsidR="00C84282" w:rsidRPr="00F735F4" w:rsidRDefault="002C60C5"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F23AC5">
        <w:rPr>
          <w:rFonts w:ascii="Arial" w:hAnsi="Arial" w:cs="Arial"/>
          <w:color w:val="222222"/>
          <w:sz w:val="20"/>
          <w:szCs w:val="20"/>
          <w:shd w:val="clear" w:color="auto" w:fill="FFFFFF"/>
          <w:lang w:val="es-US"/>
        </w:rPr>
        <w:t>Nyawanda</w:t>
      </w:r>
      <w:proofErr w:type="spellEnd"/>
      <w:r w:rsidRPr="00F23AC5">
        <w:rPr>
          <w:rFonts w:ascii="Arial" w:hAnsi="Arial" w:cs="Arial"/>
          <w:color w:val="222222"/>
          <w:sz w:val="20"/>
          <w:szCs w:val="20"/>
          <w:shd w:val="clear" w:color="auto" w:fill="FFFFFF"/>
          <w:lang w:val="es-US"/>
        </w:rPr>
        <w:t xml:space="preserve">, B. O., </w:t>
      </w:r>
      <w:proofErr w:type="spellStart"/>
      <w:r w:rsidRPr="00F23AC5">
        <w:rPr>
          <w:rFonts w:ascii="Arial" w:hAnsi="Arial" w:cs="Arial"/>
          <w:color w:val="222222"/>
          <w:sz w:val="20"/>
          <w:szCs w:val="20"/>
          <w:shd w:val="clear" w:color="auto" w:fill="FFFFFF"/>
          <w:lang w:val="es-US"/>
        </w:rPr>
        <w:t>Murunga</w:t>
      </w:r>
      <w:proofErr w:type="spellEnd"/>
      <w:r w:rsidRPr="00F23AC5">
        <w:rPr>
          <w:rFonts w:ascii="Arial" w:hAnsi="Arial" w:cs="Arial"/>
          <w:color w:val="222222"/>
          <w:sz w:val="20"/>
          <w:szCs w:val="20"/>
          <w:shd w:val="clear" w:color="auto" w:fill="FFFFFF"/>
          <w:lang w:val="es-US"/>
        </w:rPr>
        <w:t xml:space="preserve">, N., </w:t>
      </w:r>
      <w:proofErr w:type="spellStart"/>
      <w:r w:rsidRPr="00F23AC5">
        <w:rPr>
          <w:rFonts w:ascii="Arial" w:hAnsi="Arial" w:cs="Arial"/>
          <w:color w:val="222222"/>
          <w:sz w:val="20"/>
          <w:szCs w:val="20"/>
          <w:shd w:val="clear" w:color="auto" w:fill="FFFFFF"/>
          <w:lang w:val="es-US"/>
        </w:rPr>
        <w:t>Otieno</w:t>
      </w:r>
      <w:proofErr w:type="spellEnd"/>
      <w:r w:rsidRPr="00F23AC5">
        <w:rPr>
          <w:rFonts w:ascii="Arial" w:hAnsi="Arial" w:cs="Arial"/>
          <w:color w:val="222222"/>
          <w:sz w:val="20"/>
          <w:szCs w:val="20"/>
          <w:shd w:val="clear" w:color="auto" w:fill="FFFFFF"/>
          <w:lang w:val="es-US"/>
        </w:rPr>
        <w:t xml:space="preserve">, N. A., </w:t>
      </w:r>
      <w:proofErr w:type="spellStart"/>
      <w:r w:rsidRPr="00F23AC5">
        <w:rPr>
          <w:rFonts w:ascii="Arial" w:hAnsi="Arial" w:cs="Arial"/>
          <w:color w:val="222222"/>
          <w:sz w:val="20"/>
          <w:szCs w:val="20"/>
          <w:shd w:val="clear" w:color="auto" w:fill="FFFFFF"/>
          <w:lang w:val="es-US"/>
        </w:rPr>
        <w:t>Bigogo</w:t>
      </w:r>
      <w:proofErr w:type="spellEnd"/>
      <w:r w:rsidRPr="00F23AC5">
        <w:rPr>
          <w:rFonts w:ascii="Arial" w:hAnsi="Arial" w:cs="Arial"/>
          <w:color w:val="222222"/>
          <w:sz w:val="20"/>
          <w:szCs w:val="20"/>
          <w:shd w:val="clear" w:color="auto" w:fill="FFFFFF"/>
          <w:lang w:val="es-US"/>
        </w:rPr>
        <w:t xml:space="preserve">, G., </w:t>
      </w:r>
      <w:proofErr w:type="spellStart"/>
      <w:r w:rsidRPr="00F23AC5">
        <w:rPr>
          <w:rFonts w:ascii="Arial" w:hAnsi="Arial" w:cs="Arial"/>
          <w:color w:val="222222"/>
          <w:sz w:val="20"/>
          <w:szCs w:val="20"/>
          <w:shd w:val="clear" w:color="auto" w:fill="FFFFFF"/>
          <w:lang w:val="es-US"/>
        </w:rPr>
        <w:t>Nyiro</w:t>
      </w:r>
      <w:proofErr w:type="spellEnd"/>
      <w:r w:rsidRPr="00F23AC5">
        <w:rPr>
          <w:rFonts w:ascii="Arial" w:hAnsi="Arial" w:cs="Arial"/>
          <w:color w:val="222222"/>
          <w:sz w:val="20"/>
          <w:szCs w:val="20"/>
          <w:shd w:val="clear" w:color="auto" w:fill="FFFFFF"/>
          <w:lang w:val="es-US"/>
        </w:rPr>
        <w:t xml:space="preserve">, J. U., </w:t>
      </w:r>
      <w:proofErr w:type="spellStart"/>
      <w:r w:rsidRPr="00F23AC5">
        <w:rPr>
          <w:rFonts w:ascii="Arial" w:hAnsi="Arial" w:cs="Arial"/>
          <w:color w:val="222222"/>
          <w:sz w:val="20"/>
          <w:szCs w:val="20"/>
          <w:shd w:val="clear" w:color="auto" w:fill="FFFFFF"/>
          <w:lang w:val="es-US"/>
        </w:rPr>
        <w:t>Vodicka</w:t>
      </w:r>
      <w:proofErr w:type="spellEnd"/>
      <w:r w:rsidRPr="00F23AC5">
        <w:rPr>
          <w:rFonts w:ascii="Arial" w:hAnsi="Arial" w:cs="Arial"/>
          <w:color w:val="222222"/>
          <w:sz w:val="20"/>
          <w:szCs w:val="20"/>
          <w:shd w:val="clear" w:color="auto" w:fill="FFFFFF"/>
          <w:lang w:val="es-US"/>
        </w:rPr>
        <w:t xml:space="preserve">, E., ... </w:t>
      </w:r>
      <w:r w:rsidRPr="00F735F4">
        <w:rPr>
          <w:rFonts w:ascii="Arial" w:hAnsi="Arial" w:cs="Arial"/>
          <w:color w:val="222222"/>
          <w:sz w:val="20"/>
          <w:szCs w:val="20"/>
          <w:shd w:val="clear" w:color="auto" w:fill="FFFFFF"/>
        </w:rPr>
        <w:t xml:space="preserve">&amp; </w:t>
      </w:r>
      <w:proofErr w:type="spellStart"/>
      <w:r w:rsidRPr="00F735F4">
        <w:rPr>
          <w:rFonts w:ascii="Arial" w:hAnsi="Arial" w:cs="Arial"/>
          <w:color w:val="222222"/>
          <w:sz w:val="20"/>
          <w:szCs w:val="20"/>
          <w:shd w:val="clear" w:color="auto" w:fill="FFFFFF"/>
        </w:rPr>
        <w:t>Emukule</w:t>
      </w:r>
      <w:proofErr w:type="spellEnd"/>
      <w:r w:rsidRPr="00F735F4">
        <w:rPr>
          <w:rFonts w:ascii="Arial" w:hAnsi="Arial" w:cs="Arial"/>
          <w:color w:val="222222"/>
          <w:sz w:val="20"/>
          <w:szCs w:val="20"/>
          <w:shd w:val="clear" w:color="auto" w:fill="FFFFFF"/>
        </w:rPr>
        <w:t>, G. O. (2023). Estimates of the national burden of respiratory syncytial virus in Kenyan children aged under 5 years, 2010–2018.</w:t>
      </w:r>
      <w:r w:rsidRPr="00F735F4">
        <w:rPr>
          <w:rStyle w:val="apple-converted-space"/>
          <w:rFonts w:ascii="Arial" w:hAnsi="Arial" w:cs="Arial"/>
          <w:color w:val="222222"/>
          <w:sz w:val="20"/>
          <w:szCs w:val="20"/>
          <w:shd w:val="clear" w:color="auto" w:fill="FFFFFF"/>
        </w:rPr>
        <w:t> </w:t>
      </w:r>
      <w:r w:rsidRPr="00F735F4">
        <w:rPr>
          <w:rFonts w:ascii="Arial" w:hAnsi="Arial" w:cs="Arial"/>
          <w:i/>
          <w:iCs/>
          <w:color w:val="222222"/>
          <w:sz w:val="20"/>
          <w:szCs w:val="20"/>
        </w:rPr>
        <w:t>BMC medicine</w:t>
      </w:r>
      <w:r w:rsidRPr="00F735F4">
        <w:rPr>
          <w:rFonts w:ascii="Arial" w:hAnsi="Arial" w:cs="Arial"/>
          <w:color w:val="222222"/>
          <w:sz w:val="20"/>
          <w:szCs w:val="20"/>
          <w:shd w:val="clear" w:color="auto" w:fill="FFFFFF"/>
        </w:rPr>
        <w:t>,</w:t>
      </w:r>
      <w:r w:rsidRPr="00F735F4">
        <w:rPr>
          <w:rStyle w:val="apple-converted-space"/>
          <w:rFonts w:ascii="Arial" w:hAnsi="Arial" w:cs="Arial"/>
          <w:color w:val="222222"/>
          <w:sz w:val="20"/>
          <w:szCs w:val="20"/>
          <w:shd w:val="clear" w:color="auto" w:fill="FFFFFF"/>
        </w:rPr>
        <w:t> </w:t>
      </w:r>
      <w:r w:rsidRPr="00F735F4">
        <w:rPr>
          <w:rFonts w:ascii="Arial" w:hAnsi="Arial" w:cs="Arial"/>
          <w:i/>
          <w:iCs/>
          <w:color w:val="222222"/>
          <w:sz w:val="20"/>
          <w:szCs w:val="20"/>
        </w:rPr>
        <w:t>21</w:t>
      </w:r>
      <w:r w:rsidRPr="00F735F4">
        <w:rPr>
          <w:rFonts w:ascii="Arial" w:hAnsi="Arial" w:cs="Arial"/>
          <w:color w:val="222222"/>
          <w:sz w:val="20"/>
          <w:szCs w:val="20"/>
          <w:shd w:val="clear" w:color="auto" w:fill="FFFFFF"/>
        </w:rPr>
        <w:t>(1), 122.</w:t>
      </w:r>
    </w:p>
    <w:p w14:paraId="031DD718"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F23AC5">
        <w:rPr>
          <w:rFonts w:asciiTheme="minorBidi" w:eastAsiaTheme="minorHAnsi" w:hAnsiTheme="minorBidi" w:cstheme="minorBidi"/>
          <w:color w:val="222222"/>
          <w:kern w:val="2"/>
          <w:sz w:val="20"/>
          <w:szCs w:val="20"/>
          <w:shd w:val="clear" w:color="auto" w:fill="FFFFFF"/>
          <w:lang w:val="es-US"/>
          <w14:ligatures w14:val="standardContextual"/>
        </w:rPr>
        <w:t>Olajide</w:t>
      </w:r>
      <w:proofErr w:type="spellEnd"/>
      <w:r w:rsidRPr="00F23AC5">
        <w:rPr>
          <w:rFonts w:asciiTheme="minorBidi" w:eastAsiaTheme="minorHAnsi" w:hAnsiTheme="minorBidi" w:cstheme="minorBidi"/>
          <w:color w:val="222222"/>
          <w:kern w:val="2"/>
          <w:sz w:val="20"/>
          <w:szCs w:val="20"/>
          <w:shd w:val="clear" w:color="auto" w:fill="FFFFFF"/>
          <w:lang w:val="es-US"/>
          <w14:ligatures w14:val="standardContextual"/>
        </w:rPr>
        <w:t xml:space="preserve">, O., </w:t>
      </w:r>
      <w:proofErr w:type="spellStart"/>
      <w:r w:rsidRPr="00F23AC5">
        <w:rPr>
          <w:rFonts w:asciiTheme="minorBidi" w:eastAsiaTheme="minorHAnsi" w:hAnsiTheme="minorBidi" w:cstheme="minorBidi"/>
          <w:color w:val="222222"/>
          <w:kern w:val="2"/>
          <w:sz w:val="20"/>
          <w:szCs w:val="20"/>
          <w:shd w:val="clear" w:color="auto" w:fill="FFFFFF"/>
          <w:lang w:val="es-US"/>
          <w14:ligatures w14:val="standardContextual"/>
        </w:rPr>
        <w:t>Oseni</w:t>
      </w:r>
      <w:proofErr w:type="spellEnd"/>
      <w:r w:rsidRPr="00F23AC5">
        <w:rPr>
          <w:rFonts w:asciiTheme="minorBidi" w:eastAsiaTheme="minorHAnsi" w:hAnsiTheme="minorBidi" w:cstheme="minorBidi"/>
          <w:color w:val="222222"/>
          <w:kern w:val="2"/>
          <w:sz w:val="20"/>
          <w:szCs w:val="20"/>
          <w:shd w:val="clear" w:color="auto" w:fill="FFFFFF"/>
          <w:lang w:val="es-US"/>
          <w14:ligatures w14:val="standardContextual"/>
        </w:rPr>
        <w:t xml:space="preserve">, O., &amp; </w:t>
      </w:r>
      <w:proofErr w:type="spellStart"/>
      <w:r w:rsidRPr="00F23AC5">
        <w:rPr>
          <w:rFonts w:asciiTheme="minorBidi" w:eastAsiaTheme="minorHAnsi" w:hAnsiTheme="minorBidi" w:cstheme="minorBidi"/>
          <w:color w:val="222222"/>
          <w:kern w:val="2"/>
          <w:sz w:val="20"/>
          <w:szCs w:val="20"/>
          <w:shd w:val="clear" w:color="auto" w:fill="FFFFFF"/>
          <w:lang w:val="es-US"/>
          <w14:ligatures w14:val="standardContextual"/>
        </w:rPr>
        <w:t>Nzengung</w:t>
      </w:r>
      <w:proofErr w:type="spellEnd"/>
      <w:r w:rsidRPr="00F23AC5">
        <w:rPr>
          <w:rFonts w:asciiTheme="minorBidi" w:eastAsiaTheme="minorHAnsi" w:hAnsiTheme="minorBidi" w:cstheme="minorBidi"/>
          <w:color w:val="222222"/>
          <w:kern w:val="2"/>
          <w:sz w:val="20"/>
          <w:szCs w:val="20"/>
          <w:shd w:val="clear" w:color="auto" w:fill="FFFFFF"/>
          <w:lang w:val="es-US"/>
          <w14:ligatures w14:val="standardContextual"/>
        </w:rPr>
        <w:t xml:space="preserve">, V. (2023). </w:t>
      </w:r>
      <w:r w:rsidRPr="00F735F4">
        <w:rPr>
          <w:rFonts w:asciiTheme="minorBidi" w:eastAsiaTheme="minorHAnsi" w:hAnsiTheme="minorBidi" w:cstheme="minorBidi"/>
          <w:color w:val="222222"/>
          <w:kern w:val="2"/>
          <w:sz w:val="20"/>
          <w:szCs w:val="20"/>
          <w:shd w:val="clear" w:color="auto" w:fill="FFFFFF"/>
          <w14:ligatures w14:val="standardContextual"/>
        </w:rPr>
        <w:t xml:space="preserve">Evaluation of Chicken Manure Extract and Compost Tea for Simultaneous </w:t>
      </w:r>
      <w:proofErr w:type="spellStart"/>
      <w:r w:rsidRPr="00F735F4">
        <w:rPr>
          <w:rFonts w:asciiTheme="minorBidi" w:eastAsiaTheme="minorHAnsi" w:hAnsiTheme="minorBidi" w:cstheme="minorBidi"/>
          <w:color w:val="222222"/>
          <w:kern w:val="2"/>
          <w:sz w:val="20"/>
          <w:szCs w:val="20"/>
          <w:shd w:val="clear" w:color="auto" w:fill="FFFFFF"/>
          <w14:ligatures w14:val="standardContextual"/>
        </w:rPr>
        <w:t>Rhizodegradation</w:t>
      </w:r>
      <w:proofErr w:type="spellEnd"/>
      <w:r w:rsidRPr="00F735F4">
        <w:rPr>
          <w:rFonts w:asciiTheme="minorBidi" w:eastAsiaTheme="minorHAnsi" w:hAnsiTheme="minorBidi" w:cstheme="minorBidi"/>
          <w:color w:val="222222"/>
          <w:kern w:val="2"/>
          <w:sz w:val="20"/>
          <w:szCs w:val="20"/>
          <w:shd w:val="clear" w:color="auto" w:fill="FFFFFF"/>
          <w14:ligatures w14:val="standardContextual"/>
        </w:rPr>
        <w:t xml:space="preserve"> of Perchlorate and Nitrate. </w:t>
      </w:r>
      <w:r w:rsidRPr="00F735F4">
        <w:rPr>
          <w:rFonts w:asciiTheme="minorBidi" w:eastAsiaTheme="minorHAnsi" w:hAnsiTheme="minorBidi" w:cstheme="minorBidi"/>
          <w:i/>
          <w:iCs/>
          <w:color w:val="222222"/>
          <w:kern w:val="2"/>
          <w:sz w:val="20"/>
          <w:szCs w:val="20"/>
          <w:shd w:val="clear" w:color="auto" w:fill="FFFFFF"/>
          <w14:ligatures w14:val="standardContextual"/>
        </w:rPr>
        <w:t>AGU Fall Meeting Abstracts</w:t>
      </w:r>
      <w:r w:rsidRPr="00F735F4">
        <w:rPr>
          <w:rFonts w:asciiTheme="minorBidi" w:eastAsiaTheme="minorHAnsi" w:hAnsiTheme="minorBidi" w:cstheme="minorBidi"/>
          <w:color w:val="222222"/>
          <w:kern w:val="2"/>
          <w:sz w:val="20"/>
          <w:szCs w:val="20"/>
          <w:shd w:val="clear" w:color="auto" w:fill="FFFFFF"/>
          <w14:ligatures w14:val="standardContextual"/>
        </w:rPr>
        <w:t>, H53N-1506.</w:t>
      </w:r>
    </w:p>
    <w:p w14:paraId="2AD167B8"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735F4">
        <w:rPr>
          <w:rFonts w:asciiTheme="minorBidi" w:eastAsiaTheme="minorHAnsi" w:hAnsiTheme="minorBidi" w:cstheme="minorBidi"/>
          <w:color w:val="222222"/>
          <w:kern w:val="2"/>
          <w:sz w:val="20"/>
          <w:szCs w:val="20"/>
          <w:shd w:val="clear" w:color="auto" w:fill="FFFFFF"/>
          <w14:ligatures w14:val="standardContextual"/>
        </w:rPr>
        <w:t>PATH. (2025). </w:t>
      </w:r>
      <w:r w:rsidRPr="00F735F4">
        <w:rPr>
          <w:rFonts w:asciiTheme="minorBidi" w:eastAsiaTheme="minorHAnsi" w:hAnsiTheme="minorBidi" w:cstheme="minorBidi"/>
          <w:i/>
          <w:iCs/>
          <w:color w:val="222222"/>
          <w:kern w:val="2"/>
          <w:sz w:val="20"/>
          <w:szCs w:val="20"/>
          <w:shd w:val="clear" w:color="auto" w:fill="FFFFFF"/>
          <w14:ligatures w14:val="standardContextual"/>
        </w:rPr>
        <w:t xml:space="preserve">RSV vaccine and </w:t>
      </w:r>
      <w:proofErr w:type="spellStart"/>
      <w:r w:rsidRPr="00F735F4">
        <w:rPr>
          <w:rFonts w:asciiTheme="minorBidi" w:eastAsiaTheme="minorHAnsi" w:hAnsiTheme="minorBidi" w:cstheme="minorBidi"/>
          <w:i/>
          <w:iCs/>
          <w:color w:val="222222"/>
          <w:kern w:val="2"/>
          <w:sz w:val="20"/>
          <w:szCs w:val="20"/>
          <w:shd w:val="clear" w:color="auto" w:fill="FFFFFF"/>
          <w14:ligatures w14:val="standardContextual"/>
        </w:rPr>
        <w:t>mAb</w:t>
      </w:r>
      <w:proofErr w:type="spellEnd"/>
      <w:r w:rsidRPr="00F735F4">
        <w:rPr>
          <w:rFonts w:asciiTheme="minorBidi" w:eastAsiaTheme="minorHAnsi" w:hAnsiTheme="minorBidi" w:cstheme="minorBidi"/>
          <w:i/>
          <w:iCs/>
          <w:color w:val="222222"/>
          <w:kern w:val="2"/>
          <w:sz w:val="20"/>
          <w:szCs w:val="20"/>
          <w:shd w:val="clear" w:color="auto" w:fill="FFFFFF"/>
          <w14:ligatures w14:val="standardContextual"/>
        </w:rPr>
        <w:t xml:space="preserve"> snapshot</w:t>
      </w:r>
      <w:r w:rsidRPr="00F735F4">
        <w:rPr>
          <w:rFonts w:asciiTheme="minorBidi" w:eastAsiaTheme="minorHAnsi" w:hAnsiTheme="minorBidi" w:cstheme="minorBidi"/>
          <w:color w:val="222222"/>
          <w:kern w:val="2"/>
          <w:sz w:val="20"/>
          <w:szCs w:val="20"/>
          <w:shd w:val="clear" w:color="auto" w:fill="FFFFFF"/>
          <w14:ligatures w14:val="standardContextual"/>
        </w:rPr>
        <w:t>. </w:t>
      </w:r>
      <w:hyperlink r:id="rId16" w:history="1">
        <w:r w:rsidRPr="00803DD9">
          <w:rPr>
            <w:rStyle w:val="Hyperlink"/>
            <w:rFonts w:asciiTheme="minorBidi" w:eastAsiaTheme="minorHAnsi" w:hAnsiTheme="minorBidi" w:cstheme="minorBidi"/>
            <w:kern w:val="2"/>
            <w:sz w:val="20"/>
            <w:szCs w:val="20"/>
            <w:shd w:val="clear" w:color="auto" w:fill="FFFFFF"/>
            <w14:ligatures w14:val="standardContextual"/>
          </w:rPr>
          <w:t>https://www.path.org/our-impact/resources/rsv-vaccine-and-mab-snapshot/</w:t>
        </w:r>
      </w:hyperlink>
    </w:p>
    <w:p w14:paraId="3E84D9EF"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F23AC5">
        <w:rPr>
          <w:rFonts w:asciiTheme="minorBidi" w:eastAsiaTheme="minorHAnsi" w:hAnsiTheme="minorBidi" w:cstheme="minorBidi"/>
          <w:color w:val="222222"/>
          <w:kern w:val="2"/>
          <w:sz w:val="20"/>
          <w:szCs w:val="20"/>
          <w:shd w:val="clear" w:color="auto" w:fill="FFFFFF"/>
          <w:lang w:val="es-US"/>
          <w14:ligatures w14:val="standardContextual"/>
        </w:rPr>
        <w:t>Chadha</w:t>
      </w:r>
      <w:proofErr w:type="spellEnd"/>
      <w:r w:rsidRPr="00F23AC5">
        <w:rPr>
          <w:rFonts w:asciiTheme="minorBidi" w:eastAsiaTheme="minorHAnsi" w:hAnsiTheme="minorBidi" w:cstheme="minorBidi"/>
          <w:color w:val="222222"/>
          <w:kern w:val="2"/>
          <w:sz w:val="20"/>
          <w:szCs w:val="20"/>
          <w:shd w:val="clear" w:color="auto" w:fill="FFFFFF"/>
          <w:lang w:val="es-US"/>
          <w14:ligatures w14:val="standardContextual"/>
        </w:rPr>
        <w:t xml:space="preserve">, M., </w:t>
      </w:r>
      <w:proofErr w:type="spellStart"/>
      <w:r w:rsidRPr="00F23AC5">
        <w:rPr>
          <w:rFonts w:asciiTheme="minorBidi" w:eastAsiaTheme="minorHAnsi" w:hAnsiTheme="minorBidi" w:cstheme="minorBidi"/>
          <w:color w:val="222222"/>
          <w:kern w:val="2"/>
          <w:sz w:val="20"/>
          <w:szCs w:val="20"/>
          <w:shd w:val="clear" w:color="auto" w:fill="FFFFFF"/>
          <w:lang w:val="es-US"/>
          <w14:ligatures w14:val="standardContextual"/>
        </w:rPr>
        <w:t>Hirve</w:t>
      </w:r>
      <w:proofErr w:type="spellEnd"/>
      <w:r w:rsidRPr="00F23AC5">
        <w:rPr>
          <w:rFonts w:asciiTheme="minorBidi" w:eastAsiaTheme="minorHAnsi" w:hAnsiTheme="minorBidi" w:cstheme="minorBidi"/>
          <w:color w:val="222222"/>
          <w:kern w:val="2"/>
          <w:sz w:val="20"/>
          <w:szCs w:val="20"/>
          <w:shd w:val="clear" w:color="auto" w:fill="FFFFFF"/>
          <w:lang w:val="es-US"/>
          <w14:ligatures w14:val="standardContextual"/>
        </w:rPr>
        <w:t xml:space="preserve">, S., </w:t>
      </w:r>
      <w:proofErr w:type="spellStart"/>
      <w:r w:rsidRPr="00F23AC5">
        <w:rPr>
          <w:rFonts w:asciiTheme="minorBidi" w:eastAsiaTheme="minorHAnsi" w:hAnsiTheme="minorBidi" w:cstheme="minorBidi"/>
          <w:color w:val="222222"/>
          <w:kern w:val="2"/>
          <w:sz w:val="20"/>
          <w:szCs w:val="20"/>
          <w:shd w:val="clear" w:color="auto" w:fill="FFFFFF"/>
          <w:lang w:val="es-US"/>
          <w14:ligatures w14:val="standardContextual"/>
        </w:rPr>
        <w:t>Bancej</w:t>
      </w:r>
      <w:proofErr w:type="spellEnd"/>
      <w:r w:rsidRPr="00F23AC5">
        <w:rPr>
          <w:rFonts w:asciiTheme="minorBidi" w:eastAsiaTheme="minorHAnsi" w:hAnsiTheme="minorBidi" w:cstheme="minorBidi"/>
          <w:color w:val="222222"/>
          <w:kern w:val="2"/>
          <w:sz w:val="20"/>
          <w:szCs w:val="20"/>
          <w:shd w:val="clear" w:color="auto" w:fill="FFFFFF"/>
          <w:lang w:val="es-US"/>
          <w14:ligatures w14:val="standardContextual"/>
        </w:rPr>
        <w:t xml:space="preserve">, C., Barr, I., </w:t>
      </w:r>
      <w:proofErr w:type="spellStart"/>
      <w:r w:rsidRPr="00F23AC5">
        <w:rPr>
          <w:rFonts w:asciiTheme="minorBidi" w:eastAsiaTheme="minorHAnsi" w:hAnsiTheme="minorBidi" w:cstheme="minorBidi"/>
          <w:color w:val="222222"/>
          <w:kern w:val="2"/>
          <w:sz w:val="20"/>
          <w:szCs w:val="20"/>
          <w:shd w:val="clear" w:color="auto" w:fill="FFFFFF"/>
          <w:lang w:val="es-US"/>
          <w14:ligatures w14:val="standardContextual"/>
        </w:rPr>
        <w:t>Baumeister</w:t>
      </w:r>
      <w:proofErr w:type="spellEnd"/>
      <w:r w:rsidRPr="00F23AC5">
        <w:rPr>
          <w:rFonts w:asciiTheme="minorBidi" w:eastAsiaTheme="minorHAnsi" w:hAnsiTheme="minorBidi" w:cstheme="minorBidi"/>
          <w:color w:val="222222"/>
          <w:kern w:val="2"/>
          <w:sz w:val="20"/>
          <w:szCs w:val="20"/>
          <w:shd w:val="clear" w:color="auto" w:fill="FFFFFF"/>
          <w:lang w:val="es-US"/>
          <w14:ligatures w14:val="standardContextual"/>
        </w:rPr>
        <w:t xml:space="preserve">, E., Caetano, B., ... </w:t>
      </w:r>
      <w:r w:rsidRPr="00F735F4">
        <w:rPr>
          <w:rFonts w:asciiTheme="minorBidi" w:eastAsiaTheme="minorHAnsi" w:hAnsiTheme="minorBidi" w:cstheme="minorBidi"/>
          <w:color w:val="222222"/>
          <w:kern w:val="2"/>
          <w:sz w:val="20"/>
          <w:szCs w:val="20"/>
          <w:shd w:val="clear" w:color="auto" w:fill="FFFFFF"/>
          <w14:ligatures w14:val="standardContextual"/>
        </w:rPr>
        <w:t>&amp; Zambon, M. (2020). Human respiratory syncytial virus and influenza seasonality patterns—early findings from the WHO global respiratory syncytial virus surveillance. </w:t>
      </w:r>
      <w:r w:rsidRPr="00F735F4">
        <w:rPr>
          <w:rFonts w:asciiTheme="minorBidi" w:eastAsiaTheme="minorHAnsi" w:hAnsiTheme="minorBidi" w:cstheme="minorBidi"/>
          <w:i/>
          <w:iCs/>
          <w:color w:val="222222"/>
          <w:kern w:val="2"/>
          <w:sz w:val="20"/>
          <w:szCs w:val="20"/>
          <w:shd w:val="clear" w:color="auto" w:fill="FFFFFF"/>
          <w14:ligatures w14:val="standardContextual"/>
        </w:rPr>
        <w:t>Influenza and other respiratory viruses</w:t>
      </w:r>
      <w:r w:rsidRPr="00F735F4">
        <w:rPr>
          <w:rFonts w:asciiTheme="minorBidi" w:eastAsiaTheme="minorHAnsi" w:hAnsiTheme="minorBidi" w:cstheme="minorBidi"/>
          <w:color w:val="222222"/>
          <w:kern w:val="2"/>
          <w:sz w:val="20"/>
          <w:szCs w:val="20"/>
          <w:shd w:val="clear" w:color="auto" w:fill="FFFFFF"/>
          <w14:ligatures w14:val="standardContextual"/>
        </w:rPr>
        <w:t>, </w:t>
      </w:r>
      <w:r w:rsidRPr="00F735F4">
        <w:rPr>
          <w:rFonts w:asciiTheme="minorBidi" w:eastAsiaTheme="minorHAnsi" w:hAnsiTheme="minorBidi" w:cstheme="minorBidi"/>
          <w:i/>
          <w:iCs/>
          <w:color w:val="222222"/>
          <w:kern w:val="2"/>
          <w:sz w:val="20"/>
          <w:szCs w:val="20"/>
          <w:shd w:val="clear" w:color="auto" w:fill="FFFFFF"/>
          <w14:ligatures w14:val="standardContextual"/>
        </w:rPr>
        <w:t>14</w:t>
      </w:r>
      <w:r w:rsidRPr="00F735F4">
        <w:rPr>
          <w:rFonts w:asciiTheme="minorBidi" w:eastAsiaTheme="minorHAnsi" w:hAnsiTheme="minorBidi" w:cstheme="minorBidi"/>
          <w:color w:val="222222"/>
          <w:kern w:val="2"/>
          <w:sz w:val="20"/>
          <w:szCs w:val="20"/>
          <w:shd w:val="clear" w:color="auto" w:fill="FFFFFF"/>
          <w14:ligatures w14:val="standardContextual"/>
        </w:rPr>
        <w:t>(6), 638-646.</w:t>
      </w:r>
    </w:p>
    <w:p w14:paraId="09A9795F" w14:textId="77777777" w:rsidR="00F735F4" w:rsidRPr="002C60C5"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F23AC5">
        <w:rPr>
          <w:rFonts w:ascii="Arial" w:hAnsi="Arial" w:cs="Arial"/>
          <w:color w:val="222222"/>
          <w:sz w:val="20"/>
          <w:szCs w:val="20"/>
          <w:shd w:val="clear" w:color="auto" w:fill="FFFFFF"/>
          <w:lang w:val="es-US"/>
        </w:rPr>
        <w:t xml:space="preserve">Pérez Casas, C., </w:t>
      </w:r>
      <w:proofErr w:type="spellStart"/>
      <w:r w:rsidRPr="00F23AC5">
        <w:rPr>
          <w:rFonts w:ascii="Arial" w:hAnsi="Arial" w:cs="Arial"/>
          <w:color w:val="222222"/>
          <w:sz w:val="20"/>
          <w:szCs w:val="20"/>
          <w:shd w:val="clear" w:color="auto" w:fill="FFFFFF"/>
          <w:lang w:val="es-US"/>
        </w:rPr>
        <w:t>Tagarro</w:t>
      </w:r>
      <w:proofErr w:type="spellEnd"/>
      <w:r w:rsidRPr="00F23AC5">
        <w:rPr>
          <w:rFonts w:ascii="Arial" w:hAnsi="Arial" w:cs="Arial"/>
          <w:color w:val="222222"/>
          <w:sz w:val="20"/>
          <w:szCs w:val="20"/>
          <w:shd w:val="clear" w:color="auto" w:fill="FFFFFF"/>
          <w:lang w:val="es-US"/>
        </w:rPr>
        <w:t xml:space="preserve">, A., </w:t>
      </w:r>
      <w:proofErr w:type="spellStart"/>
      <w:r w:rsidRPr="00F23AC5">
        <w:rPr>
          <w:rFonts w:ascii="Arial" w:hAnsi="Arial" w:cs="Arial"/>
          <w:color w:val="222222"/>
          <w:sz w:val="20"/>
          <w:szCs w:val="20"/>
          <w:shd w:val="clear" w:color="auto" w:fill="FFFFFF"/>
          <w:lang w:val="es-US"/>
        </w:rPr>
        <w:t>Bassat</w:t>
      </w:r>
      <w:proofErr w:type="spellEnd"/>
      <w:r w:rsidRPr="00F23AC5">
        <w:rPr>
          <w:rFonts w:ascii="Arial" w:hAnsi="Arial" w:cs="Arial"/>
          <w:color w:val="222222"/>
          <w:sz w:val="20"/>
          <w:szCs w:val="20"/>
          <w:shd w:val="clear" w:color="auto" w:fill="FFFFFF"/>
          <w:lang w:val="es-US"/>
        </w:rPr>
        <w:t xml:space="preserve">, Q., &amp; Rojo, P. (2024). </w:t>
      </w:r>
      <w:r>
        <w:rPr>
          <w:rFonts w:ascii="Arial" w:hAnsi="Arial" w:cs="Arial"/>
          <w:color w:val="222222"/>
          <w:sz w:val="20"/>
          <w:szCs w:val="20"/>
          <w:shd w:val="clear" w:color="auto" w:fill="FFFFFF"/>
        </w:rPr>
        <w:t>The Need for RSV Prophylaxis in LMICs.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Pediatrics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154</w:t>
      </w:r>
      <w:r>
        <w:rPr>
          <w:rFonts w:ascii="Arial" w:hAnsi="Arial" w:cs="Arial"/>
          <w:color w:val="222222"/>
          <w:sz w:val="20"/>
          <w:szCs w:val="20"/>
          <w:shd w:val="clear" w:color="auto" w:fill="FFFFFF"/>
        </w:rPr>
        <w:t>(4), e2024067062.</w:t>
      </w:r>
    </w:p>
    <w:p w14:paraId="45A1F94B" w14:textId="77777777" w:rsidR="00F735F4" w:rsidRPr="00F735F4" w:rsidRDefault="00F735F4" w:rsidP="00F735F4">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Islam, M. S., Kanon, N., Huq, S., Hassan, M. S., Islam, S., Sarkar, H</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Saha, S. (2025). Incidence and epidemiology of Respiratory Syncytial Virus infections in children in rural Bangladesh: a prospective observational study.</w:t>
      </w:r>
      <w:r>
        <w:rPr>
          <w:rStyle w:val="apple-converted-space"/>
          <w:rFonts w:ascii="Arial" w:hAnsi="Arial" w:cs="Arial"/>
          <w:color w:val="222222"/>
          <w:sz w:val="20"/>
          <w:szCs w:val="20"/>
          <w:shd w:val="clear" w:color="auto" w:fill="FFFFFF"/>
        </w:rPr>
        <w:t> </w:t>
      </w:r>
      <w:proofErr w:type="gramStart"/>
      <w:r>
        <w:rPr>
          <w:rFonts w:ascii="Arial" w:hAnsi="Arial" w:cs="Arial"/>
          <w:i/>
          <w:iCs/>
          <w:color w:val="222222"/>
          <w:sz w:val="20"/>
          <w:szCs w:val="20"/>
        </w:rPr>
        <w:t>medRxiv</w:t>
      </w:r>
      <w:proofErr w:type="gramEnd"/>
      <w:r>
        <w:rPr>
          <w:rFonts w:ascii="Arial" w:hAnsi="Arial" w:cs="Arial"/>
          <w:color w:val="222222"/>
          <w:sz w:val="20"/>
          <w:szCs w:val="20"/>
          <w:shd w:val="clear" w:color="auto" w:fill="FFFFFF"/>
        </w:rPr>
        <w:t>, 2025-07.</w:t>
      </w:r>
    </w:p>
    <w:p w14:paraId="233A54FE" w14:textId="77777777" w:rsidR="00611E28" w:rsidRPr="00502E74" w:rsidRDefault="002C60C5"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Pr>
          <w:rFonts w:ascii="Arial" w:hAnsi="Arial" w:cs="Arial"/>
          <w:color w:val="222222"/>
          <w:sz w:val="20"/>
          <w:szCs w:val="20"/>
          <w:shd w:val="clear" w:color="auto" w:fill="FFFFFF"/>
        </w:rPr>
        <w:t>World Health Organization. (2024).</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Summary report on the WHO workshop on estimation of respiratory syncytial virus (RSV) disease burden based on RSV Surveillance of Global Influenza Surveillance and Response System, Geneva, Switzerland, 21-23 June 2023</w:t>
      </w:r>
      <w:r>
        <w:rPr>
          <w:rFonts w:ascii="Arial" w:hAnsi="Arial" w:cs="Arial"/>
          <w:color w:val="222222"/>
          <w:sz w:val="20"/>
          <w:szCs w:val="20"/>
          <w:shd w:val="clear" w:color="auto" w:fill="FFFFFF"/>
        </w:rPr>
        <w:t>. World Health Organization.</w:t>
      </w:r>
    </w:p>
    <w:p w14:paraId="14F2A7F4"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502E74">
        <w:rPr>
          <w:rFonts w:ascii="Calibri" w:eastAsia="Calibri" w:hAnsi="Calibri" w:cs="Arial"/>
          <w:highlight w:val="yellow"/>
        </w:rPr>
        <w:t xml:space="preserve">Mohammed D, </w:t>
      </w:r>
      <w:proofErr w:type="spellStart"/>
      <w:r w:rsidRPr="00502E74">
        <w:rPr>
          <w:rFonts w:ascii="Calibri" w:eastAsia="Calibri" w:hAnsi="Calibri" w:cs="Arial"/>
          <w:highlight w:val="yellow"/>
        </w:rPr>
        <w:t>Khallaf</w:t>
      </w:r>
      <w:proofErr w:type="spellEnd"/>
      <w:r w:rsidRPr="00502E74">
        <w:rPr>
          <w:rFonts w:ascii="Calibri" w:eastAsia="Calibri" w:hAnsi="Calibri" w:cs="Arial"/>
          <w:highlight w:val="yellow"/>
        </w:rPr>
        <w:t xml:space="preserve"> S, El-</w:t>
      </w:r>
      <w:proofErr w:type="spellStart"/>
      <w:r w:rsidRPr="00502E74">
        <w:rPr>
          <w:rFonts w:ascii="Calibri" w:eastAsia="Calibri" w:hAnsi="Calibri" w:cs="Arial"/>
          <w:highlight w:val="yellow"/>
        </w:rPr>
        <w:t>Naggar</w:t>
      </w:r>
      <w:proofErr w:type="spellEnd"/>
      <w:r w:rsidRPr="00502E74">
        <w:rPr>
          <w:rFonts w:ascii="Calibri" w:eastAsia="Calibri" w:hAnsi="Calibri" w:cs="Arial"/>
          <w:highlight w:val="yellow"/>
        </w:rPr>
        <w:t xml:space="preserve"> M. et al. (2021). Interleukin-10: A Potential Prognostic Marker in Patients with Newly Diagnosed Multiple Myeloma. Research in Oncology. 17(1): 38-41. </w:t>
      </w:r>
      <w:proofErr w:type="spellStart"/>
      <w:r w:rsidRPr="00502E74">
        <w:rPr>
          <w:rFonts w:ascii="Calibri" w:eastAsia="Calibri" w:hAnsi="Calibri" w:cs="Arial"/>
          <w:highlight w:val="yellow"/>
        </w:rPr>
        <w:t>doi</w:t>
      </w:r>
      <w:proofErr w:type="spellEnd"/>
      <w:r w:rsidRPr="00502E74">
        <w:rPr>
          <w:rFonts w:ascii="Calibri" w:eastAsia="Calibri" w:hAnsi="Calibri" w:cs="Arial"/>
          <w:highlight w:val="yellow"/>
        </w:rPr>
        <w:t>: 10.21608/resoncol.2021.51503.1127</w:t>
      </w:r>
    </w:p>
    <w:p w14:paraId="3A8CBD9C"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502E74">
        <w:rPr>
          <w:rFonts w:ascii="Calibri" w:eastAsia="Calibri" w:hAnsi="Calibri" w:cs="Arial"/>
          <w:highlight w:val="yellow"/>
        </w:rPr>
        <w:t>Fergany</w:t>
      </w:r>
      <w:proofErr w:type="spellEnd"/>
      <w:r w:rsidRPr="00502E74">
        <w:rPr>
          <w:rFonts w:ascii="Calibri" w:eastAsia="Calibri" w:hAnsi="Calibri" w:cs="Arial"/>
          <w:highlight w:val="yellow"/>
        </w:rPr>
        <w:t xml:space="preserve">, Aya1; </w:t>
      </w:r>
      <w:proofErr w:type="spellStart"/>
      <w:r w:rsidRPr="00502E74">
        <w:rPr>
          <w:rFonts w:ascii="Calibri" w:eastAsia="Calibri" w:hAnsi="Calibri" w:cs="Arial"/>
          <w:highlight w:val="yellow"/>
        </w:rPr>
        <w:t>Hassanein</w:t>
      </w:r>
      <w:proofErr w:type="spellEnd"/>
      <w:r w:rsidRPr="00502E74">
        <w:rPr>
          <w:rFonts w:ascii="Calibri" w:eastAsia="Calibri" w:hAnsi="Calibri" w:cs="Arial"/>
          <w:highlight w:val="yellow"/>
        </w:rPr>
        <w:t xml:space="preserve">, Khaled M.2; Zahran, Asmaa M.3; Abdel Hameed, Muhamad R.4; Kamel, Ayat M.5. Clinical significance of interleukin 10, interleukin 33, and interleukin 35 on induction chemotherapy in acute myeloid leukemia patients. The Egyptian Journal of </w:t>
      </w:r>
      <w:proofErr w:type="spellStart"/>
      <w:r w:rsidRPr="00502E74">
        <w:rPr>
          <w:rFonts w:ascii="Calibri" w:eastAsia="Calibri" w:hAnsi="Calibri" w:cs="Arial"/>
          <w:highlight w:val="yellow"/>
        </w:rPr>
        <w:t>Haematology</w:t>
      </w:r>
      <w:proofErr w:type="spellEnd"/>
      <w:r w:rsidRPr="00502E74">
        <w:rPr>
          <w:rFonts w:ascii="Calibri" w:eastAsia="Calibri" w:hAnsi="Calibri" w:cs="Arial"/>
          <w:highlight w:val="yellow"/>
        </w:rPr>
        <w:t xml:space="preserve"> 50(1)</w:t>
      </w:r>
      <w:proofErr w:type="gramStart"/>
      <w:r w:rsidRPr="00502E74">
        <w:rPr>
          <w:rFonts w:ascii="Calibri" w:eastAsia="Calibri" w:hAnsi="Calibri" w:cs="Arial"/>
          <w:highlight w:val="yellow"/>
        </w:rPr>
        <w:t>:p</w:t>
      </w:r>
      <w:proofErr w:type="gramEnd"/>
      <w:r w:rsidRPr="00502E74">
        <w:rPr>
          <w:rFonts w:ascii="Calibri" w:eastAsia="Calibri" w:hAnsi="Calibri" w:cs="Arial"/>
          <w:highlight w:val="yellow"/>
        </w:rPr>
        <w:t xml:space="preserve"> 125-132, January-March 2025. | DOI: 10.4103/ejh.ejh_83_24</w:t>
      </w:r>
    </w:p>
    <w:p w14:paraId="4AD24CC6"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502E74">
        <w:rPr>
          <w:rFonts w:ascii="Calibri" w:eastAsia="Calibri" w:hAnsi="Calibri" w:cs="Arial"/>
          <w:highlight w:val="yellow"/>
        </w:rPr>
        <w:t>Schuurhof</w:t>
      </w:r>
      <w:proofErr w:type="spellEnd"/>
      <w:r w:rsidRPr="00502E74">
        <w:rPr>
          <w:rFonts w:ascii="Calibri" w:eastAsia="Calibri" w:hAnsi="Calibri" w:cs="Arial"/>
          <w:highlight w:val="yellow"/>
        </w:rPr>
        <w:t xml:space="preserve"> A, Janssen R, de Groot H, </w:t>
      </w:r>
      <w:proofErr w:type="spellStart"/>
      <w:r w:rsidRPr="00502E74">
        <w:rPr>
          <w:rFonts w:ascii="Calibri" w:eastAsia="Calibri" w:hAnsi="Calibri" w:cs="Arial"/>
          <w:highlight w:val="yellow"/>
        </w:rPr>
        <w:t>Hodemaekers</w:t>
      </w:r>
      <w:proofErr w:type="spellEnd"/>
      <w:r w:rsidRPr="00502E74">
        <w:rPr>
          <w:rFonts w:ascii="Calibri" w:eastAsia="Calibri" w:hAnsi="Calibri" w:cs="Arial"/>
          <w:highlight w:val="yellow"/>
        </w:rPr>
        <w:t xml:space="preserve"> HM, de Klerk A, </w:t>
      </w:r>
      <w:proofErr w:type="spellStart"/>
      <w:r w:rsidRPr="00502E74">
        <w:rPr>
          <w:rFonts w:ascii="Calibri" w:eastAsia="Calibri" w:hAnsi="Calibri" w:cs="Arial"/>
          <w:highlight w:val="yellow"/>
        </w:rPr>
        <w:t>Kimpen</w:t>
      </w:r>
      <w:proofErr w:type="spellEnd"/>
      <w:r w:rsidRPr="00502E74">
        <w:rPr>
          <w:rFonts w:ascii="Calibri" w:eastAsia="Calibri" w:hAnsi="Calibri" w:cs="Arial"/>
          <w:highlight w:val="yellow"/>
        </w:rPr>
        <w:t xml:space="preserve"> JL, </w:t>
      </w:r>
      <w:proofErr w:type="spellStart"/>
      <w:r w:rsidRPr="00502E74">
        <w:rPr>
          <w:rFonts w:ascii="Calibri" w:eastAsia="Calibri" w:hAnsi="Calibri" w:cs="Arial"/>
          <w:highlight w:val="yellow"/>
        </w:rPr>
        <w:t>Bont</w:t>
      </w:r>
      <w:proofErr w:type="spellEnd"/>
      <w:r w:rsidRPr="00502E74">
        <w:rPr>
          <w:rFonts w:ascii="Calibri" w:eastAsia="Calibri" w:hAnsi="Calibri" w:cs="Arial"/>
          <w:highlight w:val="yellow"/>
        </w:rPr>
        <w:t xml:space="preserve"> L. Local interleukin-10 production during respiratory syncytial virus bronchiolitis is associated with post-bronchiolitis wheeze. Respir Res. 2011 Sep 12</w:t>
      </w:r>
      <w:proofErr w:type="gramStart"/>
      <w:r w:rsidRPr="00502E74">
        <w:rPr>
          <w:rFonts w:ascii="Calibri" w:eastAsia="Calibri" w:hAnsi="Calibri" w:cs="Arial"/>
          <w:highlight w:val="yellow"/>
        </w:rPr>
        <w:t>;12</w:t>
      </w:r>
      <w:proofErr w:type="gramEnd"/>
      <w:r w:rsidRPr="00502E74">
        <w:rPr>
          <w:rFonts w:ascii="Calibri" w:eastAsia="Calibri" w:hAnsi="Calibri" w:cs="Arial"/>
          <w:highlight w:val="yellow"/>
        </w:rPr>
        <w:t xml:space="preserve">(1):121. </w:t>
      </w:r>
      <w:proofErr w:type="spellStart"/>
      <w:proofErr w:type="gramStart"/>
      <w:r w:rsidRPr="00502E74">
        <w:rPr>
          <w:rFonts w:ascii="Calibri" w:eastAsia="Calibri" w:hAnsi="Calibri" w:cs="Arial"/>
          <w:highlight w:val="yellow"/>
        </w:rPr>
        <w:t>doi</w:t>
      </w:r>
      <w:proofErr w:type="spellEnd"/>
      <w:proofErr w:type="gramEnd"/>
      <w:r w:rsidRPr="00502E74">
        <w:rPr>
          <w:rFonts w:ascii="Calibri" w:eastAsia="Calibri" w:hAnsi="Calibri" w:cs="Arial"/>
          <w:highlight w:val="yellow"/>
        </w:rPr>
        <w:t>: 10.1186/1465-9921-12-121. PMID: 21910858; PMCID: PMC3179726.</w:t>
      </w:r>
    </w:p>
    <w:p w14:paraId="520663FF"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502E74">
        <w:rPr>
          <w:rFonts w:ascii="Calibri" w:eastAsia="Calibri" w:hAnsi="Calibri" w:cs="Arial"/>
          <w:highlight w:val="yellow"/>
          <w:lang w:val="es-US"/>
        </w:rPr>
        <w:t>Abdel</w:t>
      </w:r>
      <w:proofErr w:type="spellEnd"/>
      <w:r w:rsidRPr="00502E74">
        <w:rPr>
          <w:rFonts w:ascii="Calibri" w:eastAsia="Calibri" w:hAnsi="Calibri" w:cs="Arial"/>
          <w:highlight w:val="yellow"/>
          <w:lang w:val="es-US"/>
        </w:rPr>
        <w:t xml:space="preserve"> </w:t>
      </w:r>
      <w:proofErr w:type="spellStart"/>
      <w:r w:rsidRPr="00502E74">
        <w:rPr>
          <w:rFonts w:ascii="Calibri" w:eastAsia="Calibri" w:hAnsi="Calibri" w:cs="Arial"/>
          <w:highlight w:val="yellow"/>
          <w:lang w:val="es-US"/>
        </w:rPr>
        <w:t>Hafeez</w:t>
      </w:r>
      <w:proofErr w:type="spellEnd"/>
      <w:r w:rsidRPr="00502E74">
        <w:rPr>
          <w:rFonts w:ascii="Calibri" w:eastAsia="Calibri" w:hAnsi="Calibri" w:cs="Arial"/>
          <w:highlight w:val="yellow"/>
          <w:lang w:val="es-US"/>
        </w:rPr>
        <w:t xml:space="preserve"> LA, </w:t>
      </w:r>
      <w:proofErr w:type="spellStart"/>
      <w:r w:rsidRPr="00502E74">
        <w:rPr>
          <w:rFonts w:ascii="Calibri" w:eastAsia="Calibri" w:hAnsi="Calibri" w:cs="Arial"/>
          <w:highlight w:val="yellow"/>
          <w:lang w:val="es-US"/>
        </w:rPr>
        <w:t>Mansor</w:t>
      </w:r>
      <w:proofErr w:type="spellEnd"/>
      <w:r w:rsidRPr="00502E74">
        <w:rPr>
          <w:rFonts w:ascii="Calibri" w:eastAsia="Calibri" w:hAnsi="Calibri" w:cs="Arial"/>
          <w:highlight w:val="yellow"/>
          <w:lang w:val="es-US"/>
        </w:rPr>
        <w:t xml:space="preserve"> SG, </w:t>
      </w:r>
      <w:proofErr w:type="spellStart"/>
      <w:r w:rsidRPr="00502E74">
        <w:rPr>
          <w:rFonts w:ascii="Calibri" w:eastAsia="Calibri" w:hAnsi="Calibri" w:cs="Arial"/>
          <w:highlight w:val="yellow"/>
          <w:lang w:val="es-US"/>
        </w:rPr>
        <w:t>Zahran</w:t>
      </w:r>
      <w:proofErr w:type="spellEnd"/>
      <w:r w:rsidRPr="00502E74">
        <w:rPr>
          <w:rFonts w:ascii="Calibri" w:eastAsia="Calibri" w:hAnsi="Calibri" w:cs="Arial"/>
          <w:highlight w:val="yellow"/>
          <w:lang w:val="es-US"/>
        </w:rPr>
        <w:t xml:space="preserve"> AM et al. </w:t>
      </w:r>
      <w:r w:rsidRPr="00502E74">
        <w:rPr>
          <w:rFonts w:ascii="Calibri" w:eastAsia="Calibri" w:hAnsi="Calibri" w:cs="Arial"/>
          <w:highlight w:val="yellow"/>
        </w:rPr>
        <w:t>(2021). Expression of programmed death ligand-1(PDL-1) in Acute Myeloid Leukemia Patients and its relation to post induction Response. SECI Oncology Journal, 9(2): 106-111. doi:10.21608/secioj.2021.170554</w:t>
      </w:r>
    </w:p>
    <w:p w14:paraId="34F6822A"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502E74">
        <w:rPr>
          <w:rFonts w:ascii="Calibri" w:eastAsia="Calibri" w:hAnsi="Calibri" w:cs="Arial"/>
          <w:highlight w:val="yellow"/>
        </w:rPr>
        <w:t>Telcian</w:t>
      </w:r>
      <w:proofErr w:type="spellEnd"/>
      <w:r w:rsidRPr="00502E74">
        <w:rPr>
          <w:rFonts w:ascii="Calibri" w:eastAsia="Calibri" w:hAnsi="Calibri" w:cs="Arial"/>
          <w:highlight w:val="yellow"/>
        </w:rPr>
        <w:t xml:space="preserve"> AG, </w:t>
      </w:r>
      <w:proofErr w:type="spellStart"/>
      <w:r w:rsidRPr="00502E74">
        <w:rPr>
          <w:rFonts w:ascii="Calibri" w:eastAsia="Calibri" w:hAnsi="Calibri" w:cs="Arial"/>
          <w:highlight w:val="yellow"/>
        </w:rPr>
        <w:t>Laza-Stanca</w:t>
      </w:r>
      <w:proofErr w:type="spellEnd"/>
      <w:r w:rsidRPr="00502E74">
        <w:rPr>
          <w:rFonts w:ascii="Calibri" w:eastAsia="Calibri" w:hAnsi="Calibri" w:cs="Arial"/>
          <w:highlight w:val="yellow"/>
        </w:rPr>
        <w:t xml:space="preserve"> V, Edwards MR, Harker JA, Wang H, Bartlett NW, </w:t>
      </w:r>
      <w:proofErr w:type="spellStart"/>
      <w:r w:rsidRPr="00502E74">
        <w:rPr>
          <w:rFonts w:ascii="Calibri" w:eastAsia="Calibri" w:hAnsi="Calibri" w:cs="Arial"/>
          <w:highlight w:val="yellow"/>
        </w:rPr>
        <w:t>Mallia</w:t>
      </w:r>
      <w:proofErr w:type="spellEnd"/>
      <w:r w:rsidRPr="00502E74">
        <w:rPr>
          <w:rFonts w:ascii="Calibri" w:eastAsia="Calibri" w:hAnsi="Calibri" w:cs="Arial"/>
          <w:highlight w:val="yellow"/>
        </w:rPr>
        <w:t xml:space="preserve"> P, </w:t>
      </w:r>
      <w:proofErr w:type="spellStart"/>
      <w:r w:rsidRPr="00502E74">
        <w:rPr>
          <w:rFonts w:ascii="Calibri" w:eastAsia="Calibri" w:hAnsi="Calibri" w:cs="Arial"/>
          <w:highlight w:val="yellow"/>
        </w:rPr>
        <w:t>Zdrenghea</w:t>
      </w:r>
      <w:proofErr w:type="spellEnd"/>
      <w:r w:rsidRPr="00502E74">
        <w:rPr>
          <w:rFonts w:ascii="Calibri" w:eastAsia="Calibri" w:hAnsi="Calibri" w:cs="Arial"/>
          <w:highlight w:val="yellow"/>
        </w:rPr>
        <w:t xml:space="preserve"> MT, </w:t>
      </w:r>
      <w:proofErr w:type="spellStart"/>
      <w:r w:rsidRPr="00502E74">
        <w:rPr>
          <w:rFonts w:ascii="Calibri" w:eastAsia="Calibri" w:hAnsi="Calibri" w:cs="Arial"/>
          <w:highlight w:val="yellow"/>
        </w:rPr>
        <w:t>Kebadze</w:t>
      </w:r>
      <w:proofErr w:type="spellEnd"/>
      <w:r w:rsidRPr="00502E74">
        <w:rPr>
          <w:rFonts w:ascii="Calibri" w:eastAsia="Calibri" w:hAnsi="Calibri" w:cs="Arial"/>
          <w:highlight w:val="yellow"/>
        </w:rPr>
        <w:t xml:space="preserve"> T, Coyle AJ, Openshaw PJ, Stanciu LA, Johnston SL. RSV-induced bronchial epithelial cell PD-L1 expression inhibits CD8+ T cell nonspecific antiviral activity. J Infect Dis. 2011 Jan 1</w:t>
      </w:r>
      <w:proofErr w:type="gramStart"/>
      <w:r w:rsidRPr="00502E74">
        <w:rPr>
          <w:rFonts w:ascii="Calibri" w:eastAsia="Calibri" w:hAnsi="Calibri" w:cs="Arial"/>
          <w:highlight w:val="yellow"/>
        </w:rPr>
        <w:t>;203</w:t>
      </w:r>
      <w:proofErr w:type="gramEnd"/>
      <w:r w:rsidRPr="00502E74">
        <w:rPr>
          <w:rFonts w:ascii="Calibri" w:eastAsia="Calibri" w:hAnsi="Calibri" w:cs="Arial"/>
          <w:highlight w:val="yellow"/>
        </w:rPr>
        <w:t xml:space="preserve">(1):85-94. </w:t>
      </w:r>
      <w:proofErr w:type="spellStart"/>
      <w:proofErr w:type="gramStart"/>
      <w:r w:rsidRPr="00502E74">
        <w:rPr>
          <w:rFonts w:ascii="Calibri" w:eastAsia="Calibri" w:hAnsi="Calibri" w:cs="Arial"/>
          <w:highlight w:val="yellow"/>
        </w:rPr>
        <w:t>doi</w:t>
      </w:r>
      <w:proofErr w:type="spellEnd"/>
      <w:proofErr w:type="gramEnd"/>
      <w:r w:rsidRPr="00502E74">
        <w:rPr>
          <w:rFonts w:ascii="Calibri" w:eastAsia="Calibri" w:hAnsi="Calibri" w:cs="Arial"/>
          <w:highlight w:val="yellow"/>
        </w:rPr>
        <w:t>: 10.1093/</w:t>
      </w:r>
      <w:proofErr w:type="spellStart"/>
      <w:r w:rsidRPr="00502E74">
        <w:rPr>
          <w:rFonts w:ascii="Calibri" w:eastAsia="Calibri" w:hAnsi="Calibri" w:cs="Arial"/>
          <w:highlight w:val="yellow"/>
        </w:rPr>
        <w:t>infdis</w:t>
      </w:r>
      <w:proofErr w:type="spellEnd"/>
      <w:r w:rsidRPr="00502E74">
        <w:rPr>
          <w:rFonts w:ascii="Calibri" w:eastAsia="Calibri" w:hAnsi="Calibri" w:cs="Arial"/>
          <w:highlight w:val="yellow"/>
        </w:rPr>
        <w:t>/jiq020. Erratum in: J Infect Dis. 2012 Apr</w:t>
      </w:r>
      <w:proofErr w:type="gramStart"/>
      <w:r w:rsidRPr="00502E74">
        <w:rPr>
          <w:rFonts w:ascii="Calibri" w:eastAsia="Calibri" w:hAnsi="Calibri" w:cs="Arial"/>
          <w:highlight w:val="yellow"/>
        </w:rPr>
        <w:t>;205</w:t>
      </w:r>
      <w:proofErr w:type="gramEnd"/>
      <w:r w:rsidRPr="00502E74">
        <w:rPr>
          <w:rFonts w:ascii="Calibri" w:eastAsia="Calibri" w:hAnsi="Calibri" w:cs="Arial"/>
          <w:highlight w:val="yellow"/>
        </w:rPr>
        <w:t>(7):1180. PMID: 21148500; PMCID: PMC3086441.</w:t>
      </w:r>
    </w:p>
    <w:p w14:paraId="00C14E47"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502E74">
        <w:rPr>
          <w:rFonts w:ascii="Calibri" w:eastAsia="Calibri" w:hAnsi="Calibri" w:cs="Arial"/>
          <w:highlight w:val="yellow"/>
        </w:rPr>
        <w:lastRenderedPageBreak/>
        <w:t>Kilani MM, Mohammed KA, Nasreen N, Hardwick JA, Kaplan MH, Tepper RS, Antony VB. Respiratory syncytial virus causes increased bronchial epithelial permeability. Chest. 2004 Jul</w:t>
      </w:r>
      <w:proofErr w:type="gramStart"/>
      <w:r w:rsidRPr="00502E74">
        <w:rPr>
          <w:rFonts w:ascii="Calibri" w:eastAsia="Calibri" w:hAnsi="Calibri" w:cs="Arial"/>
          <w:highlight w:val="yellow"/>
        </w:rPr>
        <w:t>;126</w:t>
      </w:r>
      <w:proofErr w:type="gramEnd"/>
      <w:r w:rsidRPr="00502E74">
        <w:rPr>
          <w:rFonts w:ascii="Calibri" w:eastAsia="Calibri" w:hAnsi="Calibri" w:cs="Arial"/>
          <w:highlight w:val="yellow"/>
        </w:rPr>
        <w:t xml:space="preserve">(1):186-91. </w:t>
      </w:r>
      <w:proofErr w:type="spellStart"/>
      <w:proofErr w:type="gramStart"/>
      <w:r w:rsidRPr="00502E74">
        <w:rPr>
          <w:rFonts w:ascii="Calibri" w:eastAsia="Calibri" w:hAnsi="Calibri" w:cs="Arial"/>
          <w:highlight w:val="yellow"/>
        </w:rPr>
        <w:t>doi</w:t>
      </w:r>
      <w:proofErr w:type="spellEnd"/>
      <w:proofErr w:type="gramEnd"/>
      <w:r w:rsidRPr="00502E74">
        <w:rPr>
          <w:rFonts w:ascii="Calibri" w:eastAsia="Calibri" w:hAnsi="Calibri" w:cs="Arial"/>
          <w:highlight w:val="yellow"/>
        </w:rPr>
        <w:t>: 10.1378/chest.126.1.186. PMID: 15249461.</w:t>
      </w:r>
    </w:p>
    <w:p w14:paraId="02093BE4"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proofErr w:type="spellStart"/>
      <w:r w:rsidRPr="00502E74">
        <w:rPr>
          <w:rFonts w:ascii="Calibri" w:eastAsia="Calibri" w:hAnsi="Calibri" w:cs="Arial"/>
          <w:highlight w:val="yellow"/>
        </w:rPr>
        <w:t>Khallaf</w:t>
      </w:r>
      <w:proofErr w:type="spellEnd"/>
      <w:r w:rsidRPr="00502E74">
        <w:rPr>
          <w:rFonts w:ascii="Calibri" w:eastAsia="Calibri" w:hAnsi="Calibri" w:cs="Arial"/>
          <w:highlight w:val="yellow"/>
        </w:rPr>
        <w:t xml:space="preserve"> S.M., Mohammed D.A., ElNaggar M.G.M., Abdel-Hameed M.R., Bakry </w:t>
      </w:r>
      <w:proofErr w:type="gramStart"/>
      <w:r w:rsidRPr="00502E74">
        <w:rPr>
          <w:rFonts w:ascii="Calibri" w:eastAsia="Calibri" w:hAnsi="Calibri" w:cs="Arial"/>
          <w:highlight w:val="yellow"/>
        </w:rPr>
        <w:t>R..</w:t>
      </w:r>
      <w:proofErr w:type="gramEnd"/>
      <w:r w:rsidRPr="00502E74">
        <w:rPr>
          <w:rFonts w:ascii="Calibri" w:eastAsia="Calibri" w:hAnsi="Calibri" w:cs="Arial"/>
          <w:highlight w:val="yellow"/>
        </w:rPr>
        <w:t xml:space="preserve"> Predictive and prognostic values of serum VEGF in patients with multiple myelomas receiving bortezomib-based therapy.  </w:t>
      </w:r>
      <w:hyperlink r:id="rId17" w:history="1">
        <w:r w:rsidRPr="00502E74">
          <w:rPr>
            <w:rFonts w:ascii="Calibri" w:eastAsia="Calibri" w:hAnsi="Calibri" w:cs="Arial"/>
            <w:highlight w:val="yellow"/>
          </w:rPr>
          <w:t>Annals of Oncology</w:t>
        </w:r>
      </w:hyperlink>
      <w:r w:rsidRPr="00502E74">
        <w:rPr>
          <w:rFonts w:ascii="Calibri" w:eastAsia="Calibri" w:hAnsi="Calibri" w:cs="Arial"/>
          <w:highlight w:val="yellow"/>
        </w:rPr>
        <w:t xml:space="preserve">2021; 32:S781   </w:t>
      </w:r>
      <w:proofErr w:type="spellStart"/>
      <w:r w:rsidRPr="00502E74">
        <w:rPr>
          <w:rFonts w:ascii="Calibri" w:eastAsia="Calibri" w:hAnsi="Calibri" w:cs="Arial"/>
          <w:highlight w:val="yellow"/>
        </w:rPr>
        <w:t>DOI:</w:t>
      </w:r>
      <w:hyperlink r:id="rId18" w:history="1">
        <w:r w:rsidRPr="00502E74">
          <w:rPr>
            <w:rFonts w:ascii="Calibri" w:eastAsia="Calibri" w:hAnsi="Calibri" w:cs="Arial"/>
            <w:highlight w:val="yellow"/>
          </w:rPr>
          <w:t>https</w:t>
        </w:r>
        <w:proofErr w:type="spellEnd"/>
        <w:r w:rsidRPr="00502E74">
          <w:rPr>
            <w:rFonts w:ascii="Calibri" w:eastAsia="Calibri" w:hAnsi="Calibri" w:cs="Arial"/>
            <w:highlight w:val="yellow"/>
          </w:rPr>
          <w:t>://doi.org/10.1016/j.annonc.2021.08.139</w:t>
        </w:r>
      </w:hyperlink>
    </w:p>
    <w:p w14:paraId="0DF7E797"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502E74">
        <w:rPr>
          <w:rFonts w:ascii="Calibri" w:eastAsia="Calibri" w:hAnsi="Calibri" w:cs="Arial"/>
          <w:highlight w:val="yellow"/>
        </w:rPr>
        <w:t xml:space="preserve">Marzec J, Cho HY, High M, McCaw ZR, Polack F, Kleeberger SR. Toll-like receptor 4-mediated respiratory syncytial virus disease and lung transcriptomics in differentially susceptible inbred mouse strains. </w:t>
      </w:r>
      <w:proofErr w:type="spellStart"/>
      <w:r w:rsidRPr="00502E74">
        <w:rPr>
          <w:rFonts w:ascii="Calibri" w:eastAsia="Calibri" w:hAnsi="Calibri" w:cs="Arial"/>
          <w:highlight w:val="yellow"/>
        </w:rPr>
        <w:t>Physiol</w:t>
      </w:r>
      <w:proofErr w:type="spellEnd"/>
      <w:r w:rsidRPr="00502E74">
        <w:rPr>
          <w:rFonts w:ascii="Calibri" w:eastAsia="Calibri" w:hAnsi="Calibri" w:cs="Arial"/>
          <w:highlight w:val="yellow"/>
        </w:rPr>
        <w:t xml:space="preserve"> Genomics. 2019 Dec 1</w:t>
      </w:r>
      <w:proofErr w:type="gramStart"/>
      <w:r w:rsidRPr="00502E74">
        <w:rPr>
          <w:rFonts w:ascii="Calibri" w:eastAsia="Calibri" w:hAnsi="Calibri" w:cs="Arial"/>
          <w:highlight w:val="yellow"/>
        </w:rPr>
        <w:t>;51</w:t>
      </w:r>
      <w:proofErr w:type="gramEnd"/>
      <w:r w:rsidRPr="00502E74">
        <w:rPr>
          <w:rFonts w:ascii="Calibri" w:eastAsia="Calibri" w:hAnsi="Calibri" w:cs="Arial"/>
          <w:highlight w:val="yellow"/>
        </w:rPr>
        <w:t xml:space="preserve">(12):630-643. </w:t>
      </w:r>
      <w:proofErr w:type="spellStart"/>
      <w:proofErr w:type="gramStart"/>
      <w:r w:rsidRPr="00502E74">
        <w:rPr>
          <w:rFonts w:ascii="Calibri" w:eastAsia="Calibri" w:hAnsi="Calibri" w:cs="Arial"/>
          <w:highlight w:val="yellow"/>
        </w:rPr>
        <w:t>doi</w:t>
      </w:r>
      <w:proofErr w:type="spellEnd"/>
      <w:proofErr w:type="gramEnd"/>
      <w:r w:rsidRPr="00502E74">
        <w:rPr>
          <w:rFonts w:ascii="Calibri" w:eastAsia="Calibri" w:hAnsi="Calibri" w:cs="Arial"/>
          <w:highlight w:val="yellow"/>
        </w:rPr>
        <w:t xml:space="preserve">: 10.1152/physiolgenomics.00101.2019. </w:t>
      </w:r>
      <w:proofErr w:type="spellStart"/>
      <w:r w:rsidRPr="00502E74">
        <w:rPr>
          <w:rFonts w:ascii="Calibri" w:eastAsia="Calibri" w:hAnsi="Calibri" w:cs="Arial"/>
          <w:highlight w:val="yellow"/>
        </w:rPr>
        <w:t>Epub</w:t>
      </w:r>
      <w:proofErr w:type="spellEnd"/>
      <w:r w:rsidRPr="00502E74">
        <w:rPr>
          <w:rFonts w:ascii="Calibri" w:eastAsia="Calibri" w:hAnsi="Calibri" w:cs="Arial"/>
          <w:highlight w:val="yellow"/>
        </w:rPr>
        <w:t xml:space="preserve"> 2019 Nov 18. PMID: 31736414; PMCID: PMC6962593.</w:t>
      </w:r>
    </w:p>
    <w:p w14:paraId="469B723C" w14:textId="77777777" w:rsidR="00611E28" w:rsidRPr="00502E74" w:rsidRDefault="00D54CEE" w:rsidP="00611E28">
      <w:pPr>
        <w:pStyle w:val="NormalWeb"/>
        <w:numPr>
          <w:ilvl w:val="0"/>
          <w:numId w:val="31"/>
        </w:numPr>
        <w:rPr>
          <w:rFonts w:asciiTheme="minorBidi" w:eastAsiaTheme="minorHAnsi" w:hAnsiTheme="minorBidi" w:cstheme="minorBidi"/>
          <w:color w:val="222222"/>
          <w:kern w:val="2"/>
          <w:sz w:val="20"/>
          <w:szCs w:val="20"/>
          <w:shd w:val="clear" w:color="auto" w:fill="FFFFFF"/>
          <w14:ligatures w14:val="standardContextual"/>
        </w:rPr>
      </w:pPr>
      <w:r w:rsidRPr="00502E74">
        <w:rPr>
          <w:rFonts w:ascii="Calibri" w:eastAsia="Calibri" w:hAnsi="Calibri" w:cs="Arial"/>
          <w:highlight w:val="yellow"/>
        </w:rPr>
        <w:t xml:space="preserve">Abdel Hammed MR, Ahmed YA, Adam EN, et al. (2022). </w:t>
      </w:r>
      <w:proofErr w:type="gramStart"/>
      <w:r w:rsidRPr="00502E74">
        <w:rPr>
          <w:rFonts w:ascii="Calibri" w:eastAsia="Calibri" w:hAnsi="Calibri" w:cs="Arial"/>
          <w:highlight w:val="yellow"/>
        </w:rPr>
        <w:t>sVCAM-1</w:t>
      </w:r>
      <w:proofErr w:type="gramEnd"/>
      <w:r w:rsidRPr="00502E74">
        <w:rPr>
          <w:rFonts w:ascii="Calibri" w:eastAsia="Calibri" w:hAnsi="Calibri" w:cs="Arial"/>
          <w:highlight w:val="yellow"/>
        </w:rPr>
        <w:t>, and TGFβ1 in chronic phase, chronic myeloid leukemia patients treated with tyrosine kinase inhibitors. Egypt J Immunol. Oct</w:t>
      </w:r>
      <w:proofErr w:type="gramStart"/>
      <w:r w:rsidRPr="00502E74">
        <w:rPr>
          <w:rFonts w:ascii="Calibri" w:eastAsia="Calibri" w:hAnsi="Calibri" w:cs="Arial"/>
          <w:highlight w:val="yellow"/>
        </w:rPr>
        <w:t>;29</w:t>
      </w:r>
      <w:proofErr w:type="gramEnd"/>
      <w:r w:rsidRPr="00502E74">
        <w:rPr>
          <w:rFonts w:ascii="Calibri" w:eastAsia="Calibri" w:hAnsi="Calibri" w:cs="Arial"/>
          <w:highlight w:val="yellow"/>
        </w:rPr>
        <w:t xml:space="preserve">(4):163-173. PMID: </w:t>
      </w:r>
      <w:r w:rsidR="00221FA4" w:rsidRPr="00502E74">
        <w:rPr>
          <w:rFonts w:ascii="Calibri" w:eastAsia="Calibri" w:hAnsi="Calibri" w:cs="Arial"/>
          <w:highlight w:val="yellow"/>
        </w:rPr>
        <w:t>36208045</w:t>
      </w:r>
    </w:p>
    <w:p w14:paraId="72A3E87F" w14:textId="5F652724" w:rsidR="00221FA4" w:rsidRPr="00502E74" w:rsidRDefault="00221FA4" w:rsidP="00611E28">
      <w:pPr>
        <w:pStyle w:val="NormalWeb"/>
        <w:numPr>
          <w:ilvl w:val="0"/>
          <w:numId w:val="31"/>
        </w:numPr>
        <w:rPr>
          <w:rFonts w:asciiTheme="minorBidi" w:eastAsiaTheme="minorHAnsi" w:hAnsiTheme="minorBidi" w:cstheme="minorBidi"/>
          <w:color w:val="222222"/>
          <w:kern w:val="2"/>
          <w:sz w:val="20"/>
          <w:szCs w:val="20"/>
          <w:highlight w:val="yellow"/>
          <w:shd w:val="clear" w:color="auto" w:fill="FFFFFF"/>
          <w14:ligatures w14:val="standardContextual"/>
        </w:rPr>
      </w:pPr>
      <w:r w:rsidRPr="00502E74">
        <w:rPr>
          <w:rFonts w:ascii="Calibri" w:eastAsia="Calibri" w:hAnsi="Calibri" w:cs="Arial"/>
          <w:highlight w:val="yellow"/>
        </w:rPr>
        <w:t xml:space="preserve">Thornburg NJ, Shepherd B, Crowe JE Jr. Transforming growth factor beta is a major regulator of human neonatal immune responses following respiratory syncytial virus infection. J </w:t>
      </w:r>
      <w:proofErr w:type="spellStart"/>
      <w:r w:rsidRPr="00502E74">
        <w:rPr>
          <w:rFonts w:ascii="Calibri" w:eastAsia="Calibri" w:hAnsi="Calibri" w:cs="Arial"/>
          <w:highlight w:val="yellow"/>
        </w:rPr>
        <w:t>Virol</w:t>
      </w:r>
      <w:proofErr w:type="spellEnd"/>
      <w:r w:rsidRPr="00502E74">
        <w:rPr>
          <w:rFonts w:ascii="Calibri" w:eastAsia="Calibri" w:hAnsi="Calibri" w:cs="Arial"/>
          <w:highlight w:val="yellow"/>
        </w:rPr>
        <w:t>. 2010 Dec</w:t>
      </w:r>
      <w:proofErr w:type="gramStart"/>
      <w:r w:rsidRPr="00502E74">
        <w:rPr>
          <w:rFonts w:ascii="Calibri" w:eastAsia="Calibri" w:hAnsi="Calibri" w:cs="Arial"/>
          <w:highlight w:val="yellow"/>
        </w:rPr>
        <w:t>;84</w:t>
      </w:r>
      <w:proofErr w:type="gramEnd"/>
      <w:r w:rsidRPr="00502E74">
        <w:rPr>
          <w:rFonts w:ascii="Calibri" w:eastAsia="Calibri" w:hAnsi="Calibri" w:cs="Arial"/>
          <w:highlight w:val="yellow"/>
        </w:rPr>
        <w:t xml:space="preserve">(24):12895-902. </w:t>
      </w:r>
      <w:proofErr w:type="spellStart"/>
      <w:proofErr w:type="gramStart"/>
      <w:r w:rsidRPr="00502E74">
        <w:rPr>
          <w:rFonts w:ascii="Calibri" w:eastAsia="Calibri" w:hAnsi="Calibri" w:cs="Arial"/>
          <w:highlight w:val="yellow"/>
        </w:rPr>
        <w:t>doi</w:t>
      </w:r>
      <w:proofErr w:type="spellEnd"/>
      <w:proofErr w:type="gramEnd"/>
      <w:r w:rsidRPr="00502E74">
        <w:rPr>
          <w:rFonts w:ascii="Calibri" w:eastAsia="Calibri" w:hAnsi="Calibri" w:cs="Arial"/>
          <w:highlight w:val="yellow"/>
        </w:rPr>
        <w:t xml:space="preserve">: 10.1128/JVI.01273-10. </w:t>
      </w:r>
      <w:proofErr w:type="spellStart"/>
      <w:r w:rsidRPr="00502E74">
        <w:rPr>
          <w:rFonts w:ascii="Calibri" w:eastAsia="Calibri" w:hAnsi="Calibri" w:cs="Arial"/>
          <w:highlight w:val="yellow"/>
        </w:rPr>
        <w:t>Epub</w:t>
      </w:r>
      <w:proofErr w:type="spellEnd"/>
      <w:r w:rsidRPr="00502E74">
        <w:rPr>
          <w:rFonts w:ascii="Calibri" w:eastAsia="Calibri" w:hAnsi="Calibri" w:cs="Arial"/>
          <w:highlight w:val="yellow"/>
        </w:rPr>
        <w:t xml:space="preserve"> 2010 Oct 6. PMID: 20926560; PMCID: PMC3004333.</w:t>
      </w:r>
    </w:p>
    <w:p w14:paraId="563E2906" w14:textId="72192761" w:rsidR="009A019C" w:rsidRPr="00502E74" w:rsidRDefault="009A019C" w:rsidP="00502E74">
      <w:pPr>
        <w:pStyle w:val="NormalWeb"/>
        <w:numPr>
          <w:ilvl w:val="0"/>
          <w:numId w:val="31"/>
        </w:numPr>
        <w:rPr>
          <w:rFonts w:asciiTheme="minorBidi" w:eastAsiaTheme="minorHAnsi" w:hAnsiTheme="minorBidi" w:cstheme="minorBidi"/>
          <w:color w:val="222222"/>
          <w:kern w:val="2"/>
          <w:sz w:val="20"/>
          <w:szCs w:val="20"/>
          <w:highlight w:val="yellow"/>
          <w:shd w:val="clear" w:color="auto" w:fill="FFFFFF"/>
          <w14:ligatures w14:val="standardContextual"/>
        </w:rPr>
      </w:pPr>
      <w:r w:rsidRPr="00502E74">
        <w:rPr>
          <w:rFonts w:asciiTheme="minorBidi" w:eastAsiaTheme="minorHAnsi" w:hAnsiTheme="minorBidi" w:cstheme="minorBidi"/>
          <w:color w:val="222222"/>
          <w:kern w:val="2"/>
          <w:sz w:val="20"/>
          <w:szCs w:val="20"/>
          <w:highlight w:val="yellow"/>
          <w:shd w:val="clear" w:color="auto" w:fill="FFFFFF"/>
          <w14:ligatures w14:val="standardContextual"/>
        </w:rPr>
        <w:t>Qiu, X., Xu, S., Lu, Y., Luo, Z., Yan, Y., Wang, C., &amp; Ji, J. (2022). Development of mRNA vaccines against respiratory syncytial virus (RSV). </w:t>
      </w:r>
      <w:r w:rsidRPr="00502E74">
        <w:rPr>
          <w:rFonts w:asciiTheme="minorBidi" w:eastAsiaTheme="minorHAnsi" w:hAnsiTheme="minorBidi" w:cstheme="minorBidi"/>
          <w:i/>
          <w:iCs/>
          <w:color w:val="222222"/>
          <w:kern w:val="2"/>
          <w:sz w:val="20"/>
          <w:szCs w:val="20"/>
          <w:highlight w:val="yellow"/>
          <w:shd w:val="clear" w:color="auto" w:fill="FFFFFF"/>
          <w14:ligatures w14:val="standardContextual"/>
        </w:rPr>
        <w:t>Cytokine &amp; Growth Factor Reviews</w:t>
      </w:r>
      <w:r w:rsidRPr="00502E74">
        <w:rPr>
          <w:rFonts w:asciiTheme="minorBidi" w:eastAsiaTheme="minorHAnsi" w:hAnsiTheme="minorBidi" w:cstheme="minorBidi"/>
          <w:color w:val="222222"/>
          <w:kern w:val="2"/>
          <w:sz w:val="20"/>
          <w:szCs w:val="20"/>
          <w:highlight w:val="yellow"/>
          <w:shd w:val="clear" w:color="auto" w:fill="FFFFFF"/>
          <w14:ligatures w14:val="standardContextual"/>
        </w:rPr>
        <w:t>, </w:t>
      </w:r>
      <w:r w:rsidRPr="00502E74">
        <w:rPr>
          <w:rFonts w:asciiTheme="minorBidi" w:eastAsiaTheme="minorHAnsi" w:hAnsiTheme="minorBidi" w:cstheme="minorBidi"/>
          <w:i/>
          <w:iCs/>
          <w:color w:val="222222"/>
          <w:kern w:val="2"/>
          <w:sz w:val="20"/>
          <w:szCs w:val="20"/>
          <w:highlight w:val="yellow"/>
          <w:shd w:val="clear" w:color="auto" w:fill="FFFFFF"/>
          <w14:ligatures w14:val="standardContextual"/>
        </w:rPr>
        <w:t>68</w:t>
      </w:r>
      <w:r w:rsidRPr="00502E74">
        <w:rPr>
          <w:rFonts w:asciiTheme="minorBidi" w:eastAsiaTheme="minorHAnsi" w:hAnsiTheme="minorBidi" w:cstheme="minorBidi"/>
          <w:color w:val="222222"/>
          <w:kern w:val="2"/>
          <w:sz w:val="20"/>
          <w:szCs w:val="20"/>
          <w:highlight w:val="yellow"/>
          <w:shd w:val="clear" w:color="auto" w:fill="FFFFFF"/>
          <w14:ligatures w14:val="standardContextual"/>
        </w:rPr>
        <w:t>, 37-53.</w:t>
      </w:r>
    </w:p>
    <w:p w14:paraId="4A6ED8C0" w14:textId="151B57D6" w:rsidR="00D54CEE" w:rsidRPr="002C60C5" w:rsidRDefault="00D54CEE" w:rsidP="00502E74">
      <w:pPr>
        <w:pStyle w:val="NormalWeb"/>
        <w:ind w:left="720"/>
        <w:rPr>
          <w:rFonts w:asciiTheme="minorBidi" w:eastAsiaTheme="minorHAnsi" w:hAnsiTheme="minorBidi" w:cstheme="minorBidi"/>
          <w:color w:val="222222"/>
          <w:kern w:val="2"/>
          <w:sz w:val="20"/>
          <w:szCs w:val="20"/>
          <w:shd w:val="clear" w:color="auto" w:fill="FFFFFF"/>
          <w14:ligatures w14:val="standardContextual"/>
        </w:rPr>
      </w:pPr>
    </w:p>
    <w:sectPr w:rsidR="00D54CEE" w:rsidRPr="002C60C5" w:rsidSect="00FF186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30319" w14:textId="77777777" w:rsidR="00226AD1" w:rsidRDefault="00226AD1" w:rsidP="00C37E61">
      <w:r>
        <w:separator/>
      </w:r>
    </w:p>
  </w:endnote>
  <w:endnote w:type="continuationSeparator" w:id="0">
    <w:p w14:paraId="4E7A4D45" w14:textId="77777777" w:rsidR="00226AD1" w:rsidRDefault="00226A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2520" w14:textId="77777777" w:rsidR="00FF1863" w:rsidRDefault="00FF1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7320" w14:textId="77777777" w:rsidR="00FF1863" w:rsidRDefault="00FF1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F210" w14:textId="5AC53FEF" w:rsidR="00754C9A" w:rsidRPr="00FF1863" w:rsidRDefault="00754C9A" w:rsidP="00FF18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AE29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9F50B" w14:textId="77777777" w:rsidR="00226AD1" w:rsidRDefault="00226AD1" w:rsidP="00C37E61">
      <w:r>
        <w:separator/>
      </w:r>
    </w:p>
  </w:footnote>
  <w:footnote w:type="continuationSeparator" w:id="0">
    <w:p w14:paraId="5C68A8BB" w14:textId="77777777" w:rsidR="00226AD1" w:rsidRDefault="00226A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911A9" w14:textId="0C1503D2" w:rsidR="00FF1863" w:rsidRDefault="00226AD1">
    <w:pPr>
      <w:pStyle w:val="Header"/>
    </w:pPr>
    <w:r>
      <w:rPr>
        <w:noProof/>
      </w:rPr>
      <w:pict w14:anchorId="08B46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4692" w14:textId="6B815DF0" w:rsidR="00FF1863" w:rsidRDefault="00226AD1">
    <w:pPr>
      <w:pStyle w:val="Header"/>
    </w:pPr>
    <w:r>
      <w:rPr>
        <w:noProof/>
      </w:rPr>
      <w:pict w14:anchorId="79E1E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42C8" w14:textId="0AA2D8A5" w:rsidR="00296529" w:rsidRPr="00296529" w:rsidRDefault="00226AD1" w:rsidP="00296529">
    <w:pPr>
      <w:ind w:left="2160"/>
      <w:jc w:val="center"/>
      <w:rPr>
        <w:rFonts w:ascii="Times New Roman" w:eastAsia="Calibri" w:hAnsi="Times New Roman"/>
        <w:i/>
        <w:sz w:val="18"/>
        <w:szCs w:val="22"/>
      </w:rPr>
    </w:pPr>
    <w:r>
      <w:rPr>
        <w:noProof/>
      </w:rPr>
      <w:pict w14:anchorId="3366D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DED9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465F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CD04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3D55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F3EEC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1CC84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5A440" w14:textId="2379D77E" w:rsidR="00FF1863" w:rsidRDefault="00226AD1">
    <w:pPr>
      <w:pStyle w:val="Header"/>
    </w:pPr>
    <w:r>
      <w:rPr>
        <w:noProof/>
      </w:rPr>
      <w:pict w14:anchorId="35309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5A03" w14:textId="2A6ED83C" w:rsidR="00FF1863" w:rsidRDefault="00226AD1">
    <w:pPr>
      <w:pStyle w:val="Header"/>
    </w:pPr>
    <w:r>
      <w:rPr>
        <w:noProof/>
      </w:rPr>
      <w:pict w14:anchorId="328E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A2C5" w14:textId="428C9F1B" w:rsidR="00FF1863" w:rsidRDefault="00226AD1">
    <w:pPr>
      <w:pStyle w:val="Header"/>
    </w:pPr>
    <w:r>
      <w:rPr>
        <w:noProof/>
      </w:rPr>
      <w:pict w14:anchorId="13B93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666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7B134A"/>
    <w:multiLevelType w:val="multilevel"/>
    <w:tmpl w:val="7D5A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194F90"/>
    <w:multiLevelType w:val="hybridMultilevel"/>
    <w:tmpl w:val="92100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532"/>
    <w:multiLevelType w:val="multilevel"/>
    <w:tmpl w:val="0B56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8537DD"/>
    <w:multiLevelType w:val="hybridMultilevel"/>
    <w:tmpl w:val="92100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1"/>
  </w:num>
  <w:num w:numId="32">
    <w:abstractNumId w:val="6"/>
  </w:num>
  <w:num w:numId="33">
    <w:abstractNumId w:val="1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ysDQ0NjU0sjA1NTFS0lEKTi0uzszPAykwrAUA/cvATSwAAAA="/>
  </w:docVars>
  <w:rsids>
    <w:rsidRoot w:val="00AA6219"/>
    <w:rsid w:val="00000F8F"/>
    <w:rsid w:val="00004D66"/>
    <w:rsid w:val="000112D0"/>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0E7E"/>
    <w:rsid w:val="001A29D8"/>
    <w:rsid w:val="001A5CAA"/>
    <w:rsid w:val="001B0427"/>
    <w:rsid w:val="001D3A51"/>
    <w:rsid w:val="001E10D2"/>
    <w:rsid w:val="001E25B4"/>
    <w:rsid w:val="001E44FE"/>
    <w:rsid w:val="00200595"/>
    <w:rsid w:val="00204835"/>
    <w:rsid w:val="00221FA4"/>
    <w:rsid w:val="00226AD1"/>
    <w:rsid w:val="00231920"/>
    <w:rsid w:val="0023195C"/>
    <w:rsid w:val="0024282C"/>
    <w:rsid w:val="002460DC"/>
    <w:rsid w:val="00250985"/>
    <w:rsid w:val="002556F6"/>
    <w:rsid w:val="00283105"/>
    <w:rsid w:val="00284C4C"/>
    <w:rsid w:val="00287E68"/>
    <w:rsid w:val="00296529"/>
    <w:rsid w:val="002B27FB"/>
    <w:rsid w:val="002B685A"/>
    <w:rsid w:val="002C57D2"/>
    <w:rsid w:val="002C60C5"/>
    <w:rsid w:val="002E0D56"/>
    <w:rsid w:val="00310CB6"/>
    <w:rsid w:val="00315186"/>
    <w:rsid w:val="0033343E"/>
    <w:rsid w:val="003512C2"/>
    <w:rsid w:val="003570AF"/>
    <w:rsid w:val="00371FB6"/>
    <w:rsid w:val="003763C1"/>
    <w:rsid w:val="00376BBE"/>
    <w:rsid w:val="0039224F"/>
    <w:rsid w:val="003A43A4"/>
    <w:rsid w:val="003A7E18"/>
    <w:rsid w:val="003C4C86"/>
    <w:rsid w:val="003C6258"/>
    <w:rsid w:val="003E2904"/>
    <w:rsid w:val="00401927"/>
    <w:rsid w:val="00404368"/>
    <w:rsid w:val="0041027F"/>
    <w:rsid w:val="00412475"/>
    <w:rsid w:val="00423789"/>
    <w:rsid w:val="00440F43"/>
    <w:rsid w:val="00441B6F"/>
    <w:rsid w:val="00446221"/>
    <w:rsid w:val="00450E62"/>
    <w:rsid w:val="004539DB"/>
    <w:rsid w:val="00471A80"/>
    <w:rsid w:val="004D305E"/>
    <w:rsid w:val="004D4277"/>
    <w:rsid w:val="004E4362"/>
    <w:rsid w:val="004F353F"/>
    <w:rsid w:val="00500754"/>
    <w:rsid w:val="00502516"/>
    <w:rsid w:val="00502E74"/>
    <w:rsid w:val="00505F06"/>
    <w:rsid w:val="00506828"/>
    <w:rsid w:val="0053056E"/>
    <w:rsid w:val="00554FDA"/>
    <w:rsid w:val="005C784C"/>
    <w:rsid w:val="005D17F6"/>
    <w:rsid w:val="005E25B1"/>
    <w:rsid w:val="005E5539"/>
    <w:rsid w:val="00602BF5"/>
    <w:rsid w:val="00611E28"/>
    <w:rsid w:val="006173C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9BB"/>
    <w:rsid w:val="007369E6"/>
    <w:rsid w:val="00746E59"/>
    <w:rsid w:val="00751A01"/>
    <w:rsid w:val="00754C9A"/>
    <w:rsid w:val="0075599A"/>
    <w:rsid w:val="00761D52"/>
    <w:rsid w:val="0077749E"/>
    <w:rsid w:val="00790ADA"/>
    <w:rsid w:val="007D2288"/>
    <w:rsid w:val="007E088F"/>
    <w:rsid w:val="007E62A7"/>
    <w:rsid w:val="007F7B32"/>
    <w:rsid w:val="00800DDC"/>
    <w:rsid w:val="00804BC2"/>
    <w:rsid w:val="00805D60"/>
    <w:rsid w:val="0081431A"/>
    <w:rsid w:val="0083216F"/>
    <w:rsid w:val="00860000"/>
    <w:rsid w:val="00863BD3"/>
    <w:rsid w:val="008641ED"/>
    <w:rsid w:val="008647DC"/>
    <w:rsid w:val="00866D66"/>
    <w:rsid w:val="008671C6"/>
    <w:rsid w:val="00875803"/>
    <w:rsid w:val="00877A45"/>
    <w:rsid w:val="008924D8"/>
    <w:rsid w:val="008B459E"/>
    <w:rsid w:val="008E13AE"/>
    <w:rsid w:val="008E1506"/>
    <w:rsid w:val="008E710C"/>
    <w:rsid w:val="008F69D6"/>
    <w:rsid w:val="00902823"/>
    <w:rsid w:val="00915CA6"/>
    <w:rsid w:val="00927834"/>
    <w:rsid w:val="009500A6"/>
    <w:rsid w:val="00957C18"/>
    <w:rsid w:val="009659BA"/>
    <w:rsid w:val="00983040"/>
    <w:rsid w:val="009A019C"/>
    <w:rsid w:val="009A3BEB"/>
    <w:rsid w:val="009B3FB9"/>
    <w:rsid w:val="009C2465"/>
    <w:rsid w:val="009D35A0"/>
    <w:rsid w:val="009D7EB7"/>
    <w:rsid w:val="009E048A"/>
    <w:rsid w:val="009E08E9"/>
    <w:rsid w:val="009E3DB9"/>
    <w:rsid w:val="009E6E35"/>
    <w:rsid w:val="009E7BA8"/>
    <w:rsid w:val="009F0EDA"/>
    <w:rsid w:val="00A03B96"/>
    <w:rsid w:val="00A056DB"/>
    <w:rsid w:val="00A05B19"/>
    <w:rsid w:val="00A1134E"/>
    <w:rsid w:val="00A24E7E"/>
    <w:rsid w:val="00A258C3"/>
    <w:rsid w:val="00A347C0"/>
    <w:rsid w:val="00A51431"/>
    <w:rsid w:val="00A539AD"/>
    <w:rsid w:val="00A55FC7"/>
    <w:rsid w:val="00A94063"/>
    <w:rsid w:val="00AA6219"/>
    <w:rsid w:val="00AA74E0"/>
    <w:rsid w:val="00AB429D"/>
    <w:rsid w:val="00AB703F"/>
    <w:rsid w:val="00AC6BB8"/>
    <w:rsid w:val="00AE008F"/>
    <w:rsid w:val="00AE19BA"/>
    <w:rsid w:val="00AF74C8"/>
    <w:rsid w:val="00B01FCD"/>
    <w:rsid w:val="00B05C89"/>
    <w:rsid w:val="00B1776C"/>
    <w:rsid w:val="00B52583"/>
    <w:rsid w:val="00B52896"/>
    <w:rsid w:val="00B95236"/>
    <w:rsid w:val="00B96BD9"/>
    <w:rsid w:val="00BA1B01"/>
    <w:rsid w:val="00BA2641"/>
    <w:rsid w:val="00BB2F59"/>
    <w:rsid w:val="00BB37AA"/>
    <w:rsid w:val="00BC53A0"/>
    <w:rsid w:val="00BC65FF"/>
    <w:rsid w:val="00BE62AD"/>
    <w:rsid w:val="00BF121F"/>
    <w:rsid w:val="00BF1F80"/>
    <w:rsid w:val="00C166EF"/>
    <w:rsid w:val="00C17EB0"/>
    <w:rsid w:val="00C27F5F"/>
    <w:rsid w:val="00C30A0F"/>
    <w:rsid w:val="00C37E61"/>
    <w:rsid w:val="00C70F1B"/>
    <w:rsid w:val="00C71A47"/>
    <w:rsid w:val="00C7464C"/>
    <w:rsid w:val="00C84282"/>
    <w:rsid w:val="00C85588"/>
    <w:rsid w:val="00CA3BA5"/>
    <w:rsid w:val="00CD6755"/>
    <w:rsid w:val="00CD6856"/>
    <w:rsid w:val="00CE0089"/>
    <w:rsid w:val="00CE793C"/>
    <w:rsid w:val="00CF193C"/>
    <w:rsid w:val="00D173F1"/>
    <w:rsid w:val="00D25334"/>
    <w:rsid w:val="00D340C2"/>
    <w:rsid w:val="00D54CEE"/>
    <w:rsid w:val="00D74CB0"/>
    <w:rsid w:val="00D8295D"/>
    <w:rsid w:val="00D8519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5DB0"/>
    <w:rsid w:val="00EF581D"/>
    <w:rsid w:val="00EF7FD8"/>
    <w:rsid w:val="00F06F59"/>
    <w:rsid w:val="00F17988"/>
    <w:rsid w:val="00F23AC5"/>
    <w:rsid w:val="00F279FC"/>
    <w:rsid w:val="00F469F0"/>
    <w:rsid w:val="00F53273"/>
    <w:rsid w:val="00F576B4"/>
    <w:rsid w:val="00F6461B"/>
    <w:rsid w:val="00F735F4"/>
    <w:rsid w:val="00F755E4"/>
    <w:rsid w:val="00F77D02"/>
    <w:rsid w:val="00F851C1"/>
    <w:rsid w:val="00FB3A86"/>
    <w:rsid w:val="00FD36C8"/>
    <w:rsid w:val="00FF1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B1A1A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12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C84282"/>
  </w:style>
  <w:style w:type="paragraph" w:styleId="NormalWeb">
    <w:name w:val="Normal (Web)"/>
    <w:basedOn w:val="Normal"/>
    <w:uiPriority w:val="99"/>
    <w:unhideWhenUsed/>
    <w:rsid w:val="00C84282"/>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EE5DB0"/>
    <w:pPr>
      <w:spacing w:after="200"/>
    </w:pPr>
    <w:rPr>
      <w:i/>
      <w:iCs/>
      <w:color w:val="1F497D" w:themeColor="text2"/>
      <w:sz w:val="18"/>
      <w:szCs w:val="18"/>
    </w:rPr>
  </w:style>
  <w:style w:type="character" w:styleId="Strong">
    <w:name w:val="Strong"/>
    <w:basedOn w:val="DefaultParagraphFont"/>
    <w:uiPriority w:val="22"/>
    <w:qFormat/>
    <w:rsid w:val="00EE5DB0"/>
    <w:rPr>
      <w:b/>
      <w:bCs/>
    </w:rPr>
  </w:style>
  <w:style w:type="character" w:customStyle="1" w:styleId="Heading3Char">
    <w:name w:val="Heading 3 Char"/>
    <w:basedOn w:val="DefaultParagraphFont"/>
    <w:link w:val="Heading3"/>
    <w:semiHidden/>
    <w:rsid w:val="000112D0"/>
    <w:rPr>
      <w:rFonts w:asciiTheme="majorHAnsi" w:eastAsiaTheme="majorEastAsia" w:hAnsiTheme="majorHAnsi" w:cstheme="majorBidi"/>
      <w:color w:val="243F60" w:themeColor="accent1" w:themeShade="7F"/>
      <w:sz w:val="24"/>
      <w:szCs w:val="24"/>
    </w:rPr>
  </w:style>
  <w:style w:type="table" w:styleId="GridTable1Light">
    <w:name w:val="Grid Table 1 Light"/>
    <w:basedOn w:val="TableNormal"/>
    <w:uiPriority w:val="46"/>
    <w:rsid w:val="000112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23AC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nnonc.2021.08.13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journal/Annals-of-Oncology-1569-8041?_tp=eyJjb250ZXh0Ijp7ImZpcnN0UGFnZSI6ImhvbWUiLCJwYWdlIjoicHVibGljYXRpb24iLCJwb3NpdGlvbiI6InBhZ2VIZWFkZXIifX0" TargetMode="External"/><Relationship Id="rId2" Type="http://schemas.openxmlformats.org/officeDocument/2006/relationships/numbering" Target="numbering.xml"/><Relationship Id="rId16" Type="http://schemas.openxmlformats.org/officeDocument/2006/relationships/hyperlink" Target="https://www.path.org/our-impact/resources/rsv-vaccine-and-mab-snapsho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hat.openai.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66E0-E834-4D94-9CDA-9E16AAB2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7</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47</cp:revision>
  <cp:lastPrinted>1999-07-06T11:00:00Z</cp:lastPrinted>
  <dcterms:created xsi:type="dcterms:W3CDTF">2025-08-01T12:35:00Z</dcterms:created>
  <dcterms:modified xsi:type="dcterms:W3CDTF">2026-01-27T12:18:00Z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39eaa642-4d48-4c02-950d-7e4d7aa5d3ad</vt:lpwstr>
  </property>
</Properties>
</file>