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9C31" w14:textId="230C3CD6" w:rsidR="005E0F8B" w:rsidRDefault="005E0F8B" w:rsidP="003966F2">
      <w:pPr>
        <w:pStyle w:val="NormalWeb"/>
        <w:spacing w:before="0" w:beforeAutospacing="0" w:after="120" w:afterAutospacing="0"/>
        <w:jc w:val="center"/>
      </w:pPr>
      <w:r>
        <w:rPr>
          <w:rStyle w:val="Strong"/>
        </w:rPr>
        <w:t xml:space="preserve">Indoor Resting Density and Man-Biting Rate of </w:t>
      </w:r>
      <w:r>
        <w:rPr>
          <w:rStyle w:val="Emphasis"/>
          <w:b/>
          <w:bCs/>
        </w:rPr>
        <w:t>Anopheles gambiae</w:t>
      </w:r>
      <w:r>
        <w:rPr>
          <w:rStyle w:val="Strong"/>
        </w:rPr>
        <w:t xml:space="preserve"> </w:t>
      </w:r>
      <w:proofErr w:type="spellStart"/>
      <w:r>
        <w:rPr>
          <w:rStyle w:val="Strong"/>
        </w:rPr>
        <w:t>s.l.</w:t>
      </w:r>
      <w:proofErr w:type="spellEnd"/>
      <w:r>
        <w:rPr>
          <w:rStyle w:val="Strong"/>
        </w:rPr>
        <w:t xml:space="preserve"> in Relation to Ownership of Insecticidal Treated Bed Nets in </w:t>
      </w:r>
      <w:proofErr w:type="spellStart"/>
      <w:r>
        <w:rPr>
          <w:rStyle w:val="Strong"/>
        </w:rPr>
        <w:t>Nembe</w:t>
      </w:r>
      <w:proofErr w:type="spellEnd"/>
      <w:r>
        <w:rPr>
          <w:rStyle w:val="Strong"/>
        </w:rPr>
        <w:t xml:space="preserve"> Local Government Area, Bayelsa State, Nigeria</w:t>
      </w:r>
    </w:p>
    <w:p w14:paraId="5CA3B38F" w14:textId="77777777" w:rsidR="00E52139" w:rsidRPr="000547B0" w:rsidRDefault="00E52139" w:rsidP="003966F2">
      <w:pPr>
        <w:spacing w:after="120" w:line="240" w:lineRule="auto"/>
        <w:jc w:val="center"/>
        <w:rPr>
          <w:rFonts w:ascii="Times New Roman" w:eastAsia="Times New Roman" w:hAnsi="Times New Roman" w:cs="Times New Roman"/>
          <w:sz w:val="24"/>
          <w:szCs w:val="24"/>
        </w:rPr>
      </w:pPr>
    </w:p>
    <w:p w14:paraId="0F2C51A4" w14:textId="77777777" w:rsidR="00E52139" w:rsidRPr="000547B0" w:rsidRDefault="00E52139" w:rsidP="003966F2">
      <w:pPr>
        <w:spacing w:after="120" w:line="240" w:lineRule="auto"/>
        <w:jc w:val="center"/>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ABSTRACT</w:t>
      </w:r>
    </w:p>
    <w:p w14:paraId="17F37A7F" w14:textId="036B22D3" w:rsidR="002E5630" w:rsidRDefault="002E5630" w:rsidP="003966F2">
      <w:pPr>
        <w:pStyle w:val="NormalWeb"/>
        <w:spacing w:before="0" w:beforeAutospacing="0" w:after="120" w:afterAutospacing="0"/>
        <w:jc w:val="both"/>
      </w:pPr>
      <w:r>
        <w:t xml:space="preserve">Indoor resting density and biting activity of malaria vectors, together with household ownership of insecticidal treated bed nets (ITBN), are important indicators for evaluating malaria control interventions. This study assessed indoor resting density, man-biting rate, and ITBN ownership in selected communities of </w:t>
      </w:r>
      <w:proofErr w:type="spellStart"/>
      <w:r>
        <w:t>Nembe</w:t>
      </w:r>
      <w:proofErr w:type="spellEnd"/>
      <w:r>
        <w:t xml:space="preserve"> Local Government Area, Bayelsa State, Nigeria. Adult mosquitoes were collected using pyrethroid spray catch methods, and ITBN ownership was assessed through structured questionnaires. A total of 290 mosquitoes were collected, comprising 192 (66.2%) </w:t>
      </w:r>
      <w:r>
        <w:rPr>
          <w:rStyle w:val="Emphasis"/>
        </w:rPr>
        <w:t>Anopheles gambiae</w:t>
      </w:r>
      <w:r>
        <w:t xml:space="preserve"> sensu lato and 98 (33.8%) </w:t>
      </w:r>
      <w:r>
        <w:rPr>
          <w:rStyle w:val="Emphasis"/>
        </w:rPr>
        <w:t xml:space="preserve">Culex </w:t>
      </w:r>
      <w:proofErr w:type="spellStart"/>
      <w:r>
        <w:rPr>
          <w:rStyle w:val="Emphasis"/>
        </w:rPr>
        <w:t>quinquefasciatus</w:t>
      </w:r>
      <w:proofErr w:type="spellEnd"/>
      <w:r>
        <w:t xml:space="preserve">. Female </w:t>
      </w:r>
      <w:r>
        <w:rPr>
          <w:rStyle w:val="Emphasis"/>
        </w:rPr>
        <w:t>An. gambiae</w:t>
      </w:r>
      <w:r>
        <w:t xml:space="preserve"> were predominantly unfed (46.7%) and gravid (27.2%). The mean indoor resting density and man-biting rate were 16 mosquitoes per room per night and 21.4 bites per person per night, respectively, with significant variation across communities (p &lt; 0.05). Of the 904 households surveyed, 45.0% owned ITBN. Among owners, 88.9% reported consistent use, while 10.6% used nets irregularly. </w:t>
      </w:r>
      <w:r w:rsidR="00FB3E59">
        <w:t>Community-level analysis showed significant associations between ITBN ownership and use patterns and indoor resting density (r = 0.83, p &lt; 0.05) and estimated man-biting rate (r = 0.78, p &lt; 0.05). Irregular ITBN use was strongly associated with higher biting rates (r = 0.86, p &lt; 0.05). These findings indicate sustained indoor malaria transmission risk associated with high vector density, moderate ITBN coverage, and inconsistent utilization, highlighting the need for improved ITBN use and integrated vector control strategies in the study area.</w:t>
      </w:r>
    </w:p>
    <w:p w14:paraId="0EF34353" w14:textId="1431FEF6" w:rsidR="00E52139" w:rsidRPr="000547B0" w:rsidRDefault="00E52139" w:rsidP="003966F2">
      <w:pPr>
        <w:spacing w:after="120" w:line="240" w:lineRule="auto"/>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 xml:space="preserve">KEY WORDS: </w:t>
      </w:r>
      <w:r w:rsidRPr="000547B0">
        <w:rPr>
          <w:rFonts w:ascii="Times New Roman" w:eastAsia="Times New Roman" w:hAnsi="Times New Roman" w:cs="Times New Roman"/>
          <w:b/>
          <w:i/>
          <w:iCs/>
          <w:sz w:val="24"/>
          <w:szCs w:val="24"/>
        </w:rPr>
        <w:t>Anopheles gambiae</w:t>
      </w:r>
      <w:r w:rsidRPr="000547B0">
        <w:rPr>
          <w:rFonts w:ascii="Times New Roman" w:eastAsia="Times New Roman" w:hAnsi="Times New Roman" w:cs="Times New Roman"/>
          <w:b/>
          <w:sz w:val="24"/>
          <w:szCs w:val="24"/>
        </w:rPr>
        <w:t xml:space="preserve">, Man- biting rates, </w:t>
      </w:r>
      <w:r w:rsidR="00A7126F" w:rsidRPr="000547B0">
        <w:rPr>
          <w:rFonts w:ascii="Times New Roman" w:eastAsia="Times New Roman" w:hAnsi="Times New Roman" w:cs="Times New Roman"/>
          <w:b/>
          <w:sz w:val="24"/>
          <w:szCs w:val="24"/>
        </w:rPr>
        <w:t>indoor resting density, insecticidal treated bed net</w:t>
      </w:r>
    </w:p>
    <w:p w14:paraId="09B72C76" w14:textId="77777777" w:rsidR="00E52139" w:rsidRPr="000547B0" w:rsidRDefault="00E52139" w:rsidP="003966F2">
      <w:pPr>
        <w:spacing w:after="120" w:line="240" w:lineRule="auto"/>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INTRODUCTION</w:t>
      </w:r>
    </w:p>
    <w:p w14:paraId="358257D3" w14:textId="77777777"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 xml:space="preserve">Malaria remains one of the most important public health challenges in sub-Saharan Africa, largely due to the efficiency of its mosquito vectors. </w:t>
      </w:r>
      <w:r w:rsidRPr="000547B0">
        <w:rPr>
          <w:rStyle w:val="Emphasis"/>
          <w:color w:val="000000" w:themeColor="text1"/>
        </w:rPr>
        <w:t>Anopheles gambiae</w:t>
      </w:r>
      <w:r w:rsidRPr="000547B0">
        <w:rPr>
          <w:color w:val="000000" w:themeColor="text1"/>
        </w:rPr>
        <w:t xml:space="preserve"> sensu lato is a complex comprising several sibling species and is widely recognized as the most competent vector of human malaria parasites in the region (Coetzee et al., 2013). Its strong anthropophilic behavior, adaptability to diverse ecological conditions, and high vectorial capacity make it central to malaria transmission dynamics across Africa (</w:t>
      </w:r>
      <w:proofErr w:type="spellStart"/>
      <w:r w:rsidRPr="000547B0">
        <w:rPr>
          <w:color w:val="000000" w:themeColor="text1"/>
        </w:rPr>
        <w:t>Afrane</w:t>
      </w:r>
      <w:proofErr w:type="spellEnd"/>
      <w:r w:rsidRPr="000547B0">
        <w:rPr>
          <w:color w:val="000000" w:themeColor="text1"/>
        </w:rPr>
        <w:t xml:space="preserve"> et al., 2004; </w:t>
      </w:r>
      <w:proofErr w:type="spellStart"/>
      <w:r w:rsidRPr="000547B0">
        <w:rPr>
          <w:color w:val="000000" w:themeColor="text1"/>
        </w:rPr>
        <w:t>Appawu</w:t>
      </w:r>
      <w:proofErr w:type="spellEnd"/>
      <w:r w:rsidRPr="000547B0">
        <w:rPr>
          <w:color w:val="000000" w:themeColor="text1"/>
        </w:rPr>
        <w:t xml:space="preserve">, 2005). Consequently, understanding the ecology and behavior of </w:t>
      </w:r>
      <w:r w:rsidRPr="000547B0">
        <w:rPr>
          <w:rStyle w:val="Emphasis"/>
          <w:color w:val="000000" w:themeColor="text1"/>
        </w:rPr>
        <w:t>An. gambiae</w:t>
      </w:r>
      <w:r w:rsidRPr="000547B0">
        <w:rPr>
          <w:color w:val="000000" w:themeColor="text1"/>
        </w:rPr>
        <w:t xml:space="preserve"> </w:t>
      </w:r>
      <w:proofErr w:type="spellStart"/>
      <w:r w:rsidRPr="000547B0">
        <w:rPr>
          <w:color w:val="000000" w:themeColor="text1"/>
        </w:rPr>
        <w:t>s.l.</w:t>
      </w:r>
      <w:proofErr w:type="spellEnd"/>
      <w:r w:rsidRPr="000547B0">
        <w:rPr>
          <w:color w:val="000000" w:themeColor="text1"/>
        </w:rPr>
        <w:t xml:space="preserve"> is essential for the development and evaluation of effective malaria control strategies.</w:t>
      </w:r>
    </w:p>
    <w:p w14:paraId="647005DA" w14:textId="6AD799BC"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 xml:space="preserve">Globally, malaria continues to exert a substantial burden on public health and socio-economic development. </w:t>
      </w:r>
      <w:r w:rsidR="00FB3E59">
        <w:t xml:space="preserve">More than 94% of global malaria deaths occur in sub-Saharan Africa (WHO, 2019). </w:t>
      </w:r>
      <w:r w:rsidRPr="000547B0">
        <w:rPr>
          <w:color w:val="000000" w:themeColor="text1"/>
        </w:rPr>
        <w:t>Nigeria bears a disproportionate share of this burden, where malaria is responsible for over 60% of outpatient hospital visits, approximately 30% of childhood deaths, 25% of deaths among children under one year of age, and about 11% of maternal deaths (WHO, 2017; Federal Ministry of Health, 2014). These statistics underscore the persistent impact of malaria on vulnerable populations and the urgent need for sustained and effective control measures.</w:t>
      </w:r>
    </w:p>
    <w:p w14:paraId="389D71FC" w14:textId="77777777"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Among the various malaria control interventions implemented across Africa, long-lasting insecticidal nets (LLINs) have been identified as one of the most effective tools for reducing malaria transmission. Since their widespread introduction in the early 2000s, LLINs have contributed significantly to declines in malaria morbidity and mortality by reducing human–vector contact during peak biting hours (</w:t>
      </w:r>
      <w:proofErr w:type="spellStart"/>
      <w:r w:rsidRPr="000547B0">
        <w:rPr>
          <w:color w:val="000000" w:themeColor="text1"/>
        </w:rPr>
        <w:t>Edelu</w:t>
      </w:r>
      <w:proofErr w:type="spellEnd"/>
      <w:r w:rsidRPr="000547B0">
        <w:rPr>
          <w:color w:val="000000" w:themeColor="text1"/>
        </w:rPr>
        <w:t xml:space="preserve"> et al., 2010; Opara et al., 2010). Despite these </w:t>
      </w:r>
      <w:r w:rsidRPr="000547B0">
        <w:rPr>
          <w:color w:val="000000" w:themeColor="text1"/>
        </w:rPr>
        <w:lastRenderedPageBreak/>
        <w:t>successes, the effectiveness of LLINs has not been uniform across all settings, particularly in rural communities where access and consistent utilization remain limited.</w:t>
      </w:r>
    </w:p>
    <w:p w14:paraId="0B2A98B5" w14:textId="77777777"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In many rural areas of Nigeria, relatively few households have access to insecticidal treated bed nets, and even among those who own them, improper or inconsistent use is common due to limited awareness and socio-cultural factors (</w:t>
      </w:r>
      <w:proofErr w:type="spellStart"/>
      <w:r w:rsidRPr="000547B0">
        <w:rPr>
          <w:color w:val="000000" w:themeColor="text1"/>
        </w:rPr>
        <w:t>Ibor</w:t>
      </w:r>
      <w:proofErr w:type="spellEnd"/>
      <w:r w:rsidRPr="000547B0">
        <w:rPr>
          <w:color w:val="000000" w:themeColor="text1"/>
        </w:rPr>
        <w:t xml:space="preserve"> et al., 2012). These challenges highlight the importance of continuous monitoring and evaluation of malaria control interventions. Up-to-date entomological surveillance data are therefore critical prerequisites for scaling up and sustaining effective malaria control programs.</w:t>
      </w:r>
    </w:p>
    <w:p w14:paraId="7C310827" w14:textId="6E26440C"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Entomological surveillance provides essential information on mosquito species composition, vector density, feeding behavior, and resting patterns, all of which influence malaria transmission dynamics. Key indicators such as indoor resting density and man-biting rate are widely used to assess malaria transmission intensity and the effectiveness of vector control interventions (Curtis et al., 2003). While the widespread use of insecticidal treated bed nets reduces mosquito–human contact at the household level, understanding vector behavior—particularly indoor resting patterns</w:t>
      </w:r>
      <w:r w:rsidR="00157227" w:rsidRPr="000547B0">
        <w:rPr>
          <w:color w:val="000000" w:themeColor="text1"/>
        </w:rPr>
        <w:t xml:space="preserve"> </w:t>
      </w:r>
      <w:r w:rsidRPr="000547B0">
        <w:rPr>
          <w:color w:val="000000" w:themeColor="text1"/>
        </w:rPr>
        <w:t>is necessary for monitoring changes in mosquito biting behavior and potential adaptation to control measures (WHO, 2020).</w:t>
      </w:r>
    </w:p>
    <w:p w14:paraId="0012CD69" w14:textId="77777777" w:rsidR="004A772C" w:rsidRPr="000547B0" w:rsidRDefault="004A772C" w:rsidP="003966F2">
      <w:pPr>
        <w:pStyle w:val="NormalWeb"/>
        <w:spacing w:before="0" w:beforeAutospacing="0" w:after="120" w:afterAutospacing="0"/>
        <w:jc w:val="both"/>
        <w:rPr>
          <w:color w:val="000000" w:themeColor="text1"/>
        </w:rPr>
      </w:pPr>
      <w:r w:rsidRPr="000547B0">
        <w:rPr>
          <w:color w:val="000000" w:themeColor="text1"/>
        </w:rPr>
        <w:t xml:space="preserve">Despite the importance of these indicators, there is a paucity of information on the indoor resting density of malaria vectors and household ownership of insecticidal treated bed nets in </w:t>
      </w:r>
      <w:proofErr w:type="spellStart"/>
      <w:r w:rsidRPr="000547B0">
        <w:rPr>
          <w:color w:val="000000" w:themeColor="text1"/>
        </w:rPr>
        <w:t>Nembe</w:t>
      </w:r>
      <w:proofErr w:type="spellEnd"/>
      <w:r w:rsidRPr="000547B0">
        <w:rPr>
          <w:color w:val="000000" w:themeColor="text1"/>
        </w:rPr>
        <w:t xml:space="preserve"> Local Government Area of Bayelsa State, Nigeria. Available data for the area are limited, fragmented, or outdated, making it difficult to accurately evaluate malaria transmission dynamics and the effectiveness of ongoing vector control efforts.</w:t>
      </w:r>
    </w:p>
    <w:p w14:paraId="516C62AC" w14:textId="339073A1" w:rsidR="00221E08" w:rsidRPr="000547B0" w:rsidRDefault="004A772C" w:rsidP="003966F2">
      <w:pPr>
        <w:pStyle w:val="NormalWeb"/>
        <w:spacing w:before="0" w:beforeAutospacing="0" w:after="120" w:afterAutospacing="0"/>
        <w:jc w:val="both"/>
        <w:rPr>
          <w:color w:val="000000" w:themeColor="text1"/>
        </w:rPr>
      </w:pPr>
      <w:r w:rsidRPr="000547B0">
        <w:rPr>
          <w:color w:val="000000" w:themeColor="text1"/>
        </w:rPr>
        <w:t>This study was therefore designed to (</w:t>
      </w:r>
      <w:proofErr w:type="spellStart"/>
      <w:r w:rsidRPr="000547B0">
        <w:rPr>
          <w:color w:val="000000" w:themeColor="text1"/>
        </w:rPr>
        <w:t>i</w:t>
      </w:r>
      <w:proofErr w:type="spellEnd"/>
      <w:r w:rsidRPr="000547B0">
        <w:rPr>
          <w:color w:val="000000" w:themeColor="text1"/>
        </w:rPr>
        <w:t xml:space="preserve">) determine the indoor resting density of </w:t>
      </w:r>
      <w:r w:rsidRPr="000547B0">
        <w:rPr>
          <w:rStyle w:val="Emphasis"/>
          <w:color w:val="000000" w:themeColor="text1"/>
        </w:rPr>
        <w:t>Anopheles gambiae</w:t>
      </w:r>
      <w:r w:rsidRPr="000547B0">
        <w:rPr>
          <w:color w:val="000000" w:themeColor="text1"/>
        </w:rPr>
        <w:t xml:space="preserve"> sensu lato in selected communities of </w:t>
      </w:r>
      <w:proofErr w:type="spellStart"/>
      <w:r w:rsidRPr="000547B0">
        <w:rPr>
          <w:color w:val="000000" w:themeColor="text1"/>
        </w:rPr>
        <w:t>Nembe</w:t>
      </w:r>
      <w:proofErr w:type="spellEnd"/>
      <w:r w:rsidRPr="000547B0">
        <w:rPr>
          <w:color w:val="000000" w:themeColor="text1"/>
        </w:rPr>
        <w:t xml:space="preserve"> Local Government Area, (ii) estimate the man-biting rate of the vector using pyrethroid spray catch methods, and (iii) assess household ownership and utilization of insecticidal treated bed nets and their relationship with key entomological indices. The findings of this study are intended to provide baseline data to support malaria control planning, monitoring, and evaluation in the study area.</w:t>
      </w:r>
    </w:p>
    <w:p w14:paraId="461231DB" w14:textId="77777777" w:rsidR="00221E08" w:rsidRPr="000547B0" w:rsidRDefault="00221E08" w:rsidP="003966F2">
      <w:pPr>
        <w:spacing w:after="120" w:line="240" w:lineRule="auto"/>
        <w:jc w:val="both"/>
        <w:rPr>
          <w:rFonts w:ascii="Times New Roman" w:hAnsi="Times New Roman" w:cs="Times New Roman"/>
          <w:sz w:val="24"/>
          <w:szCs w:val="24"/>
        </w:rPr>
      </w:pPr>
      <w:r w:rsidRPr="000547B0">
        <w:rPr>
          <w:rFonts w:ascii="Times New Roman" w:eastAsia="Times New Roman" w:hAnsi="Times New Roman" w:cs="Times New Roman"/>
          <w:b/>
          <w:bCs/>
          <w:sz w:val="24"/>
          <w:szCs w:val="24"/>
        </w:rPr>
        <w:t>MATERIALS AND METHODS</w:t>
      </w:r>
    </w:p>
    <w:p w14:paraId="430F8270" w14:textId="77777777" w:rsidR="00221E08" w:rsidRPr="000547B0" w:rsidRDefault="00221E08" w:rsidP="003966F2">
      <w:pPr>
        <w:spacing w:after="120" w:line="240" w:lineRule="auto"/>
        <w:jc w:val="both"/>
        <w:rPr>
          <w:rFonts w:ascii="Times New Roman" w:hAnsi="Times New Roman" w:cs="Times New Roman"/>
          <w:kern w:val="2"/>
          <w:sz w:val="24"/>
          <w:szCs w:val="24"/>
          <w14:ligatures w14:val="standardContextual"/>
        </w:rPr>
      </w:pPr>
      <w:r w:rsidRPr="000547B0">
        <w:rPr>
          <w:rFonts w:ascii="Times New Roman" w:eastAsia="Times New Roman" w:hAnsi="Times New Roman" w:cs="Times New Roman"/>
          <w:b/>
          <w:bCs/>
          <w:sz w:val="24"/>
          <w:szCs w:val="24"/>
        </w:rPr>
        <w:t>Study Design and Objectives</w:t>
      </w:r>
    </w:p>
    <w:p w14:paraId="450BE166"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This study adopted a cross-sectional entomological and household survey design to evaluate malaria vector density and insecticidal treated bed net (ITBN) ownership in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Local Government Area (LGA), Bayelsa State, Nigeria. Specifically, the study aimed to (</w:t>
      </w:r>
      <w:proofErr w:type="spellStart"/>
      <w:r w:rsidRPr="000547B0">
        <w:rPr>
          <w:rFonts w:ascii="Times New Roman" w:eastAsia="Times New Roman" w:hAnsi="Times New Roman" w:cs="Times New Roman"/>
          <w:sz w:val="24"/>
          <w:szCs w:val="24"/>
        </w:rPr>
        <w:t>i</w:t>
      </w:r>
      <w:proofErr w:type="spellEnd"/>
      <w:r w:rsidRPr="000547B0">
        <w:rPr>
          <w:rFonts w:ascii="Times New Roman" w:eastAsia="Times New Roman" w:hAnsi="Times New Roman" w:cs="Times New Roman"/>
          <w:sz w:val="24"/>
          <w:szCs w:val="24"/>
        </w:rPr>
        <w:t xml:space="preserve">) determine the indoor resting density of </w:t>
      </w:r>
      <w:r w:rsidRPr="000547B0">
        <w:rPr>
          <w:rFonts w:ascii="Times New Roman" w:eastAsia="Times New Roman" w:hAnsi="Times New Roman" w:cs="Times New Roman"/>
          <w:i/>
          <w:iCs/>
          <w:sz w:val="24"/>
          <w:szCs w:val="24"/>
        </w:rPr>
        <w:t>Anopheles gambiae</w:t>
      </w:r>
      <w:r w:rsidRPr="000547B0">
        <w:rPr>
          <w:rFonts w:ascii="Times New Roman" w:eastAsia="Times New Roman" w:hAnsi="Times New Roman" w:cs="Times New Roman"/>
          <w:sz w:val="24"/>
          <w:szCs w:val="24"/>
        </w:rPr>
        <w:t xml:space="preserve"> sensu lato, (ii) estimate the man-biting rate of the vector using pyrethroid spray catch (PSC) collections, and (iii) assess household ownership and utilization of ITBN and their relationship with key entomological indices.</w:t>
      </w:r>
    </w:p>
    <w:p w14:paraId="73D2D04E"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Study Area</w:t>
      </w:r>
    </w:p>
    <w:p w14:paraId="798E40C3" w14:textId="6C31A4E0"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The study was conducted in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LGA, Bayelsa State, located within the coastal Niger Delta region of southern Nigeria. Three communities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w:t>
      </w:r>
      <w:proofErr w:type="spellStart"/>
      <w:r w:rsidRPr="000547B0">
        <w:rPr>
          <w:rFonts w:ascii="Times New Roman" w:eastAsia="Times New Roman" w:hAnsi="Times New Roman" w:cs="Times New Roman"/>
          <w:sz w:val="24"/>
          <w:szCs w:val="24"/>
        </w:rPr>
        <w:t>Fantuo</w:t>
      </w:r>
      <w:proofErr w:type="spellEnd"/>
      <w:r w:rsidRPr="000547B0">
        <w:rPr>
          <w:rFonts w:ascii="Times New Roman" w:eastAsia="Times New Roman" w:hAnsi="Times New Roman" w:cs="Times New Roman"/>
          <w:sz w:val="24"/>
          <w:szCs w:val="24"/>
        </w:rPr>
        <w:t xml:space="preserve">, and Abuja settlement were selected based on accessibility, population size, and evidence of recent ITBN distribution by government agencies.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covers a land area of 760km</w:t>
      </w:r>
      <w:r w:rsidRPr="000547B0">
        <w:rPr>
          <w:rFonts w:ascii="Times New Roman" w:eastAsia="Times New Roman" w:hAnsi="Times New Roman" w:cs="Times New Roman"/>
          <w:sz w:val="24"/>
          <w:szCs w:val="24"/>
          <w:vertAlign w:val="superscript"/>
        </w:rPr>
        <w:t>2</w:t>
      </w:r>
      <w:r w:rsidRPr="000547B0">
        <w:rPr>
          <w:rFonts w:ascii="Times New Roman" w:eastAsia="Times New Roman" w:hAnsi="Times New Roman" w:cs="Times New Roman"/>
          <w:sz w:val="24"/>
          <w:szCs w:val="24"/>
        </w:rPr>
        <w:t xml:space="preserve"> at the 2006 census (</w:t>
      </w:r>
      <w:proofErr w:type="spellStart"/>
      <w:r w:rsidRPr="000547B0">
        <w:rPr>
          <w:rFonts w:ascii="Times New Roman" w:eastAsia="Times New Roman" w:hAnsi="Times New Roman" w:cs="Times New Roman"/>
          <w:sz w:val="24"/>
          <w:szCs w:val="24"/>
        </w:rPr>
        <w:t>Alagoa</w:t>
      </w:r>
      <w:proofErr w:type="spellEnd"/>
      <w:r w:rsidRPr="000547B0">
        <w:rPr>
          <w:rFonts w:ascii="Times New Roman" w:eastAsia="Times New Roman" w:hAnsi="Times New Roman" w:cs="Times New Roman"/>
          <w:sz w:val="24"/>
          <w:szCs w:val="24"/>
        </w:rPr>
        <w:t xml:space="preserve">, 1999). The study area has been described extensively (Ebenezer et al., 2012). The study town/villages were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community (4</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32’22” N 6</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 xml:space="preserve">24’01” E), </w:t>
      </w:r>
      <w:proofErr w:type="spellStart"/>
      <w:r w:rsidRPr="000547B0">
        <w:rPr>
          <w:rFonts w:ascii="Times New Roman" w:eastAsia="Times New Roman" w:hAnsi="Times New Roman" w:cs="Times New Roman"/>
          <w:sz w:val="24"/>
          <w:szCs w:val="24"/>
        </w:rPr>
        <w:t>Fantuo</w:t>
      </w:r>
      <w:proofErr w:type="spellEnd"/>
      <w:r w:rsidRPr="000547B0">
        <w:rPr>
          <w:rFonts w:ascii="Times New Roman" w:eastAsia="Times New Roman" w:hAnsi="Times New Roman" w:cs="Times New Roman"/>
          <w:sz w:val="24"/>
          <w:szCs w:val="24"/>
        </w:rPr>
        <w:t xml:space="preserve"> (4</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22’48” N 6</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19’17” E) and Abuja settlement (4</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25’33” N 6</w:t>
      </w:r>
      <w:r w:rsidRPr="000547B0">
        <w:rPr>
          <w:rFonts w:ascii="Times New Roman" w:eastAsia="Times New Roman" w:hAnsi="Times New Roman" w:cs="Times New Roman"/>
          <w:sz w:val="24"/>
          <w:szCs w:val="24"/>
          <w:vertAlign w:val="superscript"/>
        </w:rPr>
        <w:t>o</w:t>
      </w:r>
      <w:r w:rsidRPr="000547B0">
        <w:rPr>
          <w:rFonts w:ascii="Times New Roman" w:eastAsia="Times New Roman" w:hAnsi="Times New Roman" w:cs="Times New Roman"/>
          <w:sz w:val="24"/>
          <w:szCs w:val="24"/>
        </w:rPr>
        <w:t xml:space="preserve">20’15” E). The area is characterized by a humid tropical climate, extensive creeks and mangrove vegetation, and low-lying terrain that supports mosquito breeding. Housing structures range from traditional mud and thatch houses </w:t>
      </w:r>
      <w:r w:rsidRPr="000547B0">
        <w:rPr>
          <w:rFonts w:ascii="Times New Roman" w:eastAsia="Times New Roman" w:hAnsi="Times New Roman" w:cs="Times New Roman"/>
          <w:sz w:val="24"/>
          <w:szCs w:val="24"/>
        </w:rPr>
        <w:lastRenderedPageBreak/>
        <w:t>to modern brick buildings with corrugated iron roofs. Fishing, farming, and petty trading constitute the major occupations of residents.</w:t>
      </w:r>
    </w:p>
    <w:p w14:paraId="61575F91"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Household Survey and ITBN Assessment</w:t>
      </w:r>
    </w:p>
    <w:p w14:paraId="6FFA18B6" w14:textId="09513DA9"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Household ownership and utilization of ITBN were assessed using a structured questionnaire administered</w:t>
      </w:r>
      <w:r w:rsidR="00FB3E59">
        <w:rPr>
          <w:rFonts w:ascii="Times New Roman" w:eastAsia="Times New Roman" w:hAnsi="Times New Roman" w:cs="Times New Roman"/>
          <w:sz w:val="24"/>
          <w:szCs w:val="24"/>
        </w:rPr>
        <w:t xml:space="preserve">. </w:t>
      </w:r>
      <w:r w:rsidR="00FB3E59" w:rsidRPr="00FB3E59">
        <w:rPr>
          <w:rFonts w:ascii="Times New Roman" w:hAnsi="Times New Roman" w:cs="Times New Roman"/>
          <w:sz w:val="24"/>
          <w:szCs w:val="24"/>
        </w:rPr>
        <w:t>Data were pooled across seasons to provide an overall assessment of ITBN ownership and vector indices,</w:t>
      </w:r>
      <w:r w:rsidRPr="00FB3E59">
        <w:rPr>
          <w:rFonts w:ascii="Times New Roman" w:eastAsia="Times New Roman" w:hAnsi="Times New Roman" w:cs="Times New Roman"/>
          <w:sz w:val="28"/>
          <w:szCs w:val="28"/>
        </w:rPr>
        <w:t xml:space="preserve"> </w:t>
      </w:r>
      <w:r w:rsidRPr="000547B0">
        <w:rPr>
          <w:rFonts w:ascii="Times New Roman" w:eastAsia="Times New Roman" w:hAnsi="Times New Roman" w:cs="Times New Roman"/>
          <w:sz w:val="24"/>
          <w:szCs w:val="24"/>
        </w:rPr>
        <w:t>between April 2020 and March 2021. Households were selected using simple random sampling within each community. The questionnaire captured demographic characteristics, ITBN ownership status, frequency of use (always, most times, rarely), and reasons for non-ownership or irregular use. A total of 904 questionnaires were administered across the three study communities. This number represents the final verified sample size and replaces earlier typographical inconsistencies. Questionnaires were administered to household heads or responsible adults after obtaining verbal informed consent.</w:t>
      </w:r>
    </w:p>
    <w:p w14:paraId="6892F28E"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Mosquito Sampling Procedure</w:t>
      </w:r>
    </w:p>
    <w:p w14:paraId="687015EA" w14:textId="6A6F9D7A" w:rsidR="00221E08" w:rsidRPr="00564F2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Adult mosquitoes were collected using the Pyrethroid Spray Catch (PSC) method following standard World Health Organization entomological procedures. In each community, two houses were sampled per sampling period, resulting in a total of six houses across the three locations. Houses were selected based on similarity in architectural design, willingness of occupants to participate, and continuous overnight occupancy. Within each house, one regularly occupied room was selected for sampling. Only rooms in which at least one person had slept the night preceding collection were included. The same rooms were consistently sampled throughout the study period to minimize variability </w:t>
      </w:r>
      <w:r w:rsidRPr="000547B0">
        <w:rPr>
          <w:rFonts w:ascii="Times New Roman" w:hAnsi="Times New Roman" w:cs="Times New Roman"/>
          <w:sz w:val="24"/>
          <w:szCs w:val="24"/>
        </w:rPr>
        <w:t>(</w:t>
      </w:r>
      <w:proofErr w:type="spellStart"/>
      <w:r w:rsidRPr="000547B0">
        <w:rPr>
          <w:rFonts w:ascii="Times New Roman" w:hAnsi="Times New Roman" w:cs="Times New Roman"/>
          <w:sz w:val="24"/>
          <w:szCs w:val="24"/>
        </w:rPr>
        <w:t>Kigadye</w:t>
      </w:r>
      <w:proofErr w:type="spellEnd"/>
      <w:r w:rsidRPr="000547B0">
        <w:rPr>
          <w:rFonts w:ascii="Times New Roman" w:hAnsi="Times New Roman" w:cs="Times New Roman"/>
          <w:sz w:val="24"/>
          <w:szCs w:val="24"/>
        </w:rPr>
        <w:t xml:space="preserve"> </w:t>
      </w:r>
      <w:r w:rsidRPr="000547B0">
        <w:rPr>
          <w:rFonts w:ascii="Times New Roman" w:hAnsi="Times New Roman" w:cs="Times New Roman"/>
          <w:i/>
          <w:sz w:val="24"/>
          <w:szCs w:val="24"/>
        </w:rPr>
        <w:t>et al</w:t>
      </w:r>
      <w:r w:rsidRPr="000547B0">
        <w:rPr>
          <w:rFonts w:ascii="Times New Roman" w:hAnsi="Times New Roman" w:cs="Times New Roman"/>
          <w:sz w:val="24"/>
          <w:szCs w:val="24"/>
        </w:rPr>
        <w:t>., 2010)</w:t>
      </w:r>
      <w:r w:rsidRPr="000547B0">
        <w:rPr>
          <w:rFonts w:ascii="Times New Roman" w:eastAsia="Times New Roman" w:hAnsi="Times New Roman" w:cs="Times New Roman"/>
          <w:sz w:val="24"/>
          <w:szCs w:val="24"/>
        </w:rPr>
        <w:t>. Prior to spraying, white sheets were spread on the floor and furniture, food items were removed, and windows and doors were closed. A commercial pyrethroid insecticide was sprayed, and rooms were left undisturbed for 15 minutes. Knocked-down mosquitoes were collected using forceps, placed in labeled Petri dishes, and preserved under cold conditions prior to identification. Sampling was conducted twice per quarter over the study period.</w:t>
      </w:r>
      <w:r w:rsidR="00564F20" w:rsidRPr="00564F20">
        <w:t xml:space="preserve"> </w:t>
      </w:r>
      <w:r w:rsidR="00564F20" w:rsidRPr="00564F20">
        <w:rPr>
          <w:rFonts w:ascii="Times New Roman" w:hAnsi="Times New Roman" w:cs="Times New Roman"/>
        </w:rPr>
        <w:t>Man-biting rate was estimated indirectly from PSC collections and should be interpreted as a proxy indicator of indoor biting potential rather than a direct human landing measure.”</w:t>
      </w:r>
    </w:p>
    <w:p w14:paraId="2F05942A"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Mosquito Identification and Gonotrophic Status</w:t>
      </w:r>
    </w:p>
    <w:p w14:paraId="0411E727"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Collected mosquitoes were morphologically identified to genus and species using standard taxonomic keys under a dissecting microscope (Coetzee </w:t>
      </w:r>
      <w:r w:rsidRPr="000547B0">
        <w:rPr>
          <w:rFonts w:ascii="Times New Roman" w:eastAsia="Times New Roman" w:hAnsi="Times New Roman" w:cs="Times New Roman"/>
          <w:i/>
          <w:sz w:val="24"/>
          <w:szCs w:val="24"/>
        </w:rPr>
        <w:t>et al</w:t>
      </w:r>
      <w:r w:rsidRPr="000547B0">
        <w:rPr>
          <w:rFonts w:ascii="Times New Roman" w:eastAsia="Times New Roman" w:hAnsi="Times New Roman" w:cs="Times New Roman"/>
          <w:sz w:val="24"/>
          <w:szCs w:val="24"/>
        </w:rPr>
        <w:t xml:space="preserve">., 2013). Female </w:t>
      </w:r>
      <w:r w:rsidRPr="000547B0">
        <w:rPr>
          <w:rFonts w:ascii="Times New Roman" w:eastAsia="Times New Roman" w:hAnsi="Times New Roman" w:cs="Times New Roman"/>
          <w:i/>
          <w:iCs/>
          <w:sz w:val="24"/>
          <w:szCs w:val="24"/>
        </w:rPr>
        <w:t>Anopheles gambiae</w:t>
      </w:r>
      <w:r w:rsidRPr="000547B0">
        <w:rPr>
          <w:rFonts w:ascii="Times New Roman" w:eastAsia="Times New Roman" w:hAnsi="Times New Roman" w:cs="Times New Roman"/>
          <w:sz w:val="24"/>
          <w:szCs w:val="24"/>
        </w:rPr>
        <w:t xml:space="preserve"> sensu lato were further classified into gonotrophic stages unfed, fed, half-gravid, and gravid based on abdominal appearance. This classification was used to assess feeding status and reproductive condition of the vector population (</w:t>
      </w:r>
      <w:proofErr w:type="spellStart"/>
      <w:r w:rsidRPr="000547B0">
        <w:rPr>
          <w:rFonts w:ascii="Times New Roman" w:eastAsia="Times New Roman" w:hAnsi="Times New Roman" w:cs="Times New Roman"/>
          <w:sz w:val="24"/>
          <w:szCs w:val="24"/>
        </w:rPr>
        <w:t>Noutcha</w:t>
      </w:r>
      <w:proofErr w:type="spellEnd"/>
      <w:r w:rsidRPr="000547B0">
        <w:rPr>
          <w:rFonts w:ascii="Times New Roman" w:eastAsia="Times New Roman" w:hAnsi="Times New Roman" w:cs="Times New Roman"/>
          <w:sz w:val="24"/>
          <w:szCs w:val="24"/>
        </w:rPr>
        <w:t xml:space="preserve"> and </w:t>
      </w:r>
      <w:proofErr w:type="spellStart"/>
      <w:r w:rsidRPr="000547B0">
        <w:rPr>
          <w:rFonts w:ascii="Times New Roman" w:eastAsia="Times New Roman" w:hAnsi="Times New Roman" w:cs="Times New Roman"/>
          <w:sz w:val="24"/>
          <w:szCs w:val="24"/>
        </w:rPr>
        <w:t>Anumudu</w:t>
      </w:r>
      <w:proofErr w:type="spellEnd"/>
      <w:r w:rsidRPr="000547B0">
        <w:rPr>
          <w:rFonts w:ascii="Times New Roman" w:eastAsia="Times New Roman" w:hAnsi="Times New Roman" w:cs="Times New Roman"/>
          <w:sz w:val="24"/>
          <w:szCs w:val="24"/>
        </w:rPr>
        <w:t>, 2009).</w:t>
      </w:r>
    </w:p>
    <w:p w14:paraId="3DDD791E"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Entomological Indices Calculation</w:t>
      </w:r>
    </w:p>
    <w:p w14:paraId="747C4558"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Indoor Resting Density (IRD) and Man Biting Rate (MBR) were calculated as follows:</w:t>
      </w:r>
    </w:p>
    <w:p w14:paraId="011B87F0" w14:textId="77777777" w:rsidR="00564F20" w:rsidRDefault="00221E08" w:rsidP="003966F2">
      <w:pPr>
        <w:spacing w:after="120" w:line="240" w:lineRule="auto"/>
        <w:jc w:val="both"/>
      </w:pPr>
      <w:r w:rsidRPr="000547B0">
        <w:rPr>
          <w:rFonts w:ascii="Times New Roman" w:eastAsia="Times New Roman" w:hAnsi="Times New Roman" w:cs="Times New Roman"/>
          <w:sz w:val="24"/>
          <w:szCs w:val="24"/>
        </w:rPr>
        <w:t xml:space="preserve">                                       </w:t>
      </w:r>
      <w:r w:rsidR="00564F20">
        <w:rPr>
          <w:rFonts w:ascii="Times New Roman" w:eastAsia="Times New Roman" w:hAnsi="Times New Roman" w:cs="Times New Roman"/>
          <w:i/>
          <w:iCs/>
          <w:sz w:val="24"/>
          <w:szCs w:val="24"/>
        </w:rPr>
        <w:t>I</w:t>
      </w:r>
      <w:r w:rsidR="00564F20">
        <w:rPr>
          <w:rStyle w:val="Emphasis"/>
        </w:rPr>
        <w:t>RD</w:t>
      </w:r>
      <w:r w:rsidR="002176CC">
        <w:rPr>
          <w:rStyle w:val="Emphasis"/>
        </w:rPr>
        <w:t xml:space="preserve"> = </w:t>
      </w:r>
      <w:r w:rsidR="00564F20">
        <w:t>Total Anopheles collected / Number of rooms sampled</w:t>
      </w:r>
    </w:p>
    <w:p w14:paraId="0306CBAB"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IRD was expressed as the number of </w:t>
      </w:r>
      <w:r w:rsidRPr="000547B0">
        <w:rPr>
          <w:rFonts w:ascii="Times New Roman" w:eastAsia="Times New Roman" w:hAnsi="Times New Roman" w:cs="Times New Roman"/>
          <w:i/>
          <w:iCs/>
          <w:sz w:val="24"/>
          <w:szCs w:val="24"/>
        </w:rPr>
        <w:t>Anopheles gambiae</w:t>
      </w:r>
      <w:r w:rsidRPr="000547B0">
        <w:rPr>
          <w:rFonts w:ascii="Times New Roman" w:eastAsia="Times New Roman" w:hAnsi="Times New Roman" w:cs="Times New Roman"/>
          <w:sz w:val="24"/>
          <w:szCs w:val="24"/>
        </w:rPr>
        <w:t xml:space="preserve"> per room per night.</w:t>
      </w:r>
    </w:p>
    <w:p w14:paraId="4746B575" w14:textId="77777777" w:rsidR="00564F20" w:rsidRDefault="00221E08" w:rsidP="003966F2">
      <w:pPr>
        <w:spacing w:after="120" w:line="240" w:lineRule="auto"/>
        <w:jc w:val="both"/>
      </w:pPr>
      <w:r w:rsidRPr="000547B0">
        <w:rPr>
          <w:rFonts w:ascii="Times New Roman" w:eastAsia="Times New Roman" w:hAnsi="Times New Roman" w:cs="Times New Roman"/>
          <w:b/>
          <w:bCs/>
          <w:sz w:val="24"/>
          <w:szCs w:val="24"/>
        </w:rPr>
        <w:t xml:space="preserve">                                         </w:t>
      </w:r>
      <w:r w:rsidR="002176CC">
        <w:rPr>
          <w:rStyle w:val="Emphasis"/>
        </w:rPr>
        <w:t xml:space="preserve">MBR = </w:t>
      </w:r>
      <w:r w:rsidR="00564F20">
        <w:t>Total fed female Anopheles / Number of occupants</w:t>
      </w:r>
    </w:p>
    <w:p w14:paraId="01656B75"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MBR was expressed as bites per person per night.</w:t>
      </w:r>
    </w:p>
    <w:p w14:paraId="2AD82ADE"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These indices were calculated following standard WHO guidelines for malaria vector surveillance.</w:t>
      </w:r>
    </w:p>
    <w:p w14:paraId="41F14571"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Data Analysis and Statistical Methods</w:t>
      </w:r>
    </w:p>
    <w:p w14:paraId="6001C745"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lastRenderedPageBreak/>
        <w:t>Data obtained from mosquito collections and household surveys were entered and analyzed using descriptive and inferential statistics. Mosquito species composition, gonotrophic status, and ITBN ownership were summarized using frequencies and percentages. All percentages were recalculated and cross-checked to ensure consistency across tables, figures, and text. Differences in indoor resting density and man-biting rate across study locations were tested using one-way Analysis of Variance (ANOVA). Where applicable, test statistics, degrees of freedom, and p-values were reported. Relationships between ITBN ownership variables and entomological indices (IRD and MBR) were assessed using Pearson’s correlation analysis. To reduce multicollinearity and redundancy, correlation analysis was restricted to associations between ITBN variables and entomological indices, excluding correlations among closely related ITBN variables. Statistical significance was set at p &lt; 0.05.</w:t>
      </w:r>
    </w:p>
    <w:p w14:paraId="3F4681AD"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b/>
          <w:bCs/>
          <w:sz w:val="24"/>
          <w:szCs w:val="24"/>
        </w:rPr>
        <w:t>Treatment of High Correlation Values</w:t>
      </w:r>
    </w:p>
    <w:p w14:paraId="0EE99B00" w14:textId="77777777" w:rsidR="00221E08" w:rsidRPr="000547B0" w:rsidRDefault="00221E0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High correlation coefficients observed between ITBN ownership variables and entomological indices were interpreted in the context of aggregated community-level data and proportional household variables derived from the same dataset. This analytical limitation was acknowledged, and results were interpreted cautiously to reflect associations rather than causality.</w:t>
      </w:r>
    </w:p>
    <w:p w14:paraId="624BBF8A" w14:textId="3FAF4230" w:rsidR="00E52139" w:rsidRPr="000547B0" w:rsidRDefault="00E52139" w:rsidP="003966F2">
      <w:pPr>
        <w:spacing w:after="120" w:line="240" w:lineRule="auto"/>
        <w:rPr>
          <w:rFonts w:ascii="Times New Roman" w:eastAsia="Times New Roman" w:hAnsi="Times New Roman" w:cs="Times New Roman"/>
          <w:bCs/>
          <w:sz w:val="24"/>
          <w:szCs w:val="24"/>
        </w:rPr>
      </w:pPr>
      <w:r w:rsidRPr="000547B0">
        <w:rPr>
          <w:rFonts w:ascii="Times New Roman" w:eastAsia="Times New Roman" w:hAnsi="Times New Roman" w:cs="Times New Roman"/>
          <w:b/>
          <w:sz w:val="24"/>
          <w:szCs w:val="24"/>
        </w:rPr>
        <w:t xml:space="preserve">RESULTS </w:t>
      </w:r>
    </w:p>
    <w:p w14:paraId="5D8BAD5A" w14:textId="4E99AB3B" w:rsidR="002B03D0" w:rsidRPr="000547B0" w:rsidRDefault="00157227" w:rsidP="003966F2">
      <w:pPr>
        <w:spacing w:after="120" w:line="240" w:lineRule="auto"/>
        <w:jc w:val="both"/>
        <w:rPr>
          <w:rFonts w:ascii="Times New Roman" w:hAnsi="Times New Roman" w:cs="Times New Roman"/>
          <w:noProof/>
          <w:sz w:val="24"/>
          <w:szCs w:val="24"/>
        </w:rPr>
      </w:pPr>
      <w:r w:rsidRPr="000547B0">
        <w:rPr>
          <w:rFonts w:ascii="Times New Roman" w:hAnsi="Times New Roman" w:cs="Times New Roman"/>
          <w:sz w:val="24"/>
          <w:szCs w:val="24"/>
        </w:rPr>
        <w:t xml:space="preserve">Figure 1 illustrates the relative abundance of mosquito species collected across the study locations during the sampling period, showing the predominance of </w:t>
      </w:r>
      <w:r w:rsidRPr="000547B0">
        <w:rPr>
          <w:rStyle w:val="Emphasis"/>
          <w:rFonts w:ascii="Times New Roman" w:hAnsi="Times New Roman" w:cs="Times New Roman"/>
          <w:sz w:val="24"/>
          <w:szCs w:val="24"/>
        </w:rPr>
        <w:t>Anopheles gambiae</w:t>
      </w:r>
      <w:r w:rsidRPr="000547B0">
        <w:rPr>
          <w:rFonts w:ascii="Times New Roman" w:hAnsi="Times New Roman" w:cs="Times New Roman"/>
          <w:sz w:val="24"/>
          <w:szCs w:val="24"/>
        </w:rPr>
        <w:t xml:space="preserve"> over </w:t>
      </w:r>
      <w:r w:rsidRPr="000547B0">
        <w:rPr>
          <w:rStyle w:val="Emphasis"/>
          <w:rFonts w:ascii="Times New Roman" w:hAnsi="Times New Roman" w:cs="Times New Roman"/>
          <w:sz w:val="24"/>
          <w:szCs w:val="24"/>
        </w:rPr>
        <w:t xml:space="preserve">Culex </w:t>
      </w:r>
      <w:proofErr w:type="spellStart"/>
      <w:r w:rsidRPr="000547B0">
        <w:rPr>
          <w:rStyle w:val="Emphasis"/>
          <w:rFonts w:ascii="Times New Roman" w:hAnsi="Times New Roman" w:cs="Times New Roman"/>
          <w:sz w:val="24"/>
          <w:szCs w:val="24"/>
        </w:rPr>
        <w:t>quinquefasciatus</w:t>
      </w:r>
      <w:proofErr w:type="spellEnd"/>
      <w:r w:rsidRPr="000547B0">
        <w:rPr>
          <w:rFonts w:ascii="Times New Roman" w:hAnsi="Times New Roman" w:cs="Times New Roman"/>
          <w:sz w:val="24"/>
          <w:szCs w:val="24"/>
        </w:rPr>
        <w:t xml:space="preserve">. </w:t>
      </w:r>
      <w:r w:rsidR="0030783A" w:rsidRPr="000547B0">
        <w:rPr>
          <w:rFonts w:ascii="Times New Roman" w:hAnsi="Times New Roman" w:cs="Times New Roman"/>
          <w:bCs/>
          <w:sz w:val="24"/>
          <w:szCs w:val="24"/>
        </w:rPr>
        <w:t>Two hundred and ninety (290</w:t>
      </w:r>
      <w:r w:rsidR="00F95490" w:rsidRPr="000547B0">
        <w:rPr>
          <w:rFonts w:ascii="Times New Roman" w:hAnsi="Times New Roman" w:cs="Times New Roman"/>
          <w:bCs/>
          <w:sz w:val="24"/>
          <w:szCs w:val="24"/>
        </w:rPr>
        <w:t>) mosquitoes</w:t>
      </w:r>
      <w:r w:rsidR="0030783A" w:rsidRPr="000547B0">
        <w:rPr>
          <w:rFonts w:ascii="Times New Roman" w:hAnsi="Times New Roman" w:cs="Times New Roman"/>
          <w:bCs/>
          <w:sz w:val="24"/>
          <w:szCs w:val="24"/>
        </w:rPr>
        <w:t xml:space="preserve"> were </w:t>
      </w:r>
      <w:r w:rsidR="00F95490" w:rsidRPr="000547B0">
        <w:rPr>
          <w:rFonts w:ascii="Times New Roman" w:hAnsi="Times New Roman" w:cs="Times New Roman"/>
          <w:bCs/>
          <w:sz w:val="24"/>
          <w:szCs w:val="24"/>
        </w:rPr>
        <w:t>collected from</w:t>
      </w:r>
      <w:r w:rsidR="0030783A" w:rsidRPr="000547B0">
        <w:rPr>
          <w:rFonts w:ascii="Times New Roman" w:hAnsi="Times New Roman" w:cs="Times New Roman"/>
          <w:bCs/>
          <w:sz w:val="24"/>
          <w:szCs w:val="24"/>
        </w:rPr>
        <w:t xml:space="preserve"> the study locations; </w:t>
      </w:r>
      <w:bookmarkStart w:id="0" w:name="_Hlk147199554"/>
      <w:r w:rsidR="0030783A" w:rsidRPr="000547B0">
        <w:rPr>
          <w:rFonts w:ascii="Times New Roman" w:hAnsi="Times New Roman" w:cs="Times New Roman"/>
          <w:bCs/>
          <w:sz w:val="24"/>
          <w:szCs w:val="24"/>
        </w:rPr>
        <w:t>98(33.8</w:t>
      </w:r>
      <w:r w:rsidR="00F95490" w:rsidRPr="000547B0">
        <w:rPr>
          <w:rFonts w:ascii="Times New Roman" w:hAnsi="Times New Roman" w:cs="Times New Roman"/>
          <w:bCs/>
          <w:sz w:val="24"/>
          <w:szCs w:val="24"/>
        </w:rPr>
        <w:t>%</w:t>
      </w:r>
      <w:r w:rsidR="0030783A" w:rsidRPr="000547B0">
        <w:rPr>
          <w:rFonts w:ascii="Times New Roman" w:hAnsi="Times New Roman" w:cs="Times New Roman"/>
          <w:bCs/>
          <w:sz w:val="24"/>
          <w:szCs w:val="24"/>
        </w:rPr>
        <w:t>)</w:t>
      </w:r>
      <w:r w:rsidR="00F95490" w:rsidRPr="000547B0">
        <w:rPr>
          <w:rFonts w:ascii="Times New Roman" w:hAnsi="Times New Roman" w:cs="Times New Roman"/>
          <w:bCs/>
          <w:sz w:val="24"/>
          <w:szCs w:val="24"/>
        </w:rPr>
        <w:t xml:space="preserve"> </w:t>
      </w:r>
      <w:r w:rsidR="0030783A" w:rsidRPr="000547B0">
        <w:rPr>
          <w:rFonts w:ascii="Times New Roman" w:hAnsi="Times New Roman" w:cs="Times New Roman"/>
          <w:bCs/>
          <w:sz w:val="24"/>
          <w:szCs w:val="24"/>
        </w:rPr>
        <w:t xml:space="preserve">were </w:t>
      </w:r>
      <w:r w:rsidR="0030783A" w:rsidRPr="000547B0">
        <w:rPr>
          <w:rFonts w:ascii="Times New Roman" w:hAnsi="Times New Roman" w:cs="Times New Roman"/>
          <w:bCs/>
          <w:i/>
          <w:iCs/>
          <w:sz w:val="24"/>
          <w:szCs w:val="24"/>
        </w:rPr>
        <w:t xml:space="preserve">Culex </w:t>
      </w:r>
      <w:proofErr w:type="spellStart"/>
      <w:r w:rsidR="0030783A" w:rsidRPr="000547B0">
        <w:rPr>
          <w:rFonts w:ascii="Times New Roman" w:hAnsi="Times New Roman" w:cs="Times New Roman"/>
          <w:bCs/>
          <w:i/>
          <w:iCs/>
          <w:sz w:val="24"/>
          <w:szCs w:val="24"/>
        </w:rPr>
        <w:t>quinquefasciatus</w:t>
      </w:r>
      <w:proofErr w:type="spellEnd"/>
      <w:r w:rsidR="0030783A" w:rsidRPr="000547B0">
        <w:rPr>
          <w:rFonts w:ascii="Times New Roman" w:hAnsi="Times New Roman" w:cs="Times New Roman"/>
          <w:bCs/>
          <w:sz w:val="24"/>
          <w:szCs w:val="24"/>
        </w:rPr>
        <w:t xml:space="preserve"> </w:t>
      </w:r>
      <w:r w:rsidR="0030783A" w:rsidRPr="000547B0">
        <w:rPr>
          <w:rFonts w:ascii="Times New Roman" w:eastAsia="Times New Roman" w:hAnsi="Times New Roman" w:cs="Times New Roman"/>
          <w:bCs/>
          <w:sz w:val="24"/>
          <w:szCs w:val="24"/>
        </w:rPr>
        <w:t xml:space="preserve">while </w:t>
      </w:r>
      <w:r w:rsidR="0030783A" w:rsidRPr="000547B0">
        <w:rPr>
          <w:rFonts w:ascii="Times New Roman" w:hAnsi="Times New Roman" w:cs="Times New Roman"/>
          <w:bCs/>
          <w:sz w:val="24"/>
          <w:szCs w:val="24"/>
        </w:rPr>
        <w:t>192(66.2</w:t>
      </w:r>
      <w:r w:rsidR="00F95490" w:rsidRPr="000547B0">
        <w:rPr>
          <w:rFonts w:ascii="Times New Roman" w:hAnsi="Times New Roman" w:cs="Times New Roman"/>
          <w:bCs/>
          <w:sz w:val="24"/>
          <w:szCs w:val="24"/>
        </w:rPr>
        <w:t>%</w:t>
      </w:r>
      <w:r w:rsidR="0030783A" w:rsidRPr="000547B0">
        <w:rPr>
          <w:rFonts w:ascii="Times New Roman" w:hAnsi="Times New Roman" w:cs="Times New Roman"/>
          <w:bCs/>
          <w:sz w:val="24"/>
          <w:szCs w:val="24"/>
        </w:rPr>
        <w:t>)</w:t>
      </w:r>
      <w:r w:rsidR="00F95490" w:rsidRPr="000547B0">
        <w:rPr>
          <w:rFonts w:ascii="Times New Roman" w:hAnsi="Times New Roman" w:cs="Times New Roman"/>
          <w:bCs/>
          <w:sz w:val="24"/>
          <w:szCs w:val="24"/>
        </w:rPr>
        <w:t xml:space="preserve"> were </w:t>
      </w:r>
      <w:r w:rsidR="00F95490" w:rsidRPr="000547B0">
        <w:rPr>
          <w:rFonts w:ascii="Times New Roman" w:hAnsi="Times New Roman" w:cs="Times New Roman"/>
          <w:bCs/>
          <w:i/>
          <w:iCs/>
          <w:sz w:val="24"/>
          <w:szCs w:val="24"/>
        </w:rPr>
        <w:t>Anopheles gambiae</w:t>
      </w:r>
      <w:bookmarkEnd w:id="0"/>
      <w:r w:rsidR="00432605" w:rsidRPr="000547B0">
        <w:rPr>
          <w:rFonts w:ascii="Times New Roman" w:hAnsi="Times New Roman" w:cs="Times New Roman"/>
          <w:bCs/>
          <w:i/>
          <w:iCs/>
          <w:sz w:val="24"/>
          <w:szCs w:val="24"/>
        </w:rPr>
        <w:t xml:space="preserve"> </w:t>
      </w:r>
      <w:r w:rsidR="00405591" w:rsidRPr="000547B0">
        <w:rPr>
          <w:rFonts w:ascii="Times New Roman" w:hAnsi="Times New Roman" w:cs="Times New Roman"/>
          <w:bCs/>
          <w:sz w:val="24"/>
          <w:szCs w:val="24"/>
        </w:rPr>
        <w:t>(fig.1)</w:t>
      </w:r>
      <w:r w:rsidR="00F95490" w:rsidRPr="000547B0">
        <w:rPr>
          <w:rFonts w:ascii="Times New Roman" w:hAnsi="Times New Roman" w:cs="Times New Roman"/>
          <w:b/>
          <w:sz w:val="24"/>
          <w:szCs w:val="24"/>
        </w:rPr>
        <w:t xml:space="preserve">. </w:t>
      </w:r>
      <w:r w:rsidR="00B61400" w:rsidRPr="00B61400">
        <w:rPr>
          <w:rFonts w:ascii="Times New Roman" w:hAnsi="Times New Roman" w:cs="Times New Roman"/>
          <w:bCs/>
          <w:sz w:val="24"/>
          <w:szCs w:val="24"/>
        </w:rPr>
        <w:t>F</w:t>
      </w:r>
      <w:r w:rsidRPr="000547B0">
        <w:rPr>
          <w:rFonts w:ascii="Times New Roman" w:hAnsi="Times New Roman" w:cs="Times New Roman"/>
          <w:sz w:val="24"/>
          <w:szCs w:val="24"/>
        </w:rPr>
        <w:t xml:space="preserve">igure 2 shows the distribution of gonotrophic stages of female </w:t>
      </w:r>
      <w:r w:rsidRPr="000547B0">
        <w:rPr>
          <w:rStyle w:val="Emphasis"/>
          <w:rFonts w:ascii="Times New Roman" w:hAnsi="Times New Roman" w:cs="Times New Roman"/>
          <w:sz w:val="24"/>
          <w:szCs w:val="24"/>
        </w:rPr>
        <w:t>Anopheles gambiae</w:t>
      </w:r>
      <w:r w:rsidRPr="000547B0">
        <w:rPr>
          <w:rFonts w:ascii="Times New Roman" w:hAnsi="Times New Roman" w:cs="Times New Roman"/>
          <w:sz w:val="24"/>
          <w:szCs w:val="24"/>
        </w:rPr>
        <w:t xml:space="preserve"> collected using PSC, highlighting a higher proportion of unfed and gravid females. </w:t>
      </w:r>
      <w:r w:rsidR="00F95490" w:rsidRPr="000547B0">
        <w:rPr>
          <w:rFonts w:ascii="Times New Roman" w:eastAsia="Times New Roman" w:hAnsi="Times New Roman" w:cs="Times New Roman"/>
          <w:sz w:val="24"/>
          <w:szCs w:val="24"/>
        </w:rPr>
        <w:t xml:space="preserve">Among the </w:t>
      </w:r>
      <w:r w:rsidR="00F95490" w:rsidRPr="000547B0">
        <w:rPr>
          <w:rFonts w:ascii="Times New Roman" w:eastAsia="Times New Roman" w:hAnsi="Times New Roman" w:cs="Times New Roman"/>
          <w:i/>
          <w:iCs/>
          <w:sz w:val="24"/>
          <w:szCs w:val="24"/>
        </w:rPr>
        <w:t>Anopheles gambiae</w:t>
      </w:r>
      <w:r w:rsidR="00E52139" w:rsidRPr="000547B0">
        <w:rPr>
          <w:rFonts w:ascii="Times New Roman" w:eastAsia="Times New Roman" w:hAnsi="Times New Roman" w:cs="Times New Roman"/>
          <w:sz w:val="24"/>
          <w:szCs w:val="24"/>
        </w:rPr>
        <w:t>, more</w:t>
      </w:r>
      <w:r w:rsidR="006E21D2" w:rsidRPr="000547B0">
        <w:rPr>
          <w:rFonts w:ascii="Times New Roman" w:eastAsia="Times New Roman" w:hAnsi="Times New Roman" w:cs="Times New Roman"/>
          <w:sz w:val="24"/>
          <w:szCs w:val="24"/>
        </w:rPr>
        <w:t xml:space="preserve"> </w:t>
      </w:r>
      <w:r w:rsidR="00060457" w:rsidRPr="000547B0">
        <w:rPr>
          <w:rFonts w:ascii="Times New Roman" w:eastAsia="Times New Roman" w:hAnsi="Times New Roman" w:cs="Times New Roman"/>
          <w:sz w:val="24"/>
          <w:szCs w:val="24"/>
        </w:rPr>
        <w:t>(46.7</w:t>
      </w:r>
      <w:r w:rsidR="006E21D2" w:rsidRPr="000547B0">
        <w:rPr>
          <w:rFonts w:ascii="Times New Roman" w:eastAsia="Times New Roman" w:hAnsi="Times New Roman" w:cs="Times New Roman"/>
          <w:sz w:val="24"/>
          <w:szCs w:val="24"/>
        </w:rPr>
        <w:t>%) were</w:t>
      </w:r>
      <w:r w:rsidR="003C4356" w:rsidRPr="000547B0">
        <w:rPr>
          <w:rFonts w:ascii="Times New Roman" w:eastAsia="Times New Roman" w:hAnsi="Times New Roman" w:cs="Times New Roman"/>
          <w:sz w:val="24"/>
          <w:szCs w:val="24"/>
        </w:rPr>
        <w:t xml:space="preserve"> </w:t>
      </w:r>
      <w:r w:rsidR="009A0B3D" w:rsidRPr="000547B0">
        <w:rPr>
          <w:rFonts w:ascii="Times New Roman" w:eastAsia="Times New Roman" w:hAnsi="Times New Roman" w:cs="Times New Roman"/>
          <w:sz w:val="24"/>
          <w:szCs w:val="24"/>
        </w:rPr>
        <w:t xml:space="preserve">unfed </w:t>
      </w:r>
      <w:r w:rsidR="00E52139" w:rsidRPr="000547B0">
        <w:rPr>
          <w:rFonts w:ascii="Times New Roman" w:eastAsia="Times New Roman" w:hAnsi="Times New Roman" w:cs="Times New Roman"/>
          <w:sz w:val="24"/>
          <w:szCs w:val="24"/>
        </w:rPr>
        <w:t xml:space="preserve">than fed </w:t>
      </w:r>
      <w:r w:rsidR="003C4356" w:rsidRPr="000547B0">
        <w:rPr>
          <w:rFonts w:ascii="Times New Roman" w:eastAsia="Times New Roman" w:hAnsi="Times New Roman" w:cs="Times New Roman"/>
          <w:sz w:val="24"/>
          <w:szCs w:val="24"/>
        </w:rPr>
        <w:t>(10.1%</w:t>
      </w:r>
      <w:r w:rsidR="009A0B3D" w:rsidRPr="000547B0">
        <w:rPr>
          <w:rFonts w:ascii="Times New Roman" w:eastAsia="Times New Roman" w:hAnsi="Times New Roman" w:cs="Times New Roman"/>
          <w:sz w:val="24"/>
          <w:szCs w:val="24"/>
        </w:rPr>
        <w:t xml:space="preserve">); </w:t>
      </w:r>
      <w:r w:rsidR="00060457" w:rsidRPr="000547B0">
        <w:rPr>
          <w:rFonts w:ascii="Times New Roman" w:eastAsia="Times New Roman" w:hAnsi="Times New Roman" w:cs="Times New Roman"/>
          <w:sz w:val="24"/>
          <w:szCs w:val="24"/>
        </w:rPr>
        <w:t xml:space="preserve">while </w:t>
      </w:r>
      <w:r w:rsidR="009A0B3D" w:rsidRPr="000547B0">
        <w:rPr>
          <w:rFonts w:ascii="Times New Roman" w:eastAsia="Times New Roman" w:hAnsi="Times New Roman" w:cs="Times New Roman"/>
          <w:sz w:val="24"/>
          <w:szCs w:val="24"/>
        </w:rPr>
        <w:t>more</w:t>
      </w:r>
      <w:r w:rsidR="00E52139" w:rsidRPr="000547B0">
        <w:rPr>
          <w:rFonts w:ascii="Times New Roman" w:eastAsia="Times New Roman" w:hAnsi="Times New Roman" w:cs="Times New Roman"/>
          <w:sz w:val="24"/>
          <w:szCs w:val="24"/>
        </w:rPr>
        <w:t xml:space="preserve"> </w:t>
      </w:r>
      <w:r w:rsidR="00060457" w:rsidRPr="000547B0">
        <w:rPr>
          <w:rFonts w:ascii="Times New Roman" w:eastAsia="Times New Roman" w:hAnsi="Times New Roman" w:cs="Times New Roman"/>
          <w:sz w:val="24"/>
          <w:szCs w:val="24"/>
        </w:rPr>
        <w:t xml:space="preserve">(27.2%) </w:t>
      </w:r>
      <w:r w:rsidR="00E52139" w:rsidRPr="000547B0">
        <w:rPr>
          <w:rFonts w:ascii="Times New Roman" w:eastAsia="Times New Roman" w:hAnsi="Times New Roman" w:cs="Times New Roman"/>
          <w:sz w:val="24"/>
          <w:szCs w:val="24"/>
        </w:rPr>
        <w:t xml:space="preserve">were </w:t>
      </w:r>
      <w:r w:rsidR="006E21D2" w:rsidRPr="000547B0">
        <w:rPr>
          <w:rFonts w:ascii="Times New Roman" w:eastAsia="Times New Roman" w:hAnsi="Times New Roman" w:cs="Times New Roman"/>
          <w:sz w:val="24"/>
          <w:szCs w:val="24"/>
        </w:rPr>
        <w:t>gravid than</w:t>
      </w:r>
      <w:r w:rsidR="00E52139" w:rsidRPr="000547B0">
        <w:rPr>
          <w:rFonts w:ascii="Times New Roman" w:eastAsia="Times New Roman" w:hAnsi="Times New Roman" w:cs="Times New Roman"/>
          <w:sz w:val="24"/>
          <w:szCs w:val="24"/>
        </w:rPr>
        <w:t xml:space="preserve"> </w:t>
      </w:r>
      <w:r w:rsidR="003C4356" w:rsidRPr="000547B0">
        <w:rPr>
          <w:rFonts w:ascii="Times New Roman" w:eastAsia="Times New Roman" w:hAnsi="Times New Roman" w:cs="Times New Roman"/>
          <w:sz w:val="24"/>
          <w:szCs w:val="24"/>
        </w:rPr>
        <w:t xml:space="preserve">half </w:t>
      </w:r>
      <w:r w:rsidR="00E52139" w:rsidRPr="000547B0">
        <w:rPr>
          <w:rFonts w:ascii="Times New Roman" w:eastAsia="Times New Roman" w:hAnsi="Times New Roman" w:cs="Times New Roman"/>
          <w:sz w:val="24"/>
          <w:szCs w:val="24"/>
        </w:rPr>
        <w:t>gravid (16.</w:t>
      </w:r>
      <w:r w:rsidR="003C4356" w:rsidRPr="000547B0">
        <w:rPr>
          <w:rFonts w:ascii="Times New Roman" w:eastAsia="Times New Roman" w:hAnsi="Times New Roman" w:cs="Times New Roman"/>
          <w:sz w:val="24"/>
          <w:szCs w:val="24"/>
        </w:rPr>
        <w:t>0</w:t>
      </w:r>
      <w:r w:rsidR="005369E7" w:rsidRPr="000547B0">
        <w:rPr>
          <w:rFonts w:ascii="Times New Roman" w:eastAsia="Times New Roman" w:hAnsi="Times New Roman" w:cs="Times New Roman"/>
          <w:sz w:val="24"/>
          <w:szCs w:val="24"/>
        </w:rPr>
        <w:t>%) (fig.</w:t>
      </w:r>
      <w:r w:rsidR="00960F3C" w:rsidRPr="000547B0">
        <w:rPr>
          <w:rFonts w:ascii="Times New Roman" w:eastAsia="Times New Roman" w:hAnsi="Times New Roman" w:cs="Times New Roman"/>
          <w:sz w:val="24"/>
          <w:szCs w:val="24"/>
        </w:rPr>
        <w:t xml:space="preserve"> </w:t>
      </w:r>
      <w:r w:rsidR="00405591" w:rsidRPr="000547B0">
        <w:rPr>
          <w:rFonts w:ascii="Times New Roman" w:eastAsia="Times New Roman" w:hAnsi="Times New Roman" w:cs="Times New Roman"/>
          <w:sz w:val="24"/>
          <w:szCs w:val="24"/>
        </w:rPr>
        <w:t>2</w:t>
      </w:r>
      <w:r w:rsidR="00960F3C" w:rsidRPr="000547B0">
        <w:rPr>
          <w:rFonts w:ascii="Times New Roman" w:eastAsia="Times New Roman" w:hAnsi="Times New Roman" w:cs="Times New Roman"/>
          <w:sz w:val="24"/>
          <w:szCs w:val="24"/>
        </w:rPr>
        <w:t>)</w:t>
      </w:r>
      <w:r w:rsidR="00E52139" w:rsidRPr="000547B0">
        <w:rPr>
          <w:rFonts w:ascii="Times New Roman" w:eastAsia="Times New Roman" w:hAnsi="Times New Roman" w:cs="Times New Roman"/>
          <w:sz w:val="24"/>
          <w:szCs w:val="24"/>
        </w:rPr>
        <w:t xml:space="preserve">. </w:t>
      </w:r>
      <w:r w:rsidRPr="000547B0">
        <w:rPr>
          <w:rFonts w:ascii="Times New Roman" w:hAnsi="Times New Roman" w:cs="Times New Roman"/>
          <w:sz w:val="24"/>
          <w:szCs w:val="24"/>
        </w:rPr>
        <w:t xml:space="preserve">Table 1 presents the indoor resting density and man-biting rate of </w:t>
      </w:r>
      <w:r w:rsidRPr="000547B0">
        <w:rPr>
          <w:rStyle w:val="Emphasis"/>
          <w:rFonts w:ascii="Times New Roman" w:hAnsi="Times New Roman" w:cs="Times New Roman"/>
          <w:sz w:val="24"/>
          <w:szCs w:val="24"/>
        </w:rPr>
        <w:t>Anopheles gambiae</w:t>
      </w:r>
      <w:r w:rsidRPr="000547B0">
        <w:rPr>
          <w:rFonts w:ascii="Times New Roman" w:hAnsi="Times New Roman" w:cs="Times New Roman"/>
          <w:sz w:val="24"/>
          <w:szCs w:val="24"/>
        </w:rPr>
        <w:t xml:space="preserve"> across the three study communities. </w:t>
      </w:r>
      <w:r w:rsidR="00844A1D" w:rsidRPr="000547B0">
        <w:rPr>
          <w:rFonts w:ascii="Times New Roman" w:eastAsia="Times New Roman" w:hAnsi="Times New Roman" w:cs="Times New Roman"/>
          <w:sz w:val="24"/>
          <w:szCs w:val="24"/>
        </w:rPr>
        <w:t xml:space="preserve">The estimated IRD and MBR of the </w:t>
      </w:r>
      <w:r w:rsidR="00844A1D" w:rsidRPr="000547B0">
        <w:rPr>
          <w:rFonts w:ascii="Times New Roman" w:eastAsia="Times New Roman" w:hAnsi="Times New Roman" w:cs="Times New Roman"/>
          <w:i/>
          <w:iCs/>
          <w:sz w:val="24"/>
          <w:szCs w:val="24"/>
        </w:rPr>
        <w:t>Anopheles gambiae</w:t>
      </w:r>
      <w:r w:rsidR="002B03D0" w:rsidRPr="000547B0">
        <w:rPr>
          <w:rFonts w:ascii="Times New Roman" w:eastAsia="Times New Roman" w:hAnsi="Times New Roman" w:cs="Times New Roman"/>
          <w:i/>
          <w:iCs/>
          <w:sz w:val="24"/>
          <w:szCs w:val="24"/>
        </w:rPr>
        <w:t xml:space="preserve"> </w:t>
      </w:r>
      <w:r w:rsidR="002B03D0" w:rsidRPr="000547B0">
        <w:rPr>
          <w:rFonts w:ascii="Times New Roman" w:eastAsia="Times New Roman" w:hAnsi="Times New Roman" w:cs="Times New Roman"/>
          <w:iCs/>
          <w:sz w:val="24"/>
          <w:szCs w:val="24"/>
        </w:rPr>
        <w:t>was</w:t>
      </w:r>
      <w:r w:rsidR="002B03D0" w:rsidRPr="000547B0">
        <w:rPr>
          <w:rFonts w:ascii="Times New Roman" w:eastAsia="Times New Roman" w:hAnsi="Times New Roman" w:cs="Times New Roman"/>
          <w:i/>
          <w:iCs/>
          <w:sz w:val="24"/>
          <w:szCs w:val="24"/>
        </w:rPr>
        <w:t xml:space="preserve"> </w:t>
      </w:r>
      <w:r w:rsidR="002B03D0" w:rsidRPr="000547B0">
        <w:rPr>
          <w:rFonts w:ascii="Times New Roman" w:eastAsia="Times New Roman" w:hAnsi="Times New Roman" w:cs="Times New Roman"/>
          <w:sz w:val="24"/>
          <w:szCs w:val="24"/>
        </w:rPr>
        <w:t xml:space="preserve">16 </w:t>
      </w:r>
      <w:r w:rsidR="00DE1EFB" w:rsidRPr="000547B0">
        <w:rPr>
          <w:rFonts w:ascii="Times New Roman" w:eastAsia="Times New Roman" w:hAnsi="Times New Roman" w:cs="Times New Roman"/>
          <w:i/>
          <w:iCs/>
          <w:sz w:val="24"/>
          <w:szCs w:val="24"/>
        </w:rPr>
        <w:t>Anopheles</w:t>
      </w:r>
      <w:r w:rsidR="00DE1EFB" w:rsidRPr="000547B0">
        <w:rPr>
          <w:rFonts w:ascii="Times New Roman" w:eastAsia="Times New Roman" w:hAnsi="Times New Roman" w:cs="Times New Roman"/>
          <w:sz w:val="24"/>
          <w:szCs w:val="24"/>
        </w:rPr>
        <w:t xml:space="preserve"> per</w:t>
      </w:r>
      <w:r w:rsidR="002B03D0" w:rsidRPr="000547B0">
        <w:rPr>
          <w:rFonts w:ascii="Times New Roman" w:eastAsia="Times New Roman" w:hAnsi="Times New Roman" w:cs="Times New Roman"/>
          <w:sz w:val="24"/>
          <w:szCs w:val="24"/>
        </w:rPr>
        <w:t xml:space="preserve"> room/ night and 21.4</w:t>
      </w:r>
      <w:r w:rsidR="00DE1EFB" w:rsidRPr="000547B0">
        <w:rPr>
          <w:rFonts w:ascii="Times New Roman" w:eastAsia="Times New Roman" w:hAnsi="Times New Roman" w:cs="Times New Roman"/>
          <w:sz w:val="24"/>
          <w:szCs w:val="24"/>
        </w:rPr>
        <w:t xml:space="preserve"> </w:t>
      </w:r>
      <w:r w:rsidR="002B03D0" w:rsidRPr="000547B0">
        <w:rPr>
          <w:rFonts w:ascii="Times New Roman" w:eastAsia="Times New Roman" w:hAnsi="Times New Roman" w:cs="Times New Roman"/>
          <w:sz w:val="24"/>
          <w:szCs w:val="24"/>
        </w:rPr>
        <w:t>bites</w:t>
      </w:r>
      <w:r w:rsidR="00DE1EFB" w:rsidRPr="000547B0">
        <w:rPr>
          <w:rFonts w:ascii="Times New Roman" w:eastAsia="Times New Roman" w:hAnsi="Times New Roman" w:cs="Times New Roman"/>
          <w:sz w:val="24"/>
          <w:szCs w:val="24"/>
        </w:rPr>
        <w:t xml:space="preserve"> per</w:t>
      </w:r>
      <w:r w:rsidR="002B03D0" w:rsidRPr="000547B0">
        <w:rPr>
          <w:rFonts w:ascii="Times New Roman" w:eastAsia="Times New Roman" w:hAnsi="Times New Roman" w:cs="Times New Roman"/>
          <w:sz w:val="24"/>
          <w:szCs w:val="24"/>
        </w:rPr>
        <w:t xml:space="preserve"> person/</w:t>
      </w:r>
      <w:r w:rsidR="00DE1EFB" w:rsidRPr="000547B0">
        <w:rPr>
          <w:rFonts w:ascii="Times New Roman" w:eastAsia="Times New Roman" w:hAnsi="Times New Roman" w:cs="Times New Roman"/>
          <w:sz w:val="24"/>
          <w:szCs w:val="24"/>
        </w:rPr>
        <w:t xml:space="preserve"> </w:t>
      </w:r>
      <w:r w:rsidR="002B03D0" w:rsidRPr="000547B0">
        <w:rPr>
          <w:rFonts w:ascii="Times New Roman" w:eastAsia="Times New Roman" w:hAnsi="Times New Roman" w:cs="Times New Roman"/>
          <w:sz w:val="24"/>
          <w:szCs w:val="24"/>
        </w:rPr>
        <w:t>night respectively (table 1).</w:t>
      </w:r>
      <w:r w:rsidR="00844A1D" w:rsidRPr="000547B0">
        <w:rPr>
          <w:rFonts w:ascii="Times New Roman" w:eastAsia="Times New Roman" w:hAnsi="Times New Roman" w:cs="Times New Roman"/>
          <w:sz w:val="24"/>
          <w:szCs w:val="24"/>
        </w:rPr>
        <w:t xml:space="preserve"> The indoor resting density varied across study </w:t>
      </w:r>
      <w:r w:rsidR="00E62933" w:rsidRPr="000547B0">
        <w:rPr>
          <w:rFonts w:ascii="Times New Roman" w:eastAsia="Times New Roman" w:hAnsi="Times New Roman" w:cs="Times New Roman"/>
          <w:sz w:val="24"/>
          <w:szCs w:val="24"/>
        </w:rPr>
        <w:t>locations</w:t>
      </w:r>
      <w:r w:rsidR="002B03D0" w:rsidRPr="000547B0">
        <w:rPr>
          <w:rFonts w:ascii="Times New Roman" w:eastAsia="Times New Roman" w:hAnsi="Times New Roman" w:cs="Times New Roman"/>
          <w:sz w:val="24"/>
          <w:szCs w:val="24"/>
        </w:rPr>
        <w:t>. Both the estimated</w:t>
      </w:r>
      <w:r w:rsidR="00093E5D" w:rsidRPr="000547B0">
        <w:rPr>
          <w:rFonts w:ascii="Times New Roman" w:eastAsia="Times New Roman" w:hAnsi="Times New Roman" w:cs="Times New Roman"/>
          <w:sz w:val="24"/>
          <w:szCs w:val="24"/>
        </w:rPr>
        <w:t xml:space="preserve"> </w:t>
      </w:r>
      <w:r w:rsidR="004424F4" w:rsidRPr="000547B0">
        <w:rPr>
          <w:rFonts w:ascii="Times New Roman" w:eastAsia="Times New Roman" w:hAnsi="Times New Roman" w:cs="Times New Roman"/>
          <w:sz w:val="24"/>
          <w:szCs w:val="24"/>
        </w:rPr>
        <w:t xml:space="preserve">IRD </w:t>
      </w:r>
      <w:r w:rsidR="002B03D0" w:rsidRPr="000547B0">
        <w:rPr>
          <w:rFonts w:ascii="Times New Roman" w:eastAsia="Times New Roman" w:hAnsi="Times New Roman" w:cs="Times New Roman"/>
          <w:sz w:val="24"/>
          <w:szCs w:val="24"/>
        </w:rPr>
        <w:t>and MBR were higher in</w:t>
      </w:r>
      <w:r w:rsidR="00093E5D" w:rsidRPr="000547B0">
        <w:rPr>
          <w:rFonts w:ascii="Times New Roman" w:eastAsia="Times New Roman" w:hAnsi="Times New Roman" w:cs="Times New Roman"/>
          <w:sz w:val="24"/>
          <w:szCs w:val="24"/>
        </w:rPr>
        <w:t xml:space="preserve"> </w:t>
      </w:r>
      <w:proofErr w:type="spellStart"/>
      <w:r w:rsidR="00093E5D" w:rsidRPr="000547B0">
        <w:rPr>
          <w:rFonts w:ascii="Times New Roman" w:eastAsia="Times New Roman" w:hAnsi="Times New Roman" w:cs="Times New Roman"/>
          <w:sz w:val="24"/>
          <w:szCs w:val="24"/>
        </w:rPr>
        <w:t>Nembe</w:t>
      </w:r>
      <w:proofErr w:type="spellEnd"/>
      <w:r w:rsidR="00093E5D" w:rsidRPr="000547B0">
        <w:rPr>
          <w:rFonts w:ascii="Times New Roman" w:eastAsia="Times New Roman" w:hAnsi="Times New Roman" w:cs="Times New Roman"/>
          <w:sz w:val="24"/>
          <w:szCs w:val="24"/>
        </w:rPr>
        <w:t xml:space="preserve"> and least in Abuja</w:t>
      </w:r>
      <w:r w:rsidR="00844A1D" w:rsidRPr="000547B0">
        <w:rPr>
          <w:rFonts w:ascii="Times New Roman" w:eastAsia="Times New Roman" w:hAnsi="Times New Roman" w:cs="Times New Roman"/>
          <w:sz w:val="24"/>
          <w:szCs w:val="24"/>
        </w:rPr>
        <w:t>.</w:t>
      </w:r>
      <w:r w:rsidR="002B03D0" w:rsidRPr="000547B0">
        <w:rPr>
          <w:rFonts w:ascii="Times New Roman" w:eastAsia="Times New Roman" w:hAnsi="Times New Roman" w:cs="Times New Roman"/>
          <w:sz w:val="24"/>
          <w:szCs w:val="24"/>
        </w:rPr>
        <w:t xml:space="preserve"> </w:t>
      </w:r>
      <w:r w:rsidR="005369E7" w:rsidRPr="000547B0">
        <w:rPr>
          <w:rFonts w:ascii="Times New Roman" w:eastAsia="Times New Roman" w:hAnsi="Times New Roman" w:cs="Times New Roman"/>
          <w:sz w:val="24"/>
          <w:szCs w:val="24"/>
        </w:rPr>
        <w:t>The differences in the PSC man biting rates</w:t>
      </w:r>
      <w:r w:rsidR="002B03D0" w:rsidRPr="000547B0">
        <w:rPr>
          <w:rFonts w:ascii="Times New Roman" w:eastAsia="Times New Roman" w:hAnsi="Times New Roman" w:cs="Times New Roman"/>
          <w:sz w:val="24"/>
          <w:szCs w:val="24"/>
        </w:rPr>
        <w:t xml:space="preserve"> and indoor resting </w:t>
      </w:r>
      <w:r w:rsidR="00452CF3" w:rsidRPr="000547B0">
        <w:rPr>
          <w:rFonts w:ascii="Times New Roman" w:eastAsia="Times New Roman" w:hAnsi="Times New Roman" w:cs="Times New Roman"/>
          <w:sz w:val="24"/>
          <w:szCs w:val="24"/>
        </w:rPr>
        <w:t>density across</w:t>
      </w:r>
      <w:r w:rsidR="005369E7" w:rsidRPr="000547B0">
        <w:rPr>
          <w:rFonts w:ascii="Times New Roman" w:eastAsia="Times New Roman" w:hAnsi="Times New Roman" w:cs="Times New Roman"/>
          <w:sz w:val="24"/>
          <w:szCs w:val="24"/>
        </w:rPr>
        <w:t xml:space="preserve"> locations were significant</w:t>
      </w:r>
      <w:r w:rsidR="00DE1EFB" w:rsidRPr="000547B0">
        <w:rPr>
          <w:rFonts w:ascii="Times New Roman" w:eastAsia="Times New Roman" w:hAnsi="Times New Roman" w:cs="Times New Roman"/>
          <w:sz w:val="24"/>
          <w:szCs w:val="24"/>
        </w:rPr>
        <w:t xml:space="preserve"> </w:t>
      </w:r>
      <w:r w:rsidR="005369E7" w:rsidRPr="000547B0">
        <w:rPr>
          <w:rFonts w:ascii="Times New Roman" w:eastAsia="Times New Roman" w:hAnsi="Times New Roman" w:cs="Times New Roman"/>
          <w:sz w:val="24"/>
          <w:szCs w:val="24"/>
        </w:rPr>
        <w:t>(</w:t>
      </w:r>
      <w:r w:rsidR="005369E7" w:rsidRPr="000547B0">
        <w:rPr>
          <w:rFonts w:ascii="Times New Roman" w:eastAsia="Times New Roman" w:hAnsi="Times New Roman" w:cs="Times New Roman"/>
          <w:bCs/>
          <w:sz w:val="24"/>
          <w:szCs w:val="24"/>
        </w:rPr>
        <w:t>p&lt;0.05).</w:t>
      </w:r>
      <w:r w:rsidR="0030783A" w:rsidRPr="000547B0">
        <w:rPr>
          <w:rFonts w:ascii="Times New Roman" w:hAnsi="Times New Roman" w:cs="Times New Roman"/>
          <w:noProof/>
          <w:sz w:val="24"/>
          <w:szCs w:val="24"/>
        </w:rPr>
        <w:t xml:space="preserve"> </w:t>
      </w:r>
    </w:p>
    <w:p w14:paraId="0EFFF504" w14:textId="169B43FB" w:rsidR="005369E7" w:rsidRPr="000547B0" w:rsidRDefault="0030783A" w:rsidP="003966F2">
      <w:pPr>
        <w:spacing w:after="120" w:line="240" w:lineRule="auto"/>
        <w:jc w:val="both"/>
        <w:rPr>
          <w:rFonts w:ascii="Times New Roman" w:hAnsi="Times New Roman" w:cs="Times New Roman"/>
          <w:noProof/>
          <w:sz w:val="24"/>
          <w:szCs w:val="24"/>
        </w:rPr>
      </w:pPr>
      <w:r w:rsidRPr="000547B0">
        <w:rPr>
          <w:rFonts w:ascii="Times New Roman" w:hAnsi="Times New Roman" w:cs="Times New Roman"/>
          <w:noProof/>
          <w:sz w:val="24"/>
          <w:szCs w:val="24"/>
          <w:lang w:val="en-GB" w:eastAsia="en-GB"/>
        </w:rPr>
        <w:drawing>
          <wp:inline distT="0" distB="0" distL="0" distR="0" wp14:anchorId="16DC354E" wp14:editId="48C3C124">
            <wp:extent cx="4572000" cy="2428875"/>
            <wp:effectExtent l="0" t="0" r="0" b="9525"/>
            <wp:docPr id="1017098342" name="Chart 1">
              <a:extLst xmlns:a="http://schemas.openxmlformats.org/drawingml/2006/main">
                <a:ext uri="{FF2B5EF4-FFF2-40B4-BE49-F238E27FC236}">
                  <a16:creationId xmlns:a16="http://schemas.microsoft.com/office/drawing/2014/main" id="{C21C8BDA-8096-3F44-80AA-AE815330A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061A8F" w14:textId="06769CCD" w:rsidR="00830C08" w:rsidRPr="000547B0" w:rsidRDefault="00F95490"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noProof/>
          <w:sz w:val="24"/>
          <w:szCs w:val="24"/>
        </w:rPr>
        <w:t xml:space="preserve">Fig. 1: mosquitoes species collected across the study location during </w:t>
      </w:r>
      <w:r w:rsidRPr="000547B0">
        <w:rPr>
          <w:rFonts w:ascii="Times New Roman" w:eastAsia="Times New Roman" w:hAnsi="Times New Roman" w:cs="Times New Roman"/>
          <w:sz w:val="24"/>
          <w:szCs w:val="24"/>
        </w:rPr>
        <w:t>April 2020 – March 2021</w:t>
      </w:r>
    </w:p>
    <w:p w14:paraId="029E0E95" w14:textId="6CFC63AF" w:rsidR="005369E7" w:rsidRPr="000547B0" w:rsidRDefault="009A0B3D" w:rsidP="003966F2">
      <w:pPr>
        <w:spacing w:after="120" w:line="240" w:lineRule="auto"/>
        <w:jc w:val="both"/>
        <w:rPr>
          <w:rFonts w:ascii="Times New Roman" w:eastAsia="Times New Roman" w:hAnsi="Times New Roman" w:cs="Times New Roman"/>
          <w:sz w:val="24"/>
          <w:szCs w:val="24"/>
        </w:rPr>
      </w:pPr>
      <w:r w:rsidRPr="000547B0">
        <w:rPr>
          <w:rFonts w:ascii="Times New Roman" w:hAnsi="Times New Roman" w:cs="Times New Roman"/>
          <w:noProof/>
          <w:sz w:val="24"/>
          <w:szCs w:val="24"/>
          <w:lang w:val="en-GB" w:eastAsia="en-GB"/>
        </w:rPr>
        <w:lastRenderedPageBreak/>
        <w:drawing>
          <wp:inline distT="0" distB="0" distL="0" distR="0" wp14:anchorId="298933A0" wp14:editId="63E97C31">
            <wp:extent cx="4572000" cy="2743200"/>
            <wp:effectExtent l="0" t="0" r="0" b="0"/>
            <wp:docPr id="770373155" name="Chart 1">
              <a:extLst xmlns:a="http://schemas.openxmlformats.org/drawingml/2006/main">
                <a:ext uri="{FF2B5EF4-FFF2-40B4-BE49-F238E27FC236}">
                  <a16:creationId xmlns:a16="http://schemas.microsoft.com/office/drawing/2014/main" id="{BC296795-740B-8BA5-C38D-8B11153CE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4759AF" w14:textId="060FE711" w:rsidR="00894DCB" w:rsidRPr="000547B0" w:rsidRDefault="005369E7"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Fig </w:t>
      </w:r>
      <w:r w:rsidR="00F95490" w:rsidRPr="000547B0">
        <w:rPr>
          <w:rFonts w:ascii="Times New Roman" w:eastAsia="Times New Roman" w:hAnsi="Times New Roman" w:cs="Times New Roman"/>
          <w:sz w:val="24"/>
          <w:szCs w:val="24"/>
        </w:rPr>
        <w:t>2</w:t>
      </w:r>
      <w:r w:rsidRPr="000547B0">
        <w:rPr>
          <w:rFonts w:ascii="Times New Roman" w:eastAsia="Times New Roman" w:hAnsi="Times New Roman" w:cs="Times New Roman"/>
          <w:sz w:val="24"/>
          <w:szCs w:val="24"/>
        </w:rPr>
        <w:t xml:space="preserve">: </w:t>
      </w:r>
      <w:r w:rsidR="00AA7001">
        <w:rPr>
          <w:rFonts w:ascii="Times New Roman" w:hAnsi="Times New Roman" w:cs="Times New Roman"/>
          <w:sz w:val="24"/>
          <w:szCs w:val="24"/>
        </w:rPr>
        <w:t>D</w:t>
      </w:r>
      <w:r w:rsidR="00AA7001" w:rsidRPr="000547B0">
        <w:rPr>
          <w:rFonts w:ascii="Times New Roman" w:hAnsi="Times New Roman" w:cs="Times New Roman"/>
          <w:sz w:val="24"/>
          <w:szCs w:val="24"/>
        </w:rPr>
        <w:t xml:space="preserve">istribution of gonotrophic stages of female </w:t>
      </w:r>
      <w:r w:rsidR="00AA7001" w:rsidRPr="000547B0">
        <w:rPr>
          <w:rStyle w:val="Emphasis"/>
          <w:rFonts w:ascii="Times New Roman" w:hAnsi="Times New Roman" w:cs="Times New Roman"/>
          <w:sz w:val="24"/>
          <w:szCs w:val="24"/>
        </w:rPr>
        <w:t>Anopheles gambiae</w:t>
      </w:r>
      <w:r w:rsidR="00AA7001" w:rsidRPr="000547B0">
        <w:rPr>
          <w:rFonts w:ascii="Times New Roman" w:hAnsi="Times New Roman" w:cs="Times New Roman"/>
          <w:sz w:val="24"/>
          <w:szCs w:val="24"/>
        </w:rPr>
        <w:t xml:space="preserve"> collected using PSC</w:t>
      </w:r>
      <w:r w:rsidR="00AA7001" w:rsidRPr="000547B0">
        <w:rPr>
          <w:rFonts w:ascii="Times New Roman" w:eastAsia="Times New Roman" w:hAnsi="Times New Roman" w:cs="Times New Roman"/>
          <w:sz w:val="24"/>
          <w:szCs w:val="24"/>
        </w:rPr>
        <w:t xml:space="preserve"> </w:t>
      </w:r>
    </w:p>
    <w:p w14:paraId="45140084" w14:textId="77777777" w:rsidR="000E5110" w:rsidRPr="000547B0" w:rsidRDefault="000E5110" w:rsidP="003966F2">
      <w:pPr>
        <w:spacing w:after="120" w:line="240" w:lineRule="auto"/>
        <w:jc w:val="both"/>
        <w:rPr>
          <w:rFonts w:ascii="Times New Roman" w:eastAsia="Times New Roman" w:hAnsi="Times New Roman" w:cs="Times New Roman"/>
          <w:b/>
          <w:sz w:val="24"/>
          <w:szCs w:val="24"/>
        </w:rPr>
        <w:sectPr w:rsidR="000E5110" w:rsidRPr="000547B0" w:rsidSect="006D523E">
          <w:footerReference w:type="default" r:id="rId9"/>
          <w:type w:val="continuous"/>
          <w:pgSz w:w="11907" w:h="16839" w:code="9"/>
          <w:pgMar w:top="1440" w:right="1440" w:bottom="1440" w:left="1440" w:header="720" w:footer="720" w:gutter="0"/>
          <w:cols w:space="720"/>
          <w:docGrid w:linePitch="360"/>
        </w:sectPr>
      </w:pPr>
    </w:p>
    <w:p w14:paraId="30BF4DAD" w14:textId="77777777" w:rsidR="0061272A" w:rsidRPr="000547B0" w:rsidRDefault="0061272A" w:rsidP="003966F2">
      <w:pPr>
        <w:spacing w:after="120" w:line="240" w:lineRule="auto"/>
        <w:jc w:val="both"/>
        <w:rPr>
          <w:rFonts w:ascii="Times New Roman" w:eastAsia="Times New Roman" w:hAnsi="Times New Roman" w:cs="Times New Roman"/>
          <w:b/>
          <w:sz w:val="24"/>
          <w:szCs w:val="24"/>
        </w:rPr>
      </w:pPr>
    </w:p>
    <w:p w14:paraId="7812F5D4" w14:textId="78A95428" w:rsidR="00E52139" w:rsidRDefault="00841EAF" w:rsidP="003966F2">
      <w:pPr>
        <w:spacing w:after="120" w:line="240" w:lineRule="auto"/>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 xml:space="preserve">Table 1: </w:t>
      </w:r>
      <w:r w:rsidR="00E52139" w:rsidRPr="000547B0">
        <w:rPr>
          <w:rFonts w:ascii="Times New Roman" w:eastAsia="Times New Roman" w:hAnsi="Times New Roman" w:cs="Times New Roman"/>
          <w:b/>
          <w:sz w:val="24"/>
          <w:szCs w:val="24"/>
        </w:rPr>
        <w:t xml:space="preserve"> Man Biting Rate</w:t>
      </w:r>
      <w:r w:rsidR="00F072F9" w:rsidRPr="000547B0">
        <w:rPr>
          <w:rFonts w:ascii="Times New Roman" w:eastAsia="Times New Roman" w:hAnsi="Times New Roman" w:cs="Times New Roman"/>
          <w:b/>
          <w:sz w:val="24"/>
          <w:szCs w:val="24"/>
        </w:rPr>
        <w:t xml:space="preserve"> </w:t>
      </w:r>
      <w:r w:rsidR="0061272A" w:rsidRPr="000547B0">
        <w:rPr>
          <w:rFonts w:ascii="Times New Roman" w:eastAsia="Times New Roman" w:hAnsi="Times New Roman" w:cs="Times New Roman"/>
          <w:b/>
          <w:sz w:val="24"/>
          <w:szCs w:val="24"/>
        </w:rPr>
        <w:t>(MBR)</w:t>
      </w:r>
      <w:r w:rsidR="00E52139" w:rsidRPr="000547B0">
        <w:rPr>
          <w:rFonts w:ascii="Times New Roman" w:eastAsia="Times New Roman" w:hAnsi="Times New Roman" w:cs="Times New Roman"/>
          <w:b/>
          <w:sz w:val="24"/>
          <w:szCs w:val="24"/>
        </w:rPr>
        <w:t xml:space="preserve"> </w:t>
      </w:r>
      <w:r w:rsidR="0061272A" w:rsidRPr="000547B0">
        <w:rPr>
          <w:rFonts w:ascii="Times New Roman" w:eastAsia="Times New Roman" w:hAnsi="Times New Roman" w:cs="Times New Roman"/>
          <w:b/>
          <w:sz w:val="24"/>
          <w:szCs w:val="24"/>
        </w:rPr>
        <w:t>and indoor Resting density</w:t>
      </w:r>
      <w:r w:rsidR="002B03D0" w:rsidRPr="000547B0">
        <w:rPr>
          <w:rFonts w:ascii="Times New Roman" w:eastAsia="Times New Roman" w:hAnsi="Times New Roman" w:cs="Times New Roman"/>
          <w:b/>
          <w:sz w:val="24"/>
          <w:szCs w:val="24"/>
        </w:rPr>
        <w:t xml:space="preserve"> </w:t>
      </w:r>
      <w:r w:rsidR="00F072F9" w:rsidRPr="000547B0">
        <w:rPr>
          <w:rFonts w:ascii="Times New Roman" w:eastAsia="Times New Roman" w:hAnsi="Times New Roman" w:cs="Times New Roman"/>
          <w:b/>
          <w:sz w:val="24"/>
          <w:szCs w:val="24"/>
        </w:rPr>
        <w:t>(IRD)</w:t>
      </w:r>
      <w:r w:rsidR="0061272A" w:rsidRPr="000547B0">
        <w:rPr>
          <w:rFonts w:ascii="Times New Roman" w:eastAsia="Times New Roman" w:hAnsi="Times New Roman" w:cs="Times New Roman"/>
          <w:b/>
          <w:sz w:val="24"/>
          <w:szCs w:val="24"/>
        </w:rPr>
        <w:t xml:space="preserve"> </w:t>
      </w:r>
      <w:r w:rsidR="00E52139" w:rsidRPr="000547B0">
        <w:rPr>
          <w:rFonts w:ascii="Times New Roman" w:eastAsia="Times New Roman" w:hAnsi="Times New Roman" w:cs="Times New Roman"/>
          <w:b/>
          <w:sz w:val="24"/>
          <w:szCs w:val="24"/>
        </w:rPr>
        <w:t xml:space="preserve">of PSC-Collected </w:t>
      </w:r>
      <w:r w:rsidR="00E52139" w:rsidRPr="000547B0">
        <w:rPr>
          <w:rFonts w:ascii="Times New Roman" w:eastAsia="Times New Roman" w:hAnsi="Times New Roman" w:cs="Times New Roman"/>
          <w:b/>
          <w:i/>
          <w:sz w:val="24"/>
          <w:szCs w:val="24"/>
        </w:rPr>
        <w:t>Anopheles gambiae</w:t>
      </w:r>
      <w:r w:rsidR="00E52139" w:rsidRPr="000547B0">
        <w:rPr>
          <w:rFonts w:ascii="Times New Roman" w:eastAsia="Times New Roman" w:hAnsi="Times New Roman" w:cs="Times New Roman"/>
          <w:b/>
          <w:sz w:val="24"/>
          <w:szCs w:val="24"/>
        </w:rPr>
        <w:t xml:space="preserve"> across Locations</w:t>
      </w:r>
    </w:p>
    <w:tbl>
      <w:tblPr>
        <w:tblStyle w:val="TableGrid"/>
        <w:tblW w:w="0" w:type="auto"/>
        <w:tblLook w:val="04A0" w:firstRow="1" w:lastRow="0" w:firstColumn="1" w:lastColumn="0" w:noHBand="0" w:noVBand="1"/>
      </w:tblPr>
      <w:tblGrid>
        <w:gridCol w:w="1408"/>
        <w:gridCol w:w="1638"/>
        <w:gridCol w:w="1310"/>
        <w:gridCol w:w="1959"/>
        <w:gridCol w:w="4413"/>
        <w:gridCol w:w="3447"/>
      </w:tblGrid>
      <w:tr w:rsidR="004350C7" w:rsidRPr="004350C7" w14:paraId="1EB0E78E" w14:textId="77777777" w:rsidTr="00775E99">
        <w:tc>
          <w:tcPr>
            <w:tcW w:w="0" w:type="auto"/>
            <w:tcBorders>
              <w:left w:val="nil"/>
              <w:bottom w:val="single" w:sz="4" w:space="0" w:color="auto"/>
              <w:right w:val="nil"/>
            </w:tcBorders>
            <w:hideMark/>
          </w:tcPr>
          <w:p w14:paraId="4E08DC42"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Location</w:t>
            </w:r>
          </w:p>
        </w:tc>
        <w:tc>
          <w:tcPr>
            <w:tcW w:w="0" w:type="auto"/>
            <w:tcBorders>
              <w:left w:val="nil"/>
              <w:bottom w:val="single" w:sz="4" w:space="0" w:color="auto"/>
              <w:right w:val="nil"/>
            </w:tcBorders>
            <w:hideMark/>
          </w:tcPr>
          <w:p w14:paraId="44F6A82B"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Rooms Sampled</w:t>
            </w:r>
          </w:p>
        </w:tc>
        <w:tc>
          <w:tcPr>
            <w:tcW w:w="0" w:type="auto"/>
            <w:tcBorders>
              <w:left w:val="nil"/>
              <w:bottom w:val="single" w:sz="4" w:space="0" w:color="auto"/>
              <w:right w:val="nil"/>
            </w:tcBorders>
            <w:hideMark/>
          </w:tcPr>
          <w:p w14:paraId="459E4B71"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Occupants</w:t>
            </w:r>
          </w:p>
        </w:tc>
        <w:tc>
          <w:tcPr>
            <w:tcW w:w="0" w:type="auto"/>
            <w:tcBorders>
              <w:left w:val="nil"/>
              <w:bottom w:val="single" w:sz="4" w:space="0" w:color="auto"/>
              <w:right w:val="nil"/>
            </w:tcBorders>
            <w:hideMark/>
          </w:tcPr>
          <w:p w14:paraId="64C11560"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i/>
                <w:iCs/>
                <w:sz w:val="24"/>
                <w:szCs w:val="24"/>
              </w:rPr>
              <w:t>Anopheles</w:t>
            </w:r>
            <w:r w:rsidRPr="004350C7">
              <w:rPr>
                <w:rFonts w:ascii="Times New Roman" w:eastAsia="Times New Roman" w:hAnsi="Times New Roman" w:cs="Times New Roman"/>
                <w:b/>
                <w:bCs/>
                <w:sz w:val="24"/>
                <w:szCs w:val="24"/>
              </w:rPr>
              <w:t xml:space="preserve"> Collected</w:t>
            </w:r>
          </w:p>
        </w:tc>
        <w:tc>
          <w:tcPr>
            <w:tcW w:w="0" w:type="auto"/>
            <w:tcBorders>
              <w:left w:val="nil"/>
              <w:bottom w:val="single" w:sz="4" w:space="0" w:color="auto"/>
              <w:right w:val="nil"/>
            </w:tcBorders>
            <w:hideMark/>
          </w:tcPr>
          <w:p w14:paraId="5E5DF038"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Indoor Resting Density (mosquitoes/room/night)</w:t>
            </w:r>
          </w:p>
        </w:tc>
        <w:tc>
          <w:tcPr>
            <w:tcW w:w="0" w:type="auto"/>
            <w:tcBorders>
              <w:left w:val="nil"/>
              <w:bottom w:val="single" w:sz="4" w:space="0" w:color="auto"/>
              <w:right w:val="nil"/>
            </w:tcBorders>
            <w:hideMark/>
          </w:tcPr>
          <w:p w14:paraId="54D58735"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Man-Biting Rate (bites/person/night)</w:t>
            </w:r>
          </w:p>
        </w:tc>
      </w:tr>
      <w:tr w:rsidR="004350C7" w:rsidRPr="004350C7" w14:paraId="25CA6855" w14:textId="77777777" w:rsidTr="00775E99">
        <w:tc>
          <w:tcPr>
            <w:tcW w:w="0" w:type="auto"/>
            <w:tcBorders>
              <w:left w:val="nil"/>
              <w:bottom w:val="nil"/>
              <w:right w:val="nil"/>
            </w:tcBorders>
            <w:hideMark/>
          </w:tcPr>
          <w:p w14:paraId="03AFEA43" w14:textId="77777777" w:rsidR="004350C7" w:rsidRPr="004350C7" w:rsidRDefault="004350C7" w:rsidP="003966F2">
            <w:pPr>
              <w:spacing w:after="120" w:line="276" w:lineRule="auto"/>
              <w:rPr>
                <w:rFonts w:ascii="Times New Roman" w:eastAsia="Times New Roman" w:hAnsi="Times New Roman" w:cs="Times New Roman"/>
                <w:sz w:val="24"/>
                <w:szCs w:val="24"/>
              </w:rPr>
            </w:pPr>
            <w:proofErr w:type="spellStart"/>
            <w:r w:rsidRPr="004350C7">
              <w:rPr>
                <w:rFonts w:ascii="Times New Roman" w:eastAsia="Times New Roman" w:hAnsi="Times New Roman" w:cs="Times New Roman"/>
                <w:sz w:val="24"/>
                <w:szCs w:val="24"/>
              </w:rPr>
              <w:t>Nembe</w:t>
            </w:r>
            <w:proofErr w:type="spellEnd"/>
          </w:p>
        </w:tc>
        <w:tc>
          <w:tcPr>
            <w:tcW w:w="0" w:type="auto"/>
            <w:tcBorders>
              <w:left w:val="nil"/>
              <w:bottom w:val="nil"/>
              <w:right w:val="nil"/>
            </w:tcBorders>
            <w:hideMark/>
          </w:tcPr>
          <w:p w14:paraId="0EBABE3F"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w:t>
            </w:r>
          </w:p>
        </w:tc>
        <w:tc>
          <w:tcPr>
            <w:tcW w:w="0" w:type="auto"/>
            <w:tcBorders>
              <w:left w:val="nil"/>
              <w:bottom w:val="nil"/>
              <w:right w:val="nil"/>
            </w:tcBorders>
            <w:hideMark/>
          </w:tcPr>
          <w:p w14:paraId="2D212951"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4</w:t>
            </w:r>
          </w:p>
        </w:tc>
        <w:tc>
          <w:tcPr>
            <w:tcW w:w="0" w:type="auto"/>
            <w:tcBorders>
              <w:left w:val="nil"/>
              <w:bottom w:val="nil"/>
              <w:right w:val="nil"/>
            </w:tcBorders>
            <w:hideMark/>
          </w:tcPr>
          <w:p w14:paraId="6C3AC544"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72</w:t>
            </w:r>
          </w:p>
        </w:tc>
        <w:tc>
          <w:tcPr>
            <w:tcW w:w="0" w:type="auto"/>
            <w:tcBorders>
              <w:left w:val="nil"/>
              <w:bottom w:val="nil"/>
              <w:right w:val="nil"/>
            </w:tcBorders>
            <w:hideMark/>
          </w:tcPr>
          <w:p w14:paraId="25AEAE6D"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18.0</w:t>
            </w:r>
          </w:p>
        </w:tc>
        <w:tc>
          <w:tcPr>
            <w:tcW w:w="0" w:type="auto"/>
            <w:tcBorders>
              <w:left w:val="nil"/>
              <w:bottom w:val="nil"/>
              <w:right w:val="nil"/>
            </w:tcBorders>
            <w:hideMark/>
          </w:tcPr>
          <w:p w14:paraId="396654A7"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18.0</w:t>
            </w:r>
          </w:p>
        </w:tc>
      </w:tr>
      <w:tr w:rsidR="004350C7" w:rsidRPr="004350C7" w14:paraId="72FA4D59" w14:textId="77777777" w:rsidTr="00775E99">
        <w:tc>
          <w:tcPr>
            <w:tcW w:w="0" w:type="auto"/>
            <w:tcBorders>
              <w:top w:val="nil"/>
              <w:left w:val="nil"/>
              <w:bottom w:val="nil"/>
              <w:right w:val="nil"/>
            </w:tcBorders>
            <w:hideMark/>
          </w:tcPr>
          <w:p w14:paraId="61113A4D" w14:textId="77777777" w:rsidR="004350C7" w:rsidRPr="004350C7" w:rsidRDefault="004350C7" w:rsidP="003966F2">
            <w:pPr>
              <w:spacing w:after="120" w:line="276" w:lineRule="auto"/>
              <w:rPr>
                <w:rFonts w:ascii="Times New Roman" w:eastAsia="Times New Roman" w:hAnsi="Times New Roman" w:cs="Times New Roman"/>
                <w:sz w:val="24"/>
                <w:szCs w:val="24"/>
              </w:rPr>
            </w:pPr>
            <w:proofErr w:type="spellStart"/>
            <w:r w:rsidRPr="004350C7">
              <w:rPr>
                <w:rFonts w:ascii="Times New Roman" w:eastAsia="Times New Roman" w:hAnsi="Times New Roman" w:cs="Times New Roman"/>
                <w:sz w:val="24"/>
                <w:szCs w:val="24"/>
              </w:rPr>
              <w:t>Fantuo</w:t>
            </w:r>
            <w:proofErr w:type="spellEnd"/>
          </w:p>
        </w:tc>
        <w:tc>
          <w:tcPr>
            <w:tcW w:w="0" w:type="auto"/>
            <w:tcBorders>
              <w:top w:val="nil"/>
              <w:left w:val="nil"/>
              <w:bottom w:val="nil"/>
              <w:right w:val="nil"/>
            </w:tcBorders>
            <w:hideMark/>
          </w:tcPr>
          <w:p w14:paraId="6CF6895E"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w:t>
            </w:r>
          </w:p>
        </w:tc>
        <w:tc>
          <w:tcPr>
            <w:tcW w:w="0" w:type="auto"/>
            <w:tcBorders>
              <w:top w:val="nil"/>
              <w:left w:val="nil"/>
              <w:bottom w:val="nil"/>
              <w:right w:val="nil"/>
            </w:tcBorders>
            <w:hideMark/>
          </w:tcPr>
          <w:p w14:paraId="4900BC7B"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5</w:t>
            </w:r>
          </w:p>
        </w:tc>
        <w:tc>
          <w:tcPr>
            <w:tcW w:w="0" w:type="auto"/>
            <w:tcBorders>
              <w:top w:val="nil"/>
              <w:left w:val="nil"/>
              <w:bottom w:val="nil"/>
              <w:right w:val="nil"/>
            </w:tcBorders>
            <w:hideMark/>
          </w:tcPr>
          <w:p w14:paraId="3C4B92BA"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56</w:t>
            </w:r>
          </w:p>
        </w:tc>
        <w:tc>
          <w:tcPr>
            <w:tcW w:w="0" w:type="auto"/>
            <w:tcBorders>
              <w:top w:val="nil"/>
              <w:left w:val="nil"/>
              <w:bottom w:val="nil"/>
              <w:right w:val="nil"/>
            </w:tcBorders>
            <w:hideMark/>
          </w:tcPr>
          <w:p w14:paraId="3A48AD75"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14.0</w:t>
            </w:r>
          </w:p>
        </w:tc>
        <w:tc>
          <w:tcPr>
            <w:tcW w:w="0" w:type="auto"/>
            <w:tcBorders>
              <w:top w:val="nil"/>
              <w:left w:val="nil"/>
              <w:bottom w:val="nil"/>
              <w:right w:val="nil"/>
            </w:tcBorders>
            <w:hideMark/>
          </w:tcPr>
          <w:p w14:paraId="11332AB6"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11.2</w:t>
            </w:r>
          </w:p>
        </w:tc>
      </w:tr>
      <w:tr w:rsidR="004350C7" w:rsidRPr="004350C7" w14:paraId="6AC4528E" w14:textId="77777777" w:rsidTr="00775E99">
        <w:tc>
          <w:tcPr>
            <w:tcW w:w="0" w:type="auto"/>
            <w:tcBorders>
              <w:top w:val="nil"/>
              <w:left w:val="nil"/>
              <w:bottom w:val="single" w:sz="4" w:space="0" w:color="auto"/>
              <w:right w:val="nil"/>
            </w:tcBorders>
            <w:hideMark/>
          </w:tcPr>
          <w:p w14:paraId="0776493F"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Abuja</w:t>
            </w:r>
          </w:p>
        </w:tc>
        <w:tc>
          <w:tcPr>
            <w:tcW w:w="0" w:type="auto"/>
            <w:tcBorders>
              <w:top w:val="nil"/>
              <w:left w:val="nil"/>
              <w:bottom w:val="single" w:sz="4" w:space="0" w:color="auto"/>
              <w:right w:val="nil"/>
            </w:tcBorders>
            <w:hideMark/>
          </w:tcPr>
          <w:p w14:paraId="5FE49761"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w:t>
            </w:r>
          </w:p>
        </w:tc>
        <w:tc>
          <w:tcPr>
            <w:tcW w:w="0" w:type="auto"/>
            <w:tcBorders>
              <w:top w:val="nil"/>
              <w:left w:val="nil"/>
              <w:bottom w:val="single" w:sz="4" w:space="0" w:color="auto"/>
              <w:right w:val="nil"/>
            </w:tcBorders>
            <w:hideMark/>
          </w:tcPr>
          <w:p w14:paraId="5F90457E"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4</w:t>
            </w:r>
          </w:p>
        </w:tc>
        <w:tc>
          <w:tcPr>
            <w:tcW w:w="0" w:type="auto"/>
            <w:tcBorders>
              <w:top w:val="nil"/>
              <w:left w:val="nil"/>
              <w:bottom w:val="single" w:sz="4" w:space="0" w:color="auto"/>
              <w:right w:val="nil"/>
            </w:tcBorders>
            <w:hideMark/>
          </w:tcPr>
          <w:p w14:paraId="3CC6EA22"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64</w:t>
            </w:r>
          </w:p>
        </w:tc>
        <w:tc>
          <w:tcPr>
            <w:tcW w:w="0" w:type="auto"/>
            <w:tcBorders>
              <w:top w:val="nil"/>
              <w:left w:val="nil"/>
              <w:bottom w:val="single" w:sz="4" w:space="0" w:color="auto"/>
              <w:right w:val="nil"/>
            </w:tcBorders>
            <w:hideMark/>
          </w:tcPr>
          <w:p w14:paraId="361101C1"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16.0</w:t>
            </w:r>
          </w:p>
        </w:tc>
        <w:tc>
          <w:tcPr>
            <w:tcW w:w="0" w:type="auto"/>
            <w:tcBorders>
              <w:top w:val="nil"/>
              <w:left w:val="nil"/>
              <w:bottom w:val="single" w:sz="4" w:space="0" w:color="auto"/>
              <w:right w:val="nil"/>
            </w:tcBorders>
            <w:hideMark/>
          </w:tcPr>
          <w:p w14:paraId="457D1611"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16.0</w:t>
            </w:r>
          </w:p>
        </w:tc>
      </w:tr>
      <w:tr w:rsidR="004350C7" w:rsidRPr="004350C7" w14:paraId="4251E773" w14:textId="77777777" w:rsidTr="00775E99">
        <w:tc>
          <w:tcPr>
            <w:tcW w:w="0" w:type="auto"/>
            <w:tcBorders>
              <w:top w:val="single" w:sz="4" w:space="0" w:color="auto"/>
              <w:left w:val="nil"/>
              <w:right w:val="nil"/>
            </w:tcBorders>
            <w:hideMark/>
          </w:tcPr>
          <w:p w14:paraId="089FFD43"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Total / Mean</w:t>
            </w:r>
          </w:p>
        </w:tc>
        <w:tc>
          <w:tcPr>
            <w:tcW w:w="0" w:type="auto"/>
            <w:tcBorders>
              <w:top w:val="single" w:sz="4" w:space="0" w:color="auto"/>
              <w:left w:val="nil"/>
              <w:right w:val="nil"/>
            </w:tcBorders>
            <w:hideMark/>
          </w:tcPr>
          <w:p w14:paraId="7CC3A790"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6</w:t>
            </w:r>
          </w:p>
        </w:tc>
        <w:tc>
          <w:tcPr>
            <w:tcW w:w="0" w:type="auto"/>
            <w:tcBorders>
              <w:top w:val="single" w:sz="4" w:space="0" w:color="auto"/>
              <w:left w:val="nil"/>
              <w:right w:val="nil"/>
            </w:tcBorders>
            <w:hideMark/>
          </w:tcPr>
          <w:p w14:paraId="7900304D"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13</w:t>
            </w:r>
          </w:p>
        </w:tc>
        <w:tc>
          <w:tcPr>
            <w:tcW w:w="0" w:type="auto"/>
            <w:tcBorders>
              <w:top w:val="single" w:sz="4" w:space="0" w:color="auto"/>
              <w:left w:val="nil"/>
              <w:right w:val="nil"/>
            </w:tcBorders>
            <w:hideMark/>
          </w:tcPr>
          <w:p w14:paraId="1749F6E2"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192</w:t>
            </w:r>
          </w:p>
        </w:tc>
        <w:tc>
          <w:tcPr>
            <w:tcW w:w="0" w:type="auto"/>
            <w:tcBorders>
              <w:top w:val="single" w:sz="4" w:space="0" w:color="auto"/>
              <w:left w:val="nil"/>
              <w:right w:val="nil"/>
            </w:tcBorders>
            <w:hideMark/>
          </w:tcPr>
          <w:p w14:paraId="0B90E7CA"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16.0</w:t>
            </w:r>
          </w:p>
        </w:tc>
        <w:tc>
          <w:tcPr>
            <w:tcW w:w="0" w:type="auto"/>
            <w:tcBorders>
              <w:top w:val="single" w:sz="4" w:space="0" w:color="auto"/>
              <w:left w:val="nil"/>
              <w:right w:val="nil"/>
            </w:tcBorders>
            <w:hideMark/>
          </w:tcPr>
          <w:p w14:paraId="5118DFE3" w14:textId="77777777" w:rsidR="004350C7" w:rsidRPr="004350C7" w:rsidRDefault="004350C7" w:rsidP="003966F2">
            <w:pPr>
              <w:spacing w:after="120" w:line="276" w:lineRule="auto"/>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21.4</w:t>
            </w:r>
          </w:p>
        </w:tc>
      </w:tr>
    </w:tbl>
    <w:p w14:paraId="3543E656" w14:textId="1F0A596F" w:rsidR="00E52139" w:rsidRPr="000547B0" w:rsidRDefault="00775E99" w:rsidP="003966F2">
      <w:pPr>
        <w:spacing w:after="120" w:line="240" w:lineRule="auto"/>
        <w:jc w:val="both"/>
        <w:rPr>
          <w:rFonts w:ascii="Times New Roman" w:eastAsia="Times New Roman" w:hAnsi="Times New Roman" w:cs="Times New Roman"/>
          <w:b/>
          <w:sz w:val="24"/>
          <w:szCs w:val="24"/>
        </w:rPr>
      </w:pPr>
      <w:r>
        <w:t xml:space="preserve">ANOVA: F = 50.78, </w:t>
      </w:r>
      <w:proofErr w:type="spellStart"/>
      <w:r>
        <w:t>df</w:t>
      </w:r>
      <w:proofErr w:type="spellEnd"/>
      <w:r>
        <w:t xml:space="preserve"> = 2, p &lt; 0.05</w:t>
      </w:r>
      <w:r w:rsidRPr="000547B0">
        <w:rPr>
          <w:rFonts w:ascii="Times New Roman" w:eastAsia="Times New Roman" w:hAnsi="Times New Roman" w:cs="Times New Roman"/>
          <w:sz w:val="24"/>
          <w:szCs w:val="24"/>
        </w:rPr>
        <w:t xml:space="preserve"> </w:t>
      </w:r>
    </w:p>
    <w:p w14:paraId="60093B0C" w14:textId="77777777" w:rsidR="00405591" w:rsidRPr="000547B0" w:rsidRDefault="00405591" w:rsidP="003966F2">
      <w:pPr>
        <w:spacing w:after="120" w:line="240" w:lineRule="auto"/>
        <w:jc w:val="both"/>
        <w:rPr>
          <w:rFonts w:ascii="Times New Roman" w:eastAsia="Times New Roman" w:hAnsi="Times New Roman" w:cs="Times New Roman"/>
          <w:b/>
          <w:sz w:val="24"/>
          <w:szCs w:val="24"/>
        </w:rPr>
      </w:pPr>
    </w:p>
    <w:p w14:paraId="3A463945" w14:textId="77777777" w:rsidR="000E5110" w:rsidRPr="000547B0" w:rsidRDefault="000E5110" w:rsidP="003966F2">
      <w:pPr>
        <w:spacing w:after="120" w:line="240" w:lineRule="auto"/>
        <w:jc w:val="both"/>
        <w:rPr>
          <w:rFonts w:ascii="Times New Roman" w:eastAsia="Times New Roman" w:hAnsi="Times New Roman" w:cs="Times New Roman"/>
          <w:b/>
          <w:sz w:val="24"/>
          <w:szCs w:val="24"/>
        </w:rPr>
      </w:pPr>
    </w:p>
    <w:p w14:paraId="24628D4D" w14:textId="77777777" w:rsidR="000E5110" w:rsidRPr="000547B0" w:rsidRDefault="000E5110" w:rsidP="003966F2">
      <w:pPr>
        <w:spacing w:after="120" w:line="240" w:lineRule="auto"/>
        <w:jc w:val="both"/>
        <w:rPr>
          <w:rFonts w:ascii="Times New Roman" w:eastAsia="Times New Roman" w:hAnsi="Times New Roman" w:cs="Times New Roman"/>
          <w:b/>
          <w:sz w:val="24"/>
          <w:szCs w:val="24"/>
        </w:rPr>
        <w:sectPr w:rsidR="000E5110" w:rsidRPr="000547B0" w:rsidSect="006D523E">
          <w:pgSz w:w="16839" w:h="11907" w:orient="landscape" w:code="9"/>
          <w:pgMar w:top="1440" w:right="1440" w:bottom="1440" w:left="1440" w:header="720" w:footer="720" w:gutter="0"/>
          <w:cols w:space="720"/>
          <w:docGrid w:linePitch="360"/>
        </w:sectPr>
      </w:pPr>
    </w:p>
    <w:p w14:paraId="08E82F24" w14:textId="328E4F32" w:rsidR="00E52139" w:rsidRPr="000547B0" w:rsidRDefault="00432605" w:rsidP="003966F2">
      <w:pPr>
        <w:spacing w:after="120" w:line="240" w:lineRule="auto"/>
        <w:jc w:val="both"/>
        <w:rPr>
          <w:rFonts w:ascii="Times New Roman" w:eastAsia="Times New Roman" w:hAnsi="Times New Roman" w:cs="Times New Roman"/>
          <w:b/>
          <w:bCs/>
          <w:sz w:val="24"/>
          <w:szCs w:val="24"/>
        </w:rPr>
      </w:pPr>
      <w:r w:rsidRPr="000547B0">
        <w:rPr>
          <w:rFonts w:ascii="Times New Roman" w:eastAsia="Times New Roman" w:hAnsi="Times New Roman" w:cs="Times New Roman"/>
          <w:b/>
          <w:sz w:val="24"/>
          <w:szCs w:val="24"/>
        </w:rPr>
        <w:lastRenderedPageBreak/>
        <w:t xml:space="preserve">Demographic Information of respondents </w:t>
      </w:r>
    </w:p>
    <w:p w14:paraId="182B3072" w14:textId="696A9716" w:rsidR="00E52139" w:rsidRPr="000547B0" w:rsidRDefault="00E52139"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As a follow up to the monitoring of malaria control intervention in Bayelsa State, a total of 904 households across three (3) locations in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LGA were visited to assess the</w:t>
      </w:r>
      <w:r w:rsidR="00452CF3" w:rsidRPr="000547B0">
        <w:rPr>
          <w:rFonts w:ascii="Times New Roman" w:eastAsia="Times New Roman" w:hAnsi="Times New Roman" w:cs="Times New Roman"/>
          <w:sz w:val="24"/>
          <w:szCs w:val="24"/>
        </w:rPr>
        <w:t xml:space="preserve"> knowledge about the </w:t>
      </w:r>
      <w:r w:rsidRPr="000547B0">
        <w:rPr>
          <w:rFonts w:ascii="Times New Roman" w:eastAsia="Times New Roman" w:hAnsi="Times New Roman" w:cs="Times New Roman"/>
          <w:sz w:val="24"/>
          <w:szCs w:val="24"/>
        </w:rPr>
        <w:t>ownership</w:t>
      </w:r>
      <w:r w:rsidR="003C4356" w:rsidRPr="000547B0">
        <w:rPr>
          <w:rFonts w:ascii="Times New Roman" w:eastAsia="Times New Roman" w:hAnsi="Times New Roman" w:cs="Times New Roman"/>
          <w:sz w:val="24"/>
          <w:szCs w:val="24"/>
        </w:rPr>
        <w:t xml:space="preserve"> </w:t>
      </w:r>
      <w:r w:rsidR="00452CF3" w:rsidRPr="000547B0">
        <w:rPr>
          <w:rFonts w:ascii="Times New Roman" w:eastAsia="Times New Roman" w:hAnsi="Times New Roman" w:cs="Times New Roman"/>
          <w:sz w:val="24"/>
          <w:szCs w:val="24"/>
        </w:rPr>
        <w:t>of</w:t>
      </w:r>
      <w:r w:rsidRPr="000547B0">
        <w:rPr>
          <w:rFonts w:ascii="Times New Roman" w:eastAsia="Times New Roman" w:hAnsi="Times New Roman" w:cs="Times New Roman"/>
          <w:sz w:val="24"/>
          <w:szCs w:val="24"/>
        </w:rPr>
        <w:t xml:space="preserve"> Insecticidal Treated Bed Net (</w:t>
      </w:r>
      <w:r w:rsidR="00432605" w:rsidRPr="000547B0">
        <w:rPr>
          <w:rFonts w:ascii="Times New Roman" w:eastAsia="Times New Roman" w:hAnsi="Times New Roman" w:cs="Times New Roman"/>
          <w:sz w:val="24"/>
          <w:szCs w:val="24"/>
        </w:rPr>
        <w:t>table 2</w:t>
      </w:r>
      <w:r w:rsidRPr="000547B0">
        <w:rPr>
          <w:rFonts w:ascii="Times New Roman" w:eastAsia="Times New Roman" w:hAnsi="Times New Roman" w:cs="Times New Roman"/>
          <w:sz w:val="24"/>
          <w:szCs w:val="24"/>
        </w:rPr>
        <w:t xml:space="preserve">). Out of the total number interviewed, 325 (36.0%) were male and 579 (64.0%) were female. The percentage respondents in the three locations were </w:t>
      </w:r>
      <w:proofErr w:type="spellStart"/>
      <w:r w:rsidRPr="000547B0">
        <w:rPr>
          <w:rFonts w:ascii="Times New Roman" w:eastAsia="Times New Roman" w:hAnsi="Times New Roman" w:cs="Times New Roman"/>
          <w:sz w:val="24"/>
          <w:szCs w:val="24"/>
        </w:rPr>
        <w:t>Nembe</w:t>
      </w:r>
      <w:proofErr w:type="spellEnd"/>
      <w:r w:rsidRPr="000547B0">
        <w:rPr>
          <w:rFonts w:ascii="Times New Roman" w:eastAsia="Times New Roman" w:hAnsi="Times New Roman" w:cs="Times New Roman"/>
          <w:sz w:val="24"/>
          <w:szCs w:val="24"/>
        </w:rPr>
        <w:t xml:space="preserve"> (91.7%), </w:t>
      </w:r>
      <w:proofErr w:type="spellStart"/>
      <w:r w:rsidRPr="000547B0">
        <w:rPr>
          <w:rFonts w:ascii="Times New Roman" w:eastAsia="Times New Roman" w:hAnsi="Times New Roman" w:cs="Times New Roman"/>
          <w:sz w:val="24"/>
          <w:szCs w:val="24"/>
        </w:rPr>
        <w:t>Fantuo</w:t>
      </w:r>
      <w:proofErr w:type="spellEnd"/>
      <w:r w:rsidRPr="000547B0">
        <w:rPr>
          <w:rFonts w:ascii="Times New Roman" w:eastAsia="Times New Roman" w:hAnsi="Times New Roman" w:cs="Times New Roman"/>
          <w:sz w:val="24"/>
          <w:szCs w:val="24"/>
        </w:rPr>
        <w:t xml:space="preserve"> (6.4%) and Abuja (1.9%). The percentage respondents according to age, showed that &lt;20 years were 19.7%, 21-30</w:t>
      </w:r>
      <w:r w:rsidR="00774923" w:rsidRPr="000547B0">
        <w:rPr>
          <w:rFonts w:ascii="Times New Roman" w:eastAsia="Times New Roman" w:hAnsi="Times New Roman" w:cs="Times New Roman"/>
          <w:sz w:val="24"/>
          <w:szCs w:val="24"/>
        </w:rPr>
        <w:t xml:space="preserve"> years</w:t>
      </w:r>
      <w:r w:rsidRPr="000547B0">
        <w:rPr>
          <w:rFonts w:ascii="Times New Roman" w:eastAsia="Times New Roman" w:hAnsi="Times New Roman" w:cs="Times New Roman"/>
          <w:sz w:val="24"/>
          <w:szCs w:val="24"/>
        </w:rPr>
        <w:t xml:space="preserve"> </w:t>
      </w:r>
      <w:r w:rsidR="00774923" w:rsidRPr="000547B0">
        <w:rPr>
          <w:rFonts w:ascii="Times New Roman" w:eastAsia="Times New Roman" w:hAnsi="Times New Roman" w:cs="Times New Roman"/>
          <w:sz w:val="24"/>
          <w:szCs w:val="24"/>
        </w:rPr>
        <w:t>were 22.2%;</w:t>
      </w:r>
      <w:r w:rsidRPr="000547B0">
        <w:rPr>
          <w:rFonts w:ascii="Times New Roman" w:eastAsia="Times New Roman" w:hAnsi="Times New Roman" w:cs="Times New Roman"/>
          <w:sz w:val="24"/>
          <w:szCs w:val="24"/>
        </w:rPr>
        <w:t xml:space="preserve"> 31-40 </w:t>
      </w:r>
      <w:r w:rsidR="00774923" w:rsidRPr="000547B0">
        <w:rPr>
          <w:rFonts w:ascii="Times New Roman" w:eastAsia="Times New Roman" w:hAnsi="Times New Roman" w:cs="Times New Roman"/>
          <w:sz w:val="24"/>
          <w:szCs w:val="24"/>
        </w:rPr>
        <w:t xml:space="preserve">years </w:t>
      </w:r>
      <w:r w:rsidRPr="000547B0">
        <w:rPr>
          <w:rFonts w:ascii="Times New Roman" w:eastAsia="Times New Roman" w:hAnsi="Times New Roman" w:cs="Times New Roman"/>
          <w:sz w:val="24"/>
          <w:szCs w:val="24"/>
        </w:rPr>
        <w:t xml:space="preserve">were 33.7% and those &gt;41 </w:t>
      </w:r>
      <w:r w:rsidR="00774923" w:rsidRPr="000547B0">
        <w:rPr>
          <w:rFonts w:ascii="Times New Roman" w:eastAsia="Times New Roman" w:hAnsi="Times New Roman" w:cs="Times New Roman"/>
          <w:sz w:val="24"/>
          <w:szCs w:val="24"/>
        </w:rPr>
        <w:t xml:space="preserve">years </w:t>
      </w:r>
      <w:r w:rsidRPr="000547B0">
        <w:rPr>
          <w:rFonts w:ascii="Times New Roman" w:eastAsia="Times New Roman" w:hAnsi="Times New Roman" w:cs="Times New Roman"/>
          <w:sz w:val="24"/>
          <w:szCs w:val="24"/>
        </w:rPr>
        <w:t xml:space="preserve">were 24.4% respectively. </w:t>
      </w:r>
      <w:r w:rsidR="003C4356" w:rsidRPr="000547B0">
        <w:rPr>
          <w:rFonts w:ascii="Times New Roman" w:eastAsia="Times New Roman" w:hAnsi="Times New Roman" w:cs="Times New Roman"/>
          <w:sz w:val="24"/>
          <w:szCs w:val="24"/>
        </w:rPr>
        <w:t xml:space="preserve">More </w:t>
      </w:r>
      <w:r w:rsidR="009E1EA5" w:rsidRPr="000547B0">
        <w:rPr>
          <w:rFonts w:ascii="Times New Roman" w:eastAsia="Times New Roman" w:hAnsi="Times New Roman" w:cs="Times New Roman"/>
          <w:sz w:val="24"/>
          <w:szCs w:val="24"/>
        </w:rPr>
        <w:t xml:space="preserve">respondents had </w:t>
      </w:r>
      <w:r w:rsidR="00774923" w:rsidRPr="000547B0">
        <w:rPr>
          <w:rFonts w:ascii="Times New Roman" w:eastAsia="Times New Roman" w:hAnsi="Times New Roman" w:cs="Times New Roman"/>
          <w:sz w:val="24"/>
          <w:szCs w:val="24"/>
        </w:rPr>
        <w:t>primary education</w:t>
      </w:r>
      <w:r w:rsidR="009E1EA5" w:rsidRPr="000547B0">
        <w:rPr>
          <w:rFonts w:ascii="Times New Roman" w:eastAsia="Times New Roman" w:hAnsi="Times New Roman" w:cs="Times New Roman"/>
          <w:sz w:val="24"/>
          <w:szCs w:val="24"/>
        </w:rPr>
        <w:t xml:space="preserve"> (39.3%)</w:t>
      </w:r>
      <w:r w:rsidR="00774923" w:rsidRPr="000547B0">
        <w:rPr>
          <w:rFonts w:ascii="Times New Roman" w:eastAsia="Times New Roman" w:hAnsi="Times New Roman" w:cs="Times New Roman"/>
          <w:sz w:val="24"/>
          <w:szCs w:val="24"/>
        </w:rPr>
        <w:t xml:space="preserve">, </w:t>
      </w:r>
      <w:r w:rsidR="009E1EA5" w:rsidRPr="000547B0">
        <w:rPr>
          <w:rFonts w:ascii="Times New Roman" w:eastAsia="Times New Roman" w:hAnsi="Times New Roman" w:cs="Times New Roman"/>
          <w:sz w:val="24"/>
          <w:szCs w:val="24"/>
        </w:rPr>
        <w:t>followed by secondary education (22.5%)</w:t>
      </w:r>
      <w:r w:rsidR="00774923" w:rsidRPr="000547B0">
        <w:rPr>
          <w:rFonts w:ascii="Times New Roman" w:eastAsia="Times New Roman" w:hAnsi="Times New Roman" w:cs="Times New Roman"/>
          <w:sz w:val="24"/>
          <w:szCs w:val="24"/>
        </w:rPr>
        <w:t>,</w:t>
      </w:r>
      <w:r w:rsidR="009E1EA5" w:rsidRPr="000547B0">
        <w:rPr>
          <w:rFonts w:ascii="Times New Roman" w:eastAsia="Times New Roman" w:hAnsi="Times New Roman" w:cs="Times New Roman"/>
          <w:sz w:val="24"/>
          <w:szCs w:val="24"/>
        </w:rPr>
        <w:t xml:space="preserve"> </w:t>
      </w:r>
      <w:r w:rsidR="00774923" w:rsidRPr="000547B0">
        <w:rPr>
          <w:rFonts w:ascii="Times New Roman" w:eastAsia="Times New Roman" w:hAnsi="Times New Roman" w:cs="Times New Roman"/>
          <w:sz w:val="24"/>
          <w:szCs w:val="24"/>
        </w:rPr>
        <w:t xml:space="preserve">those </w:t>
      </w:r>
      <w:r w:rsidRPr="000547B0">
        <w:rPr>
          <w:rFonts w:ascii="Times New Roman" w:eastAsia="Times New Roman" w:hAnsi="Times New Roman" w:cs="Times New Roman"/>
          <w:sz w:val="24"/>
          <w:szCs w:val="24"/>
        </w:rPr>
        <w:t>without education (21.9%)</w:t>
      </w:r>
      <w:r w:rsidR="009E1EA5" w:rsidRPr="000547B0">
        <w:rPr>
          <w:rFonts w:ascii="Times New Roman" w:eastAsia="Times New Roman" w:hAnsi="Times New Roman" w:cs="Times New Roman"/>
          <w:sz w:val="24"/>
          <w:szCs w:val="24"/>
        </w:rPr>
        <w:t xml:space="preserve"> while respondents </w:t>
      </w:r>
      <w:r w:rsidR="00790E96" w:rsidRPr="000547B0">
        <w:rPr>
          <w:rFonts w:ascii="Times New Roman" w:eastAsia="Times New Roman" w:hAnsi="Times New Roman" w:cs="Times New Roman"/>
          <w:sz w:val="24"/>
          <w:szCs w:val="24"/>
        </w:rPr>
        <w:t>with higher</w:t>
      </w:r>
      <w:r w:rsidR="00774923" w:rsidRPr="000547B0">
        <w:rPr>
          <w:rFonts w:ascii="Times New Roman" w:eastAsia="Times New Roman" w:hAnsi="Times New Roman" w:cs="Times New Roman"/>
          <w:sz w:val="24"/>
          <w:szCs w:val="24"/>
        </w:rPr>
        <w:t xml:space="preserve"> education</w:t>
      </w:r>
      <w:r w:rsidRPr="000547B0">
        <w:rPr>
          <w:rFonts w:ascii="Times New Roman" w:eastAsia="Times New Roman" w:hAnsi="Times New Roman" w:cs="Times New Roman"/>
          <w:sz w:val="24"/>
          <w:szCs w:val="24"/>
        </w:rPr>
        <w:t xml:space="preserve"> (16.3%)</w:t>
      </w:r>
      <w:r w:rsidR="009E1EA5" w:rsidRPr="000547B0">
        <w:rPr>
          <w:rFonts w:ascii="Times New Roman" w:eastAsia="Times New Roman" w:hAnsi="Times New Roman" w:cs="Times New Roman"/>
          <w:sz w:val="24"/>
          <w:szCs w:val="24"/>
        </w:rPr>
        <w:t xml:space="preserve"> were the least</w:t>
      </w:r>
      <w:r w:rsidRPr="000547B0">
        <w:rPr>
          <w:rFonts w:ascii="Times New Roman" w:eastAsia="Times New Roman" w:hAnsi="Times New Roman" w:cs="Times New Roman"/>
          <w:sz w:val="24"/>
          <w:szCs w:val="24"/>
        </w:rPr>
        <w:t xml:space="preserve">. More respondents were farmers (47.4%) </w:t>
      </w:r>
      <w:r w:rsidR="009E1EA5" w:rsidRPr="000547B0">
        <w:rPr>
          <w:rFonts w:ascii="Times New Roman" w:eastAsia="Times New Roman" w:hAnsi="Times New Roman" w:cs="Times New Roman"/>
          <w:sz w:val="24"/>
          <w:szCs w:val="24"/>
        </w:rPr>
        <w:t>than</w:t>
      </w:r>
      <w:r w:rsidRPr="000547B0">
        <w:rPr>
          <w:rFonts w:ascii="Times New Roman" w:eastAsia="Times New Roman" w:hAnsi="Times New Roman" w:cs="Times New Roman"/>
          <w:sz w:val="24"/>
          <w:szCs w:val="24"/>
        </w:rPr>
        <w:t xml:space="preserve"> traders (31.6%) while the least were civil servants (21.0%). </w:t>
      </w:r>
    </w:p>
    <w:p w14:paraId="1046C747" w14:textId="43315702" w:rsidR="004350C7" w:rsidRPr="004350C7" w:rsidRDefault="004350C7" w:rsidP="003966F2">
      <w:pPr>
        <w:spacing w:after="120" w:line="240" w:lineRule="auto"/>
        <w:rPr>
          <w:rFonts w:ascii="Times New Roman" w:eastAsia="Times New Roman" w:hAnsi="Times New Roman" w:cs="Times New Roman"/>
          <w:b/>
          <w:bCs/>
          <w:sz w:val="24"/>
          <w:szCs w:val="24"/>
        </w:rPr>
      </w:pPr>
      <w:r w:rsidRPr="004350C7">
        <w:rPr>
          <w:b/>
          <w:bCs/>
        </w:rPr>
        <w:t>Table 2: Demographic Characteristics of Respondents (n = 904)</w:t>
      </w:r>
    </w:p>
    <w:tbl>
      <w:tblPr>
        <w:tblStyle w:val="TableGrid"/>
        <w:tblW w:w="0" w:type="auto"/>
        <w:tblLook w:val="04A0" w:firstRow="1" w:lastRow="0" w:firstColumn="1" w:lastColumn="0" w:noHBand="0" w:noVBand="1"/>
      </w:tblPr>
      <w:tblGrid>
        <w:gridCol w:w="2202"/>
        <w:gridCol w:w="1310"/>
        <w:gridCol w:w="1809"/>
      </w:tblGrid>
      <w:tr w:rsidR="004350C7" w:rsidRPr="004350C7" w14:paraId="63CC4BB7" w14:textId="77777777" w:rsidTr="004350C7">
        <w:tc>
          <w:tcPr>
            <w:tcW w:w="0" w:type="auto"/>
            <w:tcBorders>
              <w:left w:val="nil"/>
              <w:bottom w:val="single" w:sz="4" w:space="0" w:color="auto"/>
              <w:right w:val="nil"/>
            </w:tcBorders>
            <w:hideMark/>
          </w:tcPr>
          <w:p w14:paraId="488B7150"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Variable</w:t>
            </w:r>
          </w:p>
        </w:tc>
        <w:tc>
          <w:tcPr>
            <w:tcW w:w="0" w:type="auto"/>
            <w:tcBorders>
              <w:left w:val="nil"/>
              <w:bottom w:val="single" w:sz="4" w:space="0" w:color="auto"/>
              <w:right w:val="nil"/>
            </w:tcBorders>
            <w:hideMark/>
          </w:tcPr>
          <w:p w14:paraId="2886E9BF"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Frequency</w:t>
            </w:r>
          </w:p>
        </w:tc>
        <w:tc>
          <w:tcPr>
            <w:tcW w:w="0" w:type="auto"/>
            <w:tcBorders>
              <w:left w:val="nil"/>
              <w:bottom w:val="single" w:sz="4" w:space="0" w:color="auto"/>
              <w:right w:val="nil"/>
            </w:tcBorders>
            <w:hideMark/>
          </w:tcPr>
          <w:p w14:paraId="5AC21C80" w14:textId="77777777" w:rsidR="004350C7" w:rsidRPr="004350C7" w:rsidRDefault="004350C7" w:rsidP="003966F2">
            <w:pPr>
              <w:spacing w:after="120"/>
              <w:jc w:val="center"/>
              <w:rPr>
                <w:rFonts w:ascii="Times New Roman" w:eastAsia="Times New Roman" w:hAnsi="Times New Roman" w:cs="Times New Roman"/>
                <w:b/>
                <w:bCs/>
                <w:sz w:val="24"/>
                <w:szCs w:val="24"/>
              </w:rPr>
            </w:pPr>
            <w:r w:rsidRPr="004350C7">
              <w:rPr>
                <w:rFonts w:ascii="Times New Roman" w:eastAsia="Times New Roman" w:hAnsi="Times New Roman" w:cs="Times New Roman"/>
                <w:b/>
                <w:bCs/>
                <w:sz w:val="24"/>
                <w:szCs w:val="24"/>
              </w:rPr>
              <w:t>Percentage (%)</w:t>
            </w:r>
          </w:p>
        </w:tc>
      </w:tr>
      <w:tr w:rsidR="004350C7" w:rsidRPr="004350C7" w14:paraId="358085DA" w14:textId="77777777" w:rsidTr="004350C7">
        <w:tc>
          <w:tcPr>
            <w:tcW w:w="0" w:type="auto"/>
            <w:tcBorders>
              <w:left w:val="nil"/>
              <w:bottom w:val="nil"/>
              <w:right w:val="nil"/>
            </w:tcBorders>
            <w:hideMark/>
          </w:tcPr>
          <w:p w14:paraId="2F8196EE"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Sex</w:t>
            </w:r>
          </w:p>
        </w:tc>
        <w:tc>
          <w:tcPr>
            <w:tcW w:w="0" w:type="auto"/>
            <w:tcBorders>
              <w:left w:val="nil"/>
              <w:bottom w:val="nil"/>
              <w:right w:val="nil"/>
            </w:tcBorders>
            <w:hideMark/>
          </w:tcPr>
          <w:p w14:paraId="1987EE12" w14:textId="77777777" w:rsidR="004350C7" w:rsidRPr="004350C7" w:rsidRDefault="004350C7" w:rsidP="003966F2">
            <w:pPr>
              <w:spacing w:after="120"/>
              <w:rPr>
                <w:rFonts w:ascii="Times New Roman" w:eastAsia="Times New Roman" w:hAnsi="Times New Roman" w:cs="Times New Roman"/>
                <w:sz w:val="24"/>
                <w:szCs w:val="24"/>
              </w:rPr>
            </w:pPr>
          </w:p>
        </w:tc>
        <w:tc>
          <w:tcPr>
            <w:tcW w:w="0" w:type="auto"/>
            <w:tcBorders>
              <w:left w:val="nil"/>
              <w:bottom w:val="nil"/>
              <w:right w:val="nil"/>
            </w:tcBorders>
            <w:hideMark/>
          </w:tcPr>
          <w:p w14:paraId="0EC4F891" w14:textId="77777777" w:rsidR="004350C7" w:rsidRPr="004350C7" w:rsidRDefault="004350C7" w:rsidP="003966F2">
            <w:pPr>
              <w:spacing w:after="120"/>
              <w:rPr>
                <w:rFonts w:ascii="Times New Roman" w:eastAsia="Times New Roman" w:hAnsi="Times New Roman" w:cs="Times New Roman"/>
                <w:sz w:val="20"/>
                <w:szCs w:val="20"/>
              </w:rPr>
            </w:pPr>
          </w:p>
        </w:tc>
      </w:tr>
      <w:tr w:rsidR="004350C7" w:rsidRPr="004350C7" w14:paraId="6A18280F" w14:textId="77777777" w:rsidTr="004350C7">
        <w:tc>
          <w:tcPr>
            <w:tcW w:w="0" w:type="auto"/>
            <w:tcBorders>
              <w:top w:val="nil"/>
              <w:left w:val="nil"/>
              <w:bottom w:val="nil"/>
              <w:right w:val="nil"/>
            </w:tcBorders>
            <w:hideMark/>
          </w:tcPr>
          <w:p w14:paraId="1E9BD85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Male</w:t>
            </w:r>
          </w:p>
        </w:tc>
        <w:tc>
          <w:tcPr>
            <w:tcW w:w="0" w:type="auto"/>
            <w:tcBorders>
              <w:top w:val="nil"/>
              <w:left w:val="nil"/>
              <w:bottom w:val="nil"/>
              <w:right w:val="nil"/>
            </w:tcBorders>
            <w:hideMark/>
          </w:tcPr>
          <w:p w14:paraId="5BC804EE"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325</w:t>
            </w:r>
          </w:p>
        </w:tc>
        <w:tc>
          <w:tcPr>
            <w:tcW w:w="0" w:type="auto"/>
            <w:tcBorders>
              <w:top w:val="nil"/>
              <w:left w:val="nil"/>
              <w:bottom w:val="nil"/>
              <w:right w:val="nil"/>
            </w:tcBorders>
            <w:hideMark/>
          </w:tcPr>
          <w:p w14:paraId="2372118E"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36.0</w:t>
            </w:r>
          </w:p>
        </w:tc>
      </w:tr>
      <w:tr w:rsidR="004350C7" w:rsidRPr="004350C7" w14:paraId="002B73C4" w14:textId="77777777" w:rsidTr="004350C7">
        <w:tc>
          <w:tcPr>
            <w:tcW w:w="0" w:type="auto"/>
            <w:tcBorders>
              <w:top w:val="nil"/>
              <w:left w:val="nil"/>
              <w:bottom w:val="nil"/>
              <w:right w:val="nil"/>
            </w:tcBorders>
            <w:hideMark/>
          </w:tcPr>
          <w:p w14:paraId="3BC5BF7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Female</w:t>
            </w:r>
          </w:p>
        </w:tc>
        <w:tc>
          <w:tcPr>
            <w:tcW w:w="0" w:type="auto"/>
            <w:tcBorders>
              <w:top w:val="nil"/>
              <w:left w:val="nil"/>
              <w:bottom w:val="nil"/>
              <w:right w:val="nil"/>
            </w:tcBorders>
            <w:hideMark/>
          </w:tcPr>
          <w:p w14:paraId="2C4FD170"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579</w:t>
            </w:r>
          </w:p>
        </w:tc>
        <w:tc>
          <w:tcPr>
            <w:tcW w:w="0" w:type="auto"/>
            <w:tcBorders>
              <w:top w:val="nil"/>
              <w:left w:val="nil"/>
              <w:bottom w:val="nil"/>
              <w:right w:val="nil"/>
            </w:tcBorders>
            <w:hideMark/>
          </w:tcPr>
          <w:p w14:paraId="0D2283EB"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64.0</w:t>
            </w:r>
          </w:p>
        </w:tc>
      </w:tr>
      <w:tr w:rsidR="004350C7" w:rsidRPr="004350C7" w14:paraId="68C15DA7" w14:textId="77777777" w:rsidTr="004350C7">
        <w:tc>
          <w:tcPr>
            <w:tcW w:w="0" w:type="auto"/>
            <w:tcBorders>
              <w:top w:val="nil"/>
              <w:left w:val="nil"/>
              <w:bottom w:val="nil"/>
              <w:right w:val="nil"/>
            </w:tcBorders>
            <w:hideMark/>
          </w:tcPr>
          <w:p w14:paraId="1E04CBD2"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Age (years)</w:t>
            </w:r>
          </w:p>
        </w:tc>
        <w:tc>
          <w:tcPr>
            <w:tcW w:w="0" w:type="auto"/>
            <w:tcBorders>
              <w:top w:val="nil"/>
              <w:left w:val="nil"/>
              <w:bottom w:val="nil"/>
              <w:right w:val="nil"/>
            </w:tcBorders>
            <w:hideMark/>
          </w:tcPr>
          <w:p w14:paraId="390BF1CF" w14:textId="77777777" w:rsidR="004350C7" w:rsidRPr="004350C7" w:rsidRDefault="004350C7" w:rsidP="003966F2">
            <w:pPr>
              <w:spacing w:after="120"/>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1A48751B" w14:textId="77777777" w:rsidR="004350C7" w:rsidRPr="004350C7" w:rsidRDefault="004350C7" w:rsidP="003966F2">
            <w:pPr>
              <w:spacing w:after="120"/>
              <w:rPr>
                <w:rFonts w:ascii="Times New Roman" w:eastAsia="Times New Roman" w:hAnsi="Times New Roman" w:cs="Times New Roman"/>
                <w:sz w:val="20"/>
                <w:szCs w:val="20"/>
              </w:rPr>
            </w:pPr>
          </w:p>
        </w:tc>
      </w:tr>
      <w:tr w:rsidR="004350C7" w:rsidRPr="004350C7" w14:paraId="12E0F1F2" w14:textId="77777777" w:rsidTr="004350C7">
        <w:tc>
          <w:tcPr>
            <w:tcW w:w="0" w:type="auto"/>
            <w:tcBorders>
              <w:top w:val="nil"/>
              <w:left w:val="nil"/>
              <w:bottom w:val="nil"/>
              <w:right w:val="nil"/>
            </w:tcBorders>
            <w:hideMark/>
          </w:tcPr>
          <w:p w14:paraId="5D32CF7F"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&lt;20</w:t>
            </w:r>
          </w:p>
        </w:tc>
        <w:tc>
          <w:tcPr>
            <w:tcW w:w="0" w:type="auto"/>
            <w:tcBorders>
              <w:top w:val="nil"/>
              <w:left w:val="nil"/>
              <w:bottom w:val="nil"/>
              <w:right w:val="nil"/>
            </w:tcBorders>
            <w:hideMark/>
          </w:tcPr>
          <w:p w14:paraId="014F1056"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178</w:t>
            </w:r>
          </w:p>
        </w:tc>
        <w:tc>
          <w:tcPr>
            <w:tcW w:w="0" w:type="auto"/>
            <w:tcBorders>
              <w:top w:val="nil"/>
              <w:left w:val="nil"/>
              <w:bottom w:val="nil"/>
              <w:right w:val="nil"/>
            </w:tcBorders>
            <w:hideMark/>
          </w:tcPr>
          <w:p w14:paraId="51325482"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19.7</w:t>
            </w:r>
          </w:p>
        </w:tc>
      </w:tr>
      <w:tr w:rsidR="004350C7" w:rsidRPr="004350C7" w14:paraId="550E9A2E" w14:textId="77777777" w:rsidTr="004350C7">
        <w:tc>
          <w:tcPr>
            <w:tcW w:w="0" w:type="auto"/>
            <w:tcBorders>
              <w:top w:val="nil"/>
              <w:left w:val="nil"/>
              <w:bottom w:val="nil"/>
              <w:right w:val="nil"/>
            </w:tcBorders>
            <w:hideMark/>
          </w:tcPr>
          <w:p w14:paraId="5AAE9360"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21–30</w:t>
            </w:r>
          </w:p>
        </w:tc>
        <w:tc>
          <w:tcPr>
            <w:tcW w:w="0" w:type="auto"/>
            <w:tcBorders>
              <w:top w:val="nil"/>
              <w:left w:val="nil"/>
              <w:bottom w:val="nil"/>
              <w:right w:val="nil"/>
            </w:tcBorders>
            <w:hideMark/>
          </w:tcPr>
          <w:p w14:paraId="7658A822"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201</w:t>
            </w:r>
          </w:p>
        </w:tc>
        <w:tc>
          <w:tcPr>
            <w:tcW w:w="0" w:type="auto"/>
            <w:tcBorders>
              <w:top w:val="nil"/>
              <w:left w:val="nil"/>
              <w:bottom w:val="nil"/>
              <w:right w:val="nil"/>
            </w:tcBorders>
            <w:hideMark/>
          </w:tcPr>
          <w:p w14:paraId="42370D86"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22.2</w:t>
            </w:r>
          </w:p>
        </w:tc>
      </w:tr>
      <w:tr w:rsidR="004350C7" w:rsidRPr="004350C7" w14:paraId="05FBD59A" w14:textId="77777777" w:rsidTr="004350C7">
        <w:tc>
          <w:tcPr>
            <w:tcW w:w="0" w:type="auto"/>
            <w:tcBorders>
              <w:top w:val="nil"/>
              <w:left w:val="nil"/>
              <w:bottom w:val="nil"/>
              <w:right w:val="nil"/>
            </w:tcBorders>
            <w:hideMark/>
          </w:tcPr>
          <w:p w14:paraId="2C3DC203"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31–40</w:t>
            </w:r>
          </w:p>
        </w:tc>
        <w:tc>
          <w:tcPr>
            <w:tcW w:w="0" w:type="auto"/>
            <w:tcBorders>
              <w:top w:val="nil"/>
              <w:left w:val="nil"/>
              <w:bottom w:val="nil"/>
              <w:right w:val="nil"/>
            </w:tcBorders>
            <w:hideMark/>
          </w:tcPr>
          <w:p w14:paraId="5848A4C3"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305</w:t>
            </w:r>
          </w:p>
        </w:tc>
        <w:tc>
          <w:tcPr>
            <w:tcW w:w="0" w:type="auto"/>
            <w:tcBorders>
              <w:top w:val="nil"/>
              <w:left w:val="nil"/>
              <w:bottom w:val="nil"/>
              <w:right w:val="nil"/>
            </w:tcBorders>
            <w:hideMark/>
          </w:tcPr>
          <w:p w14:paraId="75E5A51A"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33.7</w:t>
            </w:r>
          </w:p>
        </w:tc>
      </w:tr>
      <w:tr w:rsidR="004350C7" w:rsidRPr="004350C7" w14:paraId="348BDF42" w14:textId="77777777" w:rsidTr="004350C7">
        <w:tc>
          <w:tcPr>
            <w:tcW w:w="0" w:type="auto"/>
            <w:tcBorders>
              <w:top w:val="nil"/>
              <w:left w:val="nil"/>
              <w:bottom w:val="nil"/>
              <w:right w:val="nil"/>
            </w:tcBorders>
            <w:hideMark/>
          </w:tcPr>
          <w:p w14:paraId="293E31DD"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&gt;41</w:t>
            </w:r>
          </w:p>
        </w:tc>
        <w:tc>
          <w:tcPr>
            <w:tcW w:w="0" w:type="auto"/>
            <w:tcBorders>
              <w:top w:val="nil"/>
              <w:left w:val="nil"/>
              <w:bottom w:val="nil"/>
              <w:right w:val="nil"/>
            </w:tcBorders>
            <w:hideMark/>
          </w:tcPr>
          <w:p w14:paraId="520BB89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220</w:t>
            </w:r>
          </w:p>
        </w:tc>
        <w:tc>
          <w:tcPr>
            <w:tcW w:w="0" w:type="auto"/>
            <w:tcBorders>
              <w:top w:val="nil"/>
              <w:left w:val="nil"/>
              <w:bottom w:val="nil"/>
              <w:right w:val="nil"/>
            </w:tcBorders>
            <w:hideMark/>
          </w:tcPr>
          <w:p w14:paraId="26B623E5"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24.4</w:t>
            </w:r>
          </w:p>
        </w:tc>
      </w:tr>
      <w:tr w:rsidR="004350C7" w:rsidRPr="004350C7" w14:paraId="5E39EE93" w14:textId="77777777" w:rsidTr="004350C7">
        <w:tc>
          <w:tcPr>
            <w:tcW w:w="0" w:type="auto"/>
            <w:tcBorders>
              <w:top w:val="nil"/>
              <w:left w:val="nil"/>
              <w:bottom w:val="nil"/>
              <w:right w:val="nil"/>
            </w:tcBorders>
            <w:hideMark/>
          </w:tcPr>
          <w:p w14:paraId="7500C35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Education</w:t>
            </w:r>
          </w:p>
        </w:tc>
        <w:tc>
          <w:tcPr>
            <w:tcW w:w="0" w:type="auto"/>
            <w:tcBorders>
              <w:top w:val="nil"/>
              <w:left w:val="nil"/>
              <w:bottom w:val="nil"/>
              <w:right w:val="nil"/>
            </w:tcBorders>
            <w:hideMark/>
          </w:tcPr>
          <w:p w14:paraId="39539F34" w14:textId="77777777" w:rsidR="004350C7" w:rsidRPr="004350C7" w:rsidRDefault="004350C7" w:rsidP="003966F2">
            <w:pPr>
              <w:spacing w:after="120"/>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580F4E41" w14:textId="77777777" w:rsidR="004350C7" w:rsidRPr="004350C7" w:rsidRDefault="004350C7" w:rsidP="003966F2">
            <w:pPr>
              <w:spacing w:after="120"/>
              <w:rPr>
                <w:rFonts w:ascii="Times New Roman" w:eastAsia="Times New Roman" w:hAnsi="Times New Roman" w:cs="Times New Roman"/>
                <w:sz w:val="20"/>
                <w:szCs w:val="20"/>
              </w:rPr>
            </w:pPr>
          </w:p>
        </w:tc>
      </w:tr>
      <w:tr w:rsidR="004350C7" w:rsidRPr="004350C7" w14:paraId="08157504" w14:textId="77777777" w:rsidTr="004350C7">
        <w:tc>
          <w:tcPr>
            <w:tcW w:w="0" w:type="auto"/>
            <w:tcBorders>
              <w:top w:val="nil"/>
              <w:left w:val="nil"/>
              <w:bottom w:val="nil"/>
              <w:right w:val="nil"/>
            </w:tcBorders>
            <w:hideMark/>
          </w:tcPr>
          <w:p w14:paraId="6F826ADF"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No formal education</w:t>
            </w:r>
          </w:p>
        </w:tc>
        <w:tc>
          <w:tcPr>
            <w:tcW w:w="0" w:type="auto"/>
            <w:tcBorders>
              <w:top w:val="nil"/>
              <w:left w:val="nil"/>
              <w:bottom w:val="nil"/>
              <w:right w:val="nil"/>
            </w:tcBorders>
            <w:hideMark/>
          </w:tcPr>
          <w:p w14:paraId="794AD54F"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198</w:t>
            </w:r>
          </w:p>
        </w:tc>
        <w:tc>
          <w:tcPr>
            <w:tcW w:w="0" w:type="auto"/>
            <w:tcBorders>
              <w:top w:val="nil"/>
              <w:left w:val="nil"/>
              <w:bottom w:val="nil"/>
              <w:right w:val="nil"/>
            </w:tcBorders>
            <w:hideMark/>
          </w:tcPr>
          <w:p w14:paraId="46E631E8"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21.9</w:t>
            </w:r>
          </w:p>
        </w:tc>
      </w:tr>
      <w:tr w:rsidR="004350C7" w:rsidRPr="004350C7" w14:paraId="1E3948B7" w14:textId="77777777" w:rsidTr="004350C7">
        <w:tc>
          <w:tcPr>
            <w:tcW w:w="0" w:type="auto"/>
            <w:tcBorders>
              <w:top w:val="nil"/>
              <w:left w:val="nil"/>
              <w:bottom w:val="nil"/>
              <w:right w:val="nil"/>
            </w:tcBorders>
            <w:hideMark/>
          </w:tcPr>
          <w:p w14:paraId="3A36C4DD"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Primary</w:t>
            </w:r>
          </w:p>
        </w:tc>
        <w:tc>
          <w:tcPr>
            <w:tcW w:w="0" w:type="auto"/>
            <w:tcBorders>
              <w:top w:val="nil"/>
              <w:left w:val="nil"/>
              <w:bottom w:val="nil"/>
              <w:right w:val="nil"/>
            </w:tcBorders>
            <w:hideMark/>
          </w:tcPr>
          <w:p w14:paraId="622B24C8"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356</w:t>
            </w:r>
          </w:p>
        </w:tc>
        <w:tc>
          <w:tcPr>
            <w:tcW w:w="0" w:type="auto"/>
            <w:tcBorders>
              <w:top w:val="nil"/>
              <w:left w:val="nil"/>
              <w:bottom w:val="nil"/>
              <w:right w:val="nil"/>
            </w:tcBorders>
            <w:hideMark/>
          </w:tcPr>
          <w:p w14:paraId="2C2EE5F9"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39.3</w:t>
            </w:r>
          </w:p>
        </w:tc>
      </w:tr>
      <w:tr w:rsidR="004350C7" w:rsidRPr="004350C7" w14:paraId="2492C83C" w14:textId="77777777" w:rsidTr="004350C7">
        <w:tc>
          <w:tcPr>
            <w:tcW w:w="0" w:type="auto"/>
            <w:tcBorders>
              <w:top w:val="nil"/>
              <w:left w:val="nil"/>
              <w:bottom w:val="nil"/>
              <w:right w:val="nil"/>
            </w:tcBorders>
            <w:hideMark/>
          </w:tcPr>
          <w:p w14:paraId="16A7645B"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Secondary</w:t>
            </w:r>
          </w:p>
        </w:tc>
        <w:tc>
          <w:tcPr>
            <w:tcW w:w="0" w:type="auto"/>
            <w:tcBorders>
              <w:top w:val="nil"/>
              <w:left w:val="nil"/>
              <w:bottom w:val="nil"/>
              <w:right w:val="nil"/>
            </w:tcBorders>
            <w:hideMark/>
          </w:tcPr>
          <w:p w14:paraId="2EC1C2AA"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203</w:t>
            </w:r>
          </w:p>
        </w:tc>
        <w:tc>
          <w:tcPr>
            <w:tcW w:w="0" w:type="auto"/>
            <w:tcBorders>
              <w:top w:val="nil"/>
              <w:left w:val="nil"/>
              <w:bottom w:val="nil"/>
              <w:right w:val="nil"/>
            </w:tcBorders>
            <w:hideMark/>
          </w:tcPr>
          <w:p w14:paraId="5A55B1C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22.5</w:t>
            </w:r>
          </w:p>
        </w:tc>
      </w:tr>
      <w:tr w:rsidR="004350C7" w:rsidRPr="004350C7" w14:paraId="2C92B15C" w14:textId="77777777" w:rsidTr="004350C7">
        <w:tc>
          <w:tcPr>
            <w:tcW w:w="0" w:type="auto"/>
            <w:tcBorders>
              <w:top w:val="nil"/>
              <w:left w:val="nil"/>
              <w:bottom w:val="nil"/>
              <w:right w:val="nil"/>
            </w:tcBorders>
            <w:hideMark/>
          </w:tcPr>
          <w:p w14:paraId="2E187991"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Tertiary</w:t>
            </w:r>
          </w:p>
        </w:tc>
        <w:tc>
          <w:tcPr>
            <w:tcW w:w="0" w:type="auto"/>
            <w:tcBorders>
              <w:top w:val="nil"/>
              <w:left w:val="nil"/>
              <w:bottom w:val="nil"/>
              <w:right w:val="nil"/>
            </w:tcBorders>
            <w:hideMark/>
          </w:tcPr>
          <w:p w14:paraId="7BFC8C5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147</w:t>
            </w:r>
          </w:p>
        </w:tc>
        <w:tc>
          <w:tcPr>
            <w:tcW w:w="0" w:type="auto"/>
            <w:tcBorders>
              <w:top w:val="nil"/>
              <w:left w:val="nil"/>
              <w:bottom w:val="nil"/>
              <w:right w:val="nil"/>
            </w:tcBorders>
            <w:hideMark/>
          </w:tcPr>
          <w:p w14:paraId="22A199B6"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16.3</w:t>
            </w:r>
          </w:p>
        </w:tc>
      </w:tr>
      <w:tr w:rsidR="004350C7" w:rsidRPr="004350C7" w14:paraId="5DE03C01" w14:textId="77777777" w:rsidTr="004350C7">
        <w:tc>
          <w:tcPr>
            <w:tcW w:w="0" w:type="auto"/>
            <w:tcBorders>
              <w:top w:val="nil"/>
              <w:left w:val="nil"/>
              <w:bottom w:val="nil"/>
              <w:right w:val="nil"/>
            </w:tcBorders>
            <w:hideMark/>
          </w:tcPr>
          <w:p w14:paraId="12AAF2E3"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b/>
                <w:bCs/>
                <w:sz w:val="24"/>
                <w:szCs w:val="24"/>
              </w:rPr>
              <w:t>Occupation</w:t>
            </w:r>
          </w:p>
        </w:tc>
        <w:tc>
          <w:tcPr>
            <w:tcW w:w="0" w:type="auto"/>
            <w:tcBorders>
              <w:top w:val="nil"/>
              <w:left w:val="nil"/>
              <w:bottom w:val="nil"/>
              <w:right w:val="nil"/>
            </w:tcBorders>
            <w:hideMark/>
          </w:tcPr>
          <w:p w14:paraId="4334A77C" w14:textId="77777777" w:rsidR="004350C7" w:rsidRPr="004350C7" w:rsidRDefault="004350C7" w:rsidP="003966F2">
            <w:pPr>
              <w:spacing w:after="120"/>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560A22A7" w14:textId="77777777" w:rsidR="004350C7" w:rsidRPr="004350C7" w:rsidRDefault="004350C7" w:rsidP="003966F2">
            <w:pPr>
              <w:spacing w:after="120"/>
              <w:rPr>
                <w:rFonts w:ascii="Times New Roman" w:eastAsia="Times New Roman" w:hAnsi="Times New Roman" w:cs="Times New Roman"/>
                <w:sz w:val="20"/>
                <w:szCs w:val="20"/>
              </w:rPr>
            </w:pPr>
          </w:p>
        </w:tc>
      </w:tr>
      <w:tr w:rsidR="004350C7" w:rsidRPr="004350C7" w14:paraId="41C21415" w14:textId="77777777" w:rsidTr="004350C7">
        <w:tc>
          <w:tcPr>
            <w:tcW w:w="0" w:type="auto"/>
            <w:tcBorders>
              <w:top w:val="nil"/>
              <w:left w:val="nil"/>
              <w:bottom w:val="nil"/>
              <w:right w:val="nil"/>
            </w:tcBorders>
            <w:hideMark/>
          </w:tcPr>
          <w:p w14:paraId="7E6ADC4F"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Civil servants</w:t>
            </w:r>
          </w:p>
        </w:tc>
        <w:tc>
          <w:tcPr>
            <w:tcW w:w="0" w:type="auto"/>
            <w:tcBorders>
              <w:top w:val="nil"/>
              <w:left w:val="nil"/>
              <w:bottom w:val="nil"/>
              <w:right w:val="nil"/>
            </w:tcBorders>
            <w:hideMark/>
          </w:tcPr>
          <w:p w14:paraId="6492BCC1"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190</w:t>
            </w:r>
          </w:p>
        </w:tc>
        <w:tc>
          <w:tcPr>
            <w:tcW w:w="0" w:type="auto"/>
            <w:tcBorders>
              <w:top w:val="nil"/>
              <w:left w:val="nil"/>
              <w:bottom w:val="nil"/>
              <w:right w:val="nil"/>
            </w:tcBorders>
            <w:hideMark/>
          </w:tcPr>
          <w:p w14:paraId="6C603444"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21.0</w:t>
            </w:r>
          </w:p>
        </w:tc>
      </w:tr>
      <w:tr w:rsidR="004350C7" w:rsidRPr="004350C7" w14:paraId="6E47770B" w14:textId="77777777" w:rsidTr="004350C7">
        <w:tc>
          <w:tcPr>
            <w:tcW w:w="0" w:type="auto"/>
            <w:tcBorders>
              <w:top w:val="nil"/>
              <w:left w:val="nil"/>
              <w:bottom w:val="nil"/>
              <w:right w:val="nil"/>
            </w:tcBorders>
            <w:hideMark/>
          </w:tcPr>
          <w:p w14:paraId="4D893B60"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Farmers</w:t>
            </w:r>
          </w:p>
        </w:tc>
        <w:tc>
          <w:tcPr>
            <w:tcW w:w="0" w:type="auto"/>
            <w:tcBorders>
              <w:top w:val="nil"/>
              <w:left w:val="nil"/>
              <w:bottom w:val="nil"/>
              <w:right w:val="nil"/>
            </w:tcBorders>
            <w:hideMark/>
          </w:tcPr>
          <w:p w14:paraId="24B7B23C"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428</w:t>
            </w:r>
          </w:p>
        </w:tc>
        <w:tc>
          <w:tcPr>
            <w:tcW w:w="0" w:type="auto"/>
            <w:tcBorders>
              <w:top w:val="nil"/>
              <w:left w:val="nil"/>
              <w:bottom w:val="nil"/>
              <w:right w:val="nil"/>
            </w:tcBorders>
            <w:hideMark/>
          </w:tcPr>
          <w:p w14:paraId="363D71E7"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47.4</w:t>
            </w:r>
          </w:p>
        </w:tc>
      </w:tr>
      <w:tr w:rsidR="004350C7" w:rsidRPr="004350C7" w14:paraId="49AE3472" w14:textId="77777777" w:rsidTr="004350C7">
        <w:tc>
          <w:tcPr>
            <w:tcW w:w="0" w:type="auto"/>
            <w:tcBorders>
              <w:top w:val="nil"/>
              <w:left w:val="nil"/>
              <w:right w:val="nil"/>
            </w:tcBorders>
            <w:hideMark/>
          </w:tcPr>
          <w:p w14:paraId="46AECFD1"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Traders</w:t>
            </w:r>
          </w:p>
        </w:tc>
        <w:tc>
          <w:tcPr>
            <w:tcW w:w="0" w:type="auto"/>
            <w:tcBorders>
              <w:top w:val="nil"/>
              <w:left w:val="nil"/>
              <w:right w:val="nil"/>
            </w:tcBorders>
            <w:hideMark/>
          </w:tcPr>
          <w:p w14:paraId="3B675147"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286</w:t>
            </w:r>
          </w:p>
        </w:tc>
        <w:tc>
          <w:tcPr>
            <w:tcW w:w="0" w:type="auto"/>
            <w:tcBorders>
              <w:top w:val="nil"/>
              <w:left w:val="nil"/>
              <w:right w:val="nil"/>
            </w:tcBorders>
            <w:hideMark/>
          </w:tcPr>
          <w:p w14:paraId="05A5EE28" w14:textId="77777777" w:rsidR="004350C7" w:rsidRPr="004350C7" w:rsidRDefault="004350C7" w:rsidP="003966F2">
            <w:pPr>
              <w:spacing w:after="120"/>
              <w:rPr>
                <w:rFonts w:ascii="Times New Roman" w:eastAsia="Times New Roman" w:hAnsi="Times New Roman" w:cs="Times New Roman"/>
                <w:sz w:val="24"/>
                <w:szCs w:val="24"/>
              </w:rPr>
            </w:pPr>
            <w:r w:rsidRPr="004350C7">
              <w:rPr>
                <w:rFonts w:ascii="Times New Roman" w:eastAsia="Times New Roman" w:hAnsi="Times New Roman" w:cs="Times New Roman"/>
                <w:sz w:val="24"/>
                <w:szCs w:val="24"/>
              </w:rPr>
              <w:t>31.6</w:t>
            </w:r>
          </w:p>
        </w:tc>
      </w:tr>
    </w:tbl>
    <w:p w14:paraId="2B7AEED5" w14:textId="77777777" w:rsidR="004350C7" w:rsidRPr="000547B0" w:rsidRDefault="004350C7" w:rsidP="003966F2">
      <w:pPr>
        <w:spacing w:after="120" w:line="240" w:lineRule="auto"/>
        <w:jc w:val="both"/>
        <w:rPr>
          <w:rFonts w:ascii="Times New Roman" w:eastAsia="Times New Roman" w:hAnsi="Times New Roman" w:cs="Times New Roman"/>
          <w:sz w:val="24"/>
          <w:szCs w:val="24"/>
        </w:rPr>
        <w:sectPr w:rsidR="004350C7" w:rsidRPr="000547B0" w:rsidSect="006D523E">
          <w:pgSz w:w="11907" w:h="16839" w:code="9"/>
          <w:pgMar w:top="1440" w:right="1440" w:bottom="1440" w:left="1440" w:header="720" w:footer="720" w:gutter="0"/>
          <w:cols w:space="720"/>
          <w:docGrid w:linePitch="360"/>
        </w:sectPr>
      </w:pPr>
    </w:p>
    <w:p w14:paraId="3C60F2ED" w14:textId="77777777" w:rsidR="0061272A" w:rsidRPr="000547B0" w:rsidRDefault="00E52139" w:rsidP="003966F2">
      <w:pPr>
        <w:spacing w:after="120" w:line="240" w:lineRule="auto"/>
        <w:rPr>
          <w:rFonts w:ascii="Times New Roman" w:eastAsia="Times New Roman" w:hAnsi="Times New Roman" w:cs="Times New Roman"/>
          <w:b/>
          <w:bCs/>
          <w:sz w:val="24"/>
          <w:szCs w:val="24"/>
        </w:rPr>
      </w:pPr>
      <w:r w:rsidRPr="000547B0">
        <w:rPr>
          <w:rFonts w:ascii="Times New Roman" w:eastAsia="Times New Roman" w:hAnsi="Times New Roman" w:cs="Times New Roman"/>
          <w:b/>
          <w:sz w:val="24"/>
          <w:szCs w:val="24"/>
        </w:rPr>
        <w:lastRenderedPageBreak/>
        <w:t xml:space="preserve">Ownership of Insecticidal Treated Bed Net (ITBN) in </w:t>
      </w:r>
      <w:proofErr w:type="spellStart"/>
      <w:r w:rsidRPr="000547B0">
        <w:rPr>
          <w:rFonts w:ascii="Times New Roman" w:eastAsia="Times New Roman" w:hAnsi="Times New Roman" w:cs="Times New Roman"/>
          <w:b/>
          <w:sz w:val="24"/>
          <w:szCs w:val="24"/>
        </w:rPr>
        <w:t>Nembe</w:t>
      </w:r>
      <w:proofErr w:type="spellEnd"/>
      <w:r w:rsidRPr="000547B0">
        <w:rPr>
          <w:rFonts w:ascii="Times New Roman" w:eastAsia="Times New Roman" w:hAnsi="Times New Roman" w:cs="Times New Roman"/>
          <w:b/>
          <w:sz w:val="24"/>
          <w:szCs w:val="24"/>
        </w:rPr>
        <w:t xml:space="preserve"> LGA during </w:t>
      </w:r>
      <w:r w:rsidRPr="000547B0">
        <w:rPr>
          <w:rFonts w:ascii="Times New Roman" w:eastAsia="Times New Roman" w:hAnsi="Times New Roman" w:cs="Times New Roman"/>
          <w:b/>
          <w:bCs/>
          <w:sz w:val="24"/>
          <w:szCs w:val="24"/>
        </w:rPr>
        <w:t>April 2020 – March 2021</w:t>
      </w:r>
    </w:p>
    <w:p w14:paraId="70CB7640" w14:textId="77777777" w:rsidR="003966F2" w:rsidRDefault="0098316C"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 </w:t>
      </w:r>
      <w:r w:rsidR="00731C28" w:rsidRPr="000547B0">
        <w:rPr>
          <w:rFonts w:ascii="Times New Roman" w:eastAsia="Times New Roman" w:hAnsi="Times New Roman" w:cs="Times New Roman"/>
          <w:sz w:val="24"/>
          <w:szCs w:val="24"/>
        </w:rPr>
        <w:t xml:space="preserve">Detailed information on the ownership of an insecticidal treated bed </w:t>
      </w:r>
      <w:r w:rsidR="000E5110" w:rsidRPr="000547B0">
        <w:rPr>
          <w:rFonts w:ascii="Times New Roman" w:eastAsia="Times New Roman" w:hAnsi="Times New Roman" w:cs="Times New Roman"/>
          <w:sz w:val="24"/>
          <w:szCs w:val="24"/>
        </w:rPr>
        <w:t>net is</w:t>
      </w:r>
      <w:r w:rsidR="00731C28" w:rsidRPr="000547B0">
        <w:rPr>
          <w:rFonts w:ascii="Times New Roman" w:eastAsia="Times New Roman" w:hAnsi="Times New Roman" w:cs="Times New Roman"/>
          <w:sz w:val="24"/>
          <w:szCs w:val="24"/>
        </w:rPr>
        <w:t xml:space="preserve"> showed in table </w:t>
      </w:r>
      <w:r w:rsidR="00452CF3" w:rsidRPr="000547B0">
        <w:rPr>
          <w:rFonts w:ascii="Times New Roman" w:eastAsia="Times New Roman" w:hAnsi="Times New Roman" w:cs="Times New Roman"/>
          <w:sz w:val="24"/>
          <w:szCs w:val="24"/>
        </w:rPr>
        <w:t>3</w:t>
      </w:r>
      <w:r w:rsidR="00731C28" w:rsidRPr="000547B0">
        <w:rPr>
          <w:rFonts w:ascii="Times New Roman" w:eastAsia="Times New Roman" w:hAnsi="Times New Roman" w:cs="Times New Roman"/>
          <w:sz w:val="24"/>
          <w:szCs w:val="24"/>
        </w:rPr>
        <w:t xml:space="preserve">.  </w:t>
      </w:r>
      <w:r w:rsidRPr="000547B0">
        <w:rPr>
          <w:rFonts w:ascii="Times New Roman" w:eastAsia="Times New Roman" w:hAnsi="Times New Roman" w:cs="Times New Roman"/>
          <w:sz w:val="24"/>
          <w:szCs w:val="24"/>
        </w:rPr>
        <w:t xml:space="preserve">A total of 904 household </w:t>
      </w:r>
      <w:r w:rsidR="0065490C" w:rsidRPr="000547B0">
        <w:rPr>
          <w:rFonts w:ascii="Times New Roman" w:eastAsia="Times New Roman" w:hAnsi="Times New Roman" w:cs="Times New Roman"/>
          <w:sz w:val="24"/>
          <w:szCs w:val="24"/>
        </w:rPr>
        <w:t>was</w:t>
      </w:r>
      <w:r w:rsidRPr="000547B0">
        <w:rPr>
          <w:rFonts w:ascii="Times New Roman" w:eastAsia="Times New Roman" w:hAnsi="Times New Roman" w:cs="Times New Roman"/>
          <w:sz w:val="24"/>
          <w:szCs w:val="24"/>
        </w:rPr>
        <w:t xml:space="preserve"> involved in the study. The proportion of respondents that owned I</w:t>
      </w:r>
      <w:r w:rsidR="00E47416" w:rsidRPr="000547B0">
        <w:rPr>
          <w:rFonts w:ascii="Times New Roman" w:eastAsia="Times New Roman" w:hAnsi="Times New Roman" w:cs="Times New Roman"/>
          <w:sz w:val="24"/>
          <w:szCs w:val="24"/>
        </w:rPr>
        <w:t>TBN and those that did not was</w:t>
      </w:r>
      <w:r w:rsidRPr="000547B0">
        <w:rPr>
          <w:rFonts w:ascii="Times New Roman" w:eastAsia="Times New Roman" w:hAnsi="Times New Roman" w:cs="Times New Roman"/>
          <w:sz w:val="24"/>
          <w:szCs w:val="24"/>
        </w:rPr>
        <w:t xml:space="preserve"> 45% and </w:t>
      </w:r>
      <w:r w:rsidR="00E52139" w:rsidRPr="000547B0">
        <w:rPr>
          <w:rFonts w:ascii="Times New Roman" w:eastAsia="Times New Roman" w:hAnsi="Times New Roman" w:cs="Times New Roman"/>
          <w:sz w:val="24"/>
          <w:szCs w:val="24"/>
        </w:rPr>
        <w:t>55.</w:t>
      </w:r>
      <w:r w:rsidRPr="000547B0">
        <w:rPr>
          <w:rFonts w:ascii="Times New Roman" w:eastAsia="Times New Roman" w:hAnsi="Times New Roman" w:cs="Times New Roman"/>
          <w:sz w:val="24"/>
          <w:szCs w:val="24"/>
        </w:rPr>
        <w:t xml:space="preserve"> </w:t>
      </w:r>
      <w:r w:rsidR="00E52139" w:rsidRPr="000547B0">
        <w:rPr>
          <w:rFonts w:ascii="Times New Roman" w:eastAsia="Times New Roman" w:hAnsi="Times New Roman" w:cs="Times New Roman"/>
          <w:sz w:val="24"/>
          <w:szCs w:val="24"/>
        </w:rPr>
        <w:t>%</w:t>
      </w:r>
      <w:r w:rsidRPr="000547B0">
        <w:rPr>
          <w:rFonts w:ascii="Times New Roman" w:eastAsia="Times New Roman" w:hAnsi="Times New Roman" w:cs="Times New Roman"/>
          <w:sz w:val="24"/>
          <w:szCs w:val="24"/>
        </w:rPr>
        <w:t xml:space="preserve"> respectively. Among the respondents that owned ITBN, 88.9% </w:t>
      </w:r>
      <w:r w:rsidR="00E47416" w:rsidRPr="000547B0">
        <w:rPr>
          <w:rFonts w:ascii="Times New Roman" w:eastAsia="Times New Roman" w:hAnsi="Times New Roman" w:cs="Times New Roman"/>
          <w:sz w:val="24"/>
          <w:szCs w:val="24"/>
        </w:rPr>
        <w:t>had</w:t>
      </w:r>
      <w:r w:rsidRPr="000547B0">
        <w:rPr>
          <w:rFonts w:ascii="Times New Roman" w:eastAsia="Times New Roman" w:hAnsi="Times New Roman" w:cs="Times New Roman"/>
          <w:sz w:val="24"/>
          <w:szCs w:val="24"/>
        </w:rPr>
        <w:t xml:space="preserve"> always use</w:t>
      </w:r>
      <w:r w:rsidR="00E47416" w:rsidRPr="000547B0">
        <w:rPr>
          <w:rFonts w:ascii="Times New Roman" w:eastAsia="Times New Roman" w:hAnsi="Times New Roman" w:cs="Times New Roman"/>
          <w:sz w:val="24"/>
          <w:szCs w:val="24"/>
        </w:rPr>
        <w:t>d</w:t>
      </w:r>
      <w:r w:rsidRPr="000547B0">
        <w:rPr>
          <w:rFonts w:ascii="Times New Roman" w:eastAsia="Times New Roman" w:hAnsi="Times New Roman" w:cs="Times New Roman"/>
          <w:sz w:val="24"/>
          <w:szCs w:val="24"/>
        </w:rPr>
        <w:t xml:space="preserve"> it, while 10.6% used the ITBN </w:t>
      </w:r>
      <w:r w:rsidR="00461901" w:rsidRPr="000547B0">
        <w:rPr>
          <w:rFonts w:ascii="Times New Roman" w:eastAsia="Times New Roman" w:hAnsi="Times New Roman" w:cs="Times New Roman"/>
          <w:sz w:val="24"/>
          <w:szCs w:val="24"/>
        </w:rPr>
        <w:t xml:space="preserve">at </w:t>
      </w:r>
      <w:r w:rsidRPr="000547B0">
        <w:rPr>
          <w:rFonts w:ascii="Times New Roman" w:eastAsia="Times New Roman" w:hAnsi="Times New Roman" w:cs="Times New Roman"/>
          <w:sz w:val="24"/>
          <w:szCs w:val="24"/>
        </w:rPr>
        <w:t>most times and 0.5% of the</w:t>
      </w:r>
      <w:r w:rsidR="00E47416" w:rsidRPr="000547B0">
        <w:rPr>
          <w:rFonts w:ascii="Times New Roman" w:eastAsia="Times New Roman" w:hAnsi="Times New Roman" w:cs="Times New Roman"/>
          <w:sz w:val="24"/>
          <w:szCs w:val="24"/>
        </w:rPr>
        <w:t xml:space="preserve"> respondents rarely used it</w:t>
      </w:r>
      <w:r w:rsidRPr="000547B0">
        <w:rPr>
          <w:rFonts w:ascii="Times New Roman" w:eastAsia="Times New Roman" w:hAnsi="Times New Roman" w:cs="Times New Roman"/>
          <w:sz w:val="24"/>
          <w:szCs w:val="24"/>
        </w:rPr>
        <w:t>.</w:t>
      </w:r>
      <w:r w:rsidR="00731C28" w:rsidRPr="000547B0">
        <w:rPr>
          <w:rFonts w:ascii="Times New Roman" w:eastAsia="Times New Roman" w:hAnsi="Times New Roman" w:cs="Times New Roman"/>
          <w:sz w:val="24"/>
          <w:szCs w:val="24"/>
        </w:rPr>
        <w:t xml:space="preserve"> Among the respondents that did not own ITBN, 79% were waiting for gov</w:t>
      </w:r>
      <w:r w:rsidR="00E47416" w:rsidRPr="000547B0">
        <w:rPr>
          <w:rFonts w:ascii="Times New Roman" w:eastAsia="Times New Roman" w:hAnsi="Times New Roman" w:cs="Times New Roman"/>
          <w:sz w:val="24"/>
          <w:szCs w:val="24"/>
        </w:rPr>
        <w:t>ernment to directly distribute</w:t>
      </w:r>
      <w:r w:rsidR="00461901" w:rsidRPr="000547B0">
        <w:rPr>
          <w:rFonts w:ascii="Times New Roman" w:eastAsia="Times New Roman" w:hAnsi="Times New Roman" w:cs="Times New Roman"/>
          <w:sz w:val="24"/>
          <w:szCs w:val="24"/>
        </w:rPr>
        <w:t xml:space="preserve"> </w:t>
      </w:r>
      <w:r w:rsidR="00731C28" w:rsidRPr="000547B0">
        <w:rPr>
          <w:rFonts w:ascii="Times New Roman" w:eastAsia="Times New Roman" w:hAnsi="Times New Roman" w:cs="Times New Roman"/>
          <w:sz w:val="24"/>
          <w:szCs w:val="24"/>
        </w:rPr>
        <w:t>to them, 8.7% acclaimed that it was too expensive, 1.6% were not aware. Twenty (4.0%) of the respondents said that it was Not necessary while 31(6.2%) had No answer.</w:t>
      </w:r>
      <w:r w:rsidR="00E52139" w:rsidRPr="000547B0">
        <w:rPr>
          <w:rFonts w:ascii="Times New Roman" w:eastAsia="Times New Roman" w:hAnsi="Times New Roman" w:cs="Times New Roman"/>
          <w:sz w:val="24"/>
          <w:szCs w:val="24"/>
        </w:rPr>
        <w:t xml:space="preserve"> </w:t>
      </w:r>
      <w:r w:rsidR="000547B0" w:rsidRPr="000547B0">
        <w:rPr>
          <w:rFonts w:ascii="Times New Roman" w:eastAsia="Times New Roman" w:hAnsi="Times New Roman" w:cs="Times New Roman"/>
          <w:sz w:val="24"/>
          <w:szCs w:val="24"/>
        </w:rPr>
        <w:t xml:space="preserve"> </w:t>
      </w:r>
    </w:p>
    <w:p w14:paraId="05FB5A7A" w14:textId="04B36236" w:rsidR="003A59D7" w:rsidRPr="003966F2" w:rsidRDefault="003A59D7" w:rsidP="003966F2">
      <w:pPr>
        <w:spacing w:after="120" w:line="240" w:lineRule="auto"/>
        <w:jc w:val="both"/>
        <w:rPr>
          <w:rFonts w:ascii="Times New Roman" w:eastAsia="Times New Roman" w:hAnsi="Times New Roman" w:cs="Times New Roman"/>
          <w:sz w:val="28"/>
          <w:szCs w:val="28"/>
        </w:rPr>
      </w:pPr>
      <w:r w:rsidRPr="003966F2">
        <w:rPr>
          <w:rFonts w:ascii="Times New Roman" w:hAnsi="Times New Roman" w:cs="Times New Roman"/>
          <w:sz w:val="24"/>
          <w:szCs w:val="24"/>
        </w:rPr>
        <w:t xml:space="preserve">Correlation analysis (Table 4) showed significant associations between insecticidal treated bed net (ITBN) ownership and usage patterns and entomological indices of </w:t>
      </w:r>
      <w:r w:rsidRPr="003966F2">
        <w:rPr>
          <w:rStyle w:val="Emphasis"/>
          <w:rFonts w:ascii="Times New Roman" w:hAnsi="Times New Roman" w:cs="Times New Roman"/>
          <w:sz w:val="24"/>
          <w:szCs w:val="24"/>
        </w:rPr>
        <w:t>Anopheles gambiae</w:t>
      </w:r>
      <w:r w:rsidRPr="003966F2">
        <w:rPr>
          <w:rFonts w:ascii="Times New Roman" w:hAnsi="Times New Roman" w:cs="Times New Roman"/>
          <w:sz w:val="24"/>
          <w:szCs w:val="24"/>
        </w:rPr>
        <w:t>. The proportion of households owning ITBN was positively associated with indoor resting density (r = 0.83, p &lt; 0.05) and man-biting rate (r = 0.78, p &lt; 0.05), indicating that ownership alone may not be sufficient to reduce vector density or biting activity without consistent use. Households not owning ITBN also showed positive associations with indoor resting density (r = 0.85, p &lt; 0.05) and man-biting rate (r = 0.75, p &lt; 0.05). Consistent ITBN use and irregular use were both positively associated with indoor resting density and biting rate, with irregular use showing the strongest association with biting activity (r = 0.86, p &lt; 0.05). Rare ITBN use showed a negative association with indoor resting density (r = −0.87, p &lt; 0.05) but only a weak association with biting rate (r = 0.23). These patterns likely reflect aggregated community-level responses to high vector abundance rather than direct causal effects of ITBN use, emphasizing that inconsistent or improper ITBN utilization provides limited protection against malaria vectors.</w:t>
      </w:r>
    </w:p>
    <w:p w14:paraId="3F2C6496" w14:textId="77777777" w:rsidR="00A24732" w:rsidRDefault="00A24732" w:rsidP="003966F2">
      <w:pPr>
        <w:spacing w:after="120" w:line="240" w:lineRule="auto"/>
        <w:jc w:val="both"/>
        <w:rPr>
          <w:rFonts w:ascii="Times New Roman" w:eastAsia="Times New Roman" w:hAnsi="Times New Roman" w:cs="Times New Roman"/>
          <w:sz w:val="24"/>
          <w:szCs w:val="24"/>
        </w:rPr>
      </w:pPr>
    </w:p>
    <w:p w14:paraId="3237E97D" w14:textId="77777777" w:rsidR="004350C7" w:rsidRDefault="004350C7" w:rsidP="003966F2">
      <w:pPr>
        <w:spacing w:after="120" w:line="240" w:lineRule="auto"/>
        <w:jc w:val="both"/>
        <w:rPr>
          <w:rFonts w:ascii="Times New Roman" w:eastAsia="Times New Roman" w:hAnsi="Times New Roman" w:cs="Times New Roman"/>
          <w:sz w:val="24"/>
          <w:szCs w:val="24"/>
        </w:rPr>
      </w:pPr>
    </w:p>
    <w:p w14:paraId="326491BE" w14:textId="77777777" w:rsidR="004350C7" w:rsidRDefault="004350C7" w:rsidP="003966F2">
      <w:pPr>
        <w:spacing w:after="120" w:line="240" w:lineRule="auto"/>
        <w:jc w:val="both"/>
        <w:rPr>
          <w:rFonts w:ascii="Times New Roman" w:eastAsia="Times New Roman" w:hAnsi="Times New Roman" w:cs="Times New Roman"/>
          <w:sz w:val="24"/>
          <w:szCs w:val="24"/>
        </w:rPr>
      </w:pPr>
    </w:p>
    <w:p w14:paraId="16B39D40" w14:textId="77777777" w:rsidR="004350C7" w:rsidRDefault="004350C7" w:rsidP="003966F2">
      <w:pPr>
        <w:spacing w:after="120" w:line="240" w:lineRule="auto"/>
        <w:jc w:val="both"/>
        <w:rPr>
          <w:rFonts w:ascii="Times New Roman" w:eastAsia="Times New Roman" w:hAnsi="Times New Roman" w:cs="Times New Roman"/>
          <w:sz w:val="24"/>
          <w:szCs w:val="24"/>
        </w:rPr>
      </w:pPr>
    </w:p>
    <w:p w14:paraId="52D6709C" w14:textId="77777777" w:rsidR="004350C7" w:rsidRDefault="004350C7" w:rsidP="003966F2">
      <w:pPr>
        <w:spacing w:after="120" w:line="240" w:lineRule="auto"/>
        <w:jc w:val="both"/>
        <w:rPr>
          <w:rFonts w:ascii="Times New Roman" w:eastAsia="Times New Roman" w:hAnsi="Times New Roman" w:cs="Times New Roman"/>
          <w:sz w:val="24"/>
          <w:szCs w:val="24"/>
        </w:rPr>
      </w:pPr>
    </w:p>
    <w:p w14:paraId="7F7AE400" w14:textId="56E16646" w:rsidR="004350C7" w:rsidRPr="000547B0" w:rsidRDefault="004350C7" w:rsidP="003966F2">
      <w:pPr>
        <w:spacing w:after="120" w:line="240" w:lineRule="auto"/>
        <w:jc w:val="both"/>
        <w:rPr>
          <w:rFonts w:ascii="Times New Roman" w:eastAsia="Times New Roman" w:hAnsi="Times New Roman" w:cs="Times New Roman"/>
          <w:sz w:val="24"/>
          <w:szCs w:val="24"/>
        </w:rPr>
        <w:sectPr w:rsidR="004350C7" w:rsidRPr="000547B0" w:rsidSect="006D523E">
          <w:pgSz w:w="11907" w:h="16839" w:code="9"/>
          <w:pgMar w:top="1440" w:right="1440" w:bottom="1440" w:left="1440" w:header="720" w:footer="720" w:gutter="0"/>
          <w:cols w:space="720"/>
          <w:docGrid w:linePitch="360"/>
        </w:sectPr>
      </w:pPr>
    </w:p>
    <w:p w14:paraId="53FC90CE" w14:textId="54C36820" w:rsidR="00E52139" w:rsidRPr="000547B0" w:rsidRDefault="00E52139" w:rsidP="003966F2">
      <w:pPr>
        <w:spacing w:after="120" w:line="240" w:lineRule="auto"/>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lastRenderedPageBreak/>
        <w:t>Table</w:t>
      </w:r>
      <w:r w:rsidR="0061272A" w:rsidRPr="000547B0">
        <w:rPr>
          <w:rFonts w:ascii="Times New Roman" w:eastAsia="Times New Roman" w:hAnsi="Times New Roman" w:cs="Times New Roman"/>
          <w:b/>
          <w:sz w:val="24"/>
          <w:szCs w:val="24"/>
        </w:rPr>
        <w:t xml:space="preserve"> </w:t>
      </w:r>
      <w:r w:rsidR="00452CF3" w:rsidRPr="000547B0">
        <w:rPr>
          <w:rFonts w:ascii="Times New Roman" w:eastAsia="Times New Roman" w:hAnsi="Times New Roman" w:cs="Times New Roman"/>
          <w:b/>
          <w:sz w:val="24"/>
          <w:szCs w:val="24"/>
        </w:rPr>
        <w:t>3</w:t>
      </w:r>
      <w:r w:rsidRPr="000547B0">
        <w:rPr>
          <w:rFonts w:ascii="Times New Roman" w:eastAsia="Times New Roman" w:hAnsi="Times New Roman" w:cs="Times New Roman"/>
          <w:b/>
          <w:sz w:val="24"/>
          <w:szCs w:val="24"/>
        </w:rPr>
        <w:t>: Household Ownership</w:t>
      </w:r>
      <w:r w:rsidR="00111BE1" w:rsidRPr="000547B0">
        <w:rPr>
          <w:rFonts w:ascii="Times New Roman" w:eastAsia="Times New Roman" w:hAnsi="Times New Roman" w:cs="Times New Roman"/>
          <w:b/>
          <w:sz w:val="24"/>
          <w:szCs w:val="24"/>
        </w:rPr>
        <w:t xml:space="preserve"> of </w:t>
      </w:r>
      <w:r w:rsidRPr="000547B0">
        <w:rPr>
          <w:rFonts w:ascii="Times New Roman" w:eastAsia="Times New Roman" w:hAnsi="Times New Roman" w:cs="Times New Roman"/>
          <w:b/>
          <w:sz w:val="24"/>
          <w:szCs w:val="24"/>
        </w:rPr>
        <w:t>Insecticidal Treated Bed Net (ITBN) By Location/Factors Affecting Ownership of Insecticidal Treated Bed Net (</w:t>
      </w:r>
      <w:bookmarkStart w:id="1" w:name="_Hlk137436627"/>
      <w:r w:rsidRPr="000547B0">
        <w:rPr>
          <w:rFonts w:ascii="Times New Roman" w:eastAsia="Times New Roman" w:hAnsi="Times New Roman" w:cs="Times New Roman"/>
          <w:b/>
          <w:sz w:val="24"/>
          <w:szCs w:val="24"/>
        </w:rPr>
        <w:t>ITBN)</w:t>
      </w:r>
    </w:p>
    <w:tbl>
      <w:tblPr>
        <w:tblStyle w:val="TableGrid"/>
        <w:tblW w:w="12690" w:type="dxa"/>
        <w:tblInd w:w="82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780"/>
        <w:gridCol w:w="1800"/>
        <w:gridCol w:w="1710"/>
        <w:gridCol w:w="1800"/>
        <w:gridCol w:w="1890"/>
        <w:gridCol w:w="1710"/>
      </w:tblGrid>
      <w:tr w:rsidR="00E52139" w:rsidRPr="000547B0" w14:paraId="383FD235" w14:textId="77777777" w:rsidTr="00144E79">
        <w:trPr>
          <w:trHeight w:val="342"/>
        </w:trPr>
        <w:tc>
          <w:tcPr>
            <w:tcW w:w="3780" w:type="dxa"/>
            <w:vMerge w:val="restart"/>
            <w:tcBorders>
              <w:top w:val="single" w:sz="18" w:space="0" w:color="auto"/>
            </w:tcBorders>
          </w:tcPr>
          <w:p w14:paraId="1B4C03F5" w14:textId="77777777" w:rsidR="00E52139" w:rsidRPr="000547B0" w:rsidRDefault="00E52139" w:rsidP="003966F2">
            <w:pPr>
              <w:spacing w:after="120"/>
              <w:jc w:val="both"/>
              <w:rPr>
                <w:rFonts w:ascii="Times New Roman" w:eastAsia="Times New Roman" w:hAnsi="Times New Roman" w:cs="Times New Roman"/>
                <w:b/>
                <w:sz w:val="24"/>
                <w:szCs w:val="24"/>
              </w:rPr>
            </w:pPr>
            <w:bookmarkStart w:id="2" w:name="_Hlk137440386"/>
            <w:r w:rsidRPr="000547B0">
              <w:rPr>
                <w:rFonts w:ascii="Times New Roman" w:eastAsia="Times New Roman" w:hAnsi="Times New Roman" w:cs="Times New Roman"/>
                <w:b/>
                <w:sz w:val="24"/>
                <w:szCs w:val="24"/>
              </w:rPr>
              <w:t>Variable</w:t>
            </w:r>
          </w:p>
        </w:tc>
        <w:tc>
          <w:tcPr>
            <w:tcW w:w="5310" w:type="dxa"/>
            <w:gridSpan w:val="3"/>
            <w:tcBorders>
              <w:top w:val="single" w:sz="18" w:space="0" w:color="auto"/>
              <w:bottom w:val="single" w:sz="18" w:space="0" w:color="auto"/>
            </w:tcBorders>
          </w:tcPr>
          <w:p w14:paraId="4E408EAB" w14:textId="77777777" w:rsidR="00E52139" w:rsidRPr="000547B0" w:rsidRDefault="00E52139" w:rsidP="003966F2">
            <w:pPr>
              <w:spacing w:after="120"/>
              <w:jc w:val="center"/>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Location</w:t>
            </w:r>
          </w:p>
        </w:tc>
        <w:tc>
          <w:tcPr>
            <w:tcW w:w="3600" w:type="dxa"/>
            <w:gridSpan w:val="2"/>
            <w:tcBorders>
              <w:top w:val="single" w:sz="18" w:space="0" w:color="auto"/>
            </w:tcBorders>
          </w:tcPr>
          <w:p w14:paraId="1DAE0699" w14:textId="77777777" w:rsidR="00E52139" w:rsidRPr="000547B0" w:rsidRDefault="00E52139" w:rsidP="003966F2">
            <w:pPr>
              <w:spacing w:after="120"/>
              <w:jc w:val="both"/>
              <w:rPr>
                <w:rFonts w:ascii="Times New Roman" w:eastAsia="Times New Roman" w:hAnsi="Times New Roman" w:cs="Times New Roman"/>
                <w:b/>
                <w:sz w:val="24"/>
                <w:szCs w:val="24"/>
              </w:rPr>
            </w:pPr>
          </w:p>
        </w:tc>
      </w:tr>
      <w:tr w:rsidR="00E52139" w:rsidRPr="000547B0" w14:paraId="6DBCC9CF" w14:textId="77777777" w:rsidTr="00144E79">
        <w:trPr>
          <w:trHeight w:val="423"/>
        </w:trPr>
        <w:tc>
          <w:tcPr>
            <w:tcW w:w="3780" w:type="dxa"/>
            <w:vMerge/>
            <w:tcBorders>
              <w:bottom w:val="single" w:sz="18" w:space="0" w:color="auto"/>
            </w:tcBorders>
          </w:tcPr>
          <w:p w14:paraId="036FFEB2" w14:textId="77777777" w:rsidR="00E52139" w:rsidRPr="000547B0" w:rsidRDefault="00E52139" w:rsidP="003966F2">
            <w:pPr>
              <w:spacing w:after="120"/>
              <w:jc w:val="both"/>
              <w:rPr>
                <w:rFonts w:ascii="Times New Roman" w:eastAsia="Times New Roman" w:hAnsi="Times New Roman" w:cs="Times New Roman"/>
                <w:b/>
                <w:sz w:val="24"/>
                <w:szCs w:val="24"/>
              </w:rPr>
            </w:pPr>
          </w:p>
        </w:tc>
        <w:tc>
          <w:tcPr>
            <w:tcW w:w="1800" w:type="dxa"/>
            <w:tcBorders>
              <w:top w:val="single" w:sz="18" w:space="0" w:color="auto"/>
              <w:bottom w:val="single" w:sz="18" w:space="0" w:color="auto"/>
            </w:tcBorders>
          </w:tcPr>
          <w:p w14:paraId="7A8A920E" w14:textId="77777777" w:rsidR="00E52139" w:rsidRPr="000547B0" w:rsidRDefault="00E52139" w:rsidP="003966F2">
            <w:pPr>
              <w:spacing w:after="120"/>
              <w:jc w:val="both"/>
              <w:rPr>
                <w:rFonts w:ascii="Times New Roman" w:eastAsia="Times New Roman" w:hAnsi="Times New Roman" w:cs="Times New Roman"/>
                <w:b/>
                <w:sz w:val="24"/>
                <w:szCs w:val="24"/>
              </w:rPr>
            </w:pPr>
            <w:proofErr w:type="spellStart"/>
            <w:r w:rsidRPr="000547B0">
              <w:rPr>
                <w:rFonts w:ascii="Times New Roman" w:eastAsia="Times New Roman" w:hAnsi="Times New Roman" w:cs="Times New Roman"/>
                <w:b/>
                <w:sz w:val="24"/>
                <w:szCs w:val="24"/>
              </w:rPr>
              <w:t>Nembe</w:t>
            </w:r>
            <w:proofErr w:type="spellEnd"/>
          </w:p>
        </w:tc>
        <w:tc>
          <w:tcPr>
            <w:tcW w:w="1710" w:type="dxa"/>
            <w:tcBorders>
              <w:top w:val="single" w:sz="18" w:space="0" w:color="auto"/>
              <w:bottom w:val="single" w:sz="18" w:space="0" w:color="auto"/>
            </w:tcBorders>
          </w:tcPr>
          <w:p w14:paraId="31122769" w14:textId="77777777" w:rsidR="00E52139" w:rsidRPr="000547B0" w:rsidRDefault="00E52139" w:rsidP="003966F2">
            <w:pPr>
              <w:spacing w:after="120"/>
              <w:jc w:val="both"/>
              <w:rPr>
                <w:rFonts w:ascii="Times New Roman" w:eastAsia="Times New Roman" w:hAnsi="Times New Roman" w:cs="Times New Roman"/>
                <w:b/>
                <w:sz w:val="24"/>
                <w:szCs w:val="24"/>
              </w:rPr>
            </w:pPr>
            <w:proofErr w:type="spellStart"/>
            <w:r w:rsidRPr="000547B0">
              <w:rPr>
                <w:rFonts w:ascii="Times New Roman" w:eastAsia="Times New Roman" w:hAnsi="Times New Roman" w:cs="Times New Roman"/>
                <w:b/>
                <w:sz w:val="24"/>
                <w:szCs w:val="24"/>
              </w:rPr>
              <w:t>Fantuo</w:t>
            </w:r>
            <w:proofErr w:type="spellEnd"/>
          </w:p>
        </w:tc>
        <w:tc>
          <w:tcPr>
            <w:tcW w:w="1800" w:type="dxa"/>
            <w:tcBorders>
              <w:bottom w:val="single" w:sz="18" w:space="0" w:color="auto"/>
            </w:tcBorders>
          </w:tcPr>
          <w:p w14:paraId="207EB898" w14:textId="77777777"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Abuja</w:t>
            </w:r>
          </w:p>
        </w:tc>
        <w:tc>
          <w:tcPr>
            <w:tcW w:w="1890" w:type="dxa"/>
            <w:tcBorders>
              <w:bottom w:val="single" w:sz="18" w:space="0" w:color="auto"/>
            </w:tcBorders>
          </w:tcPr>
          <w:p w14:paraId="387C63B4" w14:textId="796B7E9A" w:rsidR="00E52139" w:rsidRPr="000547B0" w:rsidRDefault="000B79F8"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All Communities</w:t>
            </w:r>
          </w:p>
        </w:tc>
        <w:tc>
          <w:tcPr>
            <w:tcW w:w="1710" w:type="dxa"/>
            <w:tcBorders>
              <w:bottom w:val="single" w:sz="18" w:space="0" w:color="auto"/>
            </w:tcBorders>
          </w:tcPr>
          <w:p w14:paraId="1709CAFB" w14:textId="4B9D1D0D"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w:t>
            </w:r>
          </w:p>
        </w:tc>
      </w:tr>
      <w:tr w:rsidR="00E52139" w:rsidRPr="000547B0" w14:paraId="72B8F149" w14:textId="77777777" w:rsidTr="00144E79">
        <w:trPr>
          <w:trHeight w:val="207"/>
        </w:trPr>
        <w:tc>
          <w:tcPr>
            <w:tcW w:w="3780" w:type="dxa"/>
            <w:tcBorders>
              <w:top w:val="single" w:sz="18" w:space="0" w:color="auto"/>
              <w:bottom w:val="nil"/>
            </w:tcBorders>
          </w:tcPr>
          <w:p w14:paraId="7E97071A" w14:textId="77777777" w:rsidR="00E52139" w:rsidRPr="000547B0" w:rsidRDefault="00E52139" w:rsidP="003966F2">
            <w:pPr>
              <w:spacing w:after="120"/>
              <w:jc w:val="both"/>
              <w:rPr>
                <w:rFonts w:ascii="Times New Roman" w:eastAsia="Times New Roman" w:hAnsi="Times New Roman" w:cs="Times New Roman"/>
                <w:sz w:val="24"/>
                <w:szCs w:val="24"/>
              </w:rPr>
            </w:pPr>
          </w:p>
          <w:p w14:paraId="02F868DC" w14:textId="6D582F45" w:rsidR="00E52139" w:rsidRPr="000547B0" w:rsidRDefault="00111BE1"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owned </w:t>
            </w:r>
            <w:r w:rsidR="000B79F8" w:rsidRPr="000547B0">
              <w:rPr>
                <w:rFonts w:ascii="Times New Roman" w:eastAsia="Times New Roman" w:hAnsi="Times New Roman" w:cs="Times New Roman"/>
                <w:sz w:val="24"/>
                <w:szCs w:val="24"/>
              </w:rPr>
              <w:t>ITBN</w:t>
            </w:r>
          </w:p>
        </w:tc>
        <w:tc>
          <w:tcPr>
            <w:tcW w:w="1800" w:type="dxa"/>
            <w:tcBorders>
              <w:top w:val="single" w:sz="18" w:space="0" w:color="auto"/>
              <w:bottom w:val="nil"/>
            </w:tcBorders>
          </w:tcPr>
          <w:p w14:paraId="0EDB6F81" w14:textId="77777777" w:rsidR="00E52139" w:rsidRPr="000547B0" w:rsidRDefault="00E52139" w:rsidP="003966F2">
            <w:pPr>
              <w:spacing w:after="120"/>
              <w:jc w:val="both"/>
              <w:rPr>
                <w:rFonts w:ascii="Times New Roman" w:eastAsia="Times New Roman" w:hAnsi="Times New Roman" w:cs="Times New Roman"/>
                <w:sz w:val="24"/>
                <w:szCs w:val="24"/>
              </w:rPr>
            </w:pPr>
          </w:p>
          <w:p w14:paraId="13516875" w14:textId="25FD5E7D"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sz w:val="24"/>
                <w:szCs w:val="24"/>
              </w:rPr>
              <w:t>350</w:t>
            </w:r>
            <w:r w:rsidR="00C503B3" w:rsidRPr="000547B0">
              <w:rPr>
                <w:rFonts w:ascii="Times New Roman" w:eastAsia="Times New Roman" w:hAnsi="Times New Roman" w:cs="Times New Roman"/>
                <w:sz w:val="24"/>
                <w:szCs w:val="24"/>
              </w:rPr>
              <w:t>(38.7)</w:t>
            </w:r>
          </w:p>
        </w:tc>
        <w:tc>
          <w:tcPr>
            <w:tcW w:w="1710" w:type="dxa"/>
            <w:tcBorders>
              <w:top w:val="single" w:sz="18" w:space="0" w:color="auto"/>
              <w:bottom w:val="nil"/>
            </w:tcBorders>
          </w:tcPr>
          <w:p w14:paraId="35210AA6" w14:textId="77777777" w:rsidR="00E52139" w:rsidRPr="000547B0" w:rsidRDefault="00E52139" w:rsidP="003966F2">
            <w:pPr>
              <w:spacing w:after="120"/>
              <w:jc w:val="both"/>
              <w:rPr>
                <w:rFonts w:ascii="Times New Roman" w:eastAsia="Times New Roman" w:hAnsi="Times New Roman" w:cs="Times New Roman"/>
                <w:sz w:val="24"/>
                <w:szCs w:val="24"/>
              </w:rPr>
            </w:pPr>
          </w:p>
          <w:p w14:paraId="4FA25A58" w14:textId="781FB79F"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sz w:val="24"/>
                <w:szCs w:val="24"/>
              </w:rPr>
              <w:t>42</w:t>
            </w:r>
            <w:r w:rsidR="00C503B3" w:rsidRPr="000547B0">
              <w:rPr>
                <w:rFonts w:ascii="Times New Roman" w:eastAsia="Times New Roman" w:hAnsi="Times New Roman" w:cs="Times New Roman"/>
                <w:sz w:val="24"/>
                <w:szCs w:val="24"/>
              </w:rPr>
              <w:t>(4.6)</w:t>
            </w:r>
          </w:p>
        </w:tc>
        <w:tc>
          <w:tcPr>
            <w:tcW w:w="1800" w:type="dxa"/>
            <w:tcBorders>
              <w:top w:val="single" w:sz="18" w:space="0" w:color="auto"/>
              <w:bottom w:val="nil"/>
            </w:tcBorders>
          </w:tcPr>
          <w:p w14:paraId="2270CC38" w14:textId="77777777" w:rsidR="00E52139" w:rsidRPr="000547B0" w:rsidRDefault="00E52139" w:rsidP="003966F2">
            <w:pPr>
              <w:spacing w:after="120"/>
              <w:jc w:val="both"/>
              <w:rPr>
                <w:rFonts w:ascii="Times New Roman" w:eastAsia="Times New Roman" w:hAnsi="Times New Roman" w:cs="Times New Roman"/>
                <w:sz w:val="24"/>
                <w:szCs w:val="24"/>
              </w:rPr>
            </w:pPr>
          </w:p>
          <w:p w14:paraId="5C57498C" w14:textId="77C992EF"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sz w:val="24"/>
                <w:szCs w:val="24"/>
              </w:rPr>
              <w:t>15</w:t>
            </w:r>
            <w:r w:rsidR="00C503B3" w:rsidRPr="000547B0">
              <w:rPr>
                <w:rFonts w:ascii="Times New Roman" w:eastAsia="Times New Roman" w:hAnsi="Times New Roman" w:cs="Times New Roman"/>
                <w:sz w:val="24"/>
                <w:szCs w:val="24"/>
              </w:rPr>
              <w:t>(1.7)</w:t>
            </w:r>
          </w:p>
        </w:tc>
        <w:tc>
          <w:tcPr>
            <w:tcW w:w="1890" w:type="dxa"/>
            <w:tcBorders>
              <w:top w:val="single" w:sz="18" w:space="0" w:color="auto"/>
              <w:bottom w:val="nil"/>
            </w:tcBorders>
          </w:tcPr>
          <w:p w14:paraId="1BAD6B75" w14:textId="77777777" w:rsidR="00E52139" w:rsidRPr="000547B0" w:rsidRDefault="00E52139"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 xml:space="preserve">      </w:t>
            </w:r>
          </w:p>
          <w:p w14:paraId="67003B0C" w14:textId="77777777" w:rsidR="00E52139" w:rsidRPr="000547B0" w:rsidRDefault="00E52139" w:rsidP="003966F2">
            <w:pPr>
              <w:spacing w:after="120"/>
              <w:rPr>
                <w:rFonts w:ascii="Times New Roman" w:eastAsia="Times New Roman" w:hAnsi="Times New Roman" w:cs="Times New Roman"/>
                <w:b/>
                <w:sz w:val="24"/>
                <w:szCs w:val="24"/>
              </w:rPr>
            </w:pPr>
            <w:r w:rsidRPr="000547B0">
              <w:rPr>
                <w:rFonts w:ascii="Times New Roman" w:eastAsia="Times New Roman" w:hAnsi="Times New Roman" w:cs="Times New Roman"/>
                <w:sz w:val="24"/>
                <w:szCs w:val="24"/>
              </w:rPr>
              <w:t>407</w:t>
            </w:r>
          </w:p>
        </w:tc>
        <w:tc>
          <w:tcPr>
            <w:tcW w:w="1710" w:type="dxa"/>
            <w:tcBorders>
              <w:top w:val="single" w:sz="18" w:space="0" w:color="auto"/>
              <w:bottom w:val="nil"/>
            </w:tcBorders>
          </w:tcPr>
          <w:p w14:paraId="0EE62982" w14:textId="77777777" w:rsidR="00E52139" w:rsidRPr="000547B0" w:rsidRDefault="00E52139" w:rsidP="003966F2">
            <w:pPr>
              <w:spacing w:after="120"/>
              <w:jc w:val="both"/>
              <w:rPr>
                <w:rFonts w:ascii="Times New Roman" w:eastAsia="Times New Roman" w:hAnsi="Times New Roman" w:cs="Times New Roman"/>
                <w:sz w:val="24"/>
                <w:szCs w:val="24"/>
              </w:rPr>
            </w:pPr>
          </w:p>
          <w:p w14:paraId="2ED31427" w14:textId="77777777" w:rsidR="00E52139" w:rsidRPr="000547B0" w:rsidRDefault="00E52139" w:rsidP="003966F2">
            <w:pPr>
              <w:spacing w:after="120"/>
              <w:jc w:val="both"/>
              <w:rPr>
                <w:rFonts w:ascii="Times New Roman" w:eastAsia="Times New Roman" w:hAnsi="Times New Roman" w:cs="Times New Roman"/>
                <w:b/>
                <w:sz w:val="24"/>
                <w:szCs w:val="24"/>
              </w:rPr>
            </w:pPr>
            <w:r w:rsidRPr="000547B0">
              <w:rPr>
                <w:rFonts w:ascii="Times New Roman" w:eastAsia="Times New Roman" w:hAnsi="Times New Roman" w:cs="Times New Roman"/>
                <w:sz w:val="24"/>
                <w:szCs w:val="24"/>
              </w:rPr>
              <w:t>45.0</w:t>
            </w:r>
          </w:p>
        </w:tc>
      </w:tr>
      <w:tr w:rsidR="00E52139" w:rsidRPr="000547B0" w14:paraId="5944BA8C" w14:textId="77777777" w:rsidTr="00144E79">
        <w:trPr>
          <w:trHeight w:val="360"/>
        </w:trPr>
        <w:tc>
          <w:tcPr>
            <w:tcW w:w="3780" w:type="dxa"/>
            <w:tcBorders>
              <w:top w:val="nil"/>
              <w:bottom w:val="single" w:sz="18" w:space="0" w:color="auto"/>
            </w:tcBorders>
          </w:tcPr>
          <w:p w14:paraId="3C0D648C" w14:textId="77777777" w:rsidR="00E52139" w:rsidRPr="000547B0" w:rsidRDefault="00E52139" w:rsidP="003966F2">
            <w:pPr>
              <w:spacing w:after="120"/>
              <w:jc w:val="both"/>
              <w:rPr>
                <w:rFonts w:ascii="Times New Roman" w:eastAsia="Times New Roman" w:hAnsi="Times New Roman" w:cs="Times New Roman"/>
                <w:sz w:val="24"/>
                <w:szCs w:val="24"/>
              </w:rPr>
            </w:pPr>
          </w:p>
          <w:p w14:paraId="68D71F68" w14:textId="6C65F563" w:rsidR="00E52139" w:rsidRPr="000547B0" w:rsidRDefault="00111BE1"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Do not owned ITBN</w:t>
            </w:r>
          </w:p>
        </w:tc>
        <w:tc>
          <w:tcPr>
            <w:tcW w:w="1800" w:type="dxa"/>
            <w:tcBorders>
              <w:top w:val="nil"/>
              <w:bottom w:val="single" w:sz="18" w:space="0" w:color="auto"/>
            </w:tcBorders>
          </w:tcPr>
          <w:p w14:paraId="1FDCBCBD" w14:textId="77777777" w:rsidR="00E52139" w:rsidRPr="000547B0" w:rsidRDefault="00E52139" w:rsidP="003966F2">
            <w:pPr>
              <w:spacing w:after="120"/>
              <w:rPr>
                <w:rFonts w:ascii="Times New Roman" w:eastAsia="Times New Roman" w:hAnsi="Times New Roman" w:cs="Times New Roman"/>
                <w:sz w:val="24"/>
                <w:szCs w:val="24"/>
              </w:rPr>
            </w:pPr>
          </w:p>
          <w:p w14:paraId="72415DF9" w14:textId="7A0BBFD2" w:rsidR="00E52139" w:rsidRPr="000547B0" w:rsidRDefault="00E52139"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479</w:t>
            </w:r>
            <w:r w:rsidR="00C503B3" w:rsidRPr="000547B0">
              <w:rPr>
                <w:rFonts w:ascii="Times New Roman" w:eastAsia="Times New Roman" w:hAnsi="Times New Roman" w:cs="Times New Roman"/>
                <w:sz w:val="24"/>
                <w:szCs w:val="24"/>
              </w:rPr>
              <w:t>(53.0)</w:t>
            </w:r>
          </w:p>
        </w:tc>
        <w:tc>
          <w:tcPr>
            <w:tcW w:w="1710" w:type="dxa"/>
            <w:tcBorders>
              <w:top w:val="nil"/>
              <w:bottom w:val="single" w:sz="18" w:space="0" w:color="auto"/>
            </w:tcBorders>
          </w:tcPr>
          <w:p w14:paraId="50BF05F4" w14:textId="77777777" w:rsidR="00E52139" w:rsidRPr="000547B0" w:rsidRDefault="00E52139" w:rsidP="003966F2">
            <w:pPr>
              <w:spacing w:after="120"/>
              <w:rPr>
                <w:rFonts w:ascii="Times New Roman" w:eastAsia="Times New Roman" w:hAnsi="Times New Roman" w:cs="Times New Roman"/>
                <w:sz w:val="24"/>
                <w:szCs w:val="24"/>
              </w:rPr>
            </w:pPr>
          </w:p>
          <w:p w14:paraId="4B543C14" w14:textId="51C3B0B2" w:rsidR="00E52139" w:rsidRPr="000547B0" w:rsidRDefault="00E52139"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16</w:t>
            </w:r>
            <w:r w:rsidR="00C503B3" w:rsidRPr="000547B0">
              <w:rPr>
                <w:rFonts w:ascii="Times New Roman" w:eastAsia="Times New Roman" w:hAnsi="Times New Roman" w:cs="Times New Roman"/>
                <w:sz w:val="24"/>
                <w:szCs w:val="24"/>
              </w:rPr>
              <w:t>(1.8)</w:t>
            </w:r>
          </w:p>
        </w:tc>
        <w:tc>
          <w:tcPr>
            <w:tcW w:w="1800" w:type="dxa"/>
            <w:tcBorders>
              <w:top w:val="nil"/>
              <w:bottom w:val="single" w:sz="18" w:space="0" w:color="auto"/>
            </w:tcBorders>
          </w:tcPr>
          <w:p w14:paraId="7991AE51" w14:textId="77777777" w:rsidR="00E52139" w:rsidRPr="000547B0" w:rsidRDefault="00E52139" w:rsidP="003966F2">
            <w:pPr>
              <w:spacing w:after="120"/>
              <w:rPr>
                <w:rFonts w:ascii="Times New Roman" w:eastAsia="Times New Roman" w:hAnsi="Times New Roman" w:cs="Times New Roman"/>
                <w:sz w:val="24"/>
                <w:szCs w:val="24"/>
              </w:rPr>
            </w:pPr>
          </w:p>
          <w:p w14:paraId="64D95E92" w14:textId="427E56F9" w:rsidR="00E52139" w:rsidRPr="000547B0" w:rsidRDefault="00E52139"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w:t>
            </w:r>
            <w:r w:rsidR="00C503B3" w:rsidRPr="000547B0">
              <w:rPr>
                <w:rFonts w:ascii="Times New Roman" w:eastAsia="Times New Roman" w:hAnsi="Times New Roman" w:cs="Times New Roman"/>
                <w:sz w:val="24"/>
                <w:szCs w:val="24"/>
              </w:rPr>
              <w:t>(0.2)</w:t>
            </w:r>
          </w:p>
        </w:tc>
        <w:tc>
          <w:tcPr>
            <w:tcW w:w="1890" w:type="dxa"/>
            <w:tcBorders>
              <w:top w:val="nil"/>
              <w:bottom w:val="single" w:sz="18" w:space="0" w:color="auto"/>
            </w:tcBorders>
          </w:tcPr>
          <w:p w14:paraId="020DFEB4" w14:textId="77777777" w:rsidR="00E52139" w:rsidRPr="000547B0" w:rsidRDefault="00E52139" w:rsidP="003966F2">
            <w:pPr>
              <w:tabs>
                <w:tab w:val="left" w:pos="375"/>
                <w:tab w:val="center" w:pos="702"/>
              </w:tabs>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ab/>
            </w:r>
          </w:p>
          <w:p w14:paraId="6DF0F5F0" w14:textId="77777777" w:rsidR="00E52139" w:rsidRPr="000547B0" w:rsidRDefault="00E52139" w:rsidP="003966F2">
            <w:pPr>
              <w:tabs>
                <w:tab w:val="left" w:pos="375"/>
                <w:tab w:val="center" w:pos="702"/>
              </w:tabs>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497</w:t>
            </w:r>
          </w:p>
        </w:tc>
        <w:tc>
          <w:tcPr>
            <w:tcW w:w="1710" w:type="dxa"/>
            <w:tcBorders>
              <w:top w:val="nil"/>
              <w:bottom w:val="single" w:sz="18" w:space="0" w:color="auto"/>
            </w:tcBorders>
          </w:tcPr>
          <w:p w14:paraId="5017DB05" w14:textId="77777777" w:rsidR="00E52139" w:rsidRPr="000547B0" w:rsidRDefault="00E52139" w:rsidP="003966F2">
            <w:pPr>
              <w:spacing w:after="120"/>
              <w:rPr>
                <w:rFonts w:ascii="Times New Roman" w:eastAsia="Times New Roman" w:hAnsi="Times New Roman" w:cs="Times New Roman"/>
                <w:sz w:val="24"/>
                <w:szCs w:val="24"/>
              </w:rPr>
            </w:pPr>
          </w:p>
          <w:p w14:paraId="3E3A2FB3" w14:textId="77777777" w:rsidR="00E52139" w:rsidRPr="000547B0" w:rsidRDefault="00E52139"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55.0</w:t>
            </w:r>
          </w:p>
        </w:tc>
      </w:tr>
      <w:tr w:rsidR="00A51165" w:rsidRPr="000547B0" w14:paraId="0F707714" w14:textId="77777777" w:rsidTr="00144E79">
        <w:trPr>
          <w:trHeight w:val="450"/>
        </w:trPr>
        <w:tc>
          <w:tcPr>
            <w:tcW w:w="3780" w:type="dxa"/>
          </w:tcPr>
          <w:p w14:paraId="3CB56281" w14:textId="56089036" w:rsidR="00111BE1" w:rsidRPr="000547B0" w:rsidRDefault="00111BE1"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Always</w:t>
            </w:r>
          </w:p>
        </w:tc>
        <w:tc>
          <w:tcPr>
            <w:tcW w:w="1800" w:type="dxa"/>
          </w:tcPr>
          <w:p w14:paraId="1590B9F2" w14:textId="3BD92CDD"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315</w:t>
            </w:r>
            <w:r w:rsidR="00C503B3" w:rsidRPr="000547B0">
              <w:rPr>
                <w:rFonts w:ascii="Times New Roman" w:eastAsia="Times New Roman" w:hAnsi="Times New Roman" w:cs="Times New Roman"/>
                <w:sz w:val="24"/>
                <w:szCs w:val="24"/>
              </w:rPr>
              <w:t>((77.4)</w:t>
            </w:r>
          </w:p>
        </w:tc>
        <w:tc>
          <w:tcPr>
            <w:tcW w:w="1710" w:type="dxa"/>
          </w:tcPr>
          <w:p w14:paraId="6C3A2C8A" w14:textId="1F207175"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32</w:t>
            </w:r>
            <w:r w:rsidR="00C503B3" w:rsidRPr="000547B0">
              <w:rPr>
                <w:rFonts w:ascii="Times New Roman" w:eastAsia="Times New Roman" w:hAnsi="Times New Roman" w:cs="Times New Roman"/>
                <w:sz w:val="24"/>
                <w:szCs w:val="24"/>
              </w:rPr>
              <w:t>(7.9)</w:t>
            </w:r>
          </w:p>
        </w:tc>
        <w:tc>
          <w:tcPr>
            <w:tcW w:w="1800" w:type="dxa"/>
          </w:tcPr>
          <w:p w14:paraId="0ECB89BF" w14:textId="5F4AA00C"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15</w:t>
            </w:r>
            <w:r w:rsidR="00C503B3" w:rsidRPr="000547B0">
              <w:rPr>
                <w:rFonts w:ascii="Times New Roman" w:eastAsia="Times New Roman" w:hAnsi="Times New Roman" w:cs="Times New Roman"/>
                <w:sz w:val="24"/>
                <w:szCs w:val="24"/>
              </w:rPr>
              <w:t>(3.7)</w:t>
            </w:r>
          </w:p>
        </w:tc>
        <w:tc>
          <w:tcPr>
            <w:tcW w:w="1890" w:type="dxa"/>
          </w:tcPr>
          <w:p w14:paraId="31700F2C" w14:textId="4E336943"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362</w:t>
            </w:r>
          </w:p>
        </w:tc>
        <w:tc>
          <w:tcPr>
            <w:tcW w:w="1710" w:type="dxa"/>
          </w:tcPr>
          <w:p w14:paraId="3302D9F6" w14:textId="255A1744"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88.9</w:t>
            </w:r>
          </w:p>
        </w:tc>
      </w:tr>
      <w:tr w:rsidR="00A51165" w:rsidRPr="000547B0" w14:paraId="2FF1F655" w14:textId="77777777" w:rsidTr="00144E79">
        <w:trPr>
          <w:trHeight w:val="512"/>
        </w:trPr>
        <w:tc>
          <w:tcPr>
            <w:tcW w:w="3780" w:type="dxa"/>
          </w:tcPr>
          <w:p w14:paraId="68950365" w14:textId="0C3B6313" w:rsidR="00111BE1" w:rsidRPr="000547B0" w:rsidRDefault="00111BE1"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Most time</w:t>
            </w:r>
          </w:p>
        </w:tc>
        <w:tc>
          <w:tcPr>
            <w:tcW w:w="1800" w:type="dxa"/>
          </w:tcPr>
          <w:p w14:paraId="37B01E52" w14:textId="6B24264E"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35</w:t>
            </w:r>
            <w:r w:rsidR="00C503B3" w:rsidRPr="000547B0">
              <w:rPr>
                <w:rFonts w:ascii="Times New Roman" w:eastAsia="Times New Roman" w:hAnsi="Times New Roman" w:cs="Times New Roman"/>
                <w:sz w:val="24"/>
                <w:szCs w:val="24"/>
              </w:rPr>
              <w:t>(8.6)</w:t>
            </w:r>
          </w:p>
        </w:tc>
        <w:tc>
          <w:tcPr>
            <w:tcW w:w="1710" w:type="dxa"/>
          </w:tcPr>
          <w:p w14:paraId="7A880774" w14:textId="1C441AA5"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8</w:t>
            </w:r>
            <w:r w:rsidR="00C503B3" w:rsidRPr="000547B0">
              <w:rPr>
                <w:rFonts w:ascii="Times New Roman" w:eastAsia="Times New Roman" w:hAnsi="Times New Roman" w:cs="Times New Roman"/>
                <w:sz w:val="24"/>
                <w:szCs w:val="24"/>
              </w:rPr>
              <w:t>(2.0)</w:t>
            </w:r>
          </w:p>
        </w:tc>
        <w:tc>
          <w:tcPr>
            <w:tcW w:w="1800" w:type="dxa"/>
          </w:tcPr>
          <w:p w14:paraId="4F92DAE9" w14:textId="61FE257C"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C503B3" w:rsidRPr="000547B0">
              <w:rPr>
                <w:rFonts w:ascii="Times New Roman" w:eastAsia="Times New Roman" w:hAnsi="Times New Roman" w:cs="Times New Roman"/>
                <w:sz w:val="24"/>
                <w:szCs w:val="24"/>
              </w:rPr>
              <w:t>(0)</w:t>
            </w:r>
          </w:p>
        </w:tc>
        <w:tc>
          <w:tcPr>
            <w:tcW w:w="1890" w:type="dxa"/>
          </w:tcPr>
          <w:p w14:paraId="4FE4FA87" w14:textId="26D15F01"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43</w:t>
            </w:r>
          </w:p>
        </w:tc>
        <w:tc>
          <w:tcPr>
            <w:tcW w:w="1710" w:type="dxa"/>
          </w:tcPr>
          <w:p w14:paraId="1E6BFDBD" w14:textId="49366AC7"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10.6</w:t>
            </w:r>
          </w:p>
        </w:tc>
      </w:tr>
      <w:tr w:rsidR="00A51165" w:rsidRPr="000547B0" w14:paraId="4A96486A" w14:textId="77777777" w:rsidTr="00144E79">
        <w:trPr>
          <w:trHeight w:val="557"/>
        </w:trPr>
        <w:tc>
          <w:tcPr>
            <w:tcW w:w="3780" w:type="dxa"/>
            <w:tcBorders>
              <w:bottom w:val="single" w:sz="18" w:space="0" w:color="auto"/>
            </w:tcBorders>
          </w:tcPr>
          <w:p w14:paraId="7083D6F8" w14:textId="47AB1DB9" w:rsidR="00111BE1" w:rsidRPr="000547B0" w:rsidRDefault="00111BE1"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Rarely</w:t>
            </w:r>
          </w:p>
        </w:tc>
        <w:tc>
          <w:tcPr>
            <w:tcW w:w="1800" w:type="dxa"/>
            <w:tcBorders>
              <w:bottom w:val="single" w:sz="18" w:space="0" w:color="auto"/>
            </w:tcBorders>
          </w:tcPr>
          <w:p w14:paraId="0CDADBDD" w14:textId="1D414FFE"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C503B3" w:rsidRPr="000547B0">
              <w:rPr>
                <w:rFonts w:ascii="Times New Roman" w:eastAsia="Times New Roman" w:hAnsi="Times New Roman" w:cs="Times New Roman"/>
                <w:sz w:val="24"/>
                <w:szCs w:val="24"/>
              </w:rPr>
              <w:t>(0)</w:t>
            </w:r>
          </w:p>
        </w:tc>
        <w:tc>
          <w:tcPr>
            <w:tcW w:w="1710" w:type="dxa"/>
            <w:tcBorders>
              <w:bottom w:val="single" w:sz="18" w:space="0" w:color="auto"/>
            </w:tcBorders>
          </w:tcPr>
          <w:p w14:paraId="433152D3" w14:textId="08261574"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w:t>
            </w:r>
            <w:r w:rsidR="00C503B3" w:rsidRPr="000547B0">
              <w:rPr>
                <w:rFonts w:ascii="Times New Roman" w:eastAsia="Times New Roman" w:hAnsi="Times New Roman" w:cs="Times New Roman"/>
                <w:sz w:val="24"/>
                <w:szCs w:val="24"/>
              </w:rPr>
              <w:t>(0.5)</w:t>
            </w:r>
          </w:p>
        </w:tc>
        <w:tc>
          <w:tcPr>
            <w:tcW w:w="1800" w:type="dxa"/>
            <w:tcBorders>
              <w:bottom w:val="single" w:sz="18" w:space="0" w:color="auto"/>
            </w:tcBorders>
          </w:tcPr>
          <w:p w14:paraId="56434291" w14:textId="29B91613"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C503B3" w:rsidRPr="000547B0">
              <w:rPr>
                <w:rFonts w:ascii="Times New Roman" w:eastAsia="Times New Roman" w:hAnsi="Times New Roman" w:cs="Times New Roman"/>
                <w:sz w:val="24"/>
                <w:szCs w:val="24"/>
              </w:rPr>
              <w:t>(0)</w:t>
            </w:r>
          </w:p>
        </w:tc>
        <w:tc>
          <w:tcPr>
            <w:tcW w:w="1890" w:type="dxa"/>
            <w:tcBorders>
              <w:bottom w:val="single" w:sz="18" w:space="0" w:color="auto"/>
            </w:tcBorders>
          </w:tcPr>
          <w:p w14:paraId="6D5D8D50" w14:textId="19B3AB03"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w:t>
            </w:r>
          </w:p>
        </w:tc>
        <w:tc>
          <w:tcPr>
            <w:tcW w:w="1710" w:type="dxa"/>
            <w:tcBorders>
              <w:bottom w:val="single" w:sz="18" w:space="0" w:color="auto"/>
            </w:tcBorders>
          </w:tcPr>
          <w:p w14:paraId="390331B2" w14:textId="7A5765F8" w:rsidR="00111BE1" w:rsidRPr="000547B0" w:rsidRDefault="00111BE1"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0.5</w:t>
            </w:r>
          </w:p>
        </w:tc>
      </w:tr>
      <w:bookmarkEnd w:id="2"/>
      <w:tr w:rsidR="000B7828" w:rsidRPr="000547B0" w14:paraId="22833D0F" w14:textId="77777777" w:rsidTr="00144E79">
        <w:tc>
          <w:tcPr>
            <w:tcW w:w="3780" w:type="dxa"/>
            <w:tcBorders>
              <w:top w:val="single" w:sz="18" w:space="0" w:color="auto"/>
              <w:bottom w:val="nil"/>
            </w:tcBorders>
          </w:tcPr>
          <w:p w14:paraId="144117C8" w14:textId="29190080" w:rsidR="00A51165" w:rsidRPr="000547B0" w:rsidRDefault="00A51165"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Factors affecting ownership of ITBN</w:t>
            </w:r>
          </w:p>
        </w:tc>
        <w:tc>
          <w:tcPr>
            <w:tcW w:w="1800" w:type="dxa"/>
            <w:tcBorders>
              <w:top w:val="single" w:sz="18" w:space="0" w:color="auto"/>
              <w:bottom w:val="nil"/>
            </w:tcBorders>
          </w:tcPr>
          <w:p w14:paraId="203A05C9" w14:textId="57060B50" w:rsidR="00A51165" w:rsidRPr="000547B0" w:rsidRDefault="00A51165" w:rsidP="003966F2">
            <w:pPr>
              <w:spacing w:after="120"/>
              <w:rPr>
                <w:rFonts w:ascii="Times New Roman" w:eastAsia="Times New Roman" w:hAnsi="Times New Roman" w:cs="Times New Roman"/>
                <w:sz w:val="24"/>
                <w:szCs w:val="24"/>
              </w:rPr>
            </w:pPr>
          </w:p>
        </w:tc>
        <w:tc>
          <w:tcPr>
            <w:tcW w:w="1710" w:type="dxa"/>
            <w:tcBorders>
              <w:top w:val="single" w:sz="18" w:space="0" w:color="auto"/>
              <w:bottom w:val="nil"/>
            </w:tcBorders>
          </w:tcPr>
          <w:p w14:paraId="6CFCB759" w14:textId="1AD0CAF0" w:rsidR="00A51165" w:rsidRPr="000547B0" w:rsidRDefault="00A51165" w:rsidP="003966F2">
            <w:pPr>
              <w:spacing w:after="120"/>
              <w:jc w:val="both"/>
              <w:rPr>
                <w:rFonts w:ascii="Times New Roman" w:eastAsia="Times New Roman" w:hAnsi="Times New Roman" w:cs="Times New Roman"/>
                <w:sz w:val="24"/>
                <w:szCs w:val="24"/>
              </w:rPr>
            </w:pPr>
          </w:p>
        </w:tc>
        <w:tc>
          <w:tcPr>
            <w:tcW w:w="1800" w:type="dxa"/>
            <w:tcBorders>
              <w:top w:val="single" w:sz="18" w:space="0" w:color="auto"/>
              <w:bottom w:val="nil"/>
            </w:tcBorders>
          </w:tcPr>
          <w:p w14:paraId="3612CE8A" w14:textId="1BA818EC" w:rsidR="00A51165" w:rsidRPr="000547B0" w:rsidRDefault="00A51165" w:rsidP="003966F2">
            <w:pPr>
              <w:spacing w:after="120"/>
              <w:rPr>
                <w:rFonts w:ascii="Times New Roman" w:eastAsia="Times New Roman" w:hAnsi="Times New Roman" w:cs="Times New Roman"/>
                <w:sz w:val="24"/>
                <w:szCs w:val="24"/>
              </w:rPr>
            </w:pPr>
          </w:p>
        </w:tc>
        <w:tc>
          <w:tcPr>
            <w:tcW w:w="1890" w:type="dxa"/>
            <w:tcBorders>
              <w:top w:val="single" w:sz="18" w:space="0" w:color="auto"/>
              <w:bottom w:val="nil"/>
            </w:tcBorders>
          </w:tcPr>
          <w:p w14:paraId="0A8A4BB1" w14:textId="283BDD5E" w:rsidR="00A51165" w:rsidRPr="000547B0" w:rsidRDefault="00A51165" w:rsidP="003966F2">
            <w:pPr>
              <w:spacing w:after="120"/>
              <w:jc w:val="center"/>
              <w:rPr>
                <w:rFonts w:ascii="Times New Roman" w:eastAsia="Times New Roman" w:hAnsi="Times New Roman" w:cs="Times New Roman"/>
                <w:sz w:val="24"/>
                <w:szCs w:val="24"/>
              </w:rPr>
            </w:pPr>
          </w:p>
        </w:tc>
        <w:tc>
          <w:tcPr>
            <w:tcW w:w="1710" w:type="dxa"/>
            <w:tcBorders>
              <w:top w:val="single" w:sz="18" w:space="0" w:color="auto"/>
              <w:bottom w:val="nil"/>
            </w:tcBorders>
          </w:tcPr>
          <w:p w14:paraId="76868AAE" w14:textId="7B19CF8A" w:rsidR="00A51165" w:rsidRPr="000547B0" w:rsidRDefault="00A51165" w:rsidP="003966F2">
            <w:pPr>
              <w:spacing w:after="120"/>
              <w:rPr>
                <w:rFonts w:ascii="Times New Roman" w:eastAsia="Times New Roman" w:hAnsi="Times New Roman" w:cs="Times New Roman"/>
                <w:sz w:val="24"/>
                <w:szCs w:val="24"/>
              </w:rPr>
            </w:pPr>
          </w:p>
        </w:tc>
      </w:tr>
      <w:tr w:rsidR="000B7828" w:rsidRPr="000547B0" w14:paraId="3E82EB6A" w14:textId="77777777" w:rsidTr="00144E79">
        <w:trPr>
          <w:trHeight w:val="378"/>
        </w:trPr>
        <w:tc>
          <w:tcPr>
            <w:tcW w:w="3780" w:type="dxa"/>
            <w:tcBorders>
              <w:top w:val="nil"/>
              <w:bottom w:val="nil"/>
            </w:tcBorders>
          </w:tcPr>
          <w:p w14:paraId="1FCA2811" w14:textId="3F34EAD1" w:rsidR="00A51165" w:rsidRPr="000547B0" w:rsidRDefault="00A51165" w:rsidP="003966F2">
            <w:pPr>
              <w:spacing w:after="120"/>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Not Aware</w:t>
            </w:r>
          </w:p>
        </w:tc>
        <w:tc>
          <w:tcPr>
            <w:tcW w:w="1800" w:type="dxa"/>
            <w:tcBorders>
              <w:top w:val="nil"/>
              <w:bottom w:val="nil"/>
            </w:tcBorders>
          </w:tcPr>
          <w:p w14:paraId="296FCFD2" w14:textId="0035D549" w:rsidR="00A51165" w:rsidRPr="000547B0" w:rsidRDefault="00A51165"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8</w:t>
            </w:r>
            <w:r w:rsidR="000B7828" w:rsidRPr="000547B0">
              <w:rPr>
                <w:rFonts w:ascii="Times New Roman" w:eastAsia="Times New Roman" w:hAnsi="Times New Roman" w:cs="Times New Roman"/>
                <w:sz w:val="24"/>
                <w:szCs w:val="24"/>
              </w:rPr>
              <w:t>(1.6)</w:t>
            </w:r>
          </w:p>
        </w:tc>
        <w:tc>
          <w:tcPr>
            <w:tcW w:w="1710" w:type="dxa"/>
            <w:tcBorders>
              <w:top w:val="nil"/>
              <w:bottom w:val="nil"/>
            </w:tcBorders>
          </w:tcPr>
          <w:p w14:paraId="4184753E" w14:textId="4D394130" w:rsidR="00A51165" w:rsidRPr="000547B0" w:rsidRDefault="00A51165"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00" w:type="dxa"/>
            <w:tcBorders>
              <w:top w:val="nil"/>
              <w:bottom w:val="nil"/>
            </w:tcBorders>
          </w:tcPr>
          <w:p w14:paraId="1192B015" w14:textId="3268632E" w:rsidR="00A51165" w:rsidRPr="000547B0" w:rsidRDefault="00A51165"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90" w:type="dxa"/>
            <w:tcBorders>
              <w:top w:val="nil"/>
              <w:bottom w:val="nil"/>
            </w:tcBorders>
          </w:tcPr>
          <w:p w14:paraId="4379BFF7" w14:textId="14B84096" w:rsidR="00A51165" w:rsidRPr="000547B0" w:rsidRDefault="00A51165"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8</w:t>
            </w:r>
          </w:p>
        </w:tc>
        <w:tc>
          <w:tcPr>
            <w:tcW w:w="1710" w:type="dxa"/>
            <w:tcBorders>
              <w:top w:val="nil"/>
              <w:bottom w:val="nil"/>
            </w:tcBorders>
          </w:tcPr>
          <w:p w14:paraId="30C63242" w14:textId="169A024E" w:rsidR="00A51165" w:rsidRPr="000547B0" w:rsidRDefault="00A51165"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1.6</w:t>
            </w:r>
          </w:p>
        </w:tc>
      </w:tr>
    </w:tbl>
    <w:tbl>
      <w:tblPr>
        <w:tblW w:w="12690" w:type="dxa"/>
        <w:tblInd w:w="8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80"/>
        <w:gridCol w:w="1800"/>
        <w:gridCol w:w="1710"/>
        <w:gridCol w:w="1800"/>
        <w:gridCol w:w="1890"/>
        <w:gridCol w:w="1710"/>
      </w:tblGrid>
      <w:tr w:rsidR="00A51165" w:rsidRPr="000547B0" w14:paraId="05F7D510" w14:textId="77777777" w:rsidTr="00144E79">
        <w:trPr>
          <w:trHeight w:val="333"/>
        </w:trPr>
        <w:tc>
          <w:tcPr>
            <w:tcW w:w="3780" w:type="dxa"/>
            <w:tcBorders>
              <w:top w:val="nil"/>
              <w:bottom w:val="nil"/>
            </w:tcBorders>
          </w:tcPr>
          <w:p w14:paraId="4E31AA70" w14:textId="0FB56A55" w:rsidR="00A51165" w:rsidRPr="000547B0" w:rsidRDefault="00A51165"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Too Expensive</w:t>
            </w:r>
          </w:p>
        </w:tc>
        <w:tc>
          <w:tcPr>
            <w:tcW w:w="1800" w:type="dxa"/>
            <w:tcBorders>
              <w:top w:val="nil"/>
              <w:bottom w:val="nil"/>
            </w:tcBorders>
          </w:tcPr>
          <w:p w14:paraId="6264747C" w14:textId="7086E2BE"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43</w:t>
            </w:r>
            <w:r w:rsidR="000B7828" w:rsidRPr="000547B0">
              <w:rPr>
                <w:rFonts w:ascii="Times New Roman" w:eastAsia="Times New Roman" w:hAnsi="Times New Roman" w:cs="Times New Roman"/>
                <w:sz w:val="24"/>
                <w:szCs w:val="24"/>
              </w:rPr>
              <w:t>(8.7)</w:t>
            </w:r>
          </w:p>
        </w:tc>
        <w:tc>
          <w:tcPr>
            <w:tcW w:w="1710" w:type="dxa"/>
            <w:tcBorders>
              <w:top w:val="nil"/>
              <w:bottom w:val="nil"/>
            </w:tcBorders>
          </w:tcPr>
          <w:p w14:paraId="42D5A52B" w14:textId="25700FA0"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00" w:type="dxa"/>
            <w:tcBorders>
              <w:top w:val="nil"/>
              <w:bottom w:val="nil"/>
            </w:tcBorders>
          </w:tcPr>
          <w:p w14:paraId="192E4095" w14:textId="240AD439"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90" w:type="dxa"/>
            <w:tcBorders>
              <w:top w:val="nil"/>
              <w:bottom w:val="nil"/>
            </w:tcBorders>
          </w:tcPr>
          <w:p w14:paraId="1E70656E" w14:textId="521DB984"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43</w:t>
            </w:r>
          </w:p>
        </w:tc>
        <w:tc>
          <w:tcPr>
            <w:tcW w:w="1710" w:type="dxa"/>
            <w:tcBorders>
              <w:top w:val="nil"/>
              <w:bottom w:val="nil"/>
            </w:tcBorders>
          </w:tcPr>
          <w:p w14:paraId="58EFE382" w14:textId="5962D897"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8.7</w:t>
            </w:r>
          </w:p>
        </w:tc>
      </w:tr>
      <w:tr w:rsidR="00A51165" w:rsidRPr="000547B0" w14:paraId="483E445E" w14:textId="77777777" w:rsidTr="00144E79">
        <w:tc>
          <w:tcPr>
            <w:tcW w:w="3780" w:type="dxa"/>
            <w:tcBorders>
              <w:top w:val="nil"/>
              <w:bottom w:val="nil"/>
            </w:tcBorders>
          </w:tcPr>
          <w:p w14:paraId="214CA737" w14:textId="17D1995A" w:rsidR="00A51165" w:rsidRPr="000547B0" w:rsidRDefault="00A51165"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Waiting for Gov’t to provide</w:t>
            </w:r>
          </w:p>
        </w:tc>
        <w:tc>
          <w:tcPr>
            <w:tcW w:w="1800" w:type="dxa"/>
            <w:tcBorders>
              <w:top w:val="nil"/>
              <w:bottom w:val="nil"/>
            </w:tcBorders>
          </w:tcPr>
          <w:p w14:paraId="14B7AD3E" w14:textId="6026C935"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371</w:t>
            </w:r>
            <w:r w:rsidR="000B7828" w:rsidRPr="000547B0">
              <w:rPr>
                <w:rFonts w:ascii="Times New Roman" w:eastAsia="Times New Roman" w:hAnsi="Times New Roman" w:cs="Times New Roman"/>
                <w:sz w:val="24"/>
                <w:szCs w:val="24"/>
              </w:rPr>
              <w:t>(74.6)</w:t>
            </w:r>
          </w:p>
        </w:tc>
        <w:tc>
          <w:tcPr>
            <w:tcW w:w="1710" w:type="dxa"/>
            <w:tcBorders>
              <w:top w:val="nil"/>
              <w:bottom w:val="nil"/>
            </w:tcBorders>
          </w:tcPr>
          <w:p w14:paraId="657DE934" w14:textId="68BCD34C"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22</w:t>
            </w:r>
            <w:r w:rsidR="000B7828" w:rsidRPr="000547B0">
              <w:rPr>
                <w:rFonts w:ascii="Times New Roman" w:eastAsia="Times New Roman" w:hAnsi="Times New Roman" w:cs="Times New Roman"/>
                <w:sz w:val="24"/>
                <w:szCs w:val="24"/>
              </w:rPr>
              <w:t>(4.4)</w:t>
            </w:r>
          </w:p>
        </w:tc>
        <w:tc>
          <w:tcPr>
            <w:tcW w:w="1800" w:type="dxa"/>
            <w:tcBorders>
              <w:top w:val="nil"/>
              <w:bottom w:val="nil"/>
            </w:tcBorders>
          </w:tcPr>
          <w:p w14:paraId="2A686D3F" w14:textId="5B94D256"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w:t>
            </w:r>
            <w:r w:rsidR="000B7828" w:rsidRPr="000547B0">
              <w:rPr>
                <w:rFonts w:ascii="Times New Roman" w:eastAsia="Times New Roman" w:hAnsi="Times New Roman" w:cs="Times New Roman"/>
                <w:sz w:val="24"/>
                <w:szCs w:val="24"/>
              </w:rPr>
              <w:t>(0.4)</w:t>
            </w:r>
          </w:p>
        </w:tc>
        <w:tc>
          <w:tcPr>
            <w:tcW w:w="1890" w:type="dxa"/>
            <w:tcBorders>
              <w:top w:val="nil"/>
              <w:bottom w:val="nil"/>
            </w:tcBorders>
          </w:tcPr>
          <w:p w14:paraId="0333DF4F" w14:textId="745E8500"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395</w:t>
            </w:r>
          </w:p>
        </w:tc>
        <w:tc>
          <w:tcPr>
            <w:tcW w:w="1710" w:type="dxa"/>
            <w:tcBorders>
              <w:top w:val="nil"/>
              <w:bottom w:val="nil"/>
            </w:tcBorders>
          </w:tcPr>
          <w:p w14:paraId="780A8FDF" w14:textId="69213540"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79.5</w:t>
            </w:r>
          </w:p>
        </w:tc>
      </w:tr>
      <w:tr w:rsidR="00A51165" w:rsidRPr="000547B0" w14:paraId="4FCCD9E6" w14:textId="77777777" w:rsidTr="00144E79">
        <w:tc>
          <w:tcPr>
            <w:tcW w:w="3780" w:type="dxa"/>
            <w:tcBorders>
              <w:top w:val="nil"/>
              <w:bottom w:val="nil"/>
            </w:tcBorders>
          </w:tcPr>
          <w:p w14:paraId="480D6EAA" w14:textId="00D02F04" w:rsidR="00A51165" w:rsidRPr="000547B0" w:rsidRDefault="00A51165"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Not necessary</w:t>
            </w:r>
          </w:p>
        </w:tc>
        <w:tc>
          <w:tcPr>
            <w:tcW w:w="1800" w:type="dxa"/>
            <w:tcBorders>
              <w:top w:val="nil"/>
              <w:bottom w:val="nil"/>
            </w:tcBorders>
          </w:tcPr>
          <w:p w14:paraId="465B3D62" w14:textId="2822F5A0"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20</w:t>
            </w:r>
            <w:r w:rsidR="000B7828" w:rsidRPr="000547B0">
              <w:rPr>
                <w:rFonts w:ascii="Times New Roman" w:eastAsia="Times New Roman" w:hAnsi="Times New Roman" w:cs="Times New Roman"/>
                <w:sz w:val="24"/>
                <w:szCs w:val="24"/>
              </w:rPr>
              <w:t>(4.0)</w:t>
            </w:r>
          </w:p>
        </w:tc>
        <w:tc>
          <w:tcPr>
            <w:tcW w:w="1710" w:type="dxa"/>
            <w:tcBorders>
              <w:top w:val="nil"/>
              <w:bottom w:val="nil"/>
            </w:tcBorders>
          </w:tcPr>
          <w:p w14:paraId="354EB956" w14:textId="7D97C0CB" w:rsidR="00A51165" w:rsidRPr="000547B0" w:rsidRDefault="00A51165"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00" w:type="dxa"/>
            <w:tcBorders>
              <w:top w:val="nil"/>
              <w:bottom w:val="nil"/>
            </w:tcBorders>
          </w:tcPr>
          <w:p w14:paraId="2828DED4" w14:textId="6EA5DF9C"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w:t>
            </w:r>
            <w:r w:rsidR="000B7828" w:rsidRPr="000547B0">
              <w:rPr>
                <w:rFonts w:ascii="Times New Roman" w:eastAsia="Times New Roman" w:hAnsi="Times New Roman" w:cs="Times New Roman"/>
                <w:sz w:val="24"/>
                <w:szCs w:val="24"/>
              </w:rPr>
              <w:t>(0)</w:t>
            </w:r>
          </w:p>
        </w:tc>
        <w:tc>
          <w:tcPr>
            <w:tcW w:w="1890" w:type="dxa"/>
            <w:tcBorders>
              <w:top w:val="nil"/>
              <w:bottom w:val="nil"/>
            </w:tcBorders>
          </w:tcPr>
          <w:p w14:paraId="42F9228A" w14:textId="6A7E5360"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20</w:t>
            </w:r>
            <w:r w:rsidR="0049084C" w:rsidRPr="000547B0">
              <w:rPr>
                <w:rFonts w:ascii="Times New Roman" w:eastAsia="Times New Roman" w:hAnsi="Times New Roman" w:cs="Times New Roman"/>
                <w:sz w:val="24"/>
                <w:szCs w:val="24"/>
              </w:rPr>
              <w:t xml:space="preserve"> </w:t>
            </w:r>
          </w:p>
        </w:tc>
        <w:tc>
          <w:tcPr>
            <w:tcW w:w="1710" w:type="dxa"/>
            <w:tcBorders>
              <w:top w:val="nil"/>
              <w:bottom w:val="nil"/>
            </w:tcBorders>
          </w:tcPr>
          <w:p w14:paraId="6AAED276" w14:textId="77777777" w:rsidR="00A51165" w:rsidRPr="000547B0" w:rsidRDefault="00A51165"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4.0</w:t>
            </w:r>
          </w:p>
        </w:tc>
      </w:tr>
      <w:tr w:rsidR="000B7828" w:rsidRPr="000547B0" w14:paraId="479E0D2E" w14:textId="77777777" w:rsidTr="00144E79">
        <w:tc>
          <w:tcPr>
            <w:tcW w:w="3780" w:type="dxa"/>
            <w:tcBorders>
              <w:top w:val="nil"/>
              <w:bottom w:val="single" w:sz="18" w:space="0" w:color="auto"/>
            </w:tcBorders>
          </w:tcPr>
          <w:p w14:paraId="5DCDA4F5" w14:textId="5B543727" w:rsidR="000B7828" w:rsidRPr="000547B0" w:rsidRDefault="000B782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No Answer</w:t>
            </w:r>
          </w:p>
        </w:tc>
        <w:tc>
          <w:tcPr>
            <w:tcW w:w="1800" w:type="dxa"/>
            <w:tcBorders>
              <w:top w:val="nil"/>
              <w:bottom w:val="single" w:sz="18" w:space="0" w:color="auto"/>
            </w:tcBorders>
          </w:tcPr>
          <w:p w14:paraId="353E3A33" w14:textId="60E99146" w:rsidR="000B7828" w:rsidRPr="000547B0" w:rsidRDefault="000B7828"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29(5.8)</w:t>
            </w:r>
          </w:p>
        </w:tc>
        <w:tc>
          <w:tcPr>
            <w:tcW w:w="1710" w:type="dxa"/>
            <w:tcBorders>
              <w:top w:val="nil"/>
              <w:bottom w:val="single" w:sz="18" w:space="0" w:color="auto"/>
            </w:tcBorders>
          </w:tcPr>
          <w:p w14:paraId="2F4B7F49" w14:textId="20649239" w:rsidR="000B7828" w:rsidRPr="000547B0" w:rsidRDefault="000B7828" w:rsidP="003966F2">
            <w:pPr>
              <w:spacing w:after="120" w:line="240" w:lineRule="auto"/>
              <w:jc w:val="both"/>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2(0.4)</w:t>
            </w:r>
          </w:p>
        </w:tc>
        <w:tc>
          <w:tcPr>
            <w:tcW w:w="1800" w:type="dxa"/>
            <w:tcBorders>
              <w:top w:val="nil"/>
              <w:bottom w:val="single" w:sz="18" w:space="0" w:color="auto"/>
            </w:tcBorders>
          </w:tcPr>
          <w:p w14:paraId="7E5ED54E" w14:textId="2C247E34" w:rsidR="000B7828" w:rsidRPr="000547B0" w:rsidRDefault="000B7828"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0(0)</w:t>
            </w:r>
          </w:p>
        </w:tc>
        <w:tc>
          <w:tcPr>
            <w:tcW w:w="1890" w:type="dxa"/>
            <w:tcBorders>
              <w:top w:val="nil"/>
              <w:bottom w:val="single" w:sz="18" w:space="0" w:color="auto"/>
            </w:tcBorders>
          </w:tcPr>
          <w:p w14:paraId="1729FD9C" w14:textId="7888D2B3" w:rsidR="000B7828" w:rsidRPr="000547B0" w:rsidRDefault="000B7828"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31</w:t>
            </w:r>
          </w:p>
        </w:tc>
        <w:tc>
          <w:tcPr>
            <w:tcW w:w="1710" w:type="dxa"/>
            <w:tcBorders>
              <w:top w:val="nil"/>
              <w:bottom w:val="single" w:sz="18" w:space="0" w:color="auto"/>
            </w:tcBorders>
          </w:tcPr>
          <w:p w14:paraId="40F30F48" w14:textId="34082240" w:rsidR="000B7828" w:rsidRPr="000547B0" w:rsidRDefault="000B7828" w:rsidP="003966F2">
            <w:pPr>
              <w:spacing w:after="120" w:line="240" w:lineRule="auto"/>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6.2</w:t>
            </w:r>
          </w:p>
        </w:tc>
      </w:tr>
      <w:bookmarkEnd w:id="1"/>
    </w:tbl>
    <w:p w14:paraId="2DB20FA0" w14:textId="77777777" w:rsidR="00111BE1" w:rsidRPr="000547B0" w:rsidRDefault="00111BE1" w:rsidP="003966F2">
      <w:pPr>
        <w:spacing w:after="120" w:line="240" w:lineRule="auto"/>
        <w:jc w:val="both"/>
        <w:rPr>
          <w:rFonts w:ascii="Times New Roman" w:eastAsia="Times New Roman" w:hAnsi="Times New Roman" w:cs="Times New Roman"/>
          <w:sz w:val="24"/>
          <w:szCs w:val="24"/>
        </w:rPr>
        <w:sectPr w:rsidR="00111BE1" w:rsidRPr="000547B0" w:rsidSect="006D523E">
          <w:pgSz w:w="16839" w:h="11907" w:orient="landscape" w:code="9"/>
          <w:pgMar w:top="1440" w:right="1440" w:bottom="1440" w:left="1440" w:header="720" w:footer="720" w:gutter="0"/>
          <w:cols w:space="720"/>
          <w:docGrid w:linePitch="360"/>
        </w:sectPr>
      </w:pPr>
    </w:p>
    <w:p w14:paraId="19BC497B" w14:textId="43D48C66" w:rsidR="00157227" w:rsidRPr="000547B0" w:rsidRDefault="00157227" w:rsidP="003966F2">
      <w:pPr>
        <w:spacing w:after="120" w:line="240" w:lineRule="auto"/>
        <w:jc w:val="both"/>
        <w:rPr>
          <w:rFonts w:ascii="Times New Roman" w:eastAsia="Times New Roman" w:hAnsi="Times New Roman" w:cs="Times New Roman"/>
          <w:b/>
          <w:sz w:val="24"/>
          <w:szCs w:val="24"/>
        </w:rPr>
      </w:pPr>
      <w:r w:rsidRPr="000547B0">
        <w:rPr>
          <w:rFonts w:ascii="Times New Roman" w:hAnsi="Times New Roman" w:cs="Times New Roman"/>
          <w:sz w:val="24"/>
          <w:szCs w:val="24"/>
        </w:rPr>
        <w:lastRenderedPageBreak/>
        <w:t xml:space="preserve">Table </w:t>
      </w:r>
      <w:r w:rsidR="000547B0" w:rsidRPr="000547B0">
        <w:rPr>
          <w:rFonts w:ascii="Times New Roman" w:hAnsi="Times New Roman" w:cs="Times New Roman"/>
          <w:sz w:val="24"/>
          <w:szCs w:val="24"/>
        </w:rPr>
        <w:t>4</w:t>
      </w:r>
      <w:r w:rsidRPr="000547B0">
        <w:rPr>
          <w:rFonts w:ascii="Times New Roman" w:hAnsi="Times New Roman" w:cs="Times New Roman"/>
          <w:sz w:val="24"/>
          <w:szCs w:val="24"/>
        </w:rPr>
        <w:t xml:space="preserve">: Relationship between ITBN Ownership and Entomological Indices of </w:t>
      </w:r>
      <w:r w:rsidRPr="000547B0">
        <w:rPr>
          <w:rStyle w:val="Emphasis"/>
          <w:rFonts w:ascii="Times New Roman" w:hAnsi="Times New Roman" w:cs="Times New Roman"/>
          <w:sz w:val="24"/>
          <w:szCs w:val="24"/>
        </w:rPr>
        <w:t>Anopheles gambiae</w:t>
      </w:r>
      <w:r w:rsidRPr="000547B0">
        <w:rPr>
          <w:rFonts w:ascii="Times New Roman" w:hAnsi="Times New Roman" w:cs="Times New Roman"/>
          <w:sz w:val="24"/>
          <w:szCs w:val="24"/>
        </w:rPr>
        <w:t xml:space="preserve"> in </w:t>
      </w:r>
      <w:proofErr w:type="spellStart"/>
      <w:r w:rsidRPr="000547B0">
        <w:rPr>
          <w:rFonts w:ascii="Times New Roman" w:hAnsi="Times New Roman" w:cs="Times New Roman"/>
          <w:sz w:val="24"/>
          <w:szCs w:val="24"/>
        </w:rPr>
        <w:t>Nembe</w:t>
      </w:r>
      <w:proofErr w:type="spellEnd"/>
      <w:r w:rsidRPr="000547B0">
        <w:rPr>
          <w:rFonts w:ascii="Times New Roman" w:hAnsi="Times New Roman" w:cs="Times New Roman"/>
          <w:sz w:val="24"/>
          <w:szCs w:val="24"/>
        </w:rPr>
        <w:t xml:space="preserve"> LGA</w:t>
      </w:r>
    </w:p>
    <w:tbl>
      <w:tblPr>
        <w:tblStyle w:val="TableGrid"/>
        <w:tblW w:w="0" w:type="auto"/>
        <w:tblLook w:val="04A0" w:firstRow="1" w:lastRow="0" w:firstColumn="1" w:lastColumn="0" w:noHBand="0" w:noVBand="1"/>
      </w:tblPr>
      <w:tblGrid>
        <w:gridCol w:w="3921"/>
        <w:gridCol w:w="2896"/>
        <w:gridCol w:w="2426"/>
      </w:tblGrid>
      <w:tr w:rsidR="00157227" w:rsidRPr="000547B0" w14:paraId="493A915D" w14:textId="77777777" w:rsidTr="00A24732">
        <w:tc>
          <w:tcPr>
            <w:tcW w:w="0" w:type="auto"/>
            <w:tcBorders>
              <w:left w:val="nil"/>
              <w:bottom w:val="single" w:sz="4" w:space="0" w:color="auto"/>
              <w:right w:val="nil"/>
            </w:tcBorders>
            <w:hideMark/>
          </w:tcPr>
          <w:p w14:paraId="3E5EDBF3" w14:textId="77777777" w:rsidR="00157227" w:rsidRPr="000547B0" w:rsidRDefault="00157227" w:rsidP="003966F2">
            <w:pPr>
              <w:spacing w:after="120"/>
              <w:jc w:val="center"/>
              <w:rPr>
                <w:rFonts w:ascii="Times New Roman" w:eastAsia="Times New Roman" w:hAnsi="Times New Roman" w:cs="Times New Roman"/>
                <w:b/>
                <w:bCs/>
                <w:sz w:val="24"/>
                <w:szCs w:val="24"/>
              </w:rPr>
            </w:pPr>
            <w:r w:rsidRPr="000547B0">
              <w:rPr>
                <w:rFonts w:ascii="Times New Roman" w:eastAsia="Times New Roman" w:hAnsi="Times New Roman" w:cs="Times New Roman"/>
                <w:b/>
                <w:bCs/>
                <w:sz w:val="24"/>
                <w:szCs w:val="24"/>
              </w:rPr>
              <w:t>ITBN Variable</w:t>
            </w:r>
          </w:p>
        </w:tc>
        <w:tc>
          <w:tcPr>
            <w:tcW w:w="0" w:type="auto"/>
            <w:tcBorders>
              <w:left w:val="nil"/>
              <w:bottom w:val="single" w:sz="4" w:space="0" w:color="auto"/>
              <w:right w:val="nil"/>
            </w:tcBorders>
            <w:hideMark/>
          </w:tcPr>
          <w:p w14:paraId="5828D06B" w14:textId="77777777" w:rsidR="00157227" w:rsidRPr="000547B0" w:rsidRDefault="00157227" w:rsidP="003966F2">
            <w:pPr>
              <w:spacing w:after="120"/>
              <w:jc w:val="center"/>
              <w:rPr>
                <w:rFonts w:ascii="Times New Roman" w:eastAsia="Times New Roman" w:hAnsi="Times New Roman" w:cs="Times New Roman"/>
                <w:b/>
                <w:bCs/>
                <w:sz w:val="24"/>
                <w:szCs w:val="24"/>
              </w:rPr>
            </w:pPr>
            <w:r w:rsidRPr="000547B0">
              <w:rPr>
                <w:rFonts w:ascii="Times New Roman" w:eastAsia="Times New Roman" w:hAnsi="Times New Roman" w:cs="Times New Roman"/>
                <w:b/>
                <w:bCs/>
                <w:sz w:val="24"/>
                <w:szCs w:val="24"/>
              </w:rPr>
              <w:t>Indoor Resting Density (IRD)</w:t>
            </w:r>
          </w:p>
        </w:tc>
        <w:tc>
          <w:tcPr>
            <w:tcW w:w="0" w:type="auto"/>
            <w:tcBorders>
              <w:left w:val="nil"/>
              <w:bottom w:val="single" w:sz="4" w:space="0" w:color="auto"/>
              <w:right w:val="nil"/>
            </w:tcBorders>
            <w:hideMark/>
          </w:tcPr>
          <w:p w14:paraId="30D07C3A" w14:textId="77777777" w:rsidR="00157227" w:rsidRPr="000547B0" w:rsidRDefault="00157227" w:rsidP="003966F2">
            <w:pPr>
              <w:spacing w:after="120"/>
              <w:jc w:val="center"/>
              <w:rPr>
                <w:rFonts w:ascii="Times New Roman" w:eastAsia="Times New Roman" w:hAnsi="Times New Roman" w:cs="Times New Roman"/>
                <w:b/>
                <w:bCs/>
                <w:sz w:val="24"/>
                <w:szCs w:val="24"/>
              </w:rPr>
            </w:pPr>
            <w:r w:rsidRPr="000547B0">
              <w:rPr>
                <w:rFonts w:ascii="Times New Roman" w:eastAsia="Times New Roman" w:hAnsi="Times New Roman" w:cs="Times New Roman"/>
                <w:b/>
                <w:bCs/>
                <w:sz w:val="24"/>
                <w:szCs w:val="24"/>
              </w:rPr>
              <w:t>Man Biting Rate (MBR)</w:t>
            </w:r>
          </w:p>
        </w:tc>
      </w:tr>
      <w:tr w:rsidR="00157227" w:rsidRPr="000547B0" w14:paraId="3B03009E" w14:textId="77777777" w:rsidTr="00A24732">
        <w:tc>
          <w:tcPr>
            <w:tcW w:w="0" w:type="auto"/>
            <w:tcBorders>
              <w:left w:val="nil"/>
              <w:bottom w:val="nil"/>
              <w:right w:val="nil"/>
            </w:tcBorders>
            <w:hideMark/>
          </w:tcPr>
          <w:p w14:paraId="66E783E2"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Proportion of households owning ITBN</w:t>
            </w:r>
          </w:p>
        </w:tc>
        <w:tc>
          <w:tcPr>
            <w:tcW w:w="0" w:type="auto"/>
            <w:tcBorders>
              <w:left w:val="nil"/>
              <w:bottom w:val="nil"/>
              <w:right w:val="nil"/>
            </w:tcBorders>
            <w:hideMark/>
          </w:tcPr>
          <w:p w14:paraId="5ABB72E8"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0.83*</w:t>
            </w:r>
          </w:p>
        </w:tc>
        <w:tc>
          <w:tcPr>
            <w:tcW w:w="0" w:type="auto"/>
            <w:tcBorders>
              <w:left w:val="nil"/>
              <w:bottom w:val="nil"/>
              <w:right w:val="nil"/>
            </w:tcBorders>
            <w:hideMark/>
          </w:tcPr>
          <w:p w14:paraId="64340725"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0.78*</w:t>
            </w:r>
          </w:p>
        </w:tc>
      </w:tr>
      <w:tr w:rsidR="00157227" w:rsidRPr="000547B0" w14:paraId="0E61B7DE" w14:textId="77777777" w:rsidTr="00A24732">
        <w:tc>
          <w:tcPr>
            <w:tcW w:w="0" w:type="auto"/>
            <w:tcBorders>
              <w:top w:val="nil"/>
              <w:left w:val="nil"/>
              <w:bottom w:val="nil"/>
              <w:right w:val="nil"/>
            </w:tcBorders>
            <w:hideMark/>
          </w:tcPr>
          <w:p w14:paraId="7D3B6FA2"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Proportion of households not owning ITBN</w:t>
            </w:r>
          </w:p>
        </w:tc>
        <w:tc>
          <w:tcPr>
            <w:tcW w:w="0" w:type="auto"/>
            <w:tcBorders>
              <w:top w:val="nil"/>
              <w:left w:val="nil"/>
              <w:bottom w:val="nil"/>
              <w:right w:val="nil"/>
            </w:tcBorders>
            <w:hideMark/>
          </w:tcPr>
          <w:p w14:paraId="6C368991"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0.85*</w:t>
            </w:r>
          </w:p>
        </w:tc>
        <w:tc>
          <w:tcPr>
            <w:tcW w:w="0" w:type="auto"/>
            <w:tcBorders>
              <w:top w:val="nil"/>
              <w:left w:val="nil"/>
              <w:bottom w:val="nil"/>
              <w:right w:val="nil"/>
            </w:tcBorders>
            <w:hideMark/>
          </w:tcPr>
          <w:p w14:paraId="0348794A"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0.75*</w:t>
            </w:r>
          </w:p>
        </w:tc>
      </w:tr>
      <w:tr w:rsidR="00157227" w:rsidRPr="000547B0" w14:paraId="133C6858" w14:textId="77777777" w:rsidTr="00A24732">
        <w:tc>
          <w:tcPr>
            <w:tcW w:w="0" w:type="auto"/>
            <w:tcBorders>
              <w:top w:val="nil"/>
              <w:left w:val="nil"/>
              <w:bottom w:val="nil"/>
              <w:right w:val="nil"/>
            </w:tcBorders>
            <w:hideMark/>
          </w:tcPr>
          <w:p w14:paraId="55D78B07"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Consistent ITBN use (always)</w:t>
            </w:r>
          </w:p>
        </w:tc>
        <w:tc>
          <w:tcPr>
            <w:tcW w:w="0" w:type="auto"/>
            <w:tcBorders>
              <w:top w:val="nil"/>
              <w:left w:val="nil"/>
              <w:bottom w:val="nil"/>
              <w:right w:val="nil"/>
            </w:tcBorders>
            <w:hideMark/>
          </w:tcPr>
          <w:p w14:paraId="48FD720B"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0.84*</w:t>
            </w:r>
          </w:p>
        </w:tc>
        <w:tc>
          <w:tcPr>
            <w:tcW w:w="0" w:type="auto"/>
            <w:tcBorders>
              <w:top w:val="nil"/>
              <w:left w:val="nil"/>
              <w:bottom w:val="nil"/>
              <w:right w:val="nil"/>
            </w:tcBorders>
            <w:hideMark/>
          </w:tcPr>
          <w:p w14:paraId="3E0CFC6B"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0.76*</w:t>
            </w:r>
          </w:p>
        </w:tc>
      </w:tr>
      <w:tr w:rsidR="00157227" w:rsidRPr="000547B0" w14:paraId="338E68EC" w14:textId="77777777" w:rsidTr="00A24732">
        <w:tc>
          <w:tcPr>
            <w:tcW w:w="0" w:type="auto"/>
            <w:tcBorders>
              <w:top w:val="nil"/>
              <w:left w:val="nil"/>
              <w:bottom w:val="nil"/>
              <w:right w:val="nil"/>
            </w:tcBorders>
            <w:hideMark/>
          </w:tcPr>
          <w:p w14:paraId="0F7BB8C9"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Irregular ITBN use (most times)</w:t>
            </w:r>
          </w:p>
        </w:tc>
        <w:tc>
          <w:tcPr>
            <w:tcW w:w="0" w:type="auto"/>
            <w:tcBorders>
              <w:top w:val="nil"/>
              <w:left w:val="nil"/>
              <w:bottom w:val="nil"/>
              <w:right w:val="nil"/>
            </w:tcBorders>
            <w:hideMark/>
          </w:tcPr>
          <w:p w14:paraId="186CAF12"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0.73*</w:t>
            </w:r>
          </w:p>
        </w:tc>
        <w:tc>
          <w:tcPr>
            <w:tcW w:w="0" w:type="auto"/>
            <w:tcBorders>
              <w:top w:val="nil"/>
              <w:left w:val="nil"/>
              <w:bottom w:val="nil"/>
              <w:right w:val="nil"/>
            </w:tcBorders>
            <w:hideMark/>
          </w:tcPr>
          <w:p w14:paraId="1C84F3EC"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0.86*</w:t>
            </w:r>
          </w:p>
        </w:tc>
      </w:tr>
      <w:tr w:rsidR="00157227" w:rsidRPr="000547B0" w14:paraId="74E3A811" w14:textId="77777777" w:rsidTr="00A24732">
        <w:tc>
          <w:tcPr>
            <w:tcW w:w="0" w:type="auto"/>
            <w:tcBorders>
              <w:top w:val="nil"/>
              <w:left w:val="nil"/>
              <w:right w:val="nil"/>
            </w:tcBorders>
            <w:hideMark/>
          </w:tcPr>
          <w:p w14:paraId="795BE472"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Rare ITBN use</w:t>
            </w:r>
          </w:p>
        </w:tc>
        <w:tc>
          <w:tcPr>
            <w:tcW w:w="0" w:type="auto"/>
            <w:tcBorders>
              <w:top w:val="nil"/>
              <w:left w:val="nil"/>
              <w:right w:val="nil"/>
            </w:tcBorders>
            <w:hideMark/>
          </w:tcPr>
          <w:p w14:paraId="5557EAE4"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−0.87*</w:t>
            </w:r>
          </w:p>
        </w:tc>
        <w:tc>
          <w:tcPr>
            <w:tcW w:w="0" w:type="auto"/>
            <w:tcBorders>
              <w:top w:val="nil"/>
              <w:left w:val="nil"/>
              <w:right w:val="nil"/>
            </w:tcBorders>
            <w:hideMark/>
          </w:tcPr>
          <w:p w14:paraId="28DB01E0" w14:textId="77777777" w:rsidR="00157227" w:rsidRPr="000547B0" w:rsidRDefault="00157227" w:rsidP="003966F2">
            <w:pPr>
              <w:spacing w:after="120"/>
              <w:rPr>
                <w:rFonts w:ascii="Times New Roman" w:eastAsia="Times New Roman" w:hAnsi="Times New Roman" w:cs="Times New Roman"/>
                <w:sz w:val="24"/>
                <w:szCs w:val="24"/>
              </w:rPr>
            </w:pPr>
            <w:r w:rsidRPr="000547B0">
              <w:rPr>
                <w:rFonts w:ascii="Times New Roman" w:eastAsia="Times New Roman" w:hAnsi="Times New Roman" w:cs="Times New Roman"/>
                <w:sz w:val="24"/>
                <w:szCs w:val="24"/>
              </w:rPr>
              <w:t>0.23</w:t>
            </w:r>
          </w:p>
        </w:tc>
      </w:tr>
    </w:tbl>
    <w:p w14:paraId="4184C8F0" w14:textId="542B7377" w:rsidR="00157227" w:rsidRPr="000547B0" w:rsidRDefault="004350C7" w:rsidP="003966F2">
      <w:pPr>
        <w:spacing w:after="120" w:line="240" w:lineRule="auto"/>
        <w:jc w:val="both"/>
        <w:rPr>
          <w:rFonts w:ascii="Times New Roman" w:eastAsia="Times New Roman" w:hAnsi="Times New Roman" w:cs="Times New Roman"/>
          <w:b/>
          <w:sz w:val="24"/>
          <w:szCs w:val="24"/>
        </w:rPr>
      </w:pPr>
      <w:r>
        <w:t>significant at p &lt; 0.05; correlations interpreted at community level.</w:t>
      </w:r>
    </w:p>
    <w:p w14:paraId="48B59FDE" w14:textId="77777777" w:rsidR="00E87EFB" w:rsidRDefault="00E52139" w:rsidP="003966F2">
      <w:pPr>
        <w:spacing w:after="120" w:line="240" w:lineRule="auto"/>
        <w:jc w:val="both"/>
        <w:rPr>
          <w:rFonts w:ascii="Times New Roman" w:eastAsia="Times New Roman" w:hAnsi="Times New Roman" w:cs="Times New Roman"/>
          <w:b/>
          <w:sz w:val="24"/>
          <w:szCs w:val="24"/>
        </w:rPr>
      </w:pPr>
      <w:r w:rsidRPr="000547B0">
        <w:rPr>
          <w:rFonts w:ascii="Times New Roman" w:eastAsia="Times New Roman" w:hAnsi="Times New Roman" w:cs="Times New Roman"/>
          <w:b/>
          <w:sz w:val="24"/>
          <w:szCs w:val="24"/>
        </w:rPr>
        <w:t xml:space="preserve">DISCUSSION </w:t>
      </w:r>
    </w:p>
    <w:p w14:paraId="3F076A83" w14:textId="77777777" w:rsidR="003966F2" w:rsidRDefault="003966F2" w:rsidP="003966F2">
      <w:pPr>
        <w:pStyle w:val="NormalWeb"/>
        <w:spacing w:before="0" w:beforeAutospacing="0" w:after="120" w:afterAutospacing="0"/>
        <w:jc w:val="both"/>
      </w:pPr>
      <w:r>
        <w:t xml:space="preserve">The present study provides important insights into the indoor resting density, biting activity, and insecticidal treated bed net (ITBN) ownership patterns associated with </w:t>
      </w:r>
      <w:r>
        <w:rPr>
          <w:rStyle w:val="Emphasis"/>
        </w:rPr>
        <w:t>Anopheles gambiae</w:t>
      </w:r>
      <w:r>
        <w:t xml:space="preserve"> sensu lato in selected communities of </w:t>
      </w:r>
      <w:proofErr w:type="spellStart"/>
      <w:r>
        <w:t>Nembe</w:t>
      </w:r>
      <w:proofErr w:type="spellEnd"/>
      <w:r>
        <w:t xml:space="preserve"> Local Government Area, Bayelsa State, Nigeria. The predominance of </w:t>
      </w:r>
      <w:r>
        <w:rPr>
          <w:rStyle w:val="Emphasis"/>
        </w:rPr>
        <w:t>An. gambiae</w:t>
      </w:r>
      <w:r>
        <w:t xml:space="preserve"> </w:t>
      </w:r>
      <w:proofErr w:type="spellStart"/>
      <w:r>
        <w:t>s.l.</w:t>
      </w:r>
      <w:proofErr w:type="spellEnd"/>
      <w:r>
        <w:t xml:space="preserve"> over </w:t>
      </w:r>
      <w:r>
        <w:rPr>
          <w:rStyle w:val="Emphasis"/>
        </w:rPr>
        <w:t xml:space="preserve">Culex </w:t>
      </w:r>
      <w:proofErr w:type="spellStart"/>
      <w:r>
        <w:rPr>
          <w:rStyle w:val="Emphasis"/>
        </w:rPr>
        <w:t>quinquefasciatus</w:t>
      </w:r>
      <w:proofErr w:type="spellEnd"/>
      <w:r>
        <w:t xml:space="preserve"> confirms its continued epidemiological importance as the principal malaria vector in the Niger Delta region, consistent with reports from other parts of southern Nigeria where ecological conditions favor Anopheles breeding and survival (Adeleke et al., 2010; Okorie et al., 2014). The coexistence of </w:t>
      </w:r>
      <w:r>
        <w:rPr>
          <w:rStyle w:val="Emphasis"/>
        </w:rPr>
        <w:t>Culex</w:t>
      </w:r>
      <w:r>
        <w:t xml:space="preserve"> species also suggests potential risk of co-transmission of other mosquito-borne diseases, including lymphatic filariasis (Roche et al., 2012).</w:t>
      </w:r>
    </w:p>
    <w:p w14:paraId="1A8DF890" w14:textId="77777777" w:rsidR="003966F2" w:rsidRDefault="003966F2" w:rsidP="003966F2">
      <w:pPr>
        <w:pStyle w:val="NormalWeb"/>
        <w:spacing w:before="0" w:beforeAutospacing="0" w:after="120" w:afterAutospacing="0"/>
        <w:jc w:val="both"/>
      </w:pPr>
      <w:r>
        <w:t xml:space="preserve">The high proportion of unfed and gravid female </w:t>
      </w:r>
      <w:r>
        <w:rPr>
          <w:rStyle w:val="Emphasis"/>
        </w:rPr>
        <w:t>An. gambiae</w:t>
      </w:r>
      <w:r>
        <w:t xml:space="preserve"> collected indoors indicates intense vector–host contact and active reproductive cycles, reflecting favorable indoor resting and feeding conditions. Similar patterns have been reported in other malaria-endemic regions of Africa, where high indoor resting densities were associated with sustained malaria transmission despite ongoing control interventions (</w:t>
      </w:r>
      <w:proofErr w:type="spellStart"/>
      <w:r>
        <w:t>Noutcha</w:t>
      </w:r>
      <w:proofErr w:type="spellEnd"/>
      <w:r>
        <w:t xml:space="preserve"> and </w:t>
      </w:r>
      <w:proofErr w:type="spellStart"/>
      <w:r>
        <w:t>Anumudu</w:t>
      </w:r>
      <w:proofErr w:type="spellEnd"/>
      <w:r>
        <w:t xml:space="preserve">, 2009; </w:t>
      </w:r>
      <w:proofErr w:type="spellStart"/>
      <w:r>
        <w:t>Kigadye</w:t>
      </w:r>
      <w:proofErr w:type="spellEnd"/>
      <w:r>
        <w:t xml:space="preserve"> et al., 2010; Bayoh et al., 2010). The estimated mean man-biting rate of 21.4 bites per person per night further indicates substantial human exposure to mosquito bites and is comparable to values reported in other Nigerian settings (Afolabi et al., 2006; </w:t>
      </w:r>
      <w:proofErr w:type="spellStart"/>
      <w:r>
        <w:t>Noutcha</w:t>
      </w:r>
      <w:proofErr w:type="spellEnd"/>
      <w:r>
        <w:t xml:space="preserve"> and </w:t>
      </w:r>
      <w:proofErr w:type="spellStart"/>
      <w:r>
        <w:t>Anumudu</w:t>
      </w:r>
      <w:proofErr w:type="spellEnd"/>
      <w:r>
        <w:t>, 2009), underscoring the potential for continued malaria transmission.</w:t>
      </w:r>
    </w:p>
    <w:p w14:paraId="53855F0A" w14:textId="77777777" w:rsidR="003966F2" w:rsidRDefault="003966F2" w:rsidP="003966F2">
      <w:pPr>
        <w:pStyle w:val="NormalWeb"/>
        <w:spacing w:before="0" w:beforeAutospacing="0" w:after="120" w:afterAutospacing="0"/>
        <w:jc w:val="both"/>
      </w:pPr>
      <w:r>
        <w:t xml:space="preserve">Household survey results revealed low ITBN ownership, with more than half of respondents lacking access to nets. This finding aligns with previous studies in rural Nigerian communities, where dependence on government distribution, limited awareness, and economic constraints </w:t>
      </w:r>
      <w:proofErr w:type="gramStart"/>
      <w:r>
        <w:t>have</w:t>
      </w:r>
      <w:proofErr w:type="gramEnd"/>
      <w:r>
        <w:t xml:space="preserve"> been identified as major barriers to ITBN ownership and use (</w:t>
      </w:r>
      <w:proofErr w:type="spellStart"/>
      <w:r>
        <w:t>Ibor</w:t>
      </w:r>
      <w:proofErr w:type="spellEnd"/>
      <w:r>
        <w:t xml:space="preserve"> et al., 2012; Opara et al., 2010). Such dependency on intermittent distribution campaigns may limit the long-term effectiveness of malaria control efforts, particularly in the absence of sustained community engagement (Isah and Nwobodo, 2009; Krech, 2013).</w:t>
      </w:r>
    </w:p>
    <w:p w14:paraId="3E9BDB59" w14:textId="77777777" w:rsidR="003966F2" w:rsidRDefault="003966F2" w:rsidP="003966F2">
      <w:pPr>
        <w:pStyle w:val="NormalWeb"/>
        <w:spacing w:before="0" w:beforeAutospacing="0" w:after="120" w:afterAutospacing="0"/>
        <w:jc w:val="both"/>
      </w:pPr>
      <w:r>
        <w:t xml:space="preserve">Correlation analysis showed significant associations between ITBN ownership and use patterns and entomological indices; however, these relationships are best interpreted at the community level rather than as direct causal effects. In areas experiencing high mosquito density and biting pressure, households may be more inclined to acquire ITBNs in response to perceived malaria risk, without necessarily achieving immediate reductions in vector density. Importantly, irregular ITBN use was strongly associated with higher biting rates, reinforcing evidence that ownership without consistent and correct use does not translate into </w:t>
      </w:r>
      <w:r>
        <w:lastRenderedPageBreak/>
        <w:t>effective vector control. Similar findings from Nigeria and Ethiopia have demonstrated that inconsistent or seasonal bed net use substantially reduces protective efficacy and allows continued indoor biting (</w:t>
      </w:r>
      <w:proofErr w:type="spellStart"/>
      <w:r>
        <w:t>Magbity</w:t>
      </w:r>
      <w:proofErr w:type="spellEnd"/>
      <w:r>
        <w:t xml:space="preserve"> et al., 2002; Keana et al., 2016).</w:t>
      </w:r>
    </w:p>
    <w:p w14:paraId="7C3AC191" w14:textId="77777777" w:rsidR="003966F2" w:rsidRDefault="003966F2" w:rsidP="003966F2">
      <w:pPr>
        <w:pStyle w:val="NormalWeb"/>
        <w:spacing w:before="0" w:beforeAutospacing="0" w:after="120" w:afterAutospacing="0"/>
        <w:jc w:val="both"/>
      </w:pPr>
      <w:r>
        <w:t>The demographic profile of respondents further highlights the role of behavioral and socio-economic factors in malaria prevention. The predominance of respondents with primary or no formal education may partly explain low ITBN awareness and inconsistent use, as educational level has been strongly linked to preventive health behavior in malaria-endemic communities (Isah et al., 2009). In addition, occupations dominated by farming and fishing suggest increased exposure during peak mosquito activity periods, potentially compounding malaria risk beyond indoor transmission alone.</w:t>
      </w:r>
    </w:p>
    <w:p w14:paraId="36E252B2" w14:textId="756CC5F7" w:rsidR="003966F2" w:rsidRDefault="003966F2" w:rsidP="003966F2">
      <w:pPr>
        <w:pStyle w:val="NormalWeb"/>
        <w:spacing w:before="0" w:beforeAutospacing="0" w:after="120" w:afterAutospacing="0"/>
        <w:jc w:val="both"/>
      </w:pPr>
      <w:r>
        <w:t xml:space="preserve">These findings underscore the complex interaction between vector ecology, human behavior, and malaria control interventions. While ITBNs remain a cornerstone of malaria prevention, their effectiveness in the study area appears constrained by low ownership, inconsistent use, and persistently high vector density. These results highlight the need to complement ITBN distribution with sustained community education, behavioral change communication, and integrated vector control strategies to achieve meaningful reductions in malaria transmission in rural endemic settings such as </w:t>
      </w:r>
      <w:proofErr w:type="spellStart"/>
      <w:r>
        <w:t>Nembe</w:t>
      </w:r>
      <w:proofErr w:type="spellEnd"/>
      <w:r>
        <w:t xml:space="preserve"> LGA (Curtis et al., 2003; WHO, 2020).</w:t>
      </w:r>
    </w:p>
    <w:p w14:paraId="5A77CDE3" w14:textId="3DCB2F4C" w:rsidR="00E52139" w:rsidRPr="000547B0" w:rsidRDefault="00E52139"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Conclusion</w:t>
      </w:r>
    </w:p>
    <w:p w14:paraId="208DD36A" w14:textId="4107D87A" w:rsidR="004350C7" w:rsidRDefault="004350C7" w:rsidP="003966F2">
      <w:pPr>
        <w:pStyle w:val="NormalWeb"/>
        <w:spacing w:before="0" w:beforeAutospacing="0" w:after="120" w:afterAutospacing="0"/>
        <w:jc w:val="both"/>
      </w:pPr>
      <w:r>
        <w:t xml:space="preserve">This study demonstrates the continued dominance of </w:t>
      </w:r>
      <w:r>
        <w:rPr>
          <w:rStyle w:val="Emphasis"/>
        </w:rPr>
        <w:t>Anopheles gambiae</w:t>
      </w:r>
      <w:r>
        <w:t xml:space="preserve"> sensu lato and sustained indoor malaria transmission risk in </w:t>
      </w:r>
      <w:proofErr w:type="spellStart"/>
      <w:r>
        <w:t>Nembe</w:t>
      </w:r>
      <w:proofErr w:type="spellEnd"/>
      <w:r>
        <w:t xml:space="preserve"> Local Government Area. Indoor resting density and man-biting rates varied across communities, while household ownership and consistent use of insecticidal treated bed nets remained suboptimal. Although ITBNs are widely recognized as effective malaria control tools, their impact in the study area appears limited by low coverage and inconsistent utilization. The findings highlight the need for integrated malaria control strategies that combine improved ITBN access with community-based education, behavioral change interventions, and routine entomological surveillance. Expanding sampling coverage and incorporating additional vector control measures would further strengthen malaria prevention efforts in similar rural settings.</w:t>
      </w:r>
    </w:p>
    <w:p w14:paraId="65919E5B" w14:textId="77777777" w:rsidR="00375E04" w:rsidRPr="000547B0" w:rsidRDefault="006E21D2"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
          <w:sz w:val="24"/>
          <w:szCs w:val="24"/>
        </w:rPr>
        <w:t>Acknowledgement</w:t>
      </w:r>
      <w:r w:rsidR="00375E04" w:rsidRPr="000547B0">
        <w:rPr>
          <w:rFonts w:ascii="Times New Roman" w:eastAsia="Calibri" w:hAnsi="Times New Roman" w:cs="Times New Roman"/>
          <w:bCs/>
          <w:sz w:val="24"/>
          <w:szCs w:val="24"/>
        </w:rPr>
        <w:t xml:space="preserve"> </w:t>
      </w:r>
    </w:p>
    <w:p w14:paraId="45AE74E8" w14:textId="09D665A3" w:rsidR="00375E04" w:rsidRPr="000547B0" w:rsidRDefault="00375E04" w:rsidP="003966F2">
      <w:pPr>
        <w:spacing w:after="120" w:line="240" w:lineRule="auto"/>
        <w:jc w:val="both"/>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t>We appreciate and acknowledge the cooperation of the communities and household head</w:t>
      </w:r>
      <w:r w:rsidR="001E4434" w:rsidRPr="000547B0">
        <w:rPr>
          <w:rFonts w:ascii="Times New Roman" w:eastAsia="Calibri" w:hAnsi="Times New Roman" w:cs="Times New Roman"/>
          <w:bCs/>
          <w:sz w:val="24"/>
          <w:szCs w:val="24"/>
        </w:rPr>
        <w:t>s</w:t>
      </w:r>
      <w:r w:rsidRPr="000547B0">
        <w:rPr>
          <w:rFonts w:ascii="Times New Roman" w:eastAsia="Calibri" w:hAnsi="Times New Roman" w:cs="Times New Roman"/>
          <w:bCs/>
          <w:sz w:val="24"/>
          <w:szCs w:val="24"/>
        </w:rPr>
        <w:t xml:space="preserve"> for granting us permission to carry out this study in their respective communities and houses. We also appreciate the f</w:t>
      </w:r>
      <w:r w:rsidR="001E4434" w:rsidRPr="000547B0">
        <w:rPr>
          <w:rFonts w:ascii="Times New Roman" w:eastAsia="Calibri" w:hAnsi="Times New Roman" w:cs="Times New Roman"/>
          <w:bCs/>
          <w:sz w:val="24"/>
          <w:szCs w:val="24"/>
        </w:rPr>
        <w:t>ield workers for their efforts at</w:t>
      </w:r>
      <w:r w:rsidRPr="000547B0">
        <w:rPr>
          <w:rFonts w:ascii="Times New Roman" w:eastAsia="Calibri" w:hAnsi="Times New Roman" w:cs="Times New Roman"/>
          <w:bCs/>
          <w:sz w:val="24"/>
          <w:szCs w:val="24"/>
        </w:rPr>
        <w:t xml:space="preserve"> collect</w:t>
      </w:r>
      <w:r w:rsidR="001E4434" w:rsidRPr="000547B0">
        <w:rPr>
          <w:rFonts w:ascii="Times New Roman" w:eastAsia="Calibri" w:hAnsi="Times New Roman" w:cs="Times New Roman"/>
          <w:bCs/>
          <w:sz w:val="24"/>
          <w:szCs w:val="24"/>
        </w:rPr>
        <w:t>ion of</w:t>
      </w:r>
      <w:r w:rsidRPr="000547B0">
        <w:rPr>
          <w:rFonts w:ascii="Times New Roman" w:eastAsia="Calibri" w:hAnsi="Times New Roman" w:cs="Times New Roman"/>
          <w:bCs/>
          <w:sz w:val="24"/>
          <w:szCs w:val="24"/>
        </w:rPr>
        <w:t xml:space="preserve"> mosquitoes for this study. </w:t>
      </w:r>
    </w:p>
    <w:p w14:paraId="5357E593" w14:textId="77777777" w:rsidR="00E01677" w:rsidRPr="000547B0" w:rsidRDefault="00FE6426" w:rsidP="003966F2">
      <w:pPr>
        <w:spacing w:after="120" w:line="240" w:lineRule="auto"/>
        <w:jc w:val="both"/>
        <w:rPr>
          <w:rFonts w:ascii="Times New Roman" w:eastAsia="Calibri" w:hAnsi="Times New Roman" w:cs="Times New Roman"/>
          <w:b/>
          <w:sz w:val="24"/>
          <w:szCs w:val="24"/>
        </w:rPr>
      </w:pPr>
      <w:r w:rsidRPr="000547B0">
        <w:rPr>
          <w:rFonts w:ascii="Times New Roman" w:eastAsia="Calibri" w:hAnsi="Times New Roman" w:cs="Times New Roman"/>
          <w:b/>
          <w:sz w:val="24"/>
          <w:szCs w:val="24"/>
        </w:rPr>
        <w:t>Authors contribution</w:t>
      </w:r>
    </w:p>
    <w:p w14:paraId="73CF0256" w14:textId="02E5558B" w:rsidR="00FE6426" w:rsidRPr="000547B0" w:rsidRDefault="00FE6426" w:rsidP="003966F2">
      <w:pPr>
        <w:spacing w:after="120" w:line="240" w:lineRule="auto"/>
        <w:jc w:val="both"/>
        <w:rPr>
          <w:rFonts w:ascii="Times New Roman" w:eastAsia="Calibri" w:hAnsi="Times New Roman" w:cs="Times New Roman"/>
          <w:b/>
          <w:sz w:val="24"/>
          <w:szCs w:val="24"/>
        </w:rPr>
      </w:pPr>
      <w:r w:rsidRPr="000547B0">
        <w:rPr>
          <w:rFonts w:ascii="Times New Roman" w:eastAsia="Times New Roman" w:hAnsi="Times New Roman" w:cs="Times New Roman"/>
          <w:sz w:val="24"/>
          <w:szCs w:val="24"/>
        </w:rPr>
        <w:t>Both authors contributed. Anagha Tekena</w:t>
      </w:r>
      <w:r w:rsidRPr="000547B0">
        <w:rPr>
          <w:rFonts w:ascii="Times New Roman" w:eastAsia="Times New Roman" w:hAnsi="Times New Roman" w:cs="Times New Roman"/>
          <w:sz w:val="24"/>
          <w:szCs w:val="24"/>
          <w:vertAlign w:val="superscript"/>
        </w:rPr>
        <w:t xml:space="preserve"> </w:t>
      </w:r>
      <w:r w:rsidRPr="000547B0">
        <w:rPr>
          <w:rFonts w:ascii="Times New Roman" w:eastAsia="Times New Roman" w:hAnsi="Times New Roman" w:cs="Times New Roman"/>
          <w:sz w:val="24"/>
          <w:szCs w:val="24"/>
        </w:rPr>
        <w:t xml:space="preserve">provided the </w:t>
      </w:r>
      <w:r w:rsidR="00E01677" w:rsidRPr="000547B0">
        <w:rPr>
          <w:rFonts w:ascii="Times New Roman" w:eastAsia="Times New Roman" w:hAnsi="Times New Roman" w:cs="Times New Roman"/>
          <w:sz w:val="24"/>
          <w:szCs w:val="24"/>
        </w:rPr>
        <w:t>data</w:t>
      </w:r>
      <w:r w:rsidRPr="000547B0">
        <w:rPr>
          <w:rFonts w:ascii="Times New Roman" w:eastAsia="Times New Roman" w:hAnsi="Times New Roman" w:cs="Times New Roman"/>
          <w:sz w:val="24"/>
          <w:szCs w:val="24"/>
        </w:rPr>
        <w:t xml:space="preserve"> for the publication through his PhD research. </w:t>
      </w:r>
      <w:proofErr w:type="spellStart"/>
      <w:r w:rsidRPr="000547B0">
        <w:rPr>
          <w:rFonts w:ascii="Times New Roman" w:hAnsi="Times New Roman" w:cs="Times New Roman"/>
          <w:sz w:val="24"/>
          <w:szCs w:val="24"/>
        </w:rPr>
        <w:t>Ukoroije</w:t>
      </w:r>
      <w:proofErr w:type="spellEnd"/>
      <w:r w:rsidRPr="000547B0">
        <w:rPr>
          <w:rFonts w:ascii="Times New Roman" w:hAnsi="Times New Roman" w:cs="Times New Roman"/>
          <w:sz w:val="24"/>
          <w:szCs w:val="24"/>
        </w:rPr>
        <w:t xml:space="preserve">, Rosemary </w:t>
      </w:r>
      <w:proofErr w:type="spellStart"/>
      <w:r w:rsidRPr="000547B0">
        <w:rPr>
          <w:rFonts w:ascii="Times New Roman" w:hAnsi="Times New Roman" w:cs="Times New Roman"/>
          <w:sz w:val="24"/>
          <w:szCs w:val="24"/>
        </w:rPr>
        <w:t>Boate</w:t>
      </w:r>
      <w:proofErr w:type="spellEnd"/>
      <w:r w:rsidRPr="000547B0">
        <w:rPr>
          <w:rFonts w:ascii="Times New Roman" w:hAnsi="Times New Roman" w:cs="Times New Roman"/>
          <w:sz w:val="24"/>
          <w:szCs w:val="24"/>
          <w:vertAlign w:val="superscript"/>
        </w:rPr>
        <w:t xml:space="preserve"> </w:t>
      </w:r>
      <w:r w:rsidR="00E01677" w:rsidRPr="000547B0">
        <w:rPr>
          <w:rFonts w:ascii="Times New Roman" w:eastAsia="Times New Roman" w:hAnsi="Times New Roman" w:cs="Times New Roman"/>
          <w:sz w:val="24"/>
          <w:szCs w:val="24"/>
        </w:rPr>
        <w:t xml:space="preserve">developed and drafted the manuscript. </w:t>
      </w:r>
      <w:proofErr w:type="spellStart"/>
      <w:r w:rsidRPr="000547B0">
        <w:rPr>
          <w:rFonts w:ascii="Times New Roman" w:eastAsia="Times New Roman" w:hAnsi="Times New Roman" w:cs="Times New Roman"/>
          <w:sz w:val="24"/>
          <w:szCs w:val="24"/>
        </w:rPr>
        <w:t>Amawulu</w:t>
      </w:r>
      <w:proofErr w:type="spellEnd"/>
      <w:r w:rsidRPr="000547B0">
        <w:rPr>
          <w:rFonts w:ascii="Times New Roman" w:eastAsia="Times New Roman" w:hAnsi="Times New Roman" w:cs="Times New Roman"/>
          <w:sz w:val="24"/>
          <w:szCs w:val="24"/>
        </w:rPr>
        <w:t xml:space="preserve"> Ebenezer</w:t>
      </w:r>
      <w:r w:rsidR="00E01677" w:rsidRPr="000547B0">
        <w:rPr>
          <w:rFonts w:ascii="Times New Roman" w:eastAsia="Times New Roman" w:hAnsi="Times New Roman" w:cs="Times New Roman"/>
          <w:sz w:val="24"/>
          <w:szCs w:val="24"/>
        </w:rPr>
        <w:t xml:space="preserve"> developed the concept, supervised the research work and approve the final version.</w:t>
      </w:r>
    </w:p>
    <w:p w14:paraId="59F8E9CB" w14:textId="2DBD858B" w:rsidR="00E01677" w:rsidRPr="000547B0" w:rsidRDefault="00E01677"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 xml:space="preserve">Funding </w:t>
      </w:r>
    </w:p>
    <w:p w14:paraId="65D2AD42" w14:textId="59AFDB08" w:rsidR="00432605" w:rsidRPr="000547B0" w:rsidRDefault="00E01677"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t xml:space="preserve">There was no funding </w:t>
      </w:r>
    </w:p>
    <w:p w14:paraId="265964FC" w14:textId="05B758B4" w:rsidR="00E01677" w:rsidRPr="000547B0" w:rsidRDefault="00E01677"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Data availability</w:t>
      </w:r>
    </w:p>
    <w:p w14:paraId="3C391D69" w14:textId="093A06A3" w:rsidR="00E01677" w:rsidRPr="000547B0" w:rsidRDefault="00E01677"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t>All</w:t>
      </w:r>
      <w:r w:rsidR="00452816" w:rsidRPr="000547B0">
        <w:rPr>
          <w:rFonts w:ascii="Times New Roman" w:eastAsia="Calibri" w:hAnsi="Times New Roman" w:cs="Times New Roman"/>
          <w:bCs/>
          <w:sz w:val="24"/>
          <w:szCs w:val="24"/>
        </w:rPr>
        <w:t xml:space="preserve"> the</w:t>
      </w:r>
      <w:r w:rsidRPr="000547B0">
        <w:rPr>
          <w:rFonts w:ascii="Times New Roman" w:eastAsia="Calibri" w:hAnsi="Times New Roman" w:cs="Times New Roman"/>
          <w:bCs/>
          <w:sz w:val="24"/>
          <w:szCs w:val="24"/>
        </w:rPr>
        <w:t xml:space="preserve"> data used in this manuscript were provided from the research </w:t>
      </w:r>
      <w:r w:rsidR="007871D1" w:rsidRPr="000547B0">
        <w:rPr>
          <w:rFonts w:ascii="Times New Roman" w:eastAsia="Calibri" w:hAnsi="Times New Roman" w:cs="Times New Roman"/>
          <w:bCs/>
          <w:sz w:val="24"/>
          <w:szCs w:val="24"/>
        </w:rPr>
        <w:t xml:space="preserve">outcome </w:t>
      </w:r>
      <w:r w:rsidR="003545BC" w:rsidRPr="000547B0">
        <w:rPr>
          <w:rFonts w:ascii="Times New Roman" w:eastAsia="Calibri" w:hAnsi="Times New Roman" w:cs="Times New Roman"/>
          <w:bCs/>
          <w:sz w:val="24"/>
          <w:szCs w:val="24"/>
        </w:rPr>
        <w:t xml:space="preserve">from the </w:t>
      </w:r>
      <w:r w:rsidR="007871D1" w:rsidRPr="000547B0">
        <w:rPr>
          <w:rFonts w:ascii="Times New Roman" w:eastAsia="Calibri" w:hAnsi="Times New Roman" w:cs="Times New Roman"/>
          <w:bCs/>
          <w:sz w:val="24"/>
          <w:szCs w:val="24"/>
        </w:rPr>
        <w:t>involving</w:t>
      </w:r>
      <w:r w:rsidR="003545BC" w:rsidRPr="000547B0">
        <w:rPr>
          <w:rFonts w:ascii="Times New Roman" w:eastAsia="Calibri" w:hAnsi="Times New Roman" w:cs="Times New Roman"/>
          <w:bCs/>
          <w:sz w:val="24"/>
          <w:szCs w:val="24"/>
        </w:rPr>
        <w:t xml:space="preserve"> authors.</w:t>
      </w:r>
    </w:p>
    <w:p w14:paraId="086042AE" w14:textId="5E91573B" w:rsidR="003545BC" w:rsidRPr="000547B0" w:rsidRDefault="003545BC"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Consents</w:t>
      </w:r>
      <w:r w:rsidR="00432605" w:rsidRPr="000547B0">
        <w:rPr>
          <w:rFonts w:ascii="Times New Roman" w:eastAsia="Calibri" w:hAnsi="Times New Roman" w:cs="Times New Roman"/>
          <w:b/>
          <w:sz w:val="24"/>
          <w:szCs w:val="24"/>
        </w:rPr>
        <w:t xml:space="preserve"> of participation </w:t>
      </w:r>
    </w:p>
    <w:p w14:paraId="2104CBA6" w14:textId="26C10CFE" w:rsidR="003545BC" w:rsidRPr="000547B0" w:rsidRDefault="003545BC"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t>Verbal consents were obtained from the community and household heads</w:t>
      </w:r>
    </w:p>
    <w:p w14:paraId="725BBC79" w14:textId="2E22F227" w:rsidR="003545BC" w:rsidRPr="000547B0" w:rsidRDefault="0065490C"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Consent for publication</w:t>
      </w:r>
    </w:p>
    <w:p w14:paraId="5EB7FE61" w14:textId="58A94FD0" w:rsidR="0065490C" w:rsidRPr="000547B0" w:rsidRDefault="0065490C"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lastRenderedPageBreak/>
        <w:t>Not applicable</w:t>
      </w:r>
    </w:p>
    <w:p w14:paraId="15EE18E6" w14:textId="38ABE844" w:rsidR="00375E04" w:rsidRPr="000547B0" w:rsidRDefault="006E21D2"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Co</w:t>
      </w:r>
      <w:r w:rsidR="0065490C" w:rsidRPr="000547B0">
        <w:rPr>
          <w:rFonts w:ascii="Times New Roman" w:eastAsia="Calibri" w:hAnsi="Times New Roman" w:cs="Times New Roman"/>
          <w:b/>
          <w:sz w:val="24"/>
          <w:szCs w:val="24"/>
        </w:rPr>
        <w:t>mpeting</w:t>
      </w:r>
      <w:r w:rsidRPr="000547B0">
        <w:rPr>
          <w:rFonts w:ascii="Times New Roman" w:eastAsia="Calibri" w:hAnsi="Times New Roman" w:cs="Times New Roman"/>
          <w:b/>
          <w:sz w:val="24"/>
          <w:szCs w:val="24"/>
        </w:rPr>
        <w:t xml:space="preserve"> inte</w:t>
      </w:r>
      <w:r w:rsidR="0065490C" w:rsidRPr="000547B0">
        <w:rPr>
          <w:rFonts w:ascii="Times New Roman" w:eastAsia="Calibri" w:hAnsi="Times New Roman" w:cs="Times New Roman"/>
          <w:b/>
          <w:sz w:val="24"/>
          <w:szCs w:val="24"/>
        </w:rPr>
        <w:t>rests</w:t>
      </w:r>
      <w:r w:rsidR="00375E04" w:rsidRPr="000547B0">
        <w:rPr>
          <w:rFonts w:ascii="Times New Roman" w:eastAsia="Calibri" w:hAnsi="Times New Roman" w:cs="Times New Roman"/>
          <w:b/>
          <w:sz w:val="24"/>
          <w:szCs w:val="24"/>
        </w:rPr>
        <w:t xml:space="preserve"> </w:t>
      </w:r>
    </w:p>
    <w:p w14:paraId="0B81C4CE" w14:textId="012713FF" w:rsidR="000547B0" w:rsidRPr="003966F2" w:rsidRDefault="00375E04" w:rsidP="003966F2">
      <w:pPr>
        <w:spacing w:after="120" w:line="240" w:lineRule="auto"/>
        <w:rPr>
          <w:rFonts w:ascii="Times New Roman" w:eastAsia="Calibri" w:hAnsi="Times New Roman" w:cs="Times New Roman"/>
          <w:bCs/>
          <w:sz w:val="24"/>
          <w:szCs w:val="24"/>
        </w:rPr>
      </w:pPr>
      <w:r w:rsidRPr="000547B0">
        <w:rPr>
          <w:rFonts w:ascii="Times New Roman" w:eastAsia="Calibri" w:hAnsi="Times New Roman" w:cs="Times New Roman"/>
          <w:bCs/>
          <w:sz w:val="24"/>
          <w:szCs w:val="24"/>
        </w:rPr>
        <w:t>There is no conflict of interest among the authors</w:t>
      </w:r>
    </w:p>
    <w:p w14:paraId="010A861E" w14:textId="77777777" w:rsidR="00245374" w:rsidRPr="00245374" w:rsidRDefault="00245374" w:rsidP="00245374">
      <w:pPr>
        <w:rPr>
          <w:highlight w:val="yellow"/>
        </w:rPr>
      </w:pPr>
      <w:r w:rsidRPr="00245374">
        <w:rPr>
          <w:highlight w:val="yellow"/>
        </w:rPr>
        <w:t>Disclaimer (Artificial intelligence)</w:t>
      </w:r>
    </w:p>
    <w:p w14:paraId="0BC7CDF2" w14:textId="77777777" w:rsidR="00245374" w:rsidRPr="00245374" w:rsidRDefault="00245374" w:rsidP="00245374">
      <w:pPr>
        <w:rPr>
          <w:highlight w:val="yellow"/>
        </w:rPr>
      </w:pPr>
      <w:r w:rsidRPr="00245374">
        <w:rPr>
          <w:highlight w:val="yellow"/>
        </w:rPr>
        <w:t xml:space="preserve">Option 1: </w:t>
      </w:r>
    </w:p>
    <w:p w14:paraId="0B34745E" w14:textId="77777777" w:rsidR="00245374" w:rsidRPr="00245374" w:rsidRDefault="00245374" w:rsidP="00245374">
      <w:pPr>
        <w:rPr>
          <w:highlight w:val="yellow"/>
        </w:rPr>
      </w:pPr>
      <w:r w:rsidRPr="00245374">
        <w:rPr>
          <w:highlight w:val="yellow"/>
        </w:rPr>
        <w:t xml:space="preserve">Author(s) hereby </w:t>
      </w:r>
      <w:proofErr w:type="gramStart"/>
      <w:r w:rsidRPr="00245374">
        <w:rPr>
          <w:highlight w:val="yellow"/>
        </w:rPr>
        <w:t>declare</w:t>
      </w:r>
      <w:proofErr w:type="gramEnd"/>
      <w:r w:rsidRPr="00245374">
        <w:rPr>
          <w:highlight w:val="yellow"/>
        </w:rPr>
        <w:t xml:space="preserve"> that NO generative AI technologies such as Large Language Models (ChatGPT, COPILOT, etc.) and text-to-image generators have been used during the writing or editing of this manuscript. </w:t>
      </w:r>
    </w:p>
    <w:p w14:paraId="7660E2A5" w14:textId="77777777" w:rsidR="00245374" w:rsidRPr="00245374" w:rsidRDefault="00245374" w:rsidP="00245374">
      <w:pPr>
        <w:rPr>
          <w:highlight w:val="yellow"/>
        </w:rPr>
      </w:pPr>
      <w:r w:rsidRPr="00245374">
        <w:rPr>
          <w:highlight w:val="yellow"/>
        </w:rPr>
        <w:t xml:space="preserve">Option 2: </w:t>
      </w:r>
    </w:p>
    <w:p w14:paraId="7DE3C7BD" w14:textId="77777777" w:rsidR="00245374" w:rsidRPr="00245374" w:rsidRDefault="00245374" w:rsidP="00245374">
      <w:pPr>
        <w:rPr>
          <w:highlight w:val="yellow"/>
        </w:rPr>
      </w:pPr>
      <w:r w:rsidRPr="00245374">
        <w:rPr>
          <w:highlight w:val="yellow"/>
        </w:rPr>
        <w:t xml:space="preserve">Author(s) hereby </w:t>
      </w:r>
      <w:proofErr w:type="gramStart"/>
      <w:r w:rsidRPr="00245374">
        <w:rPr>
          <w:highlight w:val="yellow"/>
        </w:rPr>
        <w:t>declare</w:t>
      </w:r>
      <w:proofErr w:type="gramEnd"/>
      <w:r w:rsidRPr="00245374">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72A68E" w14:textId="77777777" w:rsidR="00245374" w:rsidRPr="00245374" w:rsidRDefault="00245374" w:rsidP="00245374">
      <w:pPr>
        <w:rPr>
          <w:highlight w:val="yellow"/>
        </w:rPr>
      </w:pPr>
      <w:r w:rsidRPr="00245374">
        <w:rPr>
          <w:highlight w:val="yellow"/>
        </w:rPr>
        <w:t>Details of the AI usage are given below:</w:t>
      </w:r>
    </w:p>
    <w:p w14:paraId="176C6A08" w14:textId="77777777" w:rsidR="00245374" w:rsidRPr="00245374" w:rsidRDefault="00245374" w:rsidP="00245374">
      <w:pPr>
        <w:rPr>
          <w:highlight w:val="yellow"/>
        </w:rPr>
      </w:pPr>
      <w:r w:rsidRPr="00245374">
        <w:rPr>
          <w:highlight w:val="yellow"/>
        </w:rPr>
        <w:t>1.</w:t>
      </w:r>
    </w:p>
    <w:p w14:paraId="352C8395" w14:textId="77777777" w:rsidR="00245374" w:rsidRPr="00245374" w:rsidRDefault="00245374" w:rsidP="00245374">
      <w:pPr>
        <w:rPr>
          <w:highlight w:val="yellow"/>
        </w:rPr>
      </w:pPr>
      <w:r w:rsidRPr="00245374">
        <w:rPr>
          <w:highlight w:val="yellow"/>
        </w:rPr>
        <w:t>2.</w:t>
      </w:r>
    </w:p>
    <w:p w14:paraId="07C0BA55" w14:textId="77777777" w:rsidR="00245374" w:rsidRPr="0053103C" w:rsidRDefault="00245374" w:rsidP="00245374">
      <w:r w:rsidRPr="00245374">
        <w:rPr>
          <w:highlight w:val="yellow"/>
        </w:rPr>
        <w:t>3.</w:t>
      </w:r>
    </w:p>
    <w:p w14:paraId="63CC1138" w14:textId="1F9586D6" w:rsidR="00E87EFB" w:rsidRPr="00E87EFB" w:rsidRDefault="00E52139" w:rsidP="003966F2">
      <w:pPr>
        <w:spacing w:after="120" w:line="240" w:lineRule="auto"/>
        <w:rPr>
          <w:rFonts w:ascii="Times New Roman" w:eastAsia="Calibri" w:hAnsi="Times New Roman" w:cs="Times New Roman"/>
          <w:b/>
          <w:sz w:val="24"/>
          <w:szCs w:val="24"/>
        </w:rPr>
      </w:pPr>
      <w:r w:rsidRPr="000547B0">
        <w:rPr>
          <w:rFonts w:ascii="Times New Roman" w:eastAsia="Calibri" w:hAnsi="Times New Roman" w:cs="Times New Roman"/>
          <w:b/>
          <w:sz w:val="24"/>
          <w:szCs w:val="24"/>
        </w:rPr>
        <w:t xml:space="preserve">REFERENCE </w:t>
      </w:r>
    </w:p>
    <w:p w14:paraId="752CFAB1" w14:textId="77777777" w:rsidR="007011E0" w:rsidRDefault="007011E0" w:rsidP="007011E0">
      <w:pPr>
        <w:pStyle w:val="ListParagraph"/>
        <w:spacing w:before="240"/>
        <w:jc w:val="both"/>
        <w:sectPr w:rsidR="007011E0" w:rsidSect="00AC2C7D">
          <w:pgSz w:w="11907" w:h="16839" w:code="9"/>
          <w:pgMar w:top="1440" w:right="1440" w:bottom="1440" w:left="1440" w:header="720" w:footer="720" w:gutter="0"/>
          <w:cols w:space="720"/>
          <w:docGrid w:linePitch="360"/>
        </w:sectPr>
      </w:pPr>
    </w:p>
    <w:p w14:paraId="26BD7380" w14:textId="61E57444" w:rsidR="00E87EFB" w:rsidRPr="007011E0" w:rsidRDefault="00E87EFB" w:rsidP="00C97682">
      <w:pPr>
        <w:pStyle w:val="ListParagraph"/>
        <w:numPr>
          <w:ilvl w:val="0"/>
          <w:numId w:val="12"/>
        </w:numPr>
        <w:spacing w:before="240"/>
        <w:jc w:val="both"/>
        <w:rPr>
          <w:rFonts w:eastAsia="Times New Roman" w:cstheme="minorHAnsi"/>
          <w:sz w:val="24"/>
          <w:szCs w:val="24"/>
          <w:lang w:val="en-GB"/>
        </w:rPr>
      </w:pPr>
      <w:r w:rsidRPr="00E87EFB">
        <w:t xml:space="preserve">Adeleke, M.A., </w:t>
      </w:r>
      <w:proofErr w:type="spellStart"/>
      <w:r w:rsidRPr="00E87EFB">
        <w:t>Mafiana</w:t>
      </w:r>
      <w:proofErr w:type="spellEnd"/>
      <w:r w:rsidRPr="00E87EFB">
        <w:t xml:space="preserve">, C.F., Idowu, A.B., Sam-Wobo, S.O., &amp; Idowu, O.A. (2010). Population dynamics of indoor-sampled mosquitoes and their implication in disease transmission in Abeokuta, South-Western Nigeria. </w:t>
      </w:r>
      <w:r w:rsidRPr="00E87EFB">
        <w:rPr>
          <w:rStyle w:val="Emphasis"/>
        </w:rPr>
        <w:t>Journal of Vector Borne Diseases</w:t>
      </w:r>
      <w:r w:rsidRPr="00E87EFB">
        <w:t>, 47, 33–38.</w:t>
      </w:r>
      <w:r w:rsidR="007011E0" w:rsidRPr="007011E0">
        <w:t xml:space="preserve"> </w:t>
      </w:r>
      <w:hyperlink r:id="rId10" w:history="1">
        <w:r w:rsidR="007011E0" w:rsidRPr="00200C75">
          <w:rPr>
            <w:rStyle w:val="Hyperlink"/>
            <w:rFonts w:eastAsia="Times New Roman" w:cstheme="minorHAnsi"/>
            <w:sz w:val="24"/>
            <w:szCs w:val="24"/>
          </w:rPr>
          <w:t>https://doi.org/10.4103/0972-9067.59241</w:t>
        </w:r>
      </w:hyperlink>
    </w:p>
    <w:p w14:paraId="4C4851A4" w14:textId="2B5C6B85" w:rsidR="00E87EFB" w:rsidRPr="007011E0" w:rsidRDefault="00E87EFB" w:rsidP="007011E0">
      <w:pPr>
        <w:pStyle w:val="ListParagraph"/>
        <w:numPr>
          <w:ilvl w:val="0"/>
          <w:numId w:val="12"/>
        </w:numPr>
        <w:spacing w:before="240"/>
        <w:jc w:val="both"/>
        <w:rPr>
          <w:rFonts w:eastAsia="Times New Roman" w:cstheme="minorHAnsi"/>
          <w:sz w:val="24"/>
          <w:szCs w:val="24"/>
          <w:lang w:val="en-GB"/>
        </w:rPr>
      </w:pPr>
      <w:r w:rsidRPr="007011E0">
        <w:rPr>
          <w:rFonts w:ascii="Times New Roman" w:eastAsia="Times New Roman" w:hAnsi="Times New Roman" w:cs="Times New Roman"/>
          <w:sz w:val="24"/>
          <w:szCs w:val="24"/>
          <w:lang w:val="nl-BE"/>
        </w:rPr>
        <w:t xml:space="preserve">Afrane, Y.A., Klinkenberg, E., Drechsel, P., Owusu-Daaku, K., Garms, R. and Kruppa, T. (2004). </w:t>
      </w:r>
      <w:r w:rsidRPr="007011E0">
        <w:rPr>
          <w:rFonts w:ascii="Times New Roman" w:eastAsia="Times New Roman" w:hAnsi="Times New Roman" w:cs="Times New Roman"/>
          <w:sz w:val="24"/>
          <w:szCs w:val="24"/>
        </w:rPr>
        <w:t xml:space="preserve">Does irrigated urban Agriculture influence the transmission of malaria in the city of Kumasi, Ghana? </w:t>
      </w:r>
      <w:r w:rsidRPr="007011E0">
        <w:rPr>
          <w:rFonts w:ascii="Times New Roman" w:eastAsia="Times New Roman" w:hAnsi="Times New Roman" w:cs="Times New Roman"/>
          <w:i/>
          <w:sz w:val="24"/>
          <w:szCs w:val="24"/>
        </w:rPr>
        <w:t>Acta Tropica</w:t>
      </w:r>
      <w:r w:rsidRPr="007011E0">
        <w:rPr>
          <w:rFonts w:ascii="Times New Roman" w:eastAsia="Times New Roman" w:hAnsi="Times New Roman" w:cs="Times New Roman"/>
          <w:sz w:val="24"/>
          <w:szCs w:val="24"/>
        </w:rPr>
        <w:t>, 89: 125- 134.</w:t>
      </w:r>
      <w:r w:rsidR="007011E0" w:rsidRPr="007011E0">
        <w:t xml:space="preserve"> </w:t>
      </w:r>
      <w:hyperlink r:id="rId11" w:history="1">
        <w:r w:rsidR="007011E0" w:rsidRPr="007011E0">
          <w:rPr>
            <w:rStyle w:val="Hyperlink"/>
            <w:rFonts w:eastAsia="Times New Roman" w:cstheme="minorHAnsi"/>
            <w:sz w:val="24"/>
            <w:szCs w:val="24"/>
          </w:rPr>
          <w:t>https://doi.org/10.1016/j.actatropica.2003.06.001</w:t>
        </w:r>
      </w:hyperlink>
    </w:p>
    <w:p w14:paraId="66B04C63" w14:textId="77777777" w:rsidR="007011E0" w:rsidRDefault="00E87EFB" w:rsidP="007011E0">
      <w:pPr>
        <w:pStyle w:val="NormalWeb"/>
        <w:numPr>
          <w:ilvl w:val="0"/>
          <w:numId w:val="12"/>
        </w:numPr>
        <w:spacing w:before="0" w:beforeAutospacing="0" w:after="120" w:afterAutospacing="0"/>
        <w:jc w:val="both"/>
      </w:pPr>
      <w:proofErr w:type="spellStart"/>
      <w:r w:rsidRPr="00E87EFB">
        <w:t>Appawu</w:t>
      </w:r>
      <w:proofErr w:type="spellEnd"/>
      <w:r w:rsidRPr="00E87EFB">
        <w:t xml:space="preserve">, M.A. (2005). </w:t>
      </w:r>
      <w:r w:rsidRPr="00E87EFB">
        <w:rPr>
          <w:rStyle w:val="Emphasis"/>
        </w:rPr>
        <w:t xml:space="preserve">Genetic diversity of the Anopheles gambiae sensu lato and malaria transmission dynamics at selected sites in the </w:t>
      </w:r>
      <w:proofErr w:type="spellStart"/>
      <w:r w:rsidRPr="00E87EFB">
        <w:rPr>
          <w:rStyle w:val="Emphasis"/>
        </w:rPr>
        <w:t>Kasena</w:t>
      </w:r>
      <w:proofErr w:type="spellEnd"/>
      <w:r w:rsidRPr="00E87EFB">
        <w:rPr>
          <w:rStyle w:val="Emphasis"/>
        </w:rPr>
        <w:t xml:space="preserve"> Nankana District</w:t>
      </w:r>
      <w:r w:rsidRPr="00E87EFB">
        <w:t>. PhD Thesis, University of Ghana, Legon.</w:t>
      </w:r>
    </w:p>
    <w:p w14:paraId="770C840A" w14:textId="77777777" w:rsidR="007011E0" w:rsidRDefault="00E87EFB" w:rsidP="007011E0">
      <w:pPr>
        <w:pStyle w:val="NormalWeb"/>
        <w:numPr>
          <w:ilvl w:val="0"/>
          <w:numId w:val="12"/>
        </w:numPr>
        <w:spacing w:before="0" w:beforeAutospacing="0" w:after="120" w:afterAutospacing="0"/>
        <w:jc w:val="both"/>
      </w:pPr>
      <w:r w:rsidRPr="00E87EFB">
        <w:t xml:space="preserve">Bayoh, M.N., Mathias, D.K., </w:t>
      </w:r>
      <w:proofErr w:type="spellStart"/>
      <w:r w:rsidRPr="00E87EFB">
        <w:t>Odiere</w:t>
      </w:r>
      <w:proofErr w:type="spellEnd"/>
      <w:r w:rsidRPr="00E87EFB">
        <w:t xml:space="preserve">, M.R., Mutuku, F.M., Kamau, L., &amp; </w:t>
      </w:r>
      <w:proofErr w:type="spellStart"/>
      <w:r w:rsidRPr="00E87EFB">
        <w:t>Gimnig</w:t>
      </w:r>
      <w:proofErr w:type="spellEnd"/>
      <w:r w:rsidRPr="00E87EFB">
        <w:t xml:space="preserve">, J.E. (2010). Anopheles gambiae: Historical population decline associated with regional distribution of insecticide-treated bed nets in western Nyanza Province, Kenya. </w:t>
      </w:r>
      <w:r w:rsidRPr="00E87EFB">
        <w:rPr>
          <w:rStyle w:val="Emphasis"/>
        </w:rPr>
        <w:t>Malaria Journal</w:t>
      </w:r>
      <w:r w:rsidRPr="00E87EFB">
        <w:t>, 9, 62.</w:t>
      </w:r>
      <w:r w:rsidR="007011E0" w:rsidRPr="007011E0">
        <w:t xml:space="preserve"> </w:t>
      </w:r>
      <w:hyperlink r:id="rId12" w:history="1">
        <w:r w:rsidR="007011E0" w:rsidRPr="007011E0">
          <w:rPr>
            <w:rStyle w:val="Hyperlink"/>
            <w:rFonts w:eastAsia="Calibri" w:cstheme="minorHAnsi"/>
          </w:rPr>
          <w:t>https://doi.org/10.1186/1475-2875-9-62</w:t>
        </w:r>
      </w:hyperlink>
    </w:p>
    <w:p w14:paraId="2D0C357D" w14:textId="77777777" w:rsidR="007011E0" w:rsidRDefault="00E87EFB" w:rsidP="007011E0">
      <w:pPr>
        <w:pStyle w:val="NormalWeb"/>
        <w:numPr>
          <w:ilvl w:val="0"/>
          <w:numId w:val="12"/>
        </w:numPr>
        <w:spacing w:before="0" w:beforeAutospacing="0" w:after="120" w:afterAutospacing="0"/>
        <w:jc w:val="both"/>
      </w:pPr>
      <w:proofErr w:type="spellStart"/>
      <w:r w:rsidRPr="007011E0">
        <w:rPr>
          <w:shd w:val="clear" w:color="auto" w:fill="FFFFFF"/>
        </w:rPr>
        <w:t>Briët</w:t>
      </w:r>
      <w:proofErr w:type="spellEnd"/>
      <w:r w:rsidRPr="007011E0">
        <w:rPr>
          <w:shd w:val="clear" w:color="auto" w:fill="FFFFFF"/>
        </w:rPr>
        <w:t xml:space="preserve"> </w:t>
      </w:r>
      <w:proofErr w:type="gramStart"/>
      <w:r w:rsidRPr="007011E0">
        <w:rPr>
          <w:shd w:val="clear" w:color="auto" w:fill="FFFFFF"/>
        </w:rPr>
        <w:t>O.JT</w:t>
      </w:r>
      <w:proofErr w:type="gramEnd"/>
      <w:r w:rsidRPr="007011E0">
        <w:rPr>
          <w:shd w:val="clear" w:color="auto" w:fill="FFFFFF"/>
        </w:rPr>
        <w:t xml:space="preserve">, </w:t>
      </w:r>
      <w:proofErr w:type="spellStart"/>
      <w:r w:rsidRPr="007011E0">
        <w:rPr>
          <w:shd w:val="clear" w:color="auto" w:fill="FFFFFF"/>
        </w:rPr>
        <w:t>Huho</w:t>
      </w:r>
      <w:proofErr w:type="spellEnd"/>
      <w:r w:rsidRPr="007011E0">
        <w:rPr>
          <w:shd w:val="clear" w:color="auto" w:fill="FFFFFF"/>
        </w:rPr>
        <w:t xml:space="preserve"> B.J, </w:t>
      </w:r>
      <w:proofErr w:type="spellStart"/>
      <w:r w:rsidRPr="007011E0">
        <w:rPr>
          <w:shd w:val="clear" w:color="auto" w:fill="FFFFFF"/>
        </w:rPr>
        <w:t>Gimnig</w:t>
      </w:r>
      <w:proofErr w:type="spellEnd"/>
      <w:r w:rsidRPr="007011E0">
        <w:rPr>
          <w:shd w:val="clear" w:color="auto" w:fill="FFFFFF"/>
        </w:rPr>
        <w:t xml:space="preserve"> J.E, Bayoh N, Seyoum A. and </w:t>
      </w:r>
      <w:proofErr w:type="spellStart"/>
      <w:r w:rsidRPr="007011E0">
        <w:rPr>
          <w:shd w:val="clear" w:color="auto" w:fill="FFFFFF"/>
        </w:rPr>
        <w:t>Sikaala</w:t>
      </w:r>
      <w:proofErr w:type="spellEnd"/>
      <w:r w:rsidRPr="007011E0">
        <w:rPr>
          <w:shd w:val="clear" w:color="auto" w:fill="FFFFFF"/>
        </w:rPr>
        <w:t xml:space="preserve"> C.H, (2015). Applications and limitations of Centers for Disease Control and Prevention miniature light traps for measuring biting densities of African malaria vector populations: a pooled-analysis of 13 comparisons with human landing catches. </w:t>
      </w:r>
      <w:r w:rsidRPr="007011E0">
        <w:rPr>
          <w:i/>
          <w:shd w:val="clear" w:color="auto" w:fill="FFFFFF"/>
        </w:rPr>
        <w:t>Malar J</w:t>
      </w:r>
      <w:r w:rsidRPr="007011E0">
        <w:rPr>
          <w:shd w:val="clear" w:color="auto" w:fill="FFFFFF"/>
        </w:rPr>
        <w:t>. 14:247.</w:t>
      </w:r>
      <w:r w:rsidR="007011E0" w:rsidRPr="007011E0">
        <w:t xml:space="preserve"> </w:t>
      </w:r>
      <w:hyperlink r:id="rId13" w:history="1">
        <w:r w:rsidR="007011E0" w:rsidRPr="007011E0">
          <w:rPr>
            <w:rStyle w:val="Hyperlink"/>
            <w:rFonts w:cstheme="minorHAnsi"/>
            <w:shd w:val="clear" w:color="auto" w:fill="FFFFFF"/>
          </w:rPr>
          <w:t>https://doi.org/10.1186/s12936-015-0761-9</w:t>
        </w:r>
      </w:hyperlink>
    </w:p>
    <w:p w14:paraId="24C66FE6" w14:textId="77777777" w:rsidR="007011E0" w:rsidRDefault="00E87EFB" w:rsidP="007011E0">
      <w:pPr>
        <w:pStyle w:val="NormalWeb"/>
        <w:numPr>
          <w:ilvl w:val="0"/>
          <w:numId w:val="12"/>
        </w:numPr>
        <w:spacing w:before="0" w:beforeAutospacing="0" w:after="120" w:afterAutospacing="0"/>
        <w:jc w:val="both"/>
      </w:pPr>
      <w:r w:rsidRPr="007011E0">
        <w:rPr>
          <w:rFonts w:eastAsia="Calibri"/>
        </w:rPr>
        <w:lastRenderedPageBreak/>
        <w:t xml:space="preserve">Chaves, L.F., G.L. Hamer, E.D. Walker, W.M. Brown, M.O. Ruiz, and U.D. Kitron. (2011). Climatic variability and landscape heterogeneity impact urban mosquito diversity and vector abundance and infection. </w:t>
      </w:r>
      <w:r w:rsidRPr="007011E0">
        <w:rPr>
          <w:rFonts w:eastAsia="Calibri"/>
          <w:i/>
        </w:rPr>
        <w:t>Ecosphere</w:t>
      </w:r>
      <w:r w:rsidRPr="007011E0">
        <w:rPr>
          <w:rFonts w:eastAsia="Calibri"/>
        </w:rPr>
        <w:t xml:space="preserve"> 2: 1–21.</w:t>
      </w:r>
      <w:r w:rsidRPr="007011E0">
        <w:t xml:space="preserve"> </w:t>
      </w:r>
      <w:hyperlink r:id="rId14" w:history="1">
        <w:r w:rsidR="007011E0" w:rsidRPr="007011E0">
          <w:rPr>
            <w:rStyle w:val="Hyperlink"/>
            <w:rFonts w:eastAsia="Calibri" w:cstheme="minorHAnsi"/>
          </w:rPr>
          <w:t>https://doi.org/10.1890/ES11-00088.1</w:t>
        </w:r>
      </w:hyperlink>
    </w:p>
    <w:p w14:paraId="09C7233A" w14:textId="77777777" w:rsidR="007011E0" w:rsidRDefault="00E87EFB" w:rsidP="007011E0">
      <w:pPr>
        <w:pStyle w:val="NormalWeb"/>
        <w:numPr>
          <w:ilvl w:val="0"/>
          <w:numId w:val="12"/>
        </w:numPr>
        <w:spacing w:before="0" w:beforeAutospacing="0" w:after="120" w:afterAutospacing="0"/>
        <w:jc w:val="both"/>
      </w:pPr>
      <w:r w:rsidRPr="007011E0">
        <w:t xml:space="preserve">Cochran, R. and Williams, I. (2013). Incidence of malaria among various rural socio- economic households. </w:t>
      </w:r>
      <w:r w:rsidRPr="007011E0">
        <w:rPr>
          <w:i/>
        </w:rPr>
        <w:t>European Journal of Medical Sciences</w:t>
      </w:r>
      <w:r w:rsidRPr="007011E0">
        <w:t>, 11: 24 – 34.</w:t>
      </w:r>
    </w:p>
    <w:p w14:paraId="09086F67" w14:textId="77777777" w:rsidR="007011E0" w:rsidRDefault="00E87EFB" w:rsidP="007011E0">
      <w:pPr>
        <w:pStyle w:val="NormalWeb"/>
        <w:numPr>
          <w:ilvl w:val="0"/>
          <w:numId w:val="12"/>
        </w:numPr>
        <w:spacing w:before="0" w:beforeAutospacing="0" w:after="120" w:afterAutospacing="0"/>
        <w:jc w:val="both"/>
      </w:pPr>
      <w:r w:rsidRPr="00E87EFB">
        <w:t xml:space="preserve">Coetzee, M., Hunt, R.H., Wilkerson, R., della Torre, A., Coulibaly, M.B., &amp; Besansky, N.J. (2013). </w:t>
      </w:r>
      <w:r w:rsidRPr="00E87EFB">
        <w:rPr>
          <w:rStyle w:val="Emphasis"/>
        </w:rPr>
        <w:t xml:space="preserve">Anopheles </w:t>
      </w:r>
      <w:proofErr w:type="spellStart"/>
      <w:r w:rsidRPr="00E87EFB">
        <w:rPr>
          <w:rStyle w:val="Emphasis"/>
        </w:rPr>
        <w:t>coluzzii</w:t>
      </w:r>
      <w:proofErr w:type="spellEnd"/>
      <w:r w:rsidRPr="00E87EFB">
        <w:t xml:space="preserve"> and </w:t>
      </w:r>
      <w:r w:rsidRPr="00E87EFB">
        <w:rPr>
          <w:rStyle w:val="Emphasis"/>
        </w:rPr>
        <w:t xml:space="preserve">Anopheles </w:t>
      </w:r>
      <w:proofErr w:type="spellStart"/>
      <w:r w:rsidRPr="00E87EFB">
        <w:rPr>
          <w:rStyle w:val="Emphasis"/>
        </w:rPr>
        <w:t>amharicus</w:t>
      </w:r>
      <w:proofErr w:type="spellEnd"/>
      <w:r w:rsidRPr="00E87EFB">
        <w:t xml:space="preserve">, new members of the </w:t>
      </w:r>
      <w:r w:rsidRPr="00E87EFB">
        <w:rPr>
          <w:rStyle w:val="Emphasis"/>
        </w:rPr>
        <w:t>Anopheles gambiae</w:t>
      </w:r>
      <w:r w:rsidRPr="00E87EFB">
        <w:t xml:space="preserve"> complex. </w:t>
      </w:r>
      <w:proofErr w:type="spellStart"/>
      <w:r w:rsidRPr="00E87EFB">
        <w:rPr>
          <w:rStyle w:val="Emphasis"/>
        </w:rPr>
        <w:t>Zootaxa</w:t>
      </w:r>
      <w:proofErr w:type="spellEnd"/>
      <w:r w:rsidRPr="00E87EFB">
        <w:t>, 3619, 246–274.</w:t>
      </w:r>
      <w:r w:rsidR="007011E0" w:rsidRPr="007011E0">
        <w:t xml:space="preserve"> </w:t>
      </w:r>
      <w:hyperlink r:id="rId15" w:history="1">
        <w:r w:rsidR="007011E0" w:rsidRPr="007011E0">
          <w:rPr>
            <w:rStyle w:val="Hyperlink"/>
            <w:rFonts w:cstheme="minorHAnsi"/>
            <w:lang w:val="en-GB"/>
          </w:rPr>
          <w:t>https://doi.org/10.11646/zootaxa.3619.3.2</w:t>
        </w:r>
      </w:hyperlink>
    </w:p>
    <w:p w14:paraId="725D0657" w14:textId="77777777" w:rsidR="007011E0" w:rsidRDefault="00E87EFB" w:rsidP="007011E0">
      <w:pPr>
        <w:pStyle w:val="NormalWeb"/>
        <w:numPr>
          <w:ilvl w:val="0"/>
          <w:numId w:val="12"/>
        </w:numPr>
        <w:spacing w:before="0" w:beforeAutospacing="0" w:after="120" w:afterAutospacing="0"/>
        <w:jc w:val="both"/>
      </w:pPr>
      <w:r w:rsidRPr="007011E0">
        <w:rPr>
          <w:rFonts w:eastAsia="Calibri"/>
        </w:rPr>
        <w:t xml:space="preserve">Cornel, A.J., Y. Lee, A.P.G. Almeida, T. Johnson, J. </w:t>
      </w:r>
      <w:proofErr w:type="spellStart"/>
      <w:r w:rsidRPr="007011E0">
        <w:rPr>
          <w:rFonts w:eastAsia="Calibri"/>
        </w:rPr>
        <w:t>Mouatcho</w:t>
      </w:r>
      <w:proofErr w:type="spellEnd"/>
      <w:r w:rsidRPr="007011E0">
        <w:rPr>
          <w:rFonts w:eastAsia="Calibri"/>
        </w:rPr>
        <w:t xml:space="preserve">, M. Venter, C. De Jager, </w:t>
      </w:r>
      <w:proofErr w:type="gramStart"/>
      <w:r w:rsidRPr="007011E0">
        <w:rPr>
          <w:rFonts w:eastAsia="Calibri"/>
        </w:rPr>
        <w:t>and  Braack</w:t>
      </w:r>
      <w:proofErr w:type="gramEnd"/>
      <w:r w:rsidRPr="007011E0">
        <w:rPr>
          <w:rFonts w:eastAsia="Calibri"/>
        </w:rPr>
        <w:t xml:space="preserve">, L. (2018). Mosquito community composition in South Africa and some neighboring countries. </w:t>
      </w:r>
      <w:proofErr w:type="spellStart"/>
      <w:r w:rsidRPr="007011E0">
        <w:rPr>
          <w:rFonts w:eastAsia="Calibri"/>
          <w:i/>
        </w:rPr>
        <w:t>Parasit</w:t>
      </w:r>
      <w:proofErr w:type="spellEnd"/>
      <w:r w:rsidRPr="007011E0">
        <w:rPr>
          <w:rFonts w:eastAsia="Calibri"/>
          <w:i/>
        </w:rPr>
        <w:t>. Vectors</w:t>
      </w:r>
      <w:r w:rsidRPr="007011E0">
        <w:rPr>
          <w:rFonts w:eastAsia="Calibri"/>
        </w:rPr>
        <w:t xml:space="preserve"> 11: 331.</w:t>
      </w:r>
      <w:r w:rsidR="007011E0" w:rsidRPr="007011E0">
        <w:t xml:space="preserve"> </w:t>
      </w:r>
      <w:hyperlink r:id="rId16" w:history="1">
        <w:r w:rsidR="007011E0" w:rsidRPr="007011E0">
          <w:rPr>
            <w:rStyle w:val="Hyperlink"/>
            <w:rFonts w:eastAsia="Calibri" w:cstheme="minorHAnsi"/>
          </w:rPr>
          <w:t>https://doi.org/10.1186/s13071-018-2824-6</w:t>
        </w:r>
      </w:hyperlink>
    </w:p>
    <w:p w14:paraId="67AABC18" w14:textId="77777777" w:rsidR="007011E0" w:rsidRDefault="00E87EFB" w:rsidP="007011E0">
      <w:pPr>
        <w:pStyle w:val="NormalWeb"/>
        <w:numPr>
          <w:ilvl w:val="0"/>
          <w:numId w:val="12"/>
        </w:numPr>
        <w:spacing w:before="0" w:beforeAutospacing="0" w:after="120" w:afterAutospacing="0"/>
        <w:jc w:val="both"/>
      </w:pPr>
      <w:r w:rsidRPr="00E87EFB">
        <w:t xml:space="preserve">Curtis, C.F., Jana-Kara, B., &amp; Maxwell, C.A. (2003). Insecticide-treated nets: Impact on vector populations and relevance of initial transmission intensity and pyrethroid resistance. </w:t>
      </w:r>
      <w:r w:rsidRPr="00E87EFB">
        <w:rPr>
          <w:rStyle w:val="Emphasis"/>
        </w:rPr>
        <w:t>Journal of Vector Borne Diseases</w:t>
      </w:r>
      <w:r w:rsidRPr="00E87EFB">
        <w:t>, 40, 1–8.</w:t>
      </w:r>
    </w:p>
    <w:p w14:paraId="6F9CA8FB" w14:textId="77777777" w:rsidR="007011E0" w:rsidRDefault="00E87EFB" w:rsidP="007011E0">
      <w:pPr>
        <w:pStyle w:val="NormalWeb"/>
        <w:numPr>
          <w:ilvl w:val="0"/>
          <w:numId w:val="12"/>
        </w:numPr>
        <w:spacing w:before="0" w:beforeAutospacing="0" w:after="120" w:afterAutospacing="0"/>
        <w:jc w:val="both"/>
      </w:pPr>
      <w:r w:rsidRPr="007011E0">
        <w:t xml:space="preserve">Ebenezer, A., </w:t>
      </w:r>
      <w:proofErr w:type="spellStart"/>
      <w:r w:rsidRPr="007011E0">
        <w:t>Noutcha</w:t>
      </w:r>
      <w:proofErr w:type="spellEnd"/>
      <w:r w:rsidRPr="007011E0">
        <w:t>, A.M.E. and Thomas, C (2014). Spatial distribution of the sibling species of Anopheles gambiae sensu lato (Diptera: Culicidae) and malaria prevalence in Bayelsa State, Nigeria</w:t>
      </w:r>
      <w:hyperlink r:id="rId17" w:history="1">
        <w:r w:rsidR="007011E0" w:rsidRPr="007011E0">
          <w:rPr>
            <w:rStyle w:val="Hyperlink"/>
            <w:rFonts w:cstheme="minorHAnsi"/>
          </w:rPr>
          <w:t>https://doi.org/10.1186/1756-3305-7-32</w:t>
        </w:r>
      </w:hyperlink>
    </w:p>
    <w:p w14:paraId="463B007B" w14:textId="77777777" w:rsidR="007011E0" w:rsidRDefault="00E87EFB" w:rsidP="007011E0">
      <w:pPr>
        <w:pStyle w:val="NormalWeb"/>
        <w:numPr>
          <w:ilvl w:val="0"/>
          <w:numId w:val="12"/>
        </w:numPr>
        <w:spacing w:before="0" w:beforeAutospacing="0" w:after="120" w:afterAutospacing="0"/>
        <w:jc w:val="both"/>
      </w:pPr>
      <w:r w:rsidRPr="00E87EFB">
        <w:t xml:space="preserve">Edelu, B.O., </w:t>
      </w:r>
      <w:proofErr w:type="spellStart"/>
      <w:r w:rsidRPr="00E87EFB">
        <w:t>Ikefuna</w:t>
      </w:r>
      <w:proofErr w:type="spellEnd"/>
      <w:r w:rsidRPr="00E87EFB">
        <w:t xml:space="preserve">, A.N., </w:t>
      </w:r>
      <w:proofErr w:type="spellStart"/>
      <w:r w:rsidRPr="00E87EFB">
        <w:t>Emodi</w:t>
      </w:r>
      <w:proofErr w:type="spellEnd"/>
      <w:r w:rsidRPr="00E87EFB">
        <w:t xml:space="preserve">, J.I., &amp; </w:t>
      </w:r>
      <w:proofErr w:type="spellStart"/>
      <w:r w:rsidRPr="00E87EFB">
        <w:t>Adimora</w:t>
      </w:r>
      <w:proofErr w:type="spellEnd"/>
      <w:r w:rsidRPr="00E87EFB">
        <w:t xml:space="preserve">, G.N. (2010). Awareness and use of insecticide-treated bed nets among children attending outpatient clinic at UNTH, Enugu. </w:t>
      </w:r>
      <w:r w:rsidRPr="00E87EFB">
        <w:rPr>
          <w:rStyle w:val="Emphasis"/>
        </w:rPr>
        <w:t>African Health Sciences</w:t>
      </w:r>
      <w:r w:rsidRPr="00E87EFB">
        <w:t>, 10(2), 117–119.</w:t>
      </w:r>
      <w:r w:rsidR="007011E0" w:rsidRPr="007011E0">
        <w:t xml:space="preserve"> </w:t>
      </w:r>
      <w:hyperlink r:id="rId18" w:history="1">
        <w:r w:rsidR="007011E0" w:rsidRPr="007011E0">
          <w:rPr>
            <w:rStyle w:val="Hyperlink"/>
            <w:rFonts w:eastAsia="Calibri" w:cstheme="minorHAnsi"/>
          </w:rPr>
          <w:t>https://doi.org/10.4314/AHS.V10I2.60053</w:t>
        </w:r>
      </w:hyperlink>
    </w:p>
    <w:p w14:paraId="5799D640" w14:textId="77777777" w:rsidR="007011E0" w:rsidRDefault="00E87EFB" w:rsidP="007011E0">
      <w:pPr>
        <w:pStyle w:val="NormalWeb"/>
        <w:numPr>
          <w:ilvl w:val="0"/>
          <w:numId w:val="12"/>
        </w:numPr>
        <w:spacing w:before="0" w:beforeAutospacing="0" w:after="120" w:afterAutospacing="0"/>
        <w:jc w:val="both"/>
      </w:pPr>
      <w:proofErr w:type="spellStart"/>
      <w:r w:rsidRPr="007011E0">
        <w:t>Ibor</w:t>
      </w:r>
      <w:proofErr w:type="spellEnd"/>
      <w:r w:rsidRPr="007011E0">
        <w:t xml:space="preserve">, U. W, </w:t>
      </w:r>
      <w:proofErr w:type="spellStart"/>
      <w:r w:rsidRPr="007011E0">
        <w:t>Aigbe</w:t>
      </w:r>
      <w:proofErr w:type="spellEnd"/>
      <w:r w:rsidRPr="007011E0">
        <w:t xml:space="preserve">, G. O, </w:t>
      </w:r>
      <w:proofErr w:type="spellStart"/>
      <w:r w:rsidRPr="007011E0">
        <w:t>Iwara</w:t>
      </w:r>
      <w:proofErr w:type="spellEnd"/>
      <w:r w:rsidRPr="007011E0">
        <w:t xml:space="preserve">, A. I, </w:t>
      </w:r>
      <w:proofErr w:type="spellStart"/>
      <w:r w:rsidRPr="007011E0">
        <w:t>Okongor</w:t>
      </w:r>
      <w:proofErr w:type="spellEnd"/>
      <w:r w:rsidRPr="007011E0">
        <w:t xml:space="preserve">, O.E and I. I. Okino (2012). Ownership and Utilization of Insecticide of Nets in Cross River State, Nigeria. </w:t>
      </w:r>
      <w:r w:rsidRPr="007011E0">
        <w:rPr>
          <w:i/>
        </w:rPr>
        <w:t>Journal of Medical Science,</w:t>
      </w:r>
      <w:r w:rsidRPr="007011E0">
        <w:t xml:space="preserve"> DOI: 10: PP. 1-9.</w:t>
      </w:r>
      <w:r w:rsidR="007011E0" w:rsidRPr="007011E0">
        <w:t xml:space="preserve"> </w:t>
      </w:r>
      <w:hyperlink r:id="rId19" w:history="1">
        <w:r w:rsidR="007011E0" w:rsidRPr="007011E0">
          <w:rPr>
            <w:rStyle w:val="Hyperlink"/>
            <w:rFonts w:cstheme="minorHAnsi"/>
          </w:rPr>
          <w:t>https://doi.org/10.3923/jms.2012.198.206</w:t>
        </w:r>
      </w:hyperlink>
    </w:p>
    <w:p w14:paraId="3F9CC228" w14:textId="77777777" w:rsidR="007011E0" w:rsidRDefault="00E87EFB" w:rsidP="007011E0">
      <w:pPr>
        <w:pStyle w:val="NormalWeb"/>
        <w:numPr>
          <w:ilvl w:val="0"/>
          <w:numId w:val="12"/>
        </w:numPr>
        <w:spacing w:before="0" w:beforeAutospacing="0" w:after="120" w:afterAutospacing="0"/>
        <w:jc w:val="both"/>
      </w:pPr>
      <w:r w:rsidRPr="00E87EFB">
        <w:t xml:space="preserve">Isah, A.Y., &amp; Nwobodo, E.I. (2009). Awareness and utilization of insecticide-treated mosquito nets among pregnant mothers in north-western Nigeria. </w:t>
      </w:r>
      <w:r w:rsidRPr="00E87EFB">
        <w:rPr>
          <w:rStyle w:val="Emphasis"/>
        </w:rPr>
        <w:t>Nigerian Journal of Medicine</w:t>
      </w:r>
      <w:r w:rsidRPr="00E87EFB">
        <w:t>, 18(2), 175–178.</w:t>
      </w:r>
      <w:r w:rsidR="007011E0" w:rsidRPr="007011E0">
        <w:t xml:space="preserve"> </w:t>
      </w:r>
      <w:hyperlink r:id="rId20" w:history="1">
        <w:r w:rsidR="007011E0" w:rsidRPr="007011E0">
          <w:rPr>
            <w:rStyle w:val="Hyperlink"/>
            <w:rFonts w:eastAsia="Calibri" w:cstheme="minorHAnsi"/>
          </w:rPr>
          <w:t>https://doi.org/10.4314/njm.v18i2.45059</w:t>
        </w:r>
      </w:hyperlink>
    </w:p>
    <w:p w14:paraId="56A5F1A6" w14:textId="77777777" w:rsidR="007011E0" w:rsidRPr="007011E0" w:rsidRDefault="00E87EFB" w:rsidP="007011E0">
      <w:pPr>
        <w:pStyle w:val="NormalWeb"/>
        <w:numPr>
          <w:ilvl w:val="0"/>
          <w:numId w:val="12"/>
        </w:numPr>
        <w:spacing w:before="0" w:beforeAutospacing="0" w:after="120" w:afterAutospacing="0"/>
        <w:jc w:val="both"/>
      </w:pPr>
      <w:r w:rsidRPr="007011E0">
        <w:rPr>
          <w:rFonts w:eastAsia="Calibri"/>
        </w:rPr>
        <w:t xml:space="preserve">Jiang, S., Xiao, B, and Wu, C (2007). The result of analysis and surveillance on the relevant factors affecting malaria prevalence before the three Gorge Dam construction. </w:t>
      </w:r>
      <w:r w:rsidRPr="007011E0">
        <w:rPr>
          <w:rFonts w:eastAsia="Calibri"/>
          <w:i/>
        </w:rPr>
        <w:t xml:space="preserve">Journal of Tropical Disease and Parasitology </w:t>
      </w:r>
      <w:r w:rsidRPr="007011E0">
        <w:rPr>
          <w:rFonts w:eastAsia="Calibri"/>
        </w:rPr>
        <w:t>5:73-78</w:t>
      </w:r>
    </w:p>
    <w:p w14:paraId="3E41A9F8" w14:textId="77777777" w:rsidR="007011E0" w:rsidRDefault="00E87EFB" w:rsidP="007011E0">
      <w:pPr>
        <w:pStyle w:val="NormalWeb"/>
        <w:numPr>
          <w:ilvl w:val="0"/>
          <w:numId w:val="12"/>
        </w:numPr>
        <w:spacing w:before="0" w:beforeAutospacing="0" w:after="120" w:afterAutospacing="0"/>
        <w:jc w:val="both"/>
      </w:pPr>
      <w:r w:rsidRPr="007011E0">
        <w:rPr>
          <w:lang w:val="nl-BE"/>
        </w:rPr>
        <w:t xml:space="preserve">Keana, O., Balkew, M., Tekie, H., Gebre-Michael, T., Deressa, W., Loha, E., Lindtjørn, B., &amp; Overgaard, H.J. (2016). </w:t>
      </w:r>
      <w:r w:rsidRPr="007011E0">
        <w:t xml:space="preserve">Human biting activities of </w:t>
      </w:r>
      <w:r w:rsidRPr="007011E0">
        <w:rPr>
          <w:i/>
          <w:iCs/>
        </w:rPr>
        <w:t>Anopheles</w:t>
      </w:r>
      <w:r w:rsidRPr="007011E0">
        <w:t xml:space="preserve"> species in south-central Ethiopia. </w:t>
      </w:r>
      <w:r w:rsidRPr="007011E0">
        <w:rPr>
          <w:i/>
          <w:iCs/>
        </w:rPr>
        <w:t>Parasites &amp; Vectors</w:t>
      </w:r>
      <w:r w:rsidRPr="007011E0">
        <w:t>, 9(1), 527</w:t>
      </w:r>
      <w:proofErr w:type="gramStart"/>
      <w:r w:rsidRPr="007011E0">
        <w:t>.</w:t>
      </w:r>
      <w:r w:rsidR="007011E0" w:rsidRPr="007011E0">
        <w:rPr>
          <w:rFonts w:eastAsia="Calibri" w:cstheme="minorHAnsi"/>
        </w:rPr>
        <w:t xml:space="preserve"> </w:t>
      </w:r>
      <w:r w:rsidR="007011E0" w:rsidRPr="007011E0">
        <w:rPr>
          <w:rFonts w:eastAsia="Calibri" w:cstheme="minorHAnsi"/>
        </w:rPr>
        <w:t>.</w:t>
      </w:r>
      <w:proofErr w:type="gramEnd"/>
      <w:r w:rsidR="007011E0" w:rsidRPr="007011E0">
        <w:rPr>
          <w:rFonts w:eastAsia="Calibri" w:cstheme="minorHAnsi"/>
        </w:rPr>
        <w:t xml:space="preserve"> </w:t>
      </w:r>
      <w:hyperlink r:id="rId21" w:history="1">
        <w:r w:rsidR="007011E0" w:rsidRPr="007011E0">
          <w:rPr>
            <w:rStyle w:val="Hyperlink"/>
            <w:rFonts w:eastAsia="Calibri" w:cstheme="minorHAnsi"/>
          </w:rPr>
          <w:t>https://doi.org/10.1186/s13071-016-1813-x</w:t>
        </w:r>
      </w:hyperlink>
    </w:p>
    <w:p w14:paraId="5261F4FB" w14:textId="77777777" w:rsidR="007011E0" w:rsidRDefault="00E87EFB" w:rsidP="007011E0">
      <w:pPr>
        <w:pStyle w:val="NormalWeb"/>
        <w:numPr>
          <w:ilvl w:val="0"/>
          <w:numId w:val="12"/>
        </w:numPr>
        <w:spacing w:before="0" w:beforeAutospacing="0" w:after="120" w:afterAutospacing="0"/>
        <w:jc w:val="both"/>
      </w:pPr>
      <w:r w:rsidRPr="007011E0">
        <w:t xml:space="preserve">Kessler, S., &amp; Guérin, P.M. (2008). Responses of </w:t>
      </w:r>
      <w:r w:rsidRPr="007011E0">
        <w:rPr>
          <w:i/>
          <w:iCs/>
        </w:rPr>
        <w:t>Anopheles gambiae</w:t>
      </w:r>
      <w:r w:rsidRPr="007011E0">
        <w:t xml:space="preserve"> sensu stricto mosquitoes to host odors in a wind tunnel. </w:t>
      </w:r>
      <w:r w:rsidRPr="007011E0">
        <w:rPr>
          <w:i/>
          <w:iCs/>
        </w:rPr>
        <w:t>Journal of Chemical Ecology</w:t>
      </w:r>
      <w:r w:rsidRPr="007011E0">
        <w:t xml:space="preserve">, 34, 119–126. </w:t>
      </w:r>
    </w:p>
    <w:p w14:paraId="7BA1FDEB" w14:textId="77777777" w:rsidR="007011E0" w:rsidRDefault="00E87EFB" w:rsidP="007011E0">
      <w:pPr>
        <w:pStyle w:val="NormalWeb"/>
        <w:numPr>
          <w:ilvl w:val="0"/>
          <w:numId w:val="12"/>
        </w:numPr>
        <w:spacing w:before="0" w:beforeAutospacing="0" w:after="120" w:afterAutospacing="0"/>
        <w:jc w:val="both"/>
      </w:pPr>
      <w:proofErr w:type="spellStart"/>
      <w:r w:rsidRPr="007011E0">
        <w:t>Kigadye</w:t>
      </w:r>
      <w:proofErr w:type="spellEnd"/>
      <w:r w:rsidRPr="007011E0">
        <w:t xml:space="preserve">, E.S.P; </w:t>
      </w:r>
      <w:proofErr w:type="spellStart"/>
      <w:r w:rsidRPr="007011E0">
        <w:t>Nkwengulila</w:t>
      </w:r>
      <w:proofErr w:type="spellEnd"/>
      <w:r w:rsidRPr="007011E0">
        <w:t xml:space="preserve">, G; </w:t>
      </w:r>
      <w:proofErr w:type="spellStart"/>
      <w:r w:rsidRPr="007011E0">
        <w:t>Magesa</w:t>
      </w:r>
      <w:proofErr w:type="spellEnd"/>
      <w:r w:rsidRPr="007011E0">
        <w:t xml:space="preserve">, S.M. and Abdulla, S. (2010). Diversity, Spatial and </w:t>
      </w:r>
      <w:r w:rsidRPr="007011E0">
        <w:tab/>
        <w:t xml:space="preserve">temporal abundance of </w:t>
      </w:r>
      <w:r w:rsidRPr="007011E0">
        <w:rPr>
          <w:i/>
        </w:rPr>
        <w:t>Anopheles gambiae</w:t>
      </w:r>
      <w:r w:rsidRPr="007011E0">
        <w:t xml:space="preserve"> </w:t>
      </w:r>
      <w:r w:rsidRPr="007011E0">
        <w:tab/>
        <w:t xml:space="preserve">complex in the Rufiji River basin, South </w:t>
      </w:r>
      <w:r w:rsidRPr="007011E0">
        <w:tab/>
        <w:t xml:space="preserve">eastern Tanzania. </w:t>
      </w:r>
      <w:r w:rsidRPr="007011E0">
        <w:rPr>
          <w:i/>
        </w:rPr>
        <w:t xml:space="preserve">Tanzania. J. </w:t>
      </w:r>
      <w:proofErr w:type="spellStart"/>
      <w:r w:rsidRPr="007011E0">
        <w:rPr>
          <w:i/>
        </w:rPr>
        <w:t>Hlth</w:t>
      </w:r>
      <w:proofErr w:type="spellEnd"/>
      <w:r w:rsidRPr="007011E0">
        <w:rPr>
          <w:i/>
        </w:rPr>
        <w:t xml:space="preserve"> Research.</w:t>
      </w:r>
      <w:r w:rsidRPr="007011E0">
        <w:t xml:space="preserve"> (12(1): 1 – 6.</w:t>
      </w:r>
      <w:r w:rsidR="007011E0" w:rsidRPr="007011E0">
        <w:t xml:space="preserve"> </w:t>
      </w:r>
      <w:hyperlink r:id="rId22" w:history="1">
        <w:r w:rsidR="007011E0" w:rsidRPr="007011E0">
          <w:rPr>
            <w:rStyle w:val="Hyperlink"/>
            <w:rFonts w:cstheme="minorHAnsi"/>
          </w:rPr>
          <w:t>https://doi.org/10.4314/thrb.v12i1.56320</w:t>
        </w:r>
      </w:hyperlink>
    </w:p>
    <w:p w14:paraId="062DCFE9" w14:textId="77777777" w:rsidR="007011E0" w:rsidRDefault="00E87EFB" w:rsidP="007011E0">
      <w:pPr>
        <w:pStyle w:val="NormalWeb"/>
        <w:numPr>
          <w:ilvl w:val="0"/>
          <w:numId w:val="12"/>
        </w:numPr>
        <w:spacing w:before="0" w:beforeAutospacing="0" w:after="120" w:afterAutospacing="0"/>
        <w:jc w:val="both"/>
      </w:pPr>
      <w:r w:rsidRPr="007011E0">
        <w:lastRenderedPageBreak/>
        <w:t xml:space="preserve">Kirby, M.J., &amp; Lindsay, S.W. (2004). Responses of adult mosquitoes of two sibling species, </w:t>
      </w:r>
      <w:r w:rsidRPr="007011E0">
        <w:rPr>
          <w:i/>
          <w:iCs/>
        </w:rPr>
        <w:t xml:space="preserve">Anopheles </w:t>
      </w:r>
      <w:proofErr w:type="spellStart"/>
      <w:r w:rsidRPr="007011E0">
        <w:rPr>
          <w:i/>
          <w:iCs/>
        </w:rPr>
        <w:t>arabiensis</w:t>
      </w:r>
      <w:proofErr w:type="spellEnd"/>
      <w:r w:rsidRPr="007011E0">
        <w:t xml:space="preserve"> and </w:t>
      </w:r>
      <w:r w:rsidRPr="007011E0">
        <w:rPr>
          <w:i/>
          <w:iCs/>
        </w:rPr>
        <w:t>Anopheles gambiae</w:t>
      </w:r>
      <w:r w:rsidRPr="007011E0">
        <w:t xml:space="preserve"> sensu stricto, to indoor and outdoor human hosts in Tanzania. </w:t>
      </w:r>
      <w:r w:rsidRPr="007011E0">
        <w:rPr>
          <w:i/>
          <w:iCs/>
        </w:rPr>
        <w:t>Medical and Veterinary Entomology</w:t>
      </w:r>
      <w:r w:rsidRPr="007011E0">
        <w:t xml:space="preserve">, 18(2), 145–154. </w:t>
      </w:r>
    </w:p>
    <w:p w14:paraId="34221AF3" w14:textId="77777777" w:rsidR="007011E0" w:rsidRDefault="00E87EFB" w:rsidP="007011E0">
      <w:pPr>
        <w:pStyle w:val="NormalWeb"/>
        <w:numPr>
          <w:ilvl w:val="0"/>
          <w:numId w:val="12"/>
        </w:numPr>
        <w:spacing w:before="0" w:beforeAutospacing="0" w:after="120" w:afterAutospacing="0"/>
        <w:jc w:val="both"/>
      </w:pPr>
      <w:r w:rsidRPr="00E87EFB">
        <w:t xml:space="preserve">Krech, R. (2013). </w:t>
      </w:r>
      <w:r w:rsidRPr="00E87EFB">
        <w:rPr>
          <w:rStyle w:val="Emphasis"/>
        </w:rPr>
        <w:t>Social determinants of malaria: Does equity matter?</w:t>
      </w:r>
      <w:r w:rsidRPr="00E87EFB">
        <w:t xml:space="preserve"> Geneva: World Health Organization.</w:t>
      </w:r>
      <w:r w:rsidR="007011E0" w:rsidRPr="007011E0">
        <w:t xml:space="preserve"> </w:t>
      </w:r>
      <w:hyperlink r:id="rId23" w:history="1">
        <w:r w:rsidR="007011E0" w:rsidRPr="007011E0">
          <w:rPr>
            <w:rStyle w:val="Hyperlink"/>
            <w:rFonts w:eastAsia="Calibri" w:cstheme="minorHAnsi"/>
          </w:rPr>
          <w:t>http://www.rollbackmalaria.org/files/files/about/MultisectoralApproach/Plenary-WHO-Social-Determinants.pdf</w:t>
        </w:r>
      </w:hyperlink>
    </w:p>
    <w:p w14:paraId="6AAD92E9" w14:textId="77777777" w:rsidR="007011E0" w:rsidRDefault="00E87EFB" w:rsidP="007011E0">
      <w:pPr>
        <w:pStyle w:val="NormalWeb"/>
        <w:numPr>
          <w:ilvl w:val="0"/>
          <w:numId w:val="12"/>
        </w:numPr>
        <w:spacing w:before="0" w:beforeAutospacing="0" w:after="120" w:afterAutospacing="0"/>
        <w:jc w:val="both"/>
      </w:pPr>
      <w:r w:rsidRPr="007011E0">
        <w:t xml:space="preserve">Leonard, K., </w:t>
      </w:r>
      <w:proofErr w:type="spellStart"/>
      <w:r w:rsidRPr="007011E0">
        <w:t>Massue</w:t>
      </w:r>
      <w:proofErr w:type="spellEnd"/>
      <w:r w:rsidRPr="007011E0">
        <w:t xml:space="preserve">, D.J., Tenu, F., </w:t>
      </w:r>
      <w:proofErr w:type="spellStart"/>
      <w:r w:rsidRPr="007011E0">
        <w:t>Magesa</w:t>
      </w:r>
      <w:proofErr w:type="spellEnd"/>
      <w:r w:rsidRPr="007011E0">
        <w:t xml:space="preserve">, S.M., &amp; </w:t>
      </w:r>
      <w:proofErr w:type="spellStart"/>
      <w:r w:rsidRPr="007011E0">
        <w:t>Kisinza</w:t>
      </w:r>
      <w:proofErr w:type="spellEnd"/>
      <w:r w:rsidRPr="007011E0">
        <w:t xml:space="preserve">, W.N. (2010). Human biting rates and spatial distribution of malaria vectors in rural and peri-urban areas of Tanzania. </w:t>
      </w:r>
      <w:r w:rsidRPr="007011E0">
        <w:rPr>
          <w:i/>
          <w:iCs/>
        </w:rPr>
        <w:t>Parasites &amp; Vectors</w:t>
      </w:r>
      <w:r w:rsidRPr="007011E0">
        <w:t>, 3, 102.</w:t>
      </w:r>
    </w:p>
    <w:p w14:paraId="31567D50" w14:textId="77777777" w:rsidR="007011E0" w:rsidRDefault="00E87EFB" w:rsidP="007011E0">
      <w:pPr>
        <w:pStyle w:val="NormalWeb"/>
        <w:numPr>
          <w:ilvl w:val="0"/>
          <w:numId w:val="12"/>
        </w:numPr>
        <w:spacing w:before="0" w:beforeAutospacing="0" w:after="120" w:afterAutospacing="0"/>
        <w:jc w:val="both"/>
      </w:pPr>
      <w:proofErr w:type="spellStart"/>
      <w:r w:rsidRPr="00E87EFB">
        <w:t>Magbity</w:t>
      </w:r>
      <w:proofErr w:type="spellEnd"/>
      <w:r w:rsidRPr="00E87EFB">
        <w:t xml:space="preserve">, E.B., Lines, J.D., Marbiah, M.T., David, K., &amp; Peterson, E. (2002). Reliability of light traps in estimating biting rates of </w:t>
      </w:r>
      <w:r w:rsidRPr="00E87EFB">
        <w:rPr>
          <w:rStyle w:val="Emphasis"/>
        </w:rPr>
        <w:t>Anopheles gambiae</w:t>
      </w:r>
      <w:r w:rsidRPr="00E87EFB">
        <w:t xml:space="preserve"> in the presence of treated bed nets. </w:t>
      </w:r>
      <w:r w:rsidRPr="00E87EFB">
        <w:rPr>
          <w:rStyle w:val="Emphasis"/>
        </w:rPr>
        <w:t>Bulletin of Entomological Research</w:t>
      </w:r>
      <w:r w:rsidRPr="00E87EFB">
        <w:t>, 92, 71–76.</w:t>
      </w:r>
      <w:r w:rsidR="007011E0" w:rsidRPr="007011E0">
        <w:t xml:space="preserve"> </w:t>
      </w:r>
      <w:hyperlink r:id="rId24" w:history="1">
        <w:r w:rsidR="007011E0" w:rsidRPr="007011E0">
          <w:rPr>
            <w:rStyle w:val="Hyperlink"/>
            <w:rFonts w:cstheme="minorHAnsi"/>
            <w:shd w:val="clear" w:color="auto" w:fill="FFFFFF"/>
          </w:rPr>
          <w:t>https://doi.org/10.1079/BER2001131</w:t>
        </w:r>
      </w:hyperlink>
    </w:p>
    <w:p w14:paraId="7A0DA7A4" w14:textId="77777777" w:rsidR="007011E0" w:rsidRDefault="00E87EFB" w:rsidP="007011E0">
      <w:pPr>
        <w:pStyle w:val="NormalWeb"/>
        <w:numPr>
          <w:ilvl w:val="0"/>
          <w:numId w:val="12"/>
        </w:numPr>
        <w:spacing w:before="0" w:beforeAutospacing="0" w:after="120" w:afterAutospacing="0"/>
        <w:jc w:val="both"/>
      </w:pPr>
      <w:r w:rsidRPr="00E87EFB">
        <w:t xml:space="preserve">Margaret, H. (2001). </w:t>
      </w:r>
      <w:r w:rsidRPr="00E87EFB">
        <w:rPr>
          <w:rStyle w:val="Emphasis"/>
        </w:rPr>
        <w:t>Malaria: Poverty, race, and public health in the United States</w:t>
      </w:r>
      <w:r w:rsidRPr="00E87EFB">
        <w:t xml:space="preserve">. </w:t>
      </w:r>
      <w:r w:rsidRPr="00E87EFB">
        <w:rPr>
          <w:rStyle w:val="Emphasis"/>
        </w:rPr>
        <w:t>American Journal of Public Health</w:t>
      </w:r>
      <w:r w:rsidRPr="00E87EFB">
        <w:t>, 94(2), 196.</w:t>
      </w:r>
    </w:p>
    <w:p w14:paraId="2D780F77" w14:textId="77777777" w:rsidR="007011E0" w:rsidRDefault="00E87EFB" w:rsidP="007011E0">
      <w:pPr>
        <w:pStyle w:val="NormalWeb"/>
        <w:numPr>
          <w:ilvl w:val="0"/>
          <w:numId w:val="12"/>
        </w:numPr>
        <w:spacing w:before="0" w:beforeAutospacing="0" w:after="120" w:afterAutospacing="0"/>
        <w:jc w:val="both"/>
      </w:pPr>
      <w:r w:rsidRPr="007011E0">
        <w:t xml:space="preserve">Mordecai, E.A., </w:t>
      </w:r>
      <w:proofErr w:type="spellStart"/>
      <w:r w:rsidRPr="007011E0">
        <w:t>Paaijmans</w:t>
      </w:r>
      <w:proofErr w:type="spellEnd"/>
      <w:r w:rsidRPr="007011E0">
        <w:t xml:space="preserve">, K.P., Johnson, L.R., Balzer, C., Ben-Horin, T., de Moor, E., McNally, A., Pawar, S., Ryan, S.J., Smith, T.C., &amp; Lafferty, K.D. (2013). Optimal temperature for malaria transmission is dramatically lower than previously predicted. </w:t>
      </w:r>
      <w:r w:rsidRPr="007011E0">
        <w:rPr>
          <w:i/>
          <w:iCs/>
        </w:rPr>
        <w:t>Ecology Letters</w:t>
      </w:r>
      <w:r w:rsidRPr="007011E0">
        <w:t xml:space="preserve">, 16(1), 22–30. </w:t>
      </w:r>
      <w:hyperlink r:id="rId25" w:history="1">
        <w:r w:rsidR="007011E0" w:rsidRPr="007011E0">
          <w:rPr>
            <w:rStyle w:val="Hyperlink"/>
            <w:rFonts w:cstheme="minorHAnsi"/>
          </w:rPr>
          <w:t>https://doi.org/10.1111/ele.12015</w:t>
        </w:r>
      </w:hyperlink>
    </w:p>
    <w:p w14:paraId="3F171400" w14:textId="77777777" w:rsidR="007011E0" w:rsidRDefault="00E87EFB" w:rsidP="007011E0">
      <w:pPr>
        <w:pStyle w:val="NormalWeb"/>
        <w:numPr>
          <w:ilvl w:val="0"/>
          <w:numId w:val="12"/>
        </w:numPr>
        <w:spacing w:before="0" w:beforeAutospacing="0" w:after="120" w:afterAutospacing="0"/>
        <w:jc w:val="both"/>
      </w:pPr>
      <w:proofErr w:type="spellStart"/>
      <w:r w:rsidRPr="00E87EFB">
        <w:t>Noutcha</w:t>
      </w:r>
      <w:proofErr w:type="spellEnd"/>
      <w:r w:rsidRPr="00E87EFB">
        <w:t xml:space="preserve">, M.A., &amp; </w:t>
      </w:r>
      <w:proofErr w:type="spellStart"/>
      <w:r w:rsidRPr="00E87EFB">
        <w:t>Anumudu</w:t>
      </w:r>
      <w:proofErr w:type="spellEnd"/>
      <w:r w:rsidRPr="00E87EFB">
        <w:t xml:space="preserve">, C.I. (2009). Entomological indices of </w:t>
      </w:r>
      <w:r w:rsidRPr="00E87EFB">
        <w:rPr>
          <w:rStyle w:val="Emphasis"/>
        </w:rPr>
        <w:t>Anopheles gambiae</w:t>
      </w:r>
      <w:r w:rsidRPr="00E87EFB">
        <w:t xml:space="preserve"> sensu lato in a rural community in south-west Nigeria. </w:t>
      </w:r>
      <w:r w:rsidRPr="00E87EFB">
        <w:rPr>
          <w:rStyle w:val="Emphasis"/>
        </w:rPr>
        <w:t>Journal of Vector Borne Diseases</w:t>
      </w:r>
      <w:r w:rsidRPr="00E87EFB">
        <w:t>, 46(1), 43–51.</w:t>
      </w:r>
      <w:r w:rsidR="007011E0" w:rsidRPr="007011E0">
        <w:t xml:space="preserve"> </w:t>
      </w:r>
      <w:hyperlink r:id="rId26" w:history="1">
        <w:r w:rsidR="007011E0" w:rsidRPr="007011E0">
          <w:rPr>
            <w:rStyle w:val="Hyperlink"/>
            <w:rFonts w:eastAsia="Calibri" w:cstheme="minorHAnsi"/>
          </w:rPr>
          <w:t>https://pubmed.ncbi.nlm.nih.gov/19326707/</w:t>
        </w:r>
      </w:hyperlink>
    </w:p>
    <w:p w14:paraId="7AF80F62" w14:textId="77777777" w:rsidR="007011E0" w:rsidRDefault="00E87EFB" w:rsidP="007011E0">
      <w:pPr>
        <w:pStyle w:val="NormalWeb"/>
        <w:numPr>
          <w:ilvl w:val="0"/>
          <w:numId w:val="12"/>
        </w:numPr>
        <w:spacing w:before="0" w:beforeAutospacing="0" w:after="120" w:afterAutospacing="0"/>
        <w:jc w:val="both"/>
      </w:pPr>
      <w:r w:rsidRPr="007011E0">
        <w:t xml:space="preserve">Okiwelu, S.N., </w:t>
      </w:r>
      <w:proofErr w:type="spellStart"/>
      <w:r w:rsidRPr="007011E0">
        <w:t>Noutcha</w:t>
      </w:r>
      <w:proofErr w:type="spellEnd"/>
      <w:r w:rsidRPr="007011E0">
        <w:t xml:space="preserve">, M.A.E. (2012). Breeding sites of Culex </w:t>
      </w:r>
      <w:proofErr w:type="spellStart"/>
      <w:r w:rsidRPr="007011E0">
        <w:t>quinguefasciatus</w:t>
      </w:r>
      <w:proofErr w:type="spellEnd"/>
      <w:r w:rsidRPr="007011E0">
        <w:t xml:space="preserve"> (Say) during the rainy season in rural Lowland Rainforest, Rivers State, Nigeria. </w:t>
      </w:r>
      <w:r w:rsidRPr="007011E0">
        <w:rPr>
          <w:i/>
        </w:rPr>
        <w:t>Public Health Res</w:t>
      </w:r>
      <w:r w:rsidRPr="007011E0">
        <w:t xml:space="preserve">. 2(4):64-68. </w:t>
      </w:r>
      <w:hyperlink r:id="rId27" w:history="1">
        <w:r w:rsidR="007011E0" w:rsidRPr="007011E0">
          <w:rPr>
            <w:rStyle w:val="Hyperlink"/>
            <w:rFonts w:cstheme="minorHAnsi"/>
          </w:rPr>
          <w:t>https://doi.org/10.5923/j.phr.20120204.01</w:t>
        </w:r>
      </w:hyperlink>
    </w:p>
    <w:p w14:paraId="14CDDE50" w14:textId="77777777" w:rsidR="007011E0" w:rsidRDefault="00E87EFB" w:rsidP="007011E0">
      <w:pPr>
        <w:pStyle w:val="NormalWeb"/>
        <w:numPr>
          <w:ilvl w:val="0"/>
          <w:numId w:val="12"/>
        </w:numPr>
        <w:spacing w:before="0" w:beforeAutospacing="0" w:after="120" w:afterAutospacing="0"/>
        <w:jc w:val="both"/>
      </w:pPr>
      <w:r w:rsidRPr="00E87EFB">
        <w:t xml:space="preserve">Okorie, P.N., Popoola, K.O.K., </w:t>
      </w:r>
      <w:proofErr w:type="spellStart"/>
      <w:r w:rsidRPr="00E87EFB">
        <w:t>Awobifa</w:t>
      </w:r>
      <w:proofErr w:type="spellEnd"/>
      <w:r w:rsidRPr="00E87EFB">
        <w:t xml:space="preserve">, O.M., Ibrahim, K.T., &amp; </w:t>
      </w:r>
      <w:proofErr w:type="spellStart"/>
      <w:r w:rsidRPr="00E87EFB">
        <w:t>Ademowo</w:t>
      </w:r>
      <w:proofErr w:type="spellEnd"/>
      <w:r w:rsidRPr="00E87EFB">
        <w:t xml:space="preserve">, G.O. (2014). Species composition and temporal distribution of mosquito populations in Ibadan, Nigeria. </w:t>
      </w:r>
      <w:r w:rsidRPr="00E87EFB">
        <w:rPr>
          <w:rStyle w:val="Emphasis"/>
        </w:rPr>
        <w:t>Journal of Entomology and Zoology Studies</w:t>
      </w:r>
      <w:r w:rsidRPr="00E87EFB">
        <w:t>, 2(4), 164–169.</w:t>
      </w:r>
      <w:r w:rsidR="007011E0" w:rsidRPr="007011E0">
        <w:t xml:space="preserve"> </w:t>
      </w:r>
      <w:hyperlink r:id="rId28" w:history="1">
        <w:r w:rsidR="007011E0" w:rsidRPr="007011E0">
          <w:rPr>
            <w:rStyle w:val="Hyperlink"/>
            <w:rFonts w:cstheme="minorHAnsi"/>
          </w:rPr>
          <w:t>https://www.ncbi.nlm.nih.gov/pmc/articles/PMC4266488/</w:t>
        </w:r>
      </w:hyperlink>
    </w:p>
    <w:p w14:paraId="273740BE" w14:textId="77777777" w:rsidR="007011E0" w:rsidRDefault="00E87EFB" w:rsidP="007011E0">
      <w:pPr>
        <w:pStyle w:val="NormalWeb"/>
        <w:numPr>
          <w:ilvl w:val="0"/>
          <w:numId w:val="12"/>
        </w:numPr>
        <w:spacing w:before="0" w:beforeAutospacing="0" w:after="120" w:afterAutospacing="0"/>
        <w:jc w:val="both"/>
      </w:pPr>
      <w:r w:rsidRPr="00E87EFB">
        <w:t xml:space="preserve">Opara, K.N., Nwoke, E.A., Abanobi, C.O., </w:t>
      </w:r>
      <w:proofErr w:type="spellStart"/>
      <w:r w:rsidRPr="00E87EFB">
        <w:t>Onwuliri</w:t>
      </w:r>
      <w:proofErr w:type="spellEnd"/>
      <w:r w:rsidRPr="00E87EFB">
        <w:t xml:space="preserve">, C.O.E., &amp; </w:t>
      </w:r>
      <w:proofErr w:type="spellStart"/>
      <w:r w:rsidRPr="00E87EFB">
        <w:t>Iwuala</w:t>
      </w:r>
      <w:proofErr w:type="spellEnd"/>
      <w:r w:rsidRPr="00E87EFB">
        <w:t xml:space="preserve">, C. (2010). Perception about malaria and insecticide-treated nets in rural communities in Imo State, Nigeria. </w:t>
      </w:r>
      <w:r w:rsidRPr="00E87EFB">
        <w:rPr>
          <w:rStyle w:val="Emphasis"/>
        </w:rPr>
        <w:t>Proceedings of the Parasitology and Public Health Society of Nigeria</w:t>
      </w:r>
      <w:r w:rsidRPr="00E87EFB">
        <w:t>, Abstract 17.</w:t>
      </w:r>
    </w:p>
    <w:p w14:paraId="1D933996" w14:textId="77777777" w:rsidR="007011E0" w:rsidRDefault="00E87EFB" w:rsidP="007011E0">
      <w:pPr>
        <w:pStyle w:val="NormalWeb"/>
        <w:numPr>
          <w:ilvl w:val="0"/>
          <w:numId w:val="12"/>
        </w:numPr>
        <w:spacing w:before="0" w:beforeAutospacing="0" w:after="120" w:afterAutospacing="0"/>
        <w:jc w:val="both"/>
      </w:pPr>
      <w:r w:rsidRPr="007011E0">
        <w:rPr>
          <w:lang w:val="nl-BE"/>
        </w:rPr>
        <w:t xml:space="preserve">Overgaard, H.J., Reddy, V.P., Abaga, S., Matias, A., &amp; Kulkarni, V. (2012). </w:t>
      </w:r>
      <w:r w:rsidRPr="00E87EFB">
        <w:t xml:space="preserve">Malaria transmission after five years of vector control on Bioko Island. </w:t>
      </w:r>
      <w:r w:rsidRPr="00E87EFB">
        <w:rPr>
          <w:rStyle w:val="Emphasis"/>
        </w:rPr>
        <w:t>Parasites &amp; Vectors</w:t>
      </w:r>
      <w:r w:rsidRPr="00E87EFB">
        <w:t>, 5, 253.</w:t>
      </w:r>
      <w:r w:rsidR="007011E0" w:rsidRPr="007011E0">
        <w:t xml:space="preserve"> </w:t>
      </w:r>
      <w:hyperlink r:id="rId29" w:history="1">
        <w:r w:rsidR="007011E0" w:rsidRPr="007011E0">
          <w:rPr>
            <w:rStyle w:val="Hyperlink"/>
            <w:rFonts w:eastAsia="Calibri" w:cstheme="minorHAnsi"/>
          </w:rPr>
          <w:t>https://doi.org/10.1186/1756-3305-5-253</w:t>
        </w:r>
      </w:hyperlink>
    </w:p>
    <w:p w14:paraId="442371F8" w14:textId="77777777" w:rsidR="007011E0" w:rsidRDefault="00E87EFB" w:rsidP="007011E0">
      <w:pPr>
        <w:pStyle w:val="NormalWeb"/>
        <w:numPr>
          <w:ilvl w:val="0"/>
          <w:numId w:val="12"/>
        </w:numPr>
        <w:spacing w:before="0" w:beforeAutospacing="0" w:after="120" w:afterAutospacing="0"/>
        <w:jc w:val="both"/>
      </w:pPr>
      <w:r w:rsidRPr="007011E0">
        <w:t xml:space="preserve">Oyewole, S.O., Adejoke, C., Oduola, A.O., Judith, B.O., Judith, B.O. and </w:t>
      </w:r>
      <w:proofErr w:type="spellStart"/>
      <w:r w:rsidRPr="007011E0">
        <w:t>Awolola</w:t>
      </w:r>
      <w:proofErr w:type="spellEnd"/>
      <w:r w:rsidRPr="007011E0">
        <w:t xml:space="preserve">, T.S. (2005): molecular identification and population dynamics of the major malaria vectors in a rain forest zone of Nigeria. </w:t>
      </w:r>
      <w:r w:rsidRPr="007011E0">
        <w:rPr>
          <w:i/>
        </w:rPr>
        <w:t>Nig. Soc. Experimental Biology</w:t>
      </w:r>
      <w:r w:rsidRPr="007011E0">
        <w:t>.  PP. 171 – 178.</w:t>
      </w:r>
    </w:p>
    <w:p w14:paraId="18387054" w14:textId="77777777" w:rsidR="007011E0" w:rsidRDefault="00E87EFB" w:rsidP="007011E0">
      <w:pPr>
        <w:pStyle w:val="NormalWeb"/>
        <w:numPr>
          <w:ilvl w:val="0"/>
          <w:numId w:val="12"/>
        </w:numPr>
        <w:spacing w:before="0" w:beforeAutospacing="0" w:after="120" w:afterAutospacing="0"/>
        <w:jc w:val="both"/>
      </w:pPr>
      <w:proofErr w:type="spellStart"/>
      <w:r w:rsidRPr="007011E0">
        <w:rPr>
          <w:rFonts w:eastAsia="Calibri"/>
        </w:rPr>
        <w:t>Paaijmans</w:t>
      </w:r>
      <w:proofErr w:type="spellEnd"/>
      <w:r w:rsidRPr="007011E0">
        <w:rPr>
          <w:rFonts w:eastAsia="Calibri"/>
        </w:rPr>
        <w:t xml:space="preserve">, K.P., </w:t>
      </w:r>
      <w:proofErr w:type="spellStart"/>
      <w:r w:rsidRPr="007011E0">
        <w:rPr>
          <w:rFonts w:eastAsia="Calibri"/>
        </w:rPr>
        <w:t>Imbahale</w:t>
      </w:r>
      <w:proofErr w:type="spellEnd"/>
      <w:r w:rsidRPr="007011E0">
        <w:rPr>
          <w:rFonts w:eastAsia="Calibri"/>
        </w:rPr>
        <w:t xml:space="preserve">, S.S., Thomas, M.B.  and Takken, W. (2010). Relevant microclimate for determining the development rate of malaria mosquitoes and </w:t>
      </w:r>
      <w:r w:rsidRPr="007011E0">
        <w:rPr>
          <w:rFonts w:eastAsia="Calibri"/>
        </w:rPr>
        <w:lastRenderedPageBreak/>
        <w:t xml:space="preserve">possible implications of climate change. </w:t>
      </w:r>
      <w:r w:rsidRPr="007011E0">
        <w:rPr>
          <w:rFonts w:eastAsia="Calibri"/>
          <w:i/>
        </w:rPr>
        <w:t>Malar J.</w:t>
      </w:r>
      <w:r w:rsidRPr="007011E0">
        <w:rPr>
          <w:rFonts w:eastAsia="Calibri"/>
        </w:rPr>
        <w:t xml:space="preserve"> 9: 196.</w:t>
      </w:r>
      <w:r w:rsidR="007011E0" w:rsidRPr="007011E0">
        <w:t xml:space="preserve"> </w:t>
      </w:r>
      <w:hyperlink r:id="rId30" w:history="1">
        <w:r w:rsidR="007011E0" w:rsidRPr="007011E0">
          <w:rPr>
            <w:rStyle w:val="Hyperlink"/>
            <w:rFonts w:eastAsia="Calibri" w:cstheme="minorHAnsi"/>
          </w:rPr>
          <w:t>https://doi.org/10.1186/1475-2875-9-196</w:t>
        </w:r>
      </w:hyperlink>
    </w:p>
    <w:p w14:paraId="1645DA87" w14:textId="77777777" w:rsidR="007011E0" w:rsidRDefault="00E87EFB" w:rsidP="007011E0">
      <w:pPr>
        <w:pStyle w:val="NormalWeb"/>
        <w:numPr>
          <w:ilvl w:val="0"/>
          <w:numId w:val="12"/>
        </w:numPr>
        <w:spacing w:before="0" w:beforeAutospacing="0" w:after="120" w:afterAutospacing="0"/>
        <w:jc w:val="both"/>
      </w:pPr>
      <w:r w:rsidRPr="00E87EFB">
        <w:t xml:space="preserve">Roche, B., Rohani, P., Dobson, A.P., &amp; Guégan, J.F. (2012). The impact of community organization on vector-borne pathogens. </w:t>
      </w:r>
      <w:r w:rsidRPr="00E87EFB">
        <w:rPr>
          <w:rStyle w:val="Emphasis"/>
        </w:rPr>
        <w:t>American Naturalist</w:t>
      </w:r>
      <w:r w:rsidRPr="00E87EFB">
        <w:t>, 181, 1–11.</w:t>
      </w:r>
      <w:r w:rsidR="007011E0" w:rsidRPr="007011E0">
        <w:t xml:space="preserve"> </w:t>
      </w:r>
      <w:hyperlink r:id="rId31" w:history="1">
        <w:r w:rsidR="007011E0" w:rsidRPr="007011E0">
          <w:rPr>
            <w:rStyle w:val="Hyperlink"/>
            <w:rFonts w:eastAsia="Calibri" w:cstheme="minorHAnsi"/>
          </w:rPr>
          <w:t>https://doi.org/10.1086/668591</w:t>
        </w:r>
      </w:hyperlink>
    </w:p>
    <w:p w14:paraId="3BB03199" w14:textId="77777777" w:rsidR="007011E0" w:rsidRDefault="00E87EFB" w:rsidP="007011E0">
      <w:pPr>
        <w:pStyle w:val="NormalWeb"/>
        <w:numPr>
          <w:ilvl w:val="0"/>
          <w:numId w:val="12"/>
        </w:numPr>
        <w:spacing w:before="0" w:beforeAutospacing="0" w:after="120" w:afterAutospacing="0"/>
        <w:jc w:val="both"/>
      </w:pPr>
      <w:r w:rsidRPr="007011E0">
        <w:rPr>
          <w:shd w:val="clear" w:color="auto" w:fill="FFFFFF"/>
        </w:rPr>
        <w:t xml:space="preserve">Silver, J.B. (2008). Mosquito ecology: field sampling methods. 3rd ed. Dordrecht: </w:t>
      </w:r>
      <w:r w:rsidRPr="007011E0">
        <w:rPr>
          <w:i/>
          <w:shd w:val="clear" w:color="auto" w:fill="FFFFFF"/>
        </w:rPr>
        <w:t>Springer</w:t>
      </w:r>
      <w:r w:rsidRPr="007011E0">
        <w:rPr>
          <w:shd w:val="clear" w:color="auto" w:fill="FFFFFF"/>
        </w:rPr>
        <w:t>. 5(3):5.12.</w:t>
      </w:r>
      <w:r w:rsidR="007011E0" w:rsidRPr="007011E0">
        <w:t xml:space="preserve"> </w:t>
      </w:r>
      <w:hyperlink r:id="rId32" w:history="1">
        <w:r w:rsidR="007011E0" w:rsidRPr="007011E0">
          <w:rPr>
            <w:rStyle w:val="Hyperlink"/>
            <w:rFonts w:cstheme="minorHAnsi"/>
            <w:shd w:val="clear" w:color="auto" w:fill="FFFFFF"/>
          </w:rPr>
          <w:t>https://doi.org/10.1007/978-1-4020-6666-5</w:t>
        </w:r>
      </w:hyperlink>
    </w:p>
    <w:p w14:paraId="172465B1" w14:textId="77777777" w:rsidR="007011E0" w:rsidRDefault="00E87EFB" w:rsidP="007011E0">
      <w:pPr>
        <w:pStyle w:val="NormalWeb"/>
        <w:numPr>
          <w:ilvl w:val="0"/>
          <w:numId w:val="12"/>
        </w:numPr>
        <w:spacing w:before="0" w:beforeAutospacing="0" w:after="120" w:afterAutospacing="0"/>
        <w:jc w:val="both"/>
      </w:pPr>
      <w:proofErr w:type="spellStart"/>
      <w:r w:rsidRPr="007011E0">
        <w:t>Sriwichai</w:t>
      </w:r>
      <w:proofErr w:type="spellEnd"/>
      <w:r w:rsidRPr="007011E0">
        <w:t xml:space="preserve">, P., Karl, S., </w:t>
      </w:r>
      <w:proofErr w:type="spellStart"/>
      <w:r w:rsidRPr="007011E0">
        <w:t>Samung</w:t>
      </w:r>
      <w:proofErr w:type="spellEnd"/>
      <w:r w:rsidRPr="007011E0">
        <w:t xml:space="preserve">, Y., </w:t>
      </w:r>
      <w:proofErr w:type="spellStart"/>
      <w:r w:rsidRPr="007011E0">
        <w:t>Sumruayphol</w:t>
      </w:r>
      <w:proofErr w:type="spellEnd"/>
      <w:r w:rsidRPr="007011E0">
        <w:t xml:space="preserve">, S., </w:t>
      </w:r>
      <w:proofErr w:type="spellStart"/>
      <w:r w:rsidRPr="007011E0">
        <w:t>Kiattibutr</w:t>
      </w:r>
      <w:proofErr w:type="spellEnd"/>
      <w:r w:rsidRPr="007011E0">
        <w:t xml:space="preserve">, K., </w:t>
      </w:r>
      <w:proofErr w:type="spellStart"/>
      <w:r w:rsidRPr="007011E0">
        <w:t>Payakkapol</w:t>
      </w:r>
      <w:proofErr w:type="spellEnd"/>
      <w:r w:rsidRPr="007011E0">
        <w:t xml:space="preserve">, A., Mueller, I., Yan, G., Cui, L., &amp; </w:t>
      </w:r>
      <w:proofErr w:type="spellStart"/>
      <w:r w:rsidRPr="007011E0">
        <w:t>Sattabongkot</w:t>
      </w:r>
      <w:proofErr w:type="spellEnd"/>
      <w:r w:rsidRPr="007011E0">
        <w:t xml:space="preserve">, J. (2015). Evaluation of CDC light traps for mosquito surveillance in a malaria-endemic area on the Thai–Myanmar border. </w:t>
      </w:r>
      <w:r w:rsidRPr="007011E0">
        <w:rPr>
          <w:i/>
          <w:iCs/>
        </w:rPr>
        <w:t>Parasites &amp; Vectors</w:t>
      </w:r>
      <w:r w:rsidRPr="007011E0">
        <w:t xml:space="preserve">, 8, 636. </w:t>
      </w:r>
      <w:hyperlink r:id="rId33" w:history="1">
        <w:r w:rsidR="007011E0" w:rsidRPr="007011E0">
          <w:rPr>
            <w:rStyle w:val="Hyperlink"/>
            <w:rFonts w:cstheme="minorHAnsi"/>
          </w:rPr>
          <w:t>https://doi.org/10.1186/s13071-015-1225-3</w:t>
        </w:r>
      </w:hyperlink>
    </w:p>
    <w:p w14:paraId="1830A49C" w14:textId="77777777" w:rsidR="007011E0" w:rsidRDefault="00E87EFB" w:rsidP="007011E0">
      <w:pPr>
        <w:pStyle w:val="NormalWeb"/>
        <w:numPr>
          <w:ilvl w:val="0"/>
          <w:numId w:val="12"/>
        </w:numPr>
        <w:spacing w:before="0" w:beforeAutospacing="0" w:after="120" w:afterAutospacing="0"/>
        <w:jc w:val="both"/>
      </w:pPr>
      <w:r w:rsidRPr="00E87EFB">
        <w:t xml:space="preserve">World Health Organization (WHO). (2003). </w:t>
      </w:r>
      <w:r w:rsidRPr="00E87EFB">
        <w:rPr>
          <w:rStyle w:val="Emphasis"/>
        </w:rPr>
        <w:t>Malaria entomology and vector control: Learner’s guide</w:t>
      </w:r>
      <w:r w:rsidRPr="00E87EFB">
        <w:t>. Geneva: WHO.</w:t>
      </w:r>
      <w:r w:rsidR="007011E0" w:rsidRPr="007011E0">
        <w:t xml:space="preserve"> </w:t>
      </w:r>
      <w:hyperlink r:id="rId34" w:history="1">
        <w:r w:rsidR="007011E0" w:rsidRPr="007011E0">
          <w:rPr>
            <w:rStyle w:val="Hyperlink"/>
            <w:rFonts w:eastAsia="Calibri" w:cstheme="minorHAnsi"/>
          </w:rPr>
          <w:t>http://www.who.int/malaria/publications/atoz/who_cds_cpe_smt_2002_18_rev_1/en/index.html</w:t>
        </w:r>
      </w:hyperlink>
    </w:p>
    <w:p w14:paraId="0AA60EE1" w14:textId="2D75B86B" w:rsidR="00E87EFB" w:rsidRPr="00E87EFB" w:rsidRDefault="00E87EFB" w:rsidP="007011E0">
      <w:pPr>
        <w:pStyle w:val="NormalWeb"/>
        <w:numPr>
          <w:ilvl w:val="0"/>
          <w:numId w:val="12"/>
        </w:numPr>
        <w:spacing w:before="0" w:beforeAutospacing="0" w:after="120" w:afterAutospacing="0"/>
        <w:jc w:val="both"/>
      </w:pPr>
      <w:r w:rsidRPr="00E87EFB">
        <w:t xml:space="preserve">World Health Organization (WHO). (2020). </w:t>
      </w:r>
      <w:r w:rsidRPr="00E87EFB">
        <w:rPr>
          <w:rStyle w:val="Emphasis"/>
        </w:rPr>
        <w:t>World Malaria Report 2020</w:t>
      </w:r>
      <w:r w:rsidRPr="00E87EFB">
        <w:t>. Geneva: WHO.</w:t>
      </w:r>
    </w:p>
    <w:p w14:paraId="2E2B55E9" w14:textId="77777777" w:rsidR="00111BE1" w:rsidRPr="000547B0" w:rsidRDefault="00111BE1" w:rsidP="003966F2">
      <w:pPr>
        <w:spacing w:after="120" w:line="240" w:lineRule="auto"/>
        <w:jc w:val="both"/>
        <w:rPr>
          <w:rFonts w:ascii="Times New Roman" w:eastAsia="Times New Roman" w:hAnsi="Times New Roman" w:cs="Times New Roman"/>
          <w:color w:val="FF0000"/>
          <w:sz w:val="24"/>
          <w:szCs w:val="24"/>
        </w:rPr>
      </w:pPr>
    </w:p>
    <w:sectPr w:rsidR="00111BE1" w:rsidRPr="000547B0" w:rsidSect="007011E0">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D553" w14:textId="77777777" w:rsidR="006E3AA2" w:rsidRDefault="006E3AA2">
      <w:pPr>
        <w:spacing w:after="0" w:line="240" w:lineRule="auto"/>
      </w:pPr>
      <w:r>
        <w:separator/>
      </w:r>
    </w:p>
  </w:endnote>
  <w:endnote w:type="continuationSeparator" w:id="0">
    <w:p w14:paraId="11A51A53" w14:textId="77777777" w:rsidR="006E3AA2" w:rsidRDefault="006E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52142"/>
      <w:docPartObj>
        <w:docPartGallery w:val="Page Numbers (Bottom of Page)"/>
        <w:docPartUnique/>
      </w:docPartObj>
    </w:sdtPr>
    <w:sdtContent>
      <w:p w14:paraId="0D92608E" w14:textId="77777777" w:rsidR="00FA45C4" w:rsidRDefault="00FA45C4">
        <w:pPr>
          <w:pStyle w:val="Footer"/>
          <w:jc w:val="center"/>
        </w:pPr>
        <w:r>
          <w:fldChar w:fldCharType="begin"/>
        </w:r>
        <w:r>
          <w:instrText xml:space="preserve"> PAGE   \* MERGEFORMAT </w:instrText>
        </w:r>
        <w:r>
          <w:fldChar w:fldCharType="separate"/>
        </w:r>
        <w:r w:rsidR="00C70AF0">
          <w:rPr>
            <w:noProof/>
          </w:rPr>
          <w:t>20</w:t>
        </w:r>
        <w:r>
          <w:rPr>
            <w:noProof/>
          </w:rPr>
          <w:fldChar w:fldCharType="end"/>
        </w:r>
      </w:p>
    </w:sdtContent>
  </w:sdt>
  <w:p w14:paraId="438EE1E1" w14:textId="77777777" w:rsidR="00FA45C4" w:rsidRDefault="00FA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F2F" w14:textId="77777777" w:rsidR="006E3AA2" w:rsidRDefault="006E3AA2">
      <w:pPr>
        <w:spacing w:after="0" w:line="240" w:lineRule="auto"/>
      </w:pPr>
      <w:r>
        <w:separator/>
      </w:r>
    </w:p>
  </w:footnote>
  <w:footnote w:type="continuationSeparator" w:id="0">
    <w:p w14:paraId="2BEC6520" w14:textId="77777777" w:rsidR="006E3AA2" w:rsidRDefault="006E3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829"/>
    <w:multiLevelType w:val="multilevel"/>
    <w:tmpl w:val="15E66D5A"/>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314D8"/>
    <w:multiLevelType w:val="hybridMultilevel"/>
    <w:tmpl w:val="AF922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39DB"/>
    <w:multiLevelType w:val="hybridMultilevel"/>
    <w:tmpl w:val="B0948DEA"/>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9BF0364"/>
    <w:multiLevelType w:val="hybridMultilevel"/>
    <w:tmpl w:val="B0EA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C33A0"/>
    <w:multiLevelType w:val="hybridMultilevel"/>
    <w:tmpl w:val="94A611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E53ED"/>
    <w:multiLevelType w:val="hybridMultilevel"/>
    <w:tmpl w:val="B3AAF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235BC"/>
    <w:multiLevelType w:val="hybridMultilevel"/>
    <w:tmpl w:val="5A0CF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14A78"/>
    <w:multiLevelType w:val="hybridMultilevel"/>
    <w:tmpl w:val="68A6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82903"/>
    <w:multiLevelType w:val="hybridMultilevel"/>
    <w:tmpl w:val="C442D076"/>
    <w:lvl w:ilvl="0" w:tplc="0CB82E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7A350F4"/>
    <w:multiLevelType w:val="multilevel"/>
    <w:tmpl w:val="F32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455DB"/>
    <w:multiLevelType w:val="hybridMultilevel"/>
    <w:tmpl w:val="6D6C225C"/>
    <w:lvl w:ilvl="0" w:tplc="1DC8C4E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C842D36"/>
    <w:multiLevelType w:val="hybridMultilevel"/>
    <w:tmpl w:val="7790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5540">
    <w:abstractNumId w:val="10"/>
  </w:num>
  <w:num w:numId="2" w16cid:durableId="795834479">
    <w:abstractNumId w:val="8"/>
  </w:num>
  <w:num w:numId="3" w16cid:durableId="1057049319">
    <w:abstractNumId w:val="0"/>
  </w:num>
  <w:num w:numId="4" w16cid:durableId="239483082">
    <w:abstractNumId w:val="9"/>
  </w:num>
  <w:num w:numId="5" w16cid:durableId="2078354132">
    <w:abstractNumId w:val="2"/>
  </w:num>
  <w:num w:numId="6" w16cid:durableId="766006346">
    <w:abstractNumId w:val="4"/>
  </w:num>
  <w:num w:numId="7" w16cid:durableId="833567725">
    <w:abstractNumId w:val="11"/>
  </w:num>
  <w:num w:numId="8" w16cid:durableId="792291308">
    <w:abstractNumId w:val="7"/>
  </w:num>
  <w:num w:numId="9" w16cid:durableId="1667174949">
    <w:abstractNumId w:val="5"/>
  </w:num>
  <w:num w:numId="10" w16cid:durableId="1174497685">
    <w:abstractNumId w:val="3"/>
  </w:num>
  <w:num w:numId="11" w16cid:durableId="479930924">
    <w:abstractNumId w:val="1"/>
  </w:num>
  <w:num w:numId="12" w16cid:durableId="333338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139"/>
    <w:rsid w:val="00017467"/>
    <w:rsid w:val="00032CC8"/>
    <w:rsid w:val="000547B0"/>
    <w:rsid w:val="000552A4"/>
    <w:rsid w:val="00060457"/>
    <w:rsid w:val="00091789"/>
    <w:rsid w:val="00093E5D"/>
    <w:rsid w:val="000A4AC6"/>
    <w:rsid w:val="000B7828"/>
    <w:rsid w:val="000B79F8"/>
    <w:rsid w:val="000C513D"/>
    <w:rsid w:val="000E04A1"/>
    <w:rsid w:val="000E5110"/>
    <w:rsid w:val="000F3AEA"/>
    <w:rsid w:val="000F5116"/>
    <w:rsid w:val="000F5A0F"/>
    <w:rsid w:val="001076B2"/>
    <w:rsid w:val="00110A25"/>
    <w:rsid w:val="00111BE1"/>
    <w:rsid w:val="00134F5D"/>
    <w:rsid w:val="00137352"/>
    <w:rsid w:val="00144E79"/>
    <w:rsid w:val="00157227"/>
    <w:rsid w:val="00160AC2"/>
    <w:rsid w:val="00191C55"/>
    <w:rsid w:val="00194830"/>
    <w:rsid w:val="001B41E5"/>
    <w:rsid w:val="001C5768"/>
    <w:rsid w:val="001D2D22"/>
    <w:rsid w:val="001E4434"/>
    <w:rsid w:val="001F391E"/>
    <w:rsid w:val="0020161F"/>
    <w:rsid w:val="00202CF8"/>
    <w:rsid w:val="00215F64"/>
    <w:rsid w:val="002176CC"/>
    <w:rsid w:val="00221E08"/>
    <w:rsid w:val="00245374"/>
    <w:rsid w:val="002543E4"/>
    <w:rsid w:val="002647EE"/>
    <w:rsid w:val="002778DC"/>
    <w:rsid w:val="00296A95"/>
    <w:rsid w:val="002A062F"/>
    <w:rsid w:val="002A15D0"/>
    <w:rsid w:val="002B03D0"/>
    <w:rsid w:val="002C72B7"/>
    <w:rsid w:val="002D48F8"/>
    <w:rsid w:val="002E4F5A"/>
    <w:rsid w:val="002E5630"/>
    <w:rsid w:val="002F1F0E"/>
    <w:rsid w:val="0030783A"/>
    <w:rsid w:val="0031619B"/>
    <w:rsid w:val="003545BC"/>
    <w:rsid w:val="00364CB4"/>
    <w:rsid w:val="00375E04"/>
    <w:rsid w:val="00382E27"/>
    <w:rsid w:val="00385A2A"/>
    <w:rsid w:val="003966F2"/>
    <w:rsid w:val="003A59D7"/>
    <w:rsid w:val="003C4356"/>
    <w:rsid w:val="00405591"/>
    <w:rsid w:val="00411238"/>
    <w:rsid w:val="00413CAA"/>
    <w:rsid w:val="00432605"/>
    <w:rsid w:val="004350C7"/>
    <w:rsid w:val="00437BED"/>
    <w:rsid w:val="004424F4"/>
    <w:rsid w:val="00444EEF"/>
    <w:rsid w:val="00452816"/>
    <w:rsid w:val="00452CF3"/>
    <w:rsid w:val="00461901"/>
    <w:rsid w:val="004673B6"/>
    <w:rsid w:val="00475C3F"/>
    <w:rsid w:val="0049084C"/>
    <w:rsid w:val="00493059"/>
    <w:rsid w:val="004A772C"/>
    <w:rsid w:val="004B2F0A"/>
    <w:rsid w:val="004E5066"/>
    <w:rsid w:val="0050374C"/>
    <w:rsid w:val="00510C98"/>
    <w:rsid w:val="00521F6E"/>
    <w:rsid w:val="005369E7"/>
    <w:rsid w:val="00544A39"/>
    <w:rsid w:val="00547988"/>
    <w:rsid w:val="00564F20"/>
    <w:rsid w:val="005861EA"/>
    <w:rsid w:val="005B3BF1"/>
    <w:rsid w:val="005B5B37"/>
    <w:rsid w:val="005E0F8B"/>
    <w:rsid w:val="005E14B6"/>
    <w:rsid w:val="005E1E07"/>
    <w:rsid w:val="0061272A"/>
    <w:rsid w:val="006252D1"/>
    <w:rsid w:val="006320EA"/>
    <w:rsid w:val="00653153"/>
    <w:rsid w:val="0065490C"/>
    <w:rsid w:val="006628C8"/>
    <w:rsid w:val="006639D9"/>
    <w:rsid w:val="006A4869"/>
    <w:rsid w:val="006B0168"/>
    <w:rsid w:val="006B2ABA"/>
    <w:rsid w:val="006B4DA3"/>
    <w:rsid w:val="006D523E"/>
    <w:rsid w:val="006E21D2"/>
    <w:rsid w:val="006E3AA2"/>
    <w:rsid w:val="006F2101"/>
    <w:rsid w:val="007011E0"/>
    <w:rsid w:val="00712557"/>
    <w:rsid w:val="007225C9"/>
    <w:rsid w:val="00731C28"/>
    <w:rsid w:val="0073486F"/>
    <w:rsid w:val="00734D7E"/>
    <w:rsid w:val="00774923"/>
    <w:rsid w:val="00775E99"/>
    <w:rsid w:val="00780659"/>
    <w:rsid w:val="007871D1"/>
    <w:rsid w:val="00790E96"/>
    <w:rsid w:val="007F056B"/>
    <w:rsid w:val="008001D2"/>
    <w:rsid w:val="00830C08"/>
    <w:rsid w:val="00841EAF"/>
    <w:rsid w:val="00844A1D"/>
    <w:rsid w:val="00894DCB"/>
    <w:rsid w:val="008C7FB0"/>
    <w:rsid w:val="008D24DD"/>
    <w:rsid w:val="009006FD"/>
    <w:rsid w:val="00916C2D"/>
    <w:rsid w:val="009366E9"/>
    <w:rsid w:val="00945A11"/>
    <w:rsid w:val="00960F3C"/>
    <w:rsid w:val="009649E6"/>
    <w:rsid w:val="00974D29"/>
    <w:rsid w:val="0098316C"/>
    <w:rsid w:val="009838D2"/>
    <w:rsid w:val="009A0B3D"/>
    <w:rsid w:val="009A3D20"/>
    <w:rsid w:val="009C158F"/>
    <w:rsid w:val="009C3203"/>
    <w:rsid w:val="009E1EA5"/>
    <w:rsid w:val="009E3B2D"/>
    <w:rsid w:val="00A05FE4"/>
    <w:rsid w:val="00A12285"/>
    <w:rsid w:val="00A1560B"/>
    <w:rsid w:val="00A24732"/>
    <w:rsid w:val="00A34949"/>
    <w:rsid w:val="00A37DDE"/>
    <w:rsid w:val="00A51165"/>
    <w:rsid w:val="00A7126F"/>
    <w:rsid w:val="00A7573F"/>
    <w:rsid w:val="00A7609B"/>
    <w:rsid w:val="00A87B14"/>
    <w:rsid w:val="00AA7001"/>
    <w:rsid w:val="00AB2088"/>
    <w:rsid w:val="00AC2C7D"/>
    <w:rsid w:val="00AC37BF"/>
    <w:rsid w:val="00AF2C18"/>
    <w:rsid w:val="00AF4175"/>
    <w:rsid w:val="00B40CFB"/>
    <w:rsid w:val="00B61400"/>
    <w:rsid w:val="00BC19CF"/>
    <w:rsid w:val="00C27EA7"/>
    <w:rsid w:val="00C503B3"/>
    <w:rsid w:val="00C57722"/>
    <w:rsid w:val="00C70AF0"/>
    <w:rsid w:val="00C84E72"/>
    <w:rsid w:val="00C85B0E"/>
    <w:rsid w:val="00C97682"/>
    <w:rsid w:val="00CA2FBB"/>
    <w:rsid w:val="00CC46B2"/>
    <w:rsid w:val="00D0563E"/>
    <w:rsid w:val="00D3010E"/>
    <w:rsid w:val="00D31AFA"/>
    <w:rsid w:val="00D33A18"/>
    <w:rsid w:val="00D35B9E"/>
    <w:rsid w:val="00D65BFF"/>
    <w:rsid w:val="00D90C30"/>
    <w:rsid w:val="00DE1EFB"/>
    <w:rsid w:val="00DE2179"/>
    <w:rsid w:val="00E014C0"/>
    <w:rsid w:val="00E01677"/>
    <w:rsid w:val="00E133D7"/>
    <w:rsid w:val="00E14CF3"/>
    <w:rsid w:val="00E207FC"/>
    <w:rsid w:val="00E47416"/>
    <w:rsid w:val="00E52139"/>
    <w:rsid w:val="00E53695"/>
    <w:rsid w:val="00E62933"/>
    <w:rsid w:val="00E87EFB"/>
    <w:rsid w:val="00EF707D"/>
    <w:rsid w:val="00F072F9"/>
    <w:rsid w:val="00F475A7"/>
    <w:rsid w:val="00F5277A"/>
    <w:rsid w:val="00F55A4E"/>
    <w:rsid w:val="00F95490"/>
    <w:rsid w:val="00FA45C4"/>
    <w:rsid w:val="00FB3E59"/>
    <w:rsid w:val="00FB6613"/>
    <w:rsid w:val="00FE1482"/>
    <w:rsid w:val="00FE6426"/>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B10E"/>
  <w15:docId w15:val="{BB935179-FC36-41AB-B129-B5C52BEA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2139"/>
  </w:style>
  <w:style w:type="paragraph" w:styleId="ListParagraph">
    <w:name w:val="List Paragraph"/>
    <w:basedOn w:val="Normal"/>
    <w:uiPriority w:val="34"/>
    <w:qFormat/>
    <w:rsid w:val="00E52139"/>
    <w:pPr>
      <w:spacing w:after="200" w:line="276" w:lineRule="auto"/>
      <w:ind w:left="720"/>
      <w:contextualSpacing/>
    </w:pPr>
  </w:style>
  <w:style w:type="paragraph" w:customStyle="1" w:styleId="Default">
    <w:name w:val="Default"/>
    <w:rsid w:val="00E521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2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39"/>
    <w:rPr>
      <w:rFonts w:ascii="Tahoma" w:hAnsi="Tahoma" w:cs="Tahoma"/>
      <w:sz w:val="16"/>
      <w:szCs w:val="16"/>
    </w:rPr>
  </w:style>
  <w:style w:type="character" w:styleId="Hyperlink">
    <w:name w:val="Hyperlink"/>
    <w:basedOn w:val="DefaultParagraphFont"/>
    <w:uiPriority w:val="99"/>
    <w:unhideWhenUsed/>
    <w:rsid w:val="00E52139"/>
    <w:rPr>
      <w:color w:val="0000FF"/>
      <w:u w:val="single"/>
    </w:rPr>
  </w:style>
  <w:style w:type="character" w:styleId="Emphasis">
    <w:name w:val="Emphasis"/>
    <w:basedOn w:val="DefaultParagraphFont"/>
    <w:uiPriority w:val="20"/>
    <w:qFormat/>
    <w:rsid w:val="00E52139"/>
    <w:rPr>
      <w:i/>
      <w:iCs/>
    </w:rPr>
  </w:style>
  <w:style w:type="paragraph" w:styleId="Header">
    <w:name w:val="header"/>
    <w:basedOn w:val="Normal"/>
    <w:link w:val="HeaderChar"/>
    <w:uiPriority w:val="99"/>
    <w:unhideWhenUsed/>
    <w:rsid w:val="00E5213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521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2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139"/>
  </w:style>
  <w:style w:type="table" w:styleId="TableGrid">
    <w:name w:val="Table Grid"/>
    <w:basedOn w:val="TableNormal"/>
    <w:uiPriority w:val="59"/>
    <w:rsid w:val="00E5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139"/>
    <w:rPr>
      <w:sz w:val="16"/>
      <w:szCs w:val="16"/>
    </w:rPr>
  </w:style>
  <w:style w:type="paragraph" w:styleId="CommentText">
    <w:name w:val="annotation text"/>
    <w:basedOn w:val="Normal"/>
    <w:link w:val="CommentTextChar"/>
    <w:uiPriority w:val="99"/>
    <w:semiHidden/>
    <w:unhideWhenUsed/>
    <w:rsid w:val="00E5213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52139"/>
    <w:rPr>
      <w:sz w:val="20"/>
      <w:szCs w:val="20"/>
    </w:rPr>
  </w:style>
  <w:style w:type="paragraph" w:styleId="CommentSubject">
    <w:name w:val="annotation subject"/>
    <w:basedOn w:val="CommentText"/>
    <w:next w:val="CommentText"/>
    <w:link w:val="CommentSubjectChar"/>
    <w:uiPriority w:val="99"/>
    <w:semiHidden/>
    <w:unhideWhenUsed/>
    <w:rsid w:val="00E52139"/>
    <w:rPr>
      <w:b/>
      <w:bCs/>
    </w:rPr>
  </w:style>
  <w:style w:type="character" w:customStyle="1" w:styleId="CommentSubjectChar">
    <w:name w:val="Comment Subject Char"/>
    <w:basedOn w:val="CommentTextChar"/>
    <w:link w:val="CommentSubject"/>
    <w:uiPriority w:val="99"/>
    <w:semiHidden/>
    <w:rsid w:val="00E52139"/>
    <w:rPr>
      <w:b/>
      <w:bCs/>
      <w:sz w:val="20"/>
      <w:szCs w:val="20"/>
    </w:rPr>
  </w:style>
  <w:style w:type="character" w:customStyle="1" w:styleId="ref-journal">
    <w:name w:val="ref-journal"/>
    <w:basedOn w:val="DefaultParagraphFont"/>
    <w:rsid w:val="00E52139"/>
  </w:style>
  <w:style w:type="character" w:customStyle="1" w:styleId="ref-vol">
    <w:name w:val="ref-vol"/>
    <w:basedOn w:val="DefaultParagraphFont"/>
    <w:rsid w:val="00E52139"/>
  </w:style>
  <w:style w:type="paragraph" w:styleId="NoSpacing">
    <w:name w:val="No Spacing"/>
    <w:uiPriority w:val="1"/>
    <w:qFormat/>
    <w:rsid w:val="00E5213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9084C"/>
    <w:rPr>
      <w:color w:val="808080"/>
    </w:rPr>
  </w:style>
  <w:style w:type="paragraph" w:styleId="NormalWeb">
    <w:name w:val="Normal (Web)"/>
    <w:basedOn w:val="Normal"/>
    <w:uiPriority w:val="99"/>
    <w:unhideWhenUsed/>
    <w:rsid w:val="004A772C"/>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157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3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36-015-0761-9" TargetMode="External"/><Relationship Id="rId18" Type="http://schemas.openxmlformats.org/officeDocument/2006/relationships/hyperlink" Target="https://doi.org/10.4314/AHS.V10I2.60053" TargetMode="External"/><Relationship Id="rId26" Type="http://schemas.openxmlformats.org/officeDocument/2006/relationships/hyperlink" Target="https://pubmed.ncbi.nlm.nih.gov/19326707/" TargetMode="External"/><Relationship Id="rId3" Type="http://schemas.openxmlformats.org/officeDocument/2006/relationships/settings" Target="settings.xml"/><Relationship Id="rId21" Type="http://schemas.openxmlformats.org/officeDocument/2006/relationships/hyperlink" Target="https://doi.org/10.1186/s13071-016-1813-x" TargetMode="External"/><Relationship Id="rId34" Type="http://schemas.openxmlformats.org/officeDocument/2006/relationships/hyperlink" Target="http://www.who.int/malaria/publications/atoz/who_cds_cpe_smt_2002_18_rev_1/en/index.html" TargetMode="External"/><Relationship Id="rId7" Type="http://schemas.openxmlformats.org/officeDocument/2006/relationships/chart" Target="charts/chart1.xml"/><Relationship Id="rId12" Type="http://schemas.openxmlformats.org/officeDocument/2006/relationships/hyperlink" Target="https://doi.org/10.1186/1475-2875-9-62" TargetMode="External"/><Relationship Id="rId17" Type="http://schemas.openxmlformats.org/officeDocument/2006/relationships/hyperlink" Target="https://doi.org/10.1186/1756-3305-7-32" TargetMode="External"/><Relationship Id="rId25" Type="http://schemas.openxmlformats.org/officeDocument/2006/relationships/hyperlink" Target="https://doi.org/10.1111/ele.12015" TargetMode="External"/><Relationship Id="rId33" Type="http://schemas.openxmlformats.org/officeDocument/2006/relationships/hyperlink" Target="https://doi.org/10.1186/s13071-015-1225-3" TargetMode="External"/><Relationship Id="rId2" Type="http://schemas.openxmlformats.org/officeDocument/2006/relationships/styles" Target="styles.xml"/><Relationship Id="rId16" Type="http://schemas.openxmlformats.org/officeDocument/2006/relationships/hyperlink" Target="https://doi.org/10.1186/s13071-018-2824-6" TargetMode="External"/><Relationship Id="rId20" Type="http://schemas.openxmlformats.org/officeDocument/2006/relationships/hyperlink" Target="https://doi.org/10.4314/njm.v18i2.45059" TargetMode="External"/><Relationship Id="rId29" Type="http://schemas.openxmlformats.org/officeDocument/2006/relationships/hyperlink" Target="https://doi.org/10.1186/1756-3305-5-2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ctatropica.2003.06.001" TargetMode="External"/><Relationship Id="rId24" Type="http://schemas.openxmlformats.org/officeDocument/2006/relationships/hyperlink" Target="https://doi.org/10.1079/BER2001131" TargetMode="External"/><Relationship Id="rId32" Type="http://schemas.openxmlformats.org/officeDocument/2006/relationships/hyperlink" Target="https://doi.org/10.1007/978-1-4020-6666-5" TargetMode="External"/><Relationship Id="rId5" Type="http://schemas.openxmlformats.org/officeDocument/2006/relationships/footnotes" Target="footnotes.xml"/><Relationship Id="rId15" Type="http://schemas.openxmlformats.org/officeDocument/2006/relationships/hyperlink" Target="https://doi.org/10.11646/zootaxa.3619.3.2" TargetMode="External"/><Relationship Id="rId23" Type="http://schemas.openxmlformats.org/officeDocument/2006/relationships/hyperlink" Target="http://www.rollbackmalaria.org/files/files/about/MultisectoralApproach/Plenary-WHO-Social-Determinants.pdf" TargetMode="External"/><Relationship Id="rId28" Type="http://schemas.openxmlformats.org/officeDocument/2006/relationships/hyperlink" Target="https://www.ncbi.nlm.nih.gov/pmc/articles/PMC4266488/" TargetMode="External"/><Relationship Id="rId36" Type="http://schemas.openxmlformats.org/officeDocument/2006/relationships/theme" Target="theme/theme1.xml"/><Relationship Id="rId10" Type="http://schemas.openxmlformats.org/officeDocument/2006/relationships/hyperlink" Target="https://doi.org/10.4103/0972-9067.59241" TargetMode="External"/><Relationship Id="rId19" Type="http://schemas.openxmlformats.org/officeDocument/2006/relationships/hyperlink" Target="https://doi.org/10.3923/jms.2012.198.206" TargetMode="External"/><Relationship Id="rId31" Type="http://schemas.openxmlformats.org/officeDocument/2006/relationships/hyperlink" Target="https://doi.org/10.1086/66859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90/ES11-00088.1" TargetMode="External"/><Relationship Id="rId22" Type="http://schemas.openxmlformats.org/officeDocument/2006/relationships/hyperlink" Target="https://doi.org/10.4314/thrb.v12i1.56320" TargetMode="External"/><Relationship Id="rId27" Type="http://schemas.openxmlformats.org/officeDocument/2006/relationships/hyperlink" Target="https://doi.org/10.5923/j.phr.20120204.01" TargetMode="External"/><Relationship Id="rId30" Type="http://schemas.openxmlformats.org/officeDocument/2006/relationships/hyperlink" Target="https://doi.org/10.1186/1475-2875-9-196" TargetMode="External"/><Relationship Id="rId35"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Sheet1!$A$3:$A$5</c:f>
              <c:strCache>
                <c:ptCount val="3"/>
                <c:pt idx="0">
                  <c:v>Culex quinquefasciatus</c:v>
                </c:pt>
                <c:pt idx="2">
                  <c:v>Anopheles gambiae</c:v>
                </c:pt>
              </c:strCache>
            </c:strRef>
          </c:cat>
          <c:val>
            <c:numRef>
              <c:f>Sheet1!$B$3:$B$5</c:f>
              <c:numCache>
                <c:formatCode>General</c:formatCode>
                <c:ptCount val="3"/>
                <c:pt idx="0">
                  <c:v>33.799999999999997</c:v>
                </c:pt>
                <c:pt idx="2">
                  <c:v>66.2</c:v>
                </c:pt>
              </c:numCache>
            </c:numRef>
          </c:val>
          <c:extLst>
            <c:ext xmlns:c16="http://schemas.microsoft.com/office/drawing/2014/chart" uri="{C3380CC4-5D6E-409C-BE32-E72D297353CC}">
              <c16:uniqueId val="{00000000-F9CE-4167-93CB-1C24DFC61035}"/>
            </c:ext>
          </c:extLst>
        </c:ser>
        <c:dLbls>
          <c:showLegendKey val="0"/>
          <c:showVal val="0"/>
          <c:showCatName val="0"/>
          <c:showSerName val="0"/>
          <c:showPercent val="0"/>
          <c:showBubbleSize val="0"/>
        </c:dLbls>
        <c:gapWidth val="150"/>
        <c:shape val="box"/>
        <c:axId val="154239360"/>
        <c:axId val="154242432"/>
        <c:axId val="0"/>
      </c:bar3DChart>
      <c:catAx>
        <c:axId val="1542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mosquito species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42432"/>
        <c:crosses val="autoZero"/>
        <c:auto val="1"/>
        <c:lblAlgn val="ctr"/>
        <c:lblOffset val="100"/>
        <c:noMultiLvlLbl val="0"/>
      </c:catAx>
      <c:valAx>
        <c:axId val="15424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39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strCache>
            </c:strRef>
          </c:tx>
          <c:spPr>
            <a:solidFill>
              <a:schemeClr val="accent1"/>
            </a:solidFill>
            <a:ln>
              <a:noFill/>
            </a:ln>
            <a:effectLst/>
            <a:sp3d/>
          </c:spPr>
          <c:invertIfNegative val="0"/>
          <c:cat>
            <c:strRef>
              <c:f>Sheet1!$A$3:$A$11</c:f>
              <c:strCache>
                <c:ptCount val="9"/>
                <c:pt idx="2">
                  <c:v>Fed</c:v>
                </c:pt>
                <c:pt idx="4">
                  <c:v>Unfed</c:v>
                </c:pt>
                <c:pt idx="6">
                  <c:v>Gravid</c:v>
                </c:pt>
                <c:pt idx="8">
                  <c:v>Half fed</c:v>
                </c:pt>
              </c:strCache>
            </c:strRef>
          </c:cat>
          <c:val>
            <c:numRef>
              <c:f>Sheet1!$B$3:$B$11</c:f>
              <c:numCache>
                <c:formatCode>General</c:formatCode>
                <c:ptCount val="9"/>
                <c:pt idx="2">
                  <c:v>10.1</c:v>
                </c:pt>
                <c:pt idx="4">
                  <c:v>46.7</c:v>
                </c:pt>
                <c:pt idx="6">
                  <c:v>27.2</c:v>
                </c:pt>
                <c:pt idx="8">
                  <c:v>16</c:v>
                </c:pt>
              </c:numCache>
            </c:numRef>
          </c:val>
          <c:extLst>
            <c:ext xmlns:c16="http://schemas.microsoft.com/office/drawing/2014/chart" uri="{C3380CC4-5D6E-409C-BE32-E72D297353CC}">
              <c16:uniqueId val="{00000000-F0CB-4951-AD20-7C12AF8B67B7}"/>
            </c:ext>
          </c:extLst>
        </c:ser>
        <c:dLbls>
          <c:showLegendKey val="0"/>
          <c:showVal val="0"/>
          <c:showCatName val="0"/>
          <c:showSerName val="0"/>
          <c:showPercent val="0"/>
          <c:showBubbleSize val="0"/>
        </c:dLbls>
        <c:gapWidth val="150"/>
        <c:shape val="box"/>
        <c:axId val="166781312"/>
        <c:axId val="166784384"/>
        <c:axId val="0"/>
      </c:bar3DChart>
      <c:catAx>
        <c:axId val="16678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gonotrophic status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84384"/>
        <c:crosses val="autoZero"/>
        <c:auto val="1"/>
        <c:lblAlgn val="ctr"/>
        <c:lblOffset val="100"/>
        <c:noMultiLvlLbl val="0"/>
      </c:catAx>
      <c:valAx>
        <c:axId val="16678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81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15</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eEB</dc:creator>
  <cp:keywords/>
  <dc:description/>
  <cp:lastModifiedBy>Editor-90</cp:lastModifiedBy>
  <cp:revision>20</cp:revision>
  <dcterms:created xsi:type="dcterms:W3CDTF">2025-09-28T08:03:00Z</dcterms:created>
  <dcterms:modified xsi:type="dcterms:W3CDTF">2025-12-27T08:20:00Z</dcterms:modified>
</cp:coreProperties>
</file>