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3B87" w14:textId="5261E3F7" w:rsidR="004A3F08" w:rsidRDefault="006E76C6" w:rsidP="006E76C6">
      <w:pPr>
        <w:pStyle w:val="NormalWeb"/>
        <w:jc w:val="center"/>
        <w:rPr>
          <w:rStyle w:val="Strong"/>
        </w:rPr>
      </w:pPr>
      <w:bookmarkStart w:id="0" w:name="_GoBack"/>
      <w:bookmarkEnd w:id="0"/>
      <w:r>
        <w:rPr>
          <w:rStyle w:val="Strong"/>
        </w:rPr>
        <w:t>ARTIFICIAL INTELLIGENCE-</w:t>
      </w:r>
      <w:r w:rsidRPr="006E76C6">
        <w:rPr>
          <w:rStyle w:val="Strong"/>
        </w:rPr>
        <w:t>BASED ASSET PRICING AND SYSTEMATIC RISK ANALYSI</w:t>
      </w:r>
      <w:r>
        <w:rPr>
          <w:rStyle w:val="Strong"/>
        </w:rPr>
        <w:t>S IN NIGERIA’S FRONTIER MARKET.</w:t>
      </w:r>
    </w:p>
    <w:p w14:paraId="4C937164" w14:textId="758BBC06" w:rsidR="004E516C" w:rsidRDefault="00C312B8">
      <w:pPr>
        <w:pStyle w:val="NormalWeb"/>
        <w:jc w:val="both"/>
      </w:pPr>
      <w:r>
        <w:rPr>
          <w:rStyle w:val="Strong"/>
        </w:rPr>
        <w:t>Abstract</w:t>
      </w:r>
    </w:p>
    <w:p w14:paraId="4F71F1B4" w14:textId="77777777" w:rsidR="004E516C" w:rsidRDefault="00C312B8">
      <w:pPr>
        <w:pStyle w:val="NormalWeb"/>
        <w:jc w:val="both"/>
      </w:pPr>
      <w:r>
        <w:t xml:space="preserve">Frontier​‍​‌‍​‍‌​‍​‌‍​‍‌ markets such as Nigeria typically experience a range of problems, among them high volatility, currency pressure, inflation shocks, thin trading, and weak market efficiency. In such situations, it is very challenging for traditional asset-pricing models like CAPM and the Fama-French model to accurately quantify systematic risk and forecast stock returns. This paper employs AI techniques to improve asset pricing and risk estimation in Nigeria, spanning from 2010 to 2024. The study juxtaposes contemporary AI models such as </w:t>
      </w:r>
      <w:proofErr w:type="spellStart"/>
      <w:r>
        <w:t>XGBoost</w:t>
      </w:r>
      <w:proofErr w:type="spellEnd"/>
      <w:r>
        <w:t>, Random Forest, and Long Short-Term Memory (LSTM) networks with their classical counterparts. To figure out which risk factors are the most significant, the paper deploys explainable AI (SHAP). The findings indicate that AI models offer far superior predictive accuracy and are able to capture non-linear market behavior to a much greater extent than traditional models. The SHAP analysis indicates that the factors causing the greatest systematic risk in Nigeria are exchange-rate volatility, inflation, oil prices, liquidity, and trading volume. The research determines that AI-enabled models provide a more dependable and transparent asset-pricing framework for frontier markets and, thus, can be of great help to investors, regulators, and policymakers in their financial ‍​‌‍​‍‌​‍​‌‍​‍‌decisions.</w:t>
      </w:r>
    </w:p>
    <w:p w14:paraId="61526134" w14:textId="2B22F3C6" w:rsidR="004E516C" w:rsidRDefault="00C312B8">
      <w:pPr>
        <w:pStyle w:val="NormalWeb"/>
        <w:jc w:val="both"/>
      </w:pPr>
      <w:r>
        <w:rPr>
          <w:rStyle w:val="Strong"/>
        </w:rPr>
        <w:t>Keywords:</w:t>
      </w:r>
      <w:r>
        <w:t xml:space="preserve"> </w:t>
      </w:r>
      <w:r w:rsidR="007E782E" w:rsidRPr="007E782E">
        <w:t>Artificial Intelligence in Asset Pricing</w:t>
      </w:r>
      <w:r w:rsidR="007E782E">
        <w:t>, Systematic Risk, Frontier Markets, Explainable Artificial Intelligence (XAI) and Macroeconomic Risk Factors.</w:t>
      </w:r>
    </w:p>
    <w:p w14:paraId="3067E76D" w14:textId="77777777" w:rsidR="004E516C" w:rsidRDefault="00C312B8">
      <w:pPr>
        <w:pStyle w:val="NormalWeb"/>
        <w:jc w:val="both"/>
      </w:pPr>
      <w:r>
        <w:rPr>
          <w:rStyle w:val="Strong"/>
        </w:rPr>
        <w:t>1.1 Introduction</w:t>
      </w:r>
    </w:p>
    <w:p w14:paraId="1D260AC7" w14:textId="4086FD7B" w:rsidR="004E516C" w:rsidRDefault="00C312B8">
      <w:pPr>
        <w:pStyle w:val="NormalWeb"/>
        <w:jc w:val="both"/>
      </w:pPr>
      <w:r>
        <w:t>Frontier​‍​‌‍​‍‌​‍​‌‍​‍‌ markets refer to financial markets that are small and fast-growing but are still less developed than emerging or advanced markets. Among the African countries, Nigeria is ranked as the most significant frontier market. Despite offering various investment opportunities, it is not immune to challenges. Economic and political factors heavily influence Nigeria's stock market, often causing it to behave in an unpredictable manner. One instance is that the country heavily relies on crude oil as a source of income; thus, any fluctuation in the price of oil in the global market is bound to affect the entire economy. Government revenue decreases when the prices of oil drop, leading to a situation where the exchange rate becomes unstable, inflation rockets, and the confidence of investors declines. The culmination of all these causes makes the Nigerian market an extremely unstable one. Examples of such models are the Capital Asset Pricing Model (CAPM) and the Fama-French Three-Factor Model. They presume an environment of stable and efficient markets and further suppose that risks remain unchanged, that investors behave logically, and that markets instantly adjust to new facts. In reality, these are not the conditions prevalent in Nigerian frontier markets, where reliance on such models has proven to lead to inaccurate results since these assumptions do not work there. For instance, in these markets, the dissemination of information is slow, at times trading is inactive, and price changes do not always follow logical sequences</w:t>
      </w:r>
      <w:r w:rsidR="00460ABF" w:rsidRPr="00460ABF">
        <w:t xml:space="preserve"> </w:t>
      </w:r>
      <w:r w:rsidR="000A0D25">
        <w:t>(Bekaert, Harvey, &amp; Lundblad, 2007)</w:t>
      </w:r>
      <w:r>
        <w:t>. Therefore, these classical models usually fail to measure risks accurately and forecast stock returns in a wrong way.</w:t>
      </w:r>
    </w:p>
    <w:p w14:paraId="57784763" w14:textId="34175944" w:rsidR="004E516C" w:rsidRDefault="00C312B8" w:rsidP="00E75171">
      <w:pPr>
        <w:pStyle w:val="NormalWeb"/>
        <w:jc w:val="both"/>
      </w:pPr>
      <w:r>
        <w:t xml:space="preserve">Over the past ten years, one of the major breakthroughs in financial problem solving has been the advent of Artificial Intelligence (AI). Unlike traditional models, AI models accomplish their tasks without the need for strict assumptions by extracting the patterns directly from the raw data. They are capable of uncovering non-linear relationships, they can quickly adapt to </w:t>
      </w:r>
      <w:r>
        <w:lastRenderedPageBreak/>
        <w:t xml:space="preserve">sudden changes, and in addition, their performance is not affected much in cases where data is noisy-which are exactly the kind of conditions found in frontier markets. For​‍​‌‍​‍‌​‍​‌‍​‍‌ example, AI methods like </w:t>
      </w:r>
      <w:proofErr w:type="spellStart"/>
      <w:r>
        <w:t>XGBoost</w:t>
      </w:r>
      <w:proofErr w:type="spellEnd"/>
      <w:r>
        <w:t>, Random Forest, and LSTM have been demonstrated to be more efficient in forecasting financial returns than conventional ones, particularly in unsta</w:t>
      </w:r>
      <w:r w:rsidR="00BD130C">
        <w:t xml:space="preserve">ble markets </w:t>
      </w:r>
      <w:r w:rsidR="00BD130C" w:rsidRPr="00BD130C">
        <w:t xml:space="preserve">(Gu, Kelly, &amp; </w:t>
      </w:r>
      <w:proofErr w:type="spellStart"/>
      <w:r w:rsidR="00BD130C" w:rsidRPr="00BD130C">
        <w:t>Xiu</w:t>
      </w:r>
      <w:proofErr w:type="spellEnd"/>
      <w:r w:rsidR="00BD130C" w:rsidRPr="00BD130C">
        <w:t>, 2020)</w:t>
      </w:r>
      <w:r>
        <w:t xml:space="preserve">. </w:t>
      </w:r>
      <w:r w:rsidR="00E75171">
        <w:t>Artificial​‍​‌‍​‍‌​‍​‌‍​‍‌ intelligence is playing a major role in asset pricing nowadays, especially in the emerging markets. A study on the Chinese A-share market has revealed that return predictability is very different from the U.S.-based findings, as liquidity-related factors are the main drivers there. Predictability is highest at short horizons for small, retail-driven stocks, whereas large, state-owned enterprises show more persistent predictability over longer horizons. More​‍​‌‍​‍‌​‍​‌‍​‍‌ importantly, the features have been confirmed to be economically significant even after the consideration of transaction costs, thus, AI techniques can be of great help in identifying the local market dynamics, which are then coupled by the institutional settings as the key factor in the carrying out of investment strategies based on predictions (</w:t>
      </w:r>
      <w:proofErr w:type="spellStart"/>
      <w:r w:rsidR="00E75171">
        <w:t>Leippold</w:t>
      </w:r>
      <w:proofErr w:type="spellEnd"/>
      <w:r w:rsidR="00E75171">
        <w:t xml:space="preserve"> et al., ​‍​‌‍​‍‌​‍​‌‍​‍‌2022).</w:t>
      </w:r>
      <w:r w:rsidR="00992798">
        <w:t xml:space="preserve"> </w:t>
      </w:r>
      <w:r w:rsidR="00992798" w:rsidRPr="00992798">
        <w:t>Recent​‍​‌‍​‍‌​‍​‌‍​‍‌ developments in machine learning have improved empirical asset pricing by using sophisticated and model-neutral fundamental analysis which can reveal non-linear interactions that are overlooked by conventional linear valuation models. Studies of European stock markets show that machine learning based methods not only help to more accurately figure out mispricing but also generate higher risk-adjusted returns through the exploitation of heterogeneous predictor importance, thus highlighting the economic significance of non-linear fundamental information (</w:t>
      </w:r>
      <w:proofErr w:type="spellStart"/>
      <w:r w:rsidR="00992798" w:rsidRPr="00992798">
        <w:t>Hanauer</w:t>
      </w:r>
      <w:proofErr w:type="spellEnd"/>
      <w:r w:rsidR="00992798" w:rsidRPr="00992798">
        <w:t xml:space="preserve">, </w:t>
      </w:r>
      <w:proofErr w:type="spellStart"/>
      <w:r w:rsidR="00992798" w:rsidRPr="00992798">
        <w:t>Kononova</w:t>
      </w:r>
      <w:proofErr w:type="spellEnd"/>
      <w:r w:rsidR="00992798" w:rsidRPr="00992798">
        <w:t>, &amp; Rapp, ​‍​‌‍​‍‌​‍​‌‍​‍‌2022).</w:t>
      </w:r>
      <w:r w:rsidR="00312B1C">
        <w:t xml:space="preserve"> </w:t>
      </w:r>
      <w:r w:rsidR="00312B1C" w:rsidRPr="00312B1C">
        <w:t>Artificial​‍​‌‍​‍‌​‍​‌‍​‍‌ intelligence is being integrated into financial markets at an incredibly fast pace, which has led to the issue of model transparency becoming a major concern especially for the most volatile asset classes such as cryptocurrencies. According to the latest research, explainable AI methods help to improve crypto-asset allocation results and at the same time reveal the risk–return relationships that are the basis of humans' decisions, thus raising the level of confidence and also the practical usefulness of data-driven investment strategies (</w:t>
      </w:r>
      <w:proofErr w:type="spellStart"/>
      <w:r w:rsidR="00312B1C" w:rsidRPr="00312B1C">
        <w:t>Babaei</w:t>
      </w:r>
      <w:proofErr w:type="spellEnd"/>
      <w:r w:rsidR="00312B1C" w:rsidRPr="00312B1C">
        <w:t xml:space="preserve">, </w:t>
      </w:r>
      <w:proofErr w:type="spellStart"/>
      <w:r w:rsidR="00312B1C" w:rsidRPr="00312B1C">
        <w:t>Giudici</w:t>
      </w:r>
      <w:proofErr w:type="spellEnd"/>
      <w:r w:rsidR="00312B1C" w:rsidRPr="00312B1C">
        <w:t xml:space="preserve">, &amp; </w:t>
      </w:r>
      <w:proofErr w:type="spellStart"/>
      <w:r w:rsidR="00312B1C" w:rsidRPr="00312B1C">
        <w:t>Raffinetti</w:t>
      </w:r>
      <w:proofErr w:type="spellEnd"/>
      <w:r w:rsidR="00312B1C" w:rsidRPr="00312B1C">
        <w:t>, ​‍​‌‍​‍‌​‍​‌‍​‍‌2022).</w:t>
      </w:r>
      <w:r w:rsidR="008E341E">
        <w:t xml:space="preserve"> </w:t>
      </w:r>
      <w:r w:rsidR="008E341E" w:rsidRPr="008E341E">
        <w:t xml:space="preserve">Recent​‍​‌‍​‍‌​‍​‌‍​‍‌ studies reveal that embedding explanations in deep learning models of the stock market has led to better performance in predicting the future market trend and in showing the influencing factors for the prediction. By disclosing the importance of the main variables these methods lead to the enhancement of users' trust in model-based predictions. Therefore, in the financial prediction area, </w:t>
      </w:r>
      <w:proofErr w:type="spellStart"/>
      <w:r w:rsidR="008E341E" w:rsidRPr="008E341E">
        <w:t>eXplainable</w:t>
      </w:r>
      <w:proofErr w:type="spellEnd"/>
      <w:r w:rsidR="008E341E" w:rsidRPr="008E341E">
        <w:t xml:space="preserve"> Artificial Intelligence (XAI) has attracted more and more attention as the need for models that not only perform well but also are understandable keeps increasing (Muhammad et al., ​‍​‌‍​‍‌​‍​‌‍​‍‌2024).</w:t>
      </w:r>
      <w:r w:rsidR="00DB2975">
        <w:t xml:space="preserve"> Explainable analytical methods which disclose the variables that influence model outputs can help us understand stock return predictability better. Such methods also allow for advanced learning algorithms to be accurate and economically interpretable at the same time (Goswami</w:t>
      </w:r>
      <w:r w:rsidR="00CB1974">
        <w:t xml:space="preserve"> and Uddi</w:t>
      </w:r>
      <w:r w:rsidR="00723E5F">
        <w:t>n</w:t>
      </w:r>
      <w:r w:rsidR="00DB2975">
        <w:t xml:space="preserve"> 2025</w:t>
      </w:r>
      <w:r w:rsidR="00DE7AD0">
        <w:t xml:space="preserve">; </w:t>
      </w:r>
      <w:proofErr w:type="spellStart"/>
      <w:r w:rsidR="00DE7AD0">
        <w:t>Giantsidi</w:t>
      </w:r>
      <w:proofErr w:type="spellEnd"/>
      <w:r w:rsidR="00DE7AD0">
        <w:t xml:space="preserve"> &amp; </w:t>
      </w:r>
      <w:proofErr w:type="spellStart"/>
      <w:r w:rsidR="00DE7AD0">
        <w:t>Tarantola</w:t>
      </w:r>
      <w:proofErr w:type="spellEnd"/>
      <w:r w:rsidR="00DB2975">
        <w:t>).</w:t>
      </w:r>
    </w:p>
    <w:p w14:paraId="3C578BAA" w14:textId="77777777" w:rsidR="004E516C" w:rsidRDefault="00C312B8">
      <w:pPr>
        <w:pStyle w:val="NormalWeb"/>
        <w:jc w:val="both"/>
      </w:pPr>
      <w:r>
        <w:t xml:space="preserve">The biggest use of AI might be the comprehension of systematic risk, which is the type of risk that affects the whole market and cannot be diversified ‍​‌‍​‍‌​‍​‌‍​‍‌away. For instance, in Nigeria, systematic risk is a resultant of several factors such as inflation, exchange-rate depreciation, oil-price shocks, interest-rate changes, political uncertainty, and global economic trends. There is an interaction of these factors that is quite complicated such that even the best traditional models find it difficult to fully capture it. To counter this issue, AI models are capable of learning these patterns as well as adapting to them. Hence, they are perfect for use in asset pricing in markets that are characterized by instability and non-linearity. The argument would be strongest if we used Nigeria; its uncommon economic situation alone would be enough. The​‍​‌‍​‍‌​‍​‌‍​‍‌ country is plagued with issues such as frequent devaluation of its local currency, high levels of inflation, irregular changes in policies, and fluctuating oil prices, to mention a ‍​‌‍​‍‌​‍​‌‍​‍‌few. Thusly, these factors are the cause of sudden changes in stock returns that require much more complex </w:t>
      </w:r>
      <w:r>
        <w:lastRenderedPageBreak/>
        <w:t>modelling techniques. On top of that, the Nigerian market has times when there is little or no liquidity, which basically means that certain stocks are rarely traded. Because of this, price adjustments are delayed; therefore, risk modelling becomes an even more challenging task when using classical tools.</w:t>
      </w:r>
    </w:p>
    <w:p w14:paraId="0595C56A" w14:textId="77777777" w:rsidR="004E516C" w:rsidRDefault="00C312B8">
      <w:pPr>
        <w:pStyle w:val="NormalWeb"/>
        <w:jc w:val="both"/>
      </w:pPr>
      <w:r>
        <w:t>An additional meaning layer is given to Explainable Artificial Intelligence (XAI) tools such as SHAP, which allow scientists to understand which factors convey the most to the predictions by AI models. This is very beneficial to investors and policymakers since they get to know the causes of the changes in the prices of stocks. To give an example, SHAP can specify whether it is exchange-rate volatility or inflation that contributes more to stock-return changes in a certain period. Nigeria's economic intricacy, combined with the limitations of traditional models, provides a solid reason for the use of AI. The current research employs these cutting-edge instruments to comprehend risk, increase asset-pricing accuracy, and facilitate investment decisions in the Nigerian frontier market. The outcomes of this research can be useful to investors, regulators, banks, and fund managers in the adoption of more resilient risk assessment methods. The study contrasts AI models with traditional ones to reveal AI's abilities in identifying those aspects of market behavior that are missed by classical ​‍​‌‍​‍‌​‍​‌‍​‍‌methodologies.</w:t>
      </w:r>
    </w:p>
    <w:p w14:paraId="5DC32004" w14:textId="77777777" w:rsidR="004E516C" w:rsidRDefault="004E516C">
      <w:pPr>
        <w:pStyle w:val="NormalWeb"/>
        <w:jc w:val="both"/>
        <w:rPr>
          <w:rStyle w:val="Strong"/>
        </w:rPr>
      </w:pPr>
    </w:p>
    <w:p w14:paraId="21B00F40" w14:textId="77777777" w:rsidR="004E516C" w:rsidRDefault="004E516C">
      <w:pPr>
        <w:pStyle w:val="NormalWeb"/>
        <w:jc w:val="both"/>
        <w:rPr>
          <w:rStyle w:val="Strong"/>
        </w:rPr>
      </w:pPr>
    </w:p>
    <w:p w14:paraId="7A45BCE6" w14:textId="77777777" w:rsidR="004E516C" w:rsidRDefault="004E516C">
      <w:pPr>
        <w:pStyle w:val="NormalWeb"/>
        <w:jc w:val="both"/>
        <w:rPr>
          <w:rStyle w:val="Strong"/>
        </w:rPr>
      </w:pPr>
    </w:p>
    <w:p w14:paraId="606CBBAA" w14:textId="77777777" w:rsidR="00454F61" w:rsidRDefault="00454F61">
      <w:pPr>
        <w:pStyle w:val="NormalWeb"/>
        <w:jc w:val="both"/>
        <w:rPr>
          <w:rStyle w:val="Strong"/>
        </w:rPr>
      </w:pPr>
    </w:p>
    <w:p w14:paraId="46684931" w14:textId="77777777" w:rsidR="004E516C" w:rsidRDefault="00C312B8">
      <w:pPr>
        <w:pStyle w:val="NormalWeb"/>
        <w:jc w:val="both"/>
      </w:pPr>
      <w:r>
        <w:rPr>
          <w:rStyle w:val="Strong"/>
        </w:rPr>
        <w:t>1.2 Motivation and Objectives</w:t>
      </w:r>
    </w:p>
    <w:p w14:paraId="29CCADE0" w14:textId="77777777" w:rsidR="004E516C" w:rsidRDefault="00C312B8">
      <w:pPr>
        <w:pStyle w:val="NormalWeb"/>
        <w:jc w:val="both"/>
      </w:pPr>
      <w:r>
        <w:rPr>
          <w:rStyle w:val="Strong"/>
        </w:rPr>
        <w:t>Motivation</w:t>
      </w:r>
    </w:p>
    <w:p w14:paraId="2C373262" w14:textId="14273D1E" w:rsidR="004E516C" w:rsidRDefault="00C312B8">
      <w:pPr>
        <w:pStyle w:val="NormalWeb"/>
        <w:jc w:val="both"/>
      </w:pPr>
      <w:r>
        <w:t>The​‍​‌‍​‍‌​‍​‌‍​‍‌ most important factor that urged the authors to conduct their research was the desire to make the asset-pricing models more accurate in the Nigerian stock market. Conventional models operate on the premise that markets are efficient and there are linear relationships between risk factors and returns. However,​‍​‌‍​‍‌​‍​‌‍​‍‌ the Nigerian market is still considered a bad situation for the most part because of its instability and lack of liquidity. Besides that, it is fighting against inflation and speculator-driven investments while political events causing irregular movements are dominating. Such situations make it very difficult to predict market behavior, and traditional models have a hard time functioning effect</w:t>
      </w:r>
      <w:r w:rsidR="00CD06B8">
        <w:t xml:space="preserve">ively in such environments </w:t>
      </w:r>
      <w:r w:rsidR="00CD06B8" w:rsidRPr="00CD06B8">
        <w:t>(</w:t>
      </w:r>
      <w:proofErr w:type="spellStart"/>
      <w:r w:rsidR="00CD06B8" w:rsidRPr="00CD06B8">
        <w:t>Adjasi</w:t>
      </w:r>
      <w:proofErr w:type="spellEnd"/>
      <w:r w:rsidR="00CD06B8" w:rsidRPr="00CD06B8">
        <w:t>, Harvey, &amp; Agyapong, 2008)</w:t>
      </w:r>
      <w:r>
        <w:t>.</w:t>
      </w:r>
    </w:p>
    <w:p w14:paraId="5C94A26E" w14:textId="77777777" w:rsidR="004E516C" w:rsidRDefault="00C312B8">
      <w:pPr>
        <w:pStyle w:val="NormalWeb"/>
        <w:jc w:val="both"/>
      </w:pPr>
      <w:r>
        <w:t>AI models are capable of removing such constraints, as they do not have to follow strict rules. These machines have the capability to learn from large volumes of data, detect areas where there may be hidden relationships between variables, and unravel complex nonlinear relationships between economic variables and stock returns. Such technology is therefore the perfect device for capturing the true aspects of systematic risk in developing markets.</w:t>
      </w:r>
    </w:p>
    <w:p w14:paraId="4D284514" w14:textId="77777777" w:rsidR="004E516C" w:rsidRDefault="00C312B8">
      <w:pPr>
        <w:pStyle w:val="NormalWeb"/>
        <w:jc w:val="both"/>
      </w:pPr>
      <w:r>
        <w:t xml:space="preserve">Another motivation behind the study is the requirement for superior investment tools for Nigerian investors and better risk-management techniques by regulators. The country of Nigeria has gone through various financial shocks, such as recessions, crises of the currency, </w:t>
      </w:r>
      <w:r>
        <w:lastRenderedPageBreak/>
        <w:t>and sudden increases in inflation. Hence, a contemporary approach employing AI can make things less risky and more decision-making efficient in the capital market by ‍​‌‍​‍‌​‍​‌‍​‍‌it.</w:t>
      </w:r>
    </w:p>
    <w:p w14:paraId="1CEEF86B" w14:textId="77777777" w:rsidR="004E516C" w:rsidRDefault="00C312B8">
      <w:pPr>
        <w:pStyle w:val="NormalWeb"/>
        <w:jc w:val="both"/>
      </w:pPr>
      <w:r>
        <w:rPr>
          <w:rStyle w:val="Strong"/>
        </w:rPr>
        <w:t>Objectives</w:t>
      </w:r>
    </w:p>
    <w:p w14:paraId="16BCE6C8" w14:textId="77777777" w:rsidR="004E516C" w:rsidRDefault="00C312B8">
      <w:pPr>
        <w:pStyle w:val="NormalWeb"/>
        <w:jc w:val="both"/>
      </w:pPr>
      <w:r>
        <w:t>The​‍​‌‍​‍‌​‍​‌‍​‍‌ research objectives are outlined by four major points:</w:t>
      </w:r>
    </w:p>
    <w:p w14:paraId="67EE4C30" w14:textId="77777777" w:rsidR="004E516C" w:rsidRDefault="00C312B8">
      <w:pPr>
        <w:pStyle w:val="NormalWeb"/>
        <w:jc w:val="both"/>
      </w:pPr>
      <w:proofErr w:type="spellStart"/>
      <w:r>
        <w:t>i</w:t>
      </w:r>
      <w:proofErr w:type="spellEnd"/>
      <w:r>
        <w:t>.​‍​‌‍​‍‌​‍​‌‍​‍‌ The development of AI-powered models (</w:t>
      </w:r>
      <w:proofErr w:type="spellStart"/>
      <w:r>
        <w:t>XGBoost</w:t>
      </w:r>
      <w:proofErr w:type="spellEnd"/>
      <w:r>
        <w:t>, Random Forest, LSTM) to predict systematic risk in the Nigerian market.</w:t>
      </w:r>
    </w:p>
    <w:p w14:paraId="3BEDBCDB" w14:textId="77777777" w:rsidR="004E516C" w:rsidRDefault="00C312B8">
      <w:pPr>
        <w:pStyle w:val="NormalWeb"/>
        <w:jc w:val="both"/>
      </w:pPr>
      <w:r>
        <w:t>ii. The comparison of the predictive performance of the classical models (CAPM and Fama–French) with that of the AI models.</w:t>
      </w:r>
    </w:p>
    <w:p w14:paraId="2A72FB38" w14:textId="77777777" w:rsidR="004E516C" w:rsidRDefault="00C312B8">
      <w:pPr>
        <w:pStyle w:val="NormalWeb"/>
        <w:jc w:val="both"/>
      </w:pPr>
      <w:r>
        <w:t>iii. Using Explainable AI (SHAP) to identify the main risk factors that impinge on stock returns to the greatest extent.</w:t>
      </w:r>
    </w:p>
    <w:p w14:paraId="181C6F22" w14:textId="77777777" w:rsidR="004E516C" w:rsidRDefault="00C312B8">
      <w:pPr>
        <w:pStyle w:val="NormalWeb"/>
        <w:jc w:val="both"/>
      </w:pPr>
      <w:r>
        <w:t>‍​‌‍​‍‌​‍​iv. The study findings leading to the recommendations being delivered to investors, regulators, and ‍​‌‍​‍‌​‍​‌‍​‍‌policymakers</w:t>
      </w:r>
    </w:p>
    <w:p w14:paraId="15E03263" w14:textId="77777777" w:rsidR="004E516C" w:rsidRDefault="00C312B8">
      <w:pPr>
        <w:pStyle w:val="NormalWeb"/>
        <w:jc w:val="both"/>
      </w:pPr>
      <w:r>
        <w:rPr>
          <w:rStyle w:val="Strong"/>
        </w:rPr>
        <w:t>3.0 Methodology</w:t>
      </w:r>
    </w:p>
    <w:p w14:paraId="54F9BAEF" w14:textId="77777777" w:rsidR="004E516C" w:rsidRDefault="00C312B8">
      <w:pPr>
        <w:pStyle w:val="NormalWeb"/>
        <w:jc w:val="both"/>
      </w:pPr>
      <w:r>
        <w:rPr>
          <w:rStyle w:val="Strong"/>
        </w:rPr>
        <w:t>3.1 Software Used</w:t>
      </w:r>
    </w:p>
    <w:p w14:paraId="0B853ACB" w14:textId="77777777" w:rsidR="004E516C" w:rsidRDefault="00C312B8">
      <w:pPr>
        <w:pStyle w:val="NormalWeb"/>
        <w:jc w:val="both"/>
      </w:pPr>
      <w:r>
        <w:t xml:space="preserve">The analysis of the study combined different tools, including Python 3.11, R 4.3, and Microsoft Excel. Python was the main instrument for modeling and machine learning. Libraries such as pandas and </w:t>
      </w:r>
      <w:proofErr w:type="spellStart"/>
      <w:r>
        <w:t>numpy</w:t>
      </w:r>
      <w:proofErr w:type="spellEnd"/>
      <w:r>
        <w:t xml:space="preserve"> were used for data manipulation, scikit-learn for traditional ML algorithms, </w:t>
      </w:r>
      <w:proofErr w:type="spellStart"/>
      <w:r>
        <w:t>XGBoost</w:t>
      </w:r>
      <w:proofErr w:type="spellEnd"/>
      <w:r>
        <w:t xml:space="preserve"> for gradient boosting techniques, TensorFlow for the LSTM deep-learning model implementation, and SHAP for the explainable AI analysis. R 4.3 was mainly used for descriptive statistics and summary tables due to its strong statistical capabilities. The​‍​‌‍​‍‌​‍​‌‍​‍‌ early steps of data cleaning, formatting, and organizing the raw dataset were done using Microsoft Excel, after which the data was loaded into the analytical ​‍​‌‍​‍‌​‍​‌‍​‍‌environments.</w:t>
      </w:r>
    </w:p>
    <w:p w14:paraId="112D3AAA" w14:textId="77777777" w:rsidR="004E516C" w:rsidRDefault="00C312B8">
      <w:pPr>
        <w:pStyle w:val="NormalWeb"/>
        <w:jc w:val="both"/>
      </w:pPr>
      <w:r>
        <w:rPr>
          <w:rStyle w:val="Strong"/>
        </w:rPr>
        <w:t>3.2 Data Description</w:t>
      </w:r>
    </w:p>
    <w:p w14:paraId="0F305916" w14:textId="77777777" w:rsidR="004E516C" w:rsidRDefault="00C312B8">
      <w:pPr>
        <w:pStyle w:val="NormalWeb"/>
        <w:jc w:val="both"/>
      </w:pPr>
      <w:r>
        <w:t>This​‍​‌‍​‍‌​‍​‌‍​‍‌ research dataset encompasses the variables that are of both the financial and macroeconomic sectors of the Nigerian market from the year 2010 to ‍​‌‍​‍‌​‍​‌‍​‍‌2024. It features daily stock prices for the Nigerian equities selected, daily exchange-rate movements (₦/USD), inflation rates, global oil prices, market liquidity indicators, and trading volume data. The variables were chosen since they stand for the major factors that contribute to the system risk in frontier markets and also encompass the market-level as well as macroeconomic influences on asset pricing in the Nigerian financial ​‍​‌‍​‍‌​‍​‌‍​‍‌system.</w:t>
      </w:r>
    </w:p>
    <w:p w14:paraId="4CD665DA" w14:textId="77777777" w:rsidR="004E516C" w:rsidRDefault="00C312B8">
      <w:pPr>
        <w:pStyle w:val="NormalWeb"/>
        <w:jc w:val="both"/>
      </w:pPr>
      <w:r>
        <w:rPr>
          <w:rStyle w:val="Strong"/>
        </w:rPr>
        <w:t>3.3 Model Specifications</w:t>
      </w:r>
    </w:p>
    <w:p w14:paraId="580E3343" w14:textId="77777777" w:rsidR="004E516C" w:rsidRDefault="00C312B8">
      <w:pPr>
        <w:pStyle w:val="NormalWeb"/>
        <w:jc w:val="both"/>
      </w:pPr>
      <w:r>
        <w:rPr>
          <w:rStyle w:val="Strong"/>
        </w:rPr>
        <w:t>Traditional Models</w:t>
      </w:r>
    </w:p>
    <w:p w14:paraId="33D16DBA" w14:textId="77777777" w:rsidR="004E516C" w:rsidRDefault="00C312B8">
      <w:pPr>
        <w:pStyle w:val="NormalWeb"/>
        <w:jc w:val="both"/>
      </w:pPr>
      <w:r>
        <w:t>CAPM         Ri = α + βRm + ϵ</w:t>
      </w:r>
    </w:p>
    <w:p w14:paraId="046B50FD" w14:textId="77777777" w:rsidR="004E516C" w:rsidRDefault="00C312B8">
      <w:pPr>
        <w:pStyle w:val="NormalWeb"/>
        <w:jc w:val="both"/>
      </w:pPr>
      <w:r>
        <w:t xml:space="preserve">The​‍​‌‍​‍‌​‍​‌‍​‍‌ return of the stock </w:t>
      </w:r>
      <w:proofErr w:type="spellStart"/>
      <w:r>
        <w:t>i</w:t>
      </w:r>
      <w:proofErr w:type="spellEnd"/>
      <w:r>
        <w:t xml:space="preserve"> (Ri) is figured out by alpha (α), which is the portion of the return that is not accounted for by the market; beta (β), which indicates how a change in the market return </w:t>
      </w:r>
      <w:r>
        <w:lastRenderedPageBreak/>
        <w:t>(Rm) affects the stock; and epsilon (ϵ), which is the error term that comprises the rest of the factors. To put it simply, CAPM determines that a stock's return is based on the degree to which it varies with the ‍​‌‍​‍‌​‍​‌‍​‍‌market.</w:t>
      </w:r>
    </w:p>
    <w:p w14:paraId="240EBA47" w14:textId="77777777" w:rsidR="004E516C" w:rsidRDefault="00C312B8">
      <w:pPr>
        <w:pStyle w:val="NormalWeb"/>
        <w:jc w:val="both"/>
      </w:pPr>
      <w:r>
        <w:rPr>
          <w:rStyle w:val="Strong"/>
        </w:rPr>
        <w:t>Fama-French Three-Factor Model</w:t>
      </w:r>
    </w:p>
    <w:p w14:paraId="640CEA64" w14:textId="77777777" w:rsidR="004E516C" w:rsidRDefault="00C312B8">
      <w:pPr>
        <w:pStyle w:val="NormalWeb"/>
        <w:jc w:val="both"/>
      </w:pPr>
      <w:r>
        <w:t>Ri = α + β1Rm + β2SMB + β3​HML + ϵ</w:t>
      </w:r>
    </w:p>
    <w:p w14:paraId="5E88EBCC" w14:textId="77777777" w:rsidR="004E516C" w:rsidRDefault="00C312B8">
      <w:pPr>
        <w:pStyle w:val="NormalWeb"/>
        <w:jc w:val="both"/>
      </w:pPr>
      <w:r>
        <w:t>Stock​‍​‌‍​‍‌​‍​‌‍​‍‌ returns are represented as a function of market return (Rm), SMB, which stands for Small Minus Big (the return difference between small and large firms), and HML, which is High Minus Low (the return difference between value and growth firms). Beta values (β₁, β₂, β₃) indicate how much the stock changes for a one-unit change in each factor. Basically, this model implies that the three factors of the market, company size, and industry (value or growth) affect stock ‍​‌‍​‍‌​‍​‌‍​‍‌returns.</w:t>
      </w:r>
    </w:p>
    <w:p w14:paraId="45CAD969" w14:textId="77777777" w:rsidR="004E516C" w:rsidRDefault="00C312B8">
      <w:pPr>
        <w:pStyle w:val="NormalWeb"/>
        <w:jc w:val="both"/>
      </w:pPr>
      <w:r>
        <w:rPr>
          <w:rStyle w:val="Strong"/>
        </w:rPr>
        <w:t>3.4 AI Models as They Align with the Objectives</w:t>
      </w:r>
    </w:p>
    <w:p w14:paraId="120364FE" w14:textId="77777777" w:rsidR="004E516C" w:rsidRDefault="00C312B8">
      <w:pPr>
        <w:pStyle w:val="NormalWeb"/>
        <w:jc w:val="both"/>
      </w:pPr>
      <w:r>
        <w:t xml:space="preserve">Three​‍​‌‍​‍‌​‍​‌‍​‍‌ artificial intelligence models are employed by me in this investigation to reflect the complicated nature of the Nigerian frontier market. The first one is </w:t>
      </w:r>
      <w:proofErr w:type="spellStart"/>
      <w:r>
        <w:t>XGBoost</w:t>
      </w:r>
      <w:proofErr w:type="spellEnd"/>
      <w:r>
        <w:t xml:space="preserve"> that I apply. To form a single strong and accurate model, it sequentially boosts multiple weak learners. Thus, it is very effective in finding detailed and nonlinear patterns in financial data. The second model that I use is Random Forest. This model is based on the ensemble of decision trees that grasp non-linear relationships and interactions among variables, thus giving a more stable and robust prediction framework. Lastly, I employ the Long Short-Term Memory (LSTM) neural network, which is a deep-learning model aimed at time-series analysis. Its capability to learn long-term dependencies allows it to capture trends, volatility patterns, structural breaks, etc. that are recurrences in stock market ‍​‌‍​‍‌​‍​‌‍​‍‌behavior.</w:t>
      </w:r>
    </w:p>
    <w:p w14:paraId="27462191" w14:textId="77777777" w:rsidR="004E516C" w:rsidRDefault="00C312B8">
      <w:pPr>
        <w:pStyle w:val="NormalWeb"/>
        <w:jc w:val="both"/>
      </w:pPr>
      <w:r>
        <w:rPr>
          <w:rStyle w:val="Strong"/>
        </w:rPr>
        <w:t>3.5 Analytical Steps</w:t>
      </w:r>
    </w:p>
    <w:p w14:paraId="4882817B" w14:textId="77777777" w:rsidR="004E516C" w:rsidRDefault="00C312B8">
      <w:pPr>
        <w:pStyle w:val="NormalWeb"/>
        <w:jc w:val="both"/>
      </w:pPr>
      <w:r>
        <w:t xml:space="preserve">My​‍​‌‍​‍‌​‍​‌‍​‍‌ analytical procedure for the achievement of this study's objectives was structured. In the very beginning, I did data cleaning and normalization and changed missing values, outliers, and inconsistencies, thus making the dataset suitable for modelling. Stock price data were changed to returns, as returns show more accurately price changes and are standard in financial modelling. After data preparation, I divided the data into training and testing sets; thus, 80% of the data was used to train the models and 20% to test their performance. Next, the different models, CAPM, </w:t>
      </w:r>
      <w:proofErr w:type="spellStart"/>
      <w:r>
        <w:t>Fama</w:t>
      </w:r>
      <w:proofErr w:type="spellEnd"/>
      <w:r>
        <w:t xml:space="preserve">-French, </w:t>
      </w:r>
      <w:proofErr w:type="spellStart"/>
      <w:r>
        <w:t>XGBoost</w:t>
      </w:r>
      <w:proofErr w:type="spellEnd"/>
      <w:r>
        <w:t>, Random Forest, and LSTM, were trained on the training set. To see how well each model worked, I used Root Mean Square Error (RMSE), Mean Absolute Percentage Error (MAPE), and R-squared (R²) as evaluation metrics. At last, I used SHAP (</w:t>
      </w:r>
      <w:proofErr w:type="spellStart"/>
      <w:r>
        <w:t>SHapley</w:t>
      </w:r>
      <w:proofErr w:type="spellEnd"/>
      <w:r>
        <w:t xml:space="preserve"> Additive </w:t>
      </w:r>
      <w:proofErr w:type="spellStart"/>
      <w:r>
        <w:t>exPlanations</w:t>
      </w:r>
      <w:proofErr w:type="spellEnd"/>
      <w:r>
        <w:t>) to open the AI models and see which variables influenced most the systematic risk in the Nigerian ‍​‌‍​‍‌​‍​‌‍​‍‌market.</w:t>
      </w:r>
    </w:p>
    <w:p w14:paraId="51AE224D" w14:textId="77777777" w:rsidR="004E516C" w:rsidRDefault="00C312B8">
      <w:pPr>
        <w:pStyle w:val="NormalWeb"/>
        <w:jc w:val="both"/>
      </w:pPr>
      <w:r>
        <w:rPr>
          <w:rStyle w:val="Strong"/>
        </w:rPr>
        <w:t>4.0 Results</w:t>
      </w:r>
    </w:p>
    <w:p w14:paraId="2066BCEA" w14:textId="14C4103B" w:rsidR="004E516C" w:rsidRDefault="003F422C" w:rsidP="003F422C">
      <w:pPr>
        <w:rPr>
          <w:rFonts w:ascii="Times New Roman" w:hAnsi="Times New Roman" w:cs="Times New Roman"/>
          <w:b/>
          <w:sz w:val="24"/>
          <w:szCs w:val="24"/>
        </w:rPr>
      </w:pPr>
      <w:r>
        <w:rPr>
          <w:rFonts w:ascii="Times New Roman" w:hAnsi="Times New Roman" w:cs="Times New Roman"/>
          <w:b/>
          <w:sz w:val="24"/>
          <w:szCs w:val="24"/>
        </w:rPr>
        <w:t>Table 1-</w:t>
      </w:r>
      <w:r w:rsidR="00C312B8">
        <w:rPr>
          <w:rFonts w:ascii="Times New Roman" w:hAnsi="Times New Roman" w:cs="Times New Roman"/>
          <w:b/>
          <w:bCs/>
          <w:sz w:val="24"/>
          <w:szCs w:val="24"/>
          <w:lang w:bidi="en-US"/>
        </w:rPr>
        <w:t>Sample of the Data (2010-2024)</w:t>
      </w:r>
    </w:p>
    <w:tbl>
      <w:tblPr>
        <w:tblStyle w:val="PlainTable2"/>
        <w:tblW w:w="10170" w:type="dxa"/>
        <w:tblInd w:w="-365" w:type="dxa"/>
        <w:tblLook w:val="04A0" w:firstRow="1" w:lastRow="0" w:firstColumn="1" w:lastColumn="0" w:noHBand="0" w:noVBand="1"/>
      </w:tblPr>
      <w:tblGrid>
        <w:gridCol w:w="1509"/>
        <w:gridCol w:w="1551"/>
        <w:gridCol w:w="2700"/>
        <w:gridCol w:w="1350"/>
        <w:gridCol w:w="1884"/>
        <w:gridCol w:w="1176"/>
      </w:tblGrid>
      <w:tr w:rsidR="004E516C" w14:paraId="6A34D464" w14:textId="77777777" w:rsidTr="004E516C">
        <w:trPr>
          <w:cnfStyle w:val="100000000000" w:firstRow="1" w:lastRow="0" w:firstColumn="0" w:lastColumn="0" w:oddVBand="0" w:evenVBand="0" w:oddHBand="0" w:evenHBand="0" w:firstRowFirstColumn="0" w:firstRowLastColumn="0" w:lastRowFirstColumn="0" w:lastRowLastColumn="0"/>
          <w:trHeight w:hRule="exact" w:val="775"/>
        </w:trPr>
        <w:tc>
          <w:tcPr>
            <w:cnfStyle w:val="001000000000" w:firstRow="0" w:lastRow="0" w:firstColumn="1" w:lastColumn="0" w:oddVBand="0" w:evenVBand="0" w:oddHBand="0" w:evenHBand="0" w:firstRowFirstColumn="0" w:firstRowLastColumn="0" w:lastRowFirstColumn="0" w:lastRowLastColumn="0"/>
            <w:tcW w:w="1509" w:type="dxa"/>
            <w:tcBorders>
              <w:top w:val="single" w:sz="4" w:space="0" w:color="7F7F7F" w:themeColor="text1" w:themeTint="80"/>
              <w:left w:val="single" w:sz="4" w:space="0" w:color="7F7F7F" w:themeColor="text1" w:themeTint="80"/>
              <w:right w:val="single" w:sz="4" w:space="0" w:color="7F7F7F" w:themeColor="text1" w:themeTint="80"/>
            </w:tcBorders>
            <w:hideMark/>
          </w:tcPr>
          <w:p w14:paraId="206A27CA" w14:textId="77777777" w:rsidR="004E516C" w:rsidRDefault="00C312B8">
            <w:pPr>
              <w:spacing w:after="0" w:line="360" w:lineRule="auto"/>
              <w:rPr>
                <w:rFonts w:ascii="Times New Roman" w:hAnsi="Times New Roman" w:cs="Times New Roman"/>
                <w:b w:val="0"/>
                <w:sz w:val="20"/>
                <w:szCs w:val="20"/>
                <w:lang w:bidi="en-US"/>
              </w:rPr>
            </w:pPr>
            <w:r>
              <w:rPr>
                <w:rFonts w:ascii="Times New Roman" w:hAnsi="Times New Roman" w:cs="Times New Roman"/>
                <w:b w:val="0"/>
                <w:bCs w:val="0"/>
                <w:sz w:val="20"/>
                <w:szCs w:val="20"/>
                <w:lang w:bidi="en-US"/>
              </w:rPr>
              <w:t>Date</w:t>
            </w:r>
          </w:p>
        </w:tc>
        <w:tc>
          <w:tcPr>
            <w:tcW w:w="1551" w:type="dxa"/>
            <w:tcBorders>
              <w:top w:val="single" w:sz="4" w:space="0" w:color="7F7F7F" w:themeColor="text1" w:themeTint="80"/>
              <w:left w:val="single" w:sz="4" w:space="0" w:color="7F7F7F" w:themeColor="text1" w:themeTint="80"/>
              <w:right w:val="single" w:sz="4" w:space="0" w:color="7F7F7F" w:themeColor="text1" w:themeTint="80"/>
            </w:tcBorders>
            <w:hideMark/>
          </w:tcPr>
          <w:p w14:paraId="23852E80"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Stock Price (</w:t>
            </w:r>
            <w:r>
              <w:rPr>
                <w:rFonts w:ascii="Times New Roman" w:hAnsi="Times New Roman" w:cs="Times New Roman"/>
                <w:b w:val="0"/>
                <w:bCs w:val="0"/>
                <w:strike/>
                <w:sz w:val="20"/>
                <w:szCs w:val="20"/>
                <w:lang w:bidi="en-US"/>
              </w:rPr>
              <w:t>N</w:t>
            </w:r>
            <w:r>
              <w:rPr>
                <w:rFonts w:ascii="Times New Roman" w:hAnsi="Times New Roman" w:cs="Times New Roman"/>
                <w:b w:val="0"/>
                <w:bCs w:val="0"/>
                <w:sz w:val="20"/>
                <w:szCs w:val="20"/>
                <w:lang w:bidi="en-US"/>
              </w:rPr>
              <w:t>)</w:t>
            </w:r>
          </w:p>
        </w:tc>
        <w:tc>
          <w:tcPr>
            <w:tcW w:w="2700" w:type="dxa"/>
            <w:tcBorders>
              <w:top w:val="single" w:sz="4" w:space="0" w:color="7F7F7F" w:themeColor="text1" w:themeTint="80"/>
              <w:left w:val="single" w:sz="4" w:space="0" w:color="7F7F7F" w:themeColor="text1" w:themeTint="80"/>
              <w:right w:val="single" w:sz="4" w:space="0" w:color="7F7F7F" w:themeColor="text1" w:themeTint="80"/>
            </w:tcBorders>
            <w:hideMark/>
          </w:tcPr>
          <w:p w14:paraId="4755AE3B"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Exchange Rate (</w:t>
            </w:r>
            <w:r>
              <w:rPr>
                <w:rFonts w:ascii="Times New Roman" w:hAnsi="Times New Roman" w:cs="Times New Roman"/>
                <w:b w:val="0"/>
                <w:bCs w:val="0"/>
                <w:strike/>
                <w:sz w:val="20"/>
                <w:szCs w:val="20"/>
                <w:lang w:bidi="en-US"/>
              </w:rPr>
              <w:t>N</w:t>
            </w:r>
            <w:r>
              <w:rPr>
                <w:rFonts w:ascii="Times New Roman" w:hAnsi="Times New Roman" w:cs="Times New Roman"/>
                <w:b w:val="0"/>
                <w:bCs w:val="0"/>
                <w:sz w:val="20"/>
                <w:szCs w:val="20"/>
                <w:lang w:bidi="en-US"/>
              </w:rPr>
              <w:t xml:space="preserve"> /USD)</w:t>
            </w:r>
          </w:p>
        </w:tc>
        <w:tc>
          <w:tcPr>
            <w:tcW w:w="1350" w:type="dxa"/>
            <w:tcBorders>
              <w:top w:val="single" w:sz="4" w:space="0" w:color="7F7F7F" w:themeColor="text1" w:themeTint="80"/>
              <w:left w:val="single" w:sz="4" w:space="0" w:color="7F7F7F" w:themeColor="text1" w:themeTint="80"/>
              <w:right w:val="single" w:sz="4" w:space="0" w:color="7F7F7F" w:themeColor="text1" w:themeTint="80"/>
            </w:tcBorders>
            <w:hideMark/>
          </w:tcPr>
          <w:p w14:paraId="3D09DD15"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Inflation (%)</w:t>
            </w:r>
          </w:p>
        </w:tc>
        <w:tc>
          <w:tcPr>
            <w:tcW w:w="1884" w:type="dxa"/>
            <w:tcBorders>
              <w:top w:val="single" w:sz="4" w:space="0" w:color="7F7F7F" w:themeColor="text1" w:themeTint="80"/>
              <w:left w:val="single" w:sz="4" w:space="0" w:color="7F7F7F" w:themeColor="text1" w:themeTint="80"/>
              <w:right w:val="single" w:sz="4" w:space="0" w:color="7F7F7F" w:themeColor="text1" w:themeTint="80"/>
            </w:tcBorders>
            <w:hideMark/>
          </w:tcPr>
          <w:p w14:paraId="3E734BB1"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Oil Price (USD)</w:t>
            </w:r>
          </w:p>
        </w:tc>
        <w:tc>
          <w:tcPr>
            <w:tcW w:w="1176" w:type="dxa"/>
            <w:tcBorders>
              <w:top w:val="single" w:sz="4" w:space="0" w:color="7F7F7F" w:themeColor="text1" w:themeTint="80"/>
              <w:left w:val="single" w:sz="4" w:space="0" w:color="7F7F7F" w:themeColor="text1" w:themeTint="80"/>
              <w:right w:val="single" w:sz="4" w:space="0" w:color="7F7F7F" w:themeColor="text1" w:themeTint="80"/>
            </w:tcBorders>
            <w:hideMark/>
          </w:tcPr>
          <w:p w14:paraId="682B8FB4"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Volume</w:t>
            </w:r>
          </w:p>
        </w:tc>
      </w:tr>
      <w:tr w:rsidR="004E516C" w14:paraId="54834FB6" w14:textId="77777777" w:rsidTr="004E516C">
        <w:trPr>
          <w:cnfStyle w:val="000000100000" w:firstRow="0" w:lastRow="0" w:firstColumn="0" w:lastColumn="0" w:oddVBand="0" w:evenVBand="0" w:oddHBand="1" w:evenHBand="0" w:firstRowFirstColumn="0" w:firstRowLastColumn="0" w:lastRowFirstColumn="0" w:lastRowLastColumn="0"/>
          <w:trHeight w:hRule="exact" w:val="848"/>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07C4DEAB" w14:textId="77777777" w:rsidR="004E516C" w:rsidRDefault="00C312B8">
            <w:pPr>
              <w:spacing w:after="0" w:line="360" w:lineRule="auto"/>
              <w:rPr>
                <w:rFonts w:ascii="Times New Roman" w:hAnsi="Times New Roman" w:cs="Times New Roman"/>
                <w:b w:val="0"/>
                <w:bCs w:val="0"/>
                <w:lang w:bidi="en-US"/>
              </w:rPr>
            </w:pPr>
            <w:r>
              <w:rPr>
                <w:rFonts w:ascii="Times New Roman" w:hAnsi="Times New Roman" w:cs="Times New Roman"/>
                <w:lang w:bidi="en-US"/>
              </w:rPr>
              <w:lastRenderedPageBreak/>
              <w:t>2010-01-04</w:t>
            </w:r>
          </w:p>
        </w:tc>
        <w:tc>
          <w:tcPr>
            <w:tcW w:w="1551" w:type="dxa"/>
            <w:tcBorders>
              <w:top w:val="nil"/>
              <w:left w:val="single" w:sz="4" w:space="0" w:color="7F7F7F" w:themeColor="text1" w:themeTint="80"/>
              <w:bottom w:val="nil"/>
              <w:right w:val="single" w:sz="4" w:space="0" w:color="7F7F7F" w:themeColor="text1" w:themeTint="80"/>
            </w:tcBorders>
            <w:hideMark/>
          </w:tcPr>
          <w:p w14:paraId="269EED89"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12.45</w:t>
            </w:r>
          </w:p>
        </w:tc>
        <w:tc>
          <w:tcPr>
            <w:tcW w:w="2700" w:type="dxa"/>
            <w:tcBorders>
              <w:top w:val="nil"/>
              <w:left w:val="single" w:sz="4" w:space="0" w:color="7F7F7F" w:themeColor="text1" w:themeTint="80"/>
              <w:bottom w:val="nil"/>
              <w:right w:val="single" w:sz="4" w:space="0" w:color="7F7F7F" w:themeColor="text1" w:themeTint="80"/>
            </w:tcBorders>
            <w:hideMark/>
          </w:tcPr>
          <w:p w14:paraId="3A0B6913"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153.21</w:t>
            </w:r>
          </w:p>
        </w:tc>
        <w:tc>
          <w:tcPr>
            <w:tcW w:w="1350" w:type="dxa"/>
            <w:tcBorders>
              <w:top w:val="nil"/>
              <w:left w:val="single" w:sz="4" w:space="0" w:color="7F7F7F" w:themeColor="text1" w:themeTint="80"/>
              <w:bottom w:val="nil"/>
              <w:right w:val="single" w:sz="4" w:space="0" w:color="7F7F7F" w:themeColor="text1" w:themeTint="80"/>
            </w:tcBorders>
            <w:hideMark/>
          </w:tcPr>
          <w:p w14:paraId="62CAE29B"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12.4</w:t>
            </w:r>
          </w:p>
        </w:tc>
        <w:tc>
          <w:tcPr>
            <w:tcW w:w="1884" w:type="dxa"/>
            <w:tcBorders>
              <w:top w:val="nil"/>
              <w:left w:val="single" w:sz="4" w:space="0" w:color="7F7F7F" w:themeColor="text1" w:themeTint="80"/>
              <w:bottom w:val="nil"/>
              <w:right w:val="single" w:sz="4" w:space="0" w:color="7F7F7F" w:themeColor="text1" w:themeTint="80"/>
            </w:tcBorders>
            <w:hideMark/>
          </w:tcPr>
          <w:p w14:paraId="1C6432F2"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82.1</w:t>
            </w:r>
          </w:p>
        </w:tc>
        <w:tc>
          <w:tcPr>
            <w:tcW w:w="1176" w:type="dxa"/>
            <w:tcBorders>
              <w:top w:val="nil"/>
              <w:left w:val="single" w:sz="4" w:space="0" w:color="7F7F7F" w:themeColor="text1" w:themeTint="80"/>
              <w:bottom w:val="nil"/>
              <w:right w:val="single" w:sz="4" w:space="0" w:color="7F7F7F" w:themeColor="text1" w:themeTint="80"/>
            </w:tcBorders>
            <w:hideMark/>
          </w:tcPr>
          <w:p w14:paraId="4B033133"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1,200,000</w:t>
            </w:r>
          </w:p>
        </w:tc>
      </w:tr>
      <w:tr w:rsidR="004E516C" w14:paraId="0B848BA9"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4C95DF52"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2014-07-15</w:t>
            </w:r>
          </w:p>
        </w:tc>
        <w:tc>
          <w:tcPr>
            <w:tcW w:w="1551" w:type="dxa"/>
            <w:tcBorders>
              <w:top w:val="nil"/>
              <w:left w:val="single" w:sz="4" w:space="0" w:color="7F7F7F" w:themeColor="text1" w:themeTint="80"/>
              <w:bottom w:val="nil"/>
              <w:right w:val="single" w:sz="4" w:space="0" w:color="7F7F7F" w:themeColor="text1" w:themeTint="80"/>
            </w:tcBorders>
            <w:hideMark/>
          </w:tcPr>
          <w:p w14:paraId="2CA51D5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16.72</w:t>
            </w:r>
          </w:p>
        </w:tc>
        <w:tc>
          <w:tcPr>
            <w:tcW w:w="2700" w:type="dxa"/>
            <w:tcBorders>
              <w:top w:val="nil"/>
              <w:left w:val="single" w:sz="4" w:space="0" w:color="7F7F7F" w:themeColor="text1" w:themeTint="80"/>
              <w:bottom w:val="nil"/>
              <w:right w:val="single" w:sz="4" w:space="0" w:color="7F7F7F" w:themeColor="text1" w:themeTint="80"/>
            </w:tcBorders>
            <w:hideMark/>
          </w:tcPr>
          <w:p w14:paraId="55635032"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162.80</w:t>
            </w:r>
          </w:p>
        </w:tc>
        <w:tc>
          <w:tcPr>
            <w:tcW w:w="1350" w:type="dxa"/>
            <w:tcBorders>
              <w:top w:val="nil"/>
              <w:left w:val="single" w:sz="4" w:space="0" w:color="7F7F7F" w:themeColor="text1" w:themeTint="80"/>
              <w:bottom w:val="nil"/>
              <w:right w:val="single" w:sz="4" w:space="0" w:color="7F7F7F" w:themeColor="text1" w:themeTint="80"/>
            </w:tcBorders>
            <w:hideMark/>
          </w:tcPr>
          <w:p w14:paraId="5E0873D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w:t>
            </w:r>
          </w:p>
        </w:tc>
        <w:tc>
          <w:tcPr>
            <w:tcW w:w="1884" w:type="dxa"/>
            <w:tcBorders>
              <w:top w:val="nil"/>
              <w:left w:val="single" w:sz="4" w:space="0" w:color="7F7F7F" w:themeColor="text1" w:themeTint="80"/>
              <w:bottom w:val="nil"/>
              <w:right w:val="single" w:sz="4" w:space="0" w:color="7F7F7F" w:themeColor="text1" w:themeTint="80"/>
            </w:tcBorders>
            <w:hideMark/>
          </w:tcPr>
          <w:p w14:paraId="0550EB9B"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104.3</w:t>
            </w:r>
          </w:p>
        </w:tc>
        <w:tc>
          <w:tcPr>
            <w:tcW w:w="1176" w:type="dxa"/>
            <w:tcBorders>
              <w:top w:val="nil"/>
              <w:left w:val="single" w:sz="4" w:space="0" w:color="7F7F7F" w:themeColor="text1" w:themeTint="80"/>
              <w:bottom w:val="nil"/>
              <w:right w:val="single" w:sz="4" w:space="0" w:color="7F7F7F" w:themeColor="text1" w:themeTint="80"/>
            </w:tcBorders>
            <w:hideMark/>
          </w:tcPr>
          <w:p w14:paraId="0C6B4D63"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1,450,300</w:t>
            </w:r>
          </w:p>
        </w:tc>
      </w:tr>
      <w:tr w:rsidR="004E516C" w14:paraId="6EA4A925" w14:textId="77777777" w:rsidTr="004E516C">
        <w:trPr>
          <w:cnfStyle w:val="000000100000" w:firstRow="0" w:lastRow="0" w:firstColumn="0" w:lastColumn="0" w:oddVBand="0" w:evenVBand="0" w:oddHBand="1" w:evenHBand="0" w:firstRowFirstColumn="0" w:firstRowLastColumn="0" w:lastRowFirstColumn="0" w:lastRowLastColumn="0"/>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76EE8AD0"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2018-03-12</w:t>
            </w:r>
          </w:p>
        </w:tc>
        <w:tc>
          <w:tcPr>
            <w:tcW w:w="1551" w:type="dxa"/>
            <w:tcBorders>
              <w:top w:val="nil"/>
              <w:left w:val="single" w:sz="4" w:space="0" w:color="7F7F7F" w:themeColor="text1" w:themeTint="80"/>
              <w:bottom w:val="nil"/>
              <w:right w:val="single" w:sz="4" w:space="0" w:color="7F7F7F" w:themeColor="text1" w:themeTint="80"/>
            </w:tcBorders>
            <w:hideMark/>
          </w:tcPr>
          <w:p w14:paraId="38504526"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28.55</w:t>
            </w:r>
          </w:p>
        </w:tc>
        <w:tc>
          <w:tcPr>
            <w:tcW w:w="2700" w:type="dxa"/>
            <w:tcBorders>
              <w:top w:val="nil"/>
              <w:left w:val="single" w:sz="4" w:space="0" w:color="7F7F7F" w:themeColor="text1" w:themeTint="80"/>
              <w:bottom w:val="nil"/>
              <w:right w:val="single" w:sz="4" w:space="0" w:color="7F7F7F" w:themeColor="text1" w:themeTint="80"/>
            </w:tcBorders>
            <w:hideMark/>
          </w:tcPr>
          <w:p w14:paraId="7A7998BF"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305.20</w:t>
            </w:r>
          </w:p>
        </w:tc>
        <w:tc>
          <w:tcPr>
            <w:tcW w:w="1350" w:type="dxa"/>
            <w:tcBorders>
              <w:top w:val="nil"/>
              <w:left w:val="single" w:sz="4" w:space="0" w:color="7F7F7F" w:themeColor="text1" w:themeTint="80"/>
              <w:bottom w:val="nil"/>
              <w:right w:val="single" w:sz="4" w:space="0" w:color="7F7F7F" w:themeColor="text1" w:themeTint="80"/>
            </w:tcBorders>
            <w:hideMark/>
          </w:tcPr>
          <w:p w14:paraId="25E5BE57"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13.3</w:t>
            </w:r>
          </w:p>
        </w:tc>
        <w:tc>
          <w:tcPr>
            <w:tcW w:w="1884" w:type="dxa"/>
            <w:tcBorders>
              <w:top w:val="nil"/>
              <w:left w:val="single" w:sz="4" w:space="0" w:color="7F7F7F" w:themeColor="text1" w:themeTint="80"/>
              <w:bottom w:val="nil"/>
              <w:right w:val="single" w:sz="4" w:space="0" w:color="7F7F7F" w:themeColor="text1" w:themeTint="80"/>
            </w:tcBorders>
            <w:hideMark/>
          </w:tcPr>
          <w:p w14:paraId="79C3D942"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62.8</w:t>
            </w:r>
          </w:p>
        </w:tc>
        <w:tc>
          <w:tcPr>
            <w:tcW w:w="1176" w:type="dxa"/>
            <w:tcBorders>
              <w:top w:val="nil"/>
              <w:left w:val="single" w:sz="4" w:space="0" w:color="7F7F7F" w:themeColor="text1" w:themeTint="80"/>
              <w:bottom w:val="nil"/>
              <w:right w:val="single" w:sz="4" w:space="0" w:color="7F7F7F" w:themeColor="text1" w:themeTint="80"/>
            </w:tcBorders>
            <w:hideMark/>
          </w:tcPr>
          <w:p w14:paraId="6972A805"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2,010,450</w:t>
            </w:r>
          </w:p>
        </w:tc>
      </w:tr>
      <w:tr w:rsidR="004E516C" w14:paraId="5A405A4F"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3DF9EEC5"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2020-06-05</w:t>
            </w:r>
          </w:p>
        </w:tc>
        <w:tc>
          <w:tcPr>
            <w:tcW w:w="1551" w:type="dxa"/>
            <w:tcBorders>
              <w:top w:val="nil"/>
              <w:left w:val="single" w:sz="4" w:space="0" w:color="7F7F7F" w:themeColor="text1" w:themeTint="80"/>
              <w:bottom w:val="nil"/>
              <w:right w:val="single" w:sz="4" w:space="0" w:color="7F7F7F" w:themeColor="text1" w:themeTint="80"/>
            </w:tcBorders>
            <w:hideMark/>
          </w:tcPr>
          <w:p w14:paraId="3849DEFF"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21.31</w:t>
            </w:r>
          </w:p>
        </w:tc>
        <w:tc>
          <w:tcPr>
            <w:tcW w:w="2700" w:type="dxa"/>
            <w:tcBorders>
              <w:top w:val="nil"/>
              <w:left w:val="single" w:sz="4" w:space="0" w:color="7F7F7F" w:themeColor="text1" w:themeTint="80"/>
              <w:bottom w:val="nil"/>
              <w:right w:val="single" w:sz="4" w:space="0" w:color="7F7F7F" w:themeColor="text1" w:themeTint="80"/>
            </w:tcBorders>
            <w:hideMark/>
          </w:tcPr>
          <w:p w14:paraId="04FCB7E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360.50</w:t>
            </w:r>
          </w:p>
        </w:tc>
        <w:tc>
          <w:tcPr>
            <w:tcW w:w="1350" w:type="dxa"/>
            <w:tcBorders>
              <w:top w:val="nil"/>
              <w:left w:val="single" w:sz="4" w:space="0" w:color="7F7F7F" w:themeColor="text1" w:themeTint="80"/>
              <w:bottom w:val="nil"/>
              <w:right w:val="single" w:sz="4" w:space="0" w:color="7F7F7F" w:themeColor="text1" w:themeTint="80"/>
            </w:tcBorders>
            <w:hideMark/>
          </w:tcPr>
          <w:p w14:paraId="6E27D588"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12.6</w:t>
            </w:r>
          </w:p>
        </w:tc>
        <w:tc>
          <w:tcPr>
            <w:tcW w:w="1884" w:type="dxa"/>
            <w:tcBorders>
              <w:top w:val="nil"/>
              <w:left w:val="single" w:sz="4" w:space="0" w:color="7F7F7F" w:themeColor="text1" w:themeTint="80"/>
              <w:bottom w:val="nil"/>
              <w:right w:val="single" w:sz="4" w:space="0" w:color="7F7F7F" w:themeColor="text1" w:themeTint="80"/>
            </w:tcBorders>
            <w:hideMark/>
          </w:tcPr>
          <w:p w14:paraId="0937C09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38.4</w:t>
            </w:r>
          </w:p>
        </w:tc>
        <w:tc>
          <w:tcPr>
            <w:tcW w:w="1176" w:type="dxa"/>
            <w:tcBorders>
              <w:top w:val="nil"/>
              <w:left w:val="single" w:sz="4" w:space="0" w:color="7F7F7F" w:themeColor="text1" w:themeTint="80"/>
              <w:bottom w:val="nil"/>
              <w:right w:val="single" w:sz="4" w:space="0" w:color="7F7F7F" w:themeColor="text1" w:themeTint="80"/>
            </w:tcBorders>
            <w:hideMark/>
          </w:tcPr>
          <w:p w14:paraId="3AE40FD6"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2,540,900</w:t>
            </w:r>
          </w:p>
        </w:tc>
      </w:tr>
      <w:tr w:rsidR="004E516C" w14:paraId="0F6A6A04" w14:textId="77777777" w:rsidTr="004E516C">
        <w:trPr>
          <w:cnfStyle w:val="000000100000" w:firstRow="0" w:lastRow="0" w:firstColumn="0" w:lastColumn="0" w:oddVBand="0" w:evenVBand="0" w:oddHBand="1" w:evenHBand="0" w:firstRowFirstColumn="0" w:firstRowLastColumn="0" w:lastRowFirstColumn="0" w:lastRowLastColumn="0"/>
          <w:trHeight w:hRule="exact" w:val="585"/>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right w:val="single" w:sz="4" w:space="0" w:color="7F7F7F" w:themeColor="text1" w:themeTint="80"/>
            </w:tcBorders>
            <w:hideMark/>
          </w:tcPr>
          <w:p w14:paraId="71D5732B"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2024-02-14</w:t>
            </w:r>
          </w:p>
        </w:tc>
        <w:tc>
          <w:tcPr>
            <w:tcW w:w="1551" w:type="dxa"/>
            <w:tcBorders>
              <w:top w:val="nil"/>
              <w:left w:val="single" w:sz="4" w:space="0" w:color="7F7F7F" w:themeColor="text1" w:themeTint="80"/>
              <w:right w:val="single" w:sz="4" w:space="0" w:color="7F7F7F" w:themeColor="text1" w:themeTint="80"/>
            </w:tcBorders>
            <w:hideMark/>
          </w:tcPr>
          <w:p w14:paraId="24B03D19"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41.88</w:t>
            </w:r>
          </w:p>
        </w:tc>
        <w:tc>
          <w:tcPr>
            <w:tcW w:w="2700" w:type="dxa"/>
            <w:tcBorders>
              <w:top w:val="nil"/>
              <w:left w:val="single" w:sz="4" w:space="0" w:color="7F7F7F" w:themeColor="text1" w:themeTint="80"/>
              <w:right w:val="single" w:sz="4" w:space="0" w:color="7F7F7F" w:themeColor="text1" w:themeTint="80"/>
            </w:tcBorders>
            <w:hideMark/>
          </w:tcPr>
          <w:p w14:paraId="1824A0F5"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890.10</w:t>
            </w:r>
          </w:p>
        </w:tc>
        <w:tc>
          <w:tcPr>
            <w:tcW w:w="1350" w:type="dxa"/>
            <w:tcBorders>
              <w:top w:val="nil"/>
              <w:left w:val="single" w:sz="4" w:space="0" w:color="7F7F7F" w:themeColor="text1" w:themeTint="80"/>
              <w:right w:val="single" w:sz="4" w:space="0" w:color="7F7F7F" w:themeColor="text1" w:themeTint="80"/>
            </w:tcBorders>
            <w:hideMark/>
          </w:tcPr>
          <w:p w14:paraId="503F854F"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29.9</w:t>
            </w:r>
          </w:p>
        </w:tc>
        <w:tc>
          <w:tcPr>
            <w:tcW w:w="1884" w:type="dxa"/>
            <w:tcBorders>
              <w:top w:val="nil"/>
              <w:left w:val="single" w:sz="4" w:space="0" w:color="7F7F7F" w:themeColor="text1" w:themeTint="80"/>
              <w:right w:val="single" w:sz="4" w:space="0" w:color="7F7F7F" w:themeColor="text1" w:themeTint="80"/>
            </w:tcBorders>
            <w:hideMark/>
          </w:tcPr>
          <w:p w14:paraId="2FEA0B48"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82.5</w:t>
            </w:r>
          </w:p>
        </w:tc>
        <w:tc>
          <w:tcPr>
            <w:tcW w:w="1176" w:type="dxa"/>
            <w:tcBorders>
              <w:top w:val="nil"/>
              <w:left w:val="single" w:sz="4" w:space="0" w:color="7F7F7F" w:themeColor="text1" w:themeTint="80"/>
              <w:right w:val="single" w:sz="4" w:space="0" w:color="7F7F7F" w:themeColor="text1" w:themeTint="80"/>
            </w:tcBorders>
            <w:hideMark/>
          </w:tcPr>
          <w:p w14:paraId="40BF8BFE"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3,480,120</w:t>
            </w:r>
          </w:p>
        </w:tc>
      </w:tr>
    </w:tbl>
    <w:p w14:paraId="0071CDA9" w14:textId="2F80CA2F" w:rsidR="004E516C" w:rsidRDefault="00C312B8">
      <w:pPr>
        <w:rPr>
          <w:rFonts w:ascii="Times New Roman" w:hAnsi="Times New Roman" w:cs="Times New Roman"/>
          <w:b/>
          <w:sz w:val="24"/>
          <w:szCs w:val="24"/>
        </w:rPr>
      </w:pPr>
      <w:r>
        <w:rPr>
          <w:rFonts w:ascii="Times New Roman" w:hAnsi="Times New Roman" w:cs="Times New Roman"/>
          <w:b/>
          <w:sz w:val="24"/>
          <w:szCs w:val="24"/>
        </w:rPr>
        <w:t>Interpretation</w:t>
      </w:r>
    </w:p>
    <w:p w14:paraId="28EB7455" w14:textId="77777777" w:rsidR="004E516C" w:rsidRDefault="00C312B8">
      <w:pPr>
        <w:jc w:val="both"/>
        <w:rPr>
          <w:rFonts w:ascii="Times New Roman" w:hAnsi="Times New Roman" w:cs="Times New Roman"/>
          <w:sz w:val="24"/>
          <w:szCs w:val="24"/>
        </w:rPr>
      </w:pPr>
      <w:r>
        <w:rPr>
          <w:rFonts w:ascii="Times New Roman" w:hAnsi="Times New Roman" w:cs="Times New Roman"/>
          <w:sz w:val="24"/>
          <w:szCs w:val="24"/>
        </w:rPr>
        <w:t>The​‍​‌‍​‍‌​‍​‌‍​‍‌ sample data illustrates changes in the economy and finances of Nigeria over a period of 14 years. Stock prices, on average, move up from ₦12.45 in 2010 to ₦41.88 in 2024, thus, reflecting not only the development of the market but also the influence of inflation. The exchange rate reveals a very steep depreciation from ₦153.21/$ in 2010 to ₦890.10/$ in 2024, thus, pointing out a considerable instability of the currency. Inflation goes up and down but it spikes quite significantly in 2024, thus, revealing that macroeconomic conditions are deteriorating. Oil prices are very different for each year of the period, which is in line with the volatility of the global oil market, and trading volume is increasing over time, thus, indicating that there are more participants in the ‍​‌‍​‍‌​‍​‌‍​‍‌market.</w:t>
      </w:r>
    </w:p>
    <w:p w14:paraId="6BDAB399" w14:textId="4FE0C419" w:rsidR="004E516C" w:rsidRPr="003F422C" w:rsidRDefault="003F422C">
      <w:pPr>
        <w:rPr>
          <w:rFonts w:ascii="Times New Roman" w:hAnsi="Times New Roman" w:cs="Times New Roman"/>
          <w:sz w:val="24"/>
          <w:szCs w:val="24"/>
          <w:lang w:bidi="en-US"/>
        </w:rPr>
      </w:pPr>
      <w:bookmarkStart w:id="1" w:name="bookmark8"/>
      <w:bookmarkStart w:id="2" w:name="bookmark7"/>
      <w:bookmarkStart w:id="3" w:name="bookmark10"/>
      <w:r w:rsidRPr="00AC466B">
        <w:rPr>
          <w:rFonts w:ascii="Times New Roman" w:hAnsi="Times New Roman" w:cs="Times New Roman"/>
          <w:sz w:val="24"/>
          <w:szCs w:val="24"/>
          <w:lang w:bidi="en-US"/>
        </w:rPr>
        <w:t>Table</w:t>
      </w:r>
      <w:r>
        <w:rPr>
          <w:rFonts w:ascii="Times New Roman" w:hAnsi="Times New Roman" w:cs="Times New Roman"/>
          <w:sz w:val="24"/>
          <w:szCs w:val="24"/>
          <w:lang w:bidi="en-US"/>
        </w:rPr>
        <w:t xml:space="preserve"> 2-</w:t>
      </w:r>
      <w:r w:rsidR="00C312B8">
        <w:rPr>
          <w:rFonts w:ascii="Times New Roman" w:hAnsi="Times New Roman" w:cs="Times New Roman"/>
          <w:b/>
          <w:bCs/>
          <w:sz w:val="24"/>
          <w:szCs w:val="24"/>
          <w:lang w:bidi="en-US"/>
        </w:rPr>
        <w:t>Descriptive Statistics</w:t>
      </w:r>
      <w:bookmarkEnd w:id="1"/>
      <w:bookmarkEnd w:id="2"/>
      <w:bookmarkEnd w:id="3"/>
    </w:p>
    <w:tbl>
      <w:tblPr>
        <w:tblStyle w:val="PlainTable2"/>
        <w:tblW w:w="5000" w:type="pct"/>
        <w:tblLook w:val="04A0" w:firstRow="1" w:lastRow="0" w:firstColumn="1" w:lastColumn="0" w:noHBand="0" w:noVBand="1"/>
      </w:tblPr>
      <w:tblGrid>
        <w:gridCol w:w="3023"/>
        <w:gridCol w:w="1565"/>
        <w:gridCol w:w="1657"/>
        <w:gridCol w:w="1462"/>
        <w:gridCol w:w="1309"/>
      </w:tblGrid>
      <w:tr w:rsidR="004E516C" w14:paraId="3098AA84" w14:textId="77777777" w:rsidTr="004E516C">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167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4028EE4E" w14:textId="77777777" w:rsidR="004E516C" w:rsidRDefault="00C312B8">
            <w:pPr>
              <w:spacing w:after="200" w:line="276" w:lineRule="auto"/>
              <w:rPr>
                <w:rFonts w:ascii="Times New Roman" w:hAnsi="Times New Roman" w:cs="Times New Roman"/>
                <w:b w:val="0"/>
                <w:bCs w:val="0"/>
                <w:sz w:val="24"/>
                <w:szCs w:val="24"/>
                <w:lang w:bidi="en-US"/>
              </w:rPr>
            </w:pPr>
            <w:r>
              <w:rPr>
                <w:rFonts w:ascii="Times New Roman" w:hAnsi="Times New Roman" w:cs="Times New Roman"/>
                <w:b w:val="0"/>
                <w:bCs w:val="0"/>
                <w:sz w:val="24"/>
                <w:szCs w:val="24"/>
                <w:lang w:bidi="en-US"/>
              </w:rPr>
              <w:t>Variable</w:t>
            </w:r>
          </w:p>
        </w:tc>
        <w:tc>
          <w:tcPr>
            <w:tcW w:w="868" w:type="pct"/>
            <w:tcBorders>
              <w:top w:val="single" w:sz="4" w:space="0" w:color="7F7F7F" w:themeColor="text1" w:themeTint="80"/>
              <w:left w:val="single" w:sz="4" w:space="0" w:color="7F7F7F" w:themeColor="text1" w:themeTint="80"/>
              <w:right w:val="single" w:sz="4" w:space="0" w:color="7F7F7F" w:themeColor="text1" w:themeTint="80"/>
            </w:tcBorders>
            <w:hideMark/>
          </w:tcPr>
          <w:p w14:paraId="7D4AEFFD"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Mean</w:t>
            </w:r>
          </w:p>
        </w:tc>
        <w:tc>
          <w:tcPr>
            <w:tcW w:w="919" w:type="pct"/>
            <w:tcBorders>
              <w:top w:val="single" w:sz="4" w:space="0" w:color="7F7F7F" w:themeColor="text1" w:themeTint="80"/>
              <w:left w:val="single" w:sz="4" w:space="0" w:color="7F7F7F" w:themeColor="text1" w:themeTint="80"/>
              <w:right w:val="single" w:sz="4" w:space="0" w:color="7F7F7F" w:themeColor="text1" w:themeTint="80"/>
            </w:tcBorders>
            <w:hideMark/>
          </w:tcPr>
          <w:p w14:paraId="3EE5ABF4"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Std Dev</w:t>
            </w:r>
          </w:p>
        </w:tc>
        <w:tc>
          <w:tcPr>
            <w:tcW w:w="811" w:type="pct"/>
            <w:tcBorders>
              <w:top w:val="single" w:sz="4" w:space="0" w:color="7F7F7F" w:themeColor="text1" w:themeTint="80"/>
              <w:left w:val="single" w:sz="4" w:space="0" w:color="7F7F7F" w:themeColor="text1" w:themeTint="80"/>
              <w:right w:val="single" w:sz="4" w:space="0" w:color="7F7F7F" w:themeColor="text1" w:themeTint="80"/>
            </w:tcBorders>
            <w:hideMark/>
          </w:tcPr>
          <w:p w14:paraId="0C0290FA"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Min</w:t>
            </w:r>
          </w:p>
        </w:tc>
        <w:tc>
          <w:tcPr>
            <w:tcW w:w="72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5980786C"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Max</w:t>
            </w:r>
          </w:p>
        </w:tc>
      </w:tr>
      <w:tr w:rsidR="004E516C" w14:paraId="464280CE" w14:textId="77777777" w:rsidTr="004E516C">
        <w:trPr>
          <w:cnfStyle w:val="000000100000" w:firstRow="0" w:lastRow="0" w:firstColumn="0" w:lastColumn="0" w:oddVBand="0" w:evenVBand="0" w:oddHBand="1" w:evenHBand="0" w:firstRowFirstColumn="0" w:firstRowLastColumn="0" w:lastRowFirstColumn="0" w:lastRowLastColumn="0"/>
          <w:trHeight w:hRule="exact" w:val="833"/>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6BD25747"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Returns</w:t>
            </w:r>
          </w:p>
        </w:tc>
        <w:tc>
          <w:tcPr>
            <w:tcW w:w="868" w:type="pct"/>
            <w:tcBorders>
              <w:top w:val="nil"/>
              <w:left w:val="single" w:sz="4" w:space="0" w:color="7F7F7F" w:themeColor="text1" w:themeTint="80"/>
              <w:bottom w:val="nil"/>
              <w:right w:val="single" w:sz="4" w:space="0" w:color="7F7F7F" w:themeColor="text1" w:themeTint="80"/>
            </w:tcBorders>
            <w:hideMark/>
          </w:tcPr>
          <w:p w14:paraId="7F6B2A03"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0.042%</w:t>
            </w:r>
          </w:p>
        </w:tc>
        <w:tc>
          <w:tcPr>
            <w:tcW w:w="919" w:type="pct"/>
            <w:tcBorders>
              <w:top w:val="nil"/>
              <w:left w:val="single" w:sz="4" w:space="0" w:color="7F7F7F" w:themeColor="text1" w:themeTint="80"/>
              <w:bottom w:val="nil"/>
              <w:right w:val="single" w:sz="4" w:space="0" w:color="7F7F7F" w:themeColor="text1" w:themeTint="80"/>
            </w:tcBorders>
            <w:hideMark/>
          </w:tcPr>
          <w:p w14:paraId="4D37B29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1.45%</w:t>
            </w:r>
          </w:p>
        </w:tc>
        <w:tc>
          <w:tcPr>
            <w:tcW w:w="811" w:type="pct"/>
            <w:tcBorders>
              <w:top w:val="nil"/>
              <w:left w:val="single" w:sz="4" w:space="0" w:color="7F7F7F" w:themeColor="text1" w:themeTint="80"/>
              <w:bottom w:val="nil"/>
              <w:right w:val="single" w:sz="4" w:space="0" w:color="7F7F7F" w:themeColor="text1" w:themeTint="80"/>
            </w:tcBorders>
            <w:hideMark/>
          </w:tcPr>
          <w:p w14:paraId="6CCB54A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-12.5%</w:t>
            </w:r>
          </w:p>
        </w:tc>
        <w:tc>
          <w:tcPr>
            <w:tcW w:w="726" w:type="pct"/>
            <w:tcBorders>
              <w:top w:val="nil"/>
              <w:left w:val="single" w:sz="4" w:space="0" w:color="7F7F7F" w:themeColor="text1" w:themeTint="80"/>
              <w:bottom w:val="nil"/>
              <w:right w:val="single" w:sz="4" w:space="0" w:color="7F7F7F" w:themeColor="text1" w:themeTint="80"/>
            </w:tcBorders>
            <w:hideMark/>
          </w:tcPr>
          <w:p w14:paraId="4F7B3F91"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10.3%</w:t>
            </w:r>
          </w:p>
        </w:tc>
      </w:tr>
      <w:tr w:rsidR="004E516C" w14:paraId="23DF522C"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00544498"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Inflation</w:t>
            </w:r>
          </w:p>
        </w:tc>
        <w:tc>
          <w:tcPr>
            <w:tcW w:w="868" w:type="pct"/>
            <w:tcBorders>
              <w:top w:val="nil"/>
              <w:left w:val="single" w:sz="4" w:space="0" w:color="7F7F7F" w:themeColor="text1" w:themeTint="80"/>
              <w:bottom w:val="nil"/>
              <w:right w:val="single" w:sz="4" w:space="0" w:color="7F7F7F" w:themeColor="text1" w:themeTint="80"/>
            </w:tcBorders>
            <w:hideMark/>
          </w:tcPr>
          <w:p w14:paraId="3BD821F5"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13.8%</w:t>
            </w:r>
          </w:p>
        </w:tc>
        <w:tc>
          <w:tcPr>
            <w:tcW w:w="919" w:type="pct"/>
            <w:tcBorders>
              <w:top w:val="nil"/>
              <w:left w:val="single" w:sz="4" w:space="0" w:color="7F7F7F" w:themeColor="text1" w:themeTint="80"/>
              <w:bottom w:val="nil"/>
              <w:right w:val="single" w:sz="4" w:space="0" w:color="7F7F7F" w:themeColor="text1" w:themeTint="80"/>
            </w:tcBorders>
            <w:hideMark/>
          </w:tcPr>
          <w:p w14:paraId="6D9B8A52"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3.6%</w:t>
            </w:r>
          </w:p>
        </w:tc>
        <w:tc>
          <w:tcPr>
            <w:tcW w:w="811" w:type="pct"/>
            <w:tcBorders>
              <w:top w:val="nil"/>
              <w:left w:val="single" w:sz="4" w:space="0" w:color="7F7F7F" w:themeColor="text1" w:themeTint="80"/>
              <w:bottom w:val="nil"/>
              <w:right w:val="single" w:sz="4" w:space="0" w:color="7F7F7F" w:themeColor="text1" w:themeTint="80"/>
            </w:tcBorders>
            <w:hideMark/>
          </w:tcPr>
          <w:p w14:paraId="03165D9C"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9.5%</w:t>
            </w:r>
          </w:p>
        </w:tc>
        <w:tc>
          <w:tcPr>
            <w:tcW w:w="726" w:type="pct"/>
            <w:tcBorders>
              <w:top w:val="nil"/>
              <w:left w:val="single" w:sz="4" w:space="0" w:color="7F7F7F" w:themeColor="text1" w:themeTint="80"/>
              <w:bottom w:val="nil"/>
              <w:right w:val="single" w:sz="4" w:space="0" w:color="7F7F7F" w:themeColor="text1" w:themeTint="80"/>
            </w:tcBorders>
            <w:hideMark/>
          </w:tcPr>
          <w:p w14:paraId="0C11D9DB"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28.2%</w:t>
            </w:r>
          </w:p>
        </w:tc>
      </w:tr>
      <w:tr w:rsidR="004E516C" w14:paraId="65BA9982" w14:textId="77777777" w:rsidTr="004E516C">
        <w:trPr>
          <w:cnfStyle w:val="000000100000" w:firstRow="0" w:lastRow="0" w:firstColumn="0" w:lastColumn="0" w:oddVBand="0" w:evenVBand="0" w:oddHBand="1" w:evenHBand="0" w:firstRowFirstColumn="0" w:firstRowLastColumn="0" w:lastRowFirstColumn="0" w:lastRowLastColumn="0"/>
          <w:trHeight w:hRule="exact" w:val="85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49602184"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Exchange Rate</w:t>
            </w:r>
          </w:p>
        </w:tc>
        <w:tc>
          <w:tcPr>
            <w:tcW w:w="868" w:type="pct"/>
            <w:tcBorders>
              <w:top w:val="nil"/>
              <w:left w:val="single" w:sz="4" w:space="0" w:color="7F7F7F" w:themeColor="text1" w:themeTint="80"/>
              <w:bottom w:val="nil"/>
              <w:right w:val="single" w:sz="4" w:space="0" w:color="7F7F7F" w:themeColor="text1" w:themeTint="80"/>
            </w:tcBorders>
            <w:hideMark/>
          </w:tcPr>
          <w:p w14:paraId="07F290BF"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245.6</w:t>
            </w:r>
          </w:p>
        </w:tc>
        <w:tc>
          <w:tcPr>
            <w:tcW w:w="919" w:type="pct"/>
            <w:tcBorders>
              <w:top w:val="nil"/>
              <w:left w:val="single" w:sz="4" w:space="0" w:color="7F7F7F" w:themeColor="text1" w:themeTint="80"/>
              <w:bottom w:val="nil"/>
              <w:right w:val="single" w:sz="4" w:space="0" w:color="7F7F7F" w:themeColor="text1" w:themeTint="80"/>
            </w:tcBorders>
            <w:hideMark/>
          </w:tcPr>
          <w:p w14:paraId="7FA7ABA0"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121.3</w:t>
            </w:r>
          </w:p>
        </w:tc>
        <w:tc>
          <w:tcPr>
            <w:tcW w:w="811" w:type="pct"/>
            <w:tcBorders>
              <w:top w:val="nil"/>
              <w:left w:val="single" w:sz="4" w:space="0" w:color="7F7F7F" w:themeColor="text1" w:themeTint="80"/>
              <w:bottom w:val="nil"/>
              <w:right w:val="single" w:sz="4" w:space="0" w:color="7F7F7F" w:themeColor="text1" w:themeTint="80"/>
            </w:tcBorders>
            <w:hideMark/>
          </w:tcPr>
          <w:p w14:paraId="5E701AD3"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150.1</w:t>
            </w:r>
          </w:p>
        </w:tc>
        <w:tc>
          <w:tcPr>
            <w:tcW w:w="726" w:type="pct"/>
            <w:tcBorders>
              <w:top w:val="nil"/>
              <w:left w:val="single" w:sz="4" w:space="0" w:color="7F7F7F" w:themeColor="text1" w:themeTint="80"/>
              <w:bottom w:val="nil"/>
              <w:right w:val="single" w:sz="4" w:space="0" w:color="7F7F7F" w:themeColor="text1" w:themeTint="80"/>
            </w:tcBorders>
            <w:hideMark/>
          </w:tcPr>
          <w:p w14:paraId="0DC1FAAE"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990.5</w:t>
            </w:r>
          </w:p>
        </w:tc>
      </w:tr>
      <w:tr w:rsidR="004E516C" w14:paraId="146F3336" w14:textId="77777777" w:rsidTr="004E516C">
        <w:trPr>
          <w:trHeight w:hRule="exact" w:val="82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42A00830"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Oil Price</w:t>
            </w:r>
          </w:p>
        </w:tc>
        <w:tc>
          <w:tcPr>
            <w:tcW w:w="868" w:type="pct"/>
            <w:tcBorders>
              <w:top w:val="nil"/>
              <w:left w:val="single" w:sz="4" w:space="0" w:color="7F7F7F" w:themeColor="text1" w:themeTint="80"/>
              <w:bottom w:val="nil"/>
              <w:right w:val="single" w:sz="4" w:space="0" w:color="7F7F7F" w:themeColor="text1" w:themeTint="80"/>
            </w:tcBorders>
            <w:hideMark/>
          </w:tcPr>
          <w:p w14:paraId="1066EBDD"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72.4</w:t>
            </w:r>
          </w:p>
        </w:tc>
        <w:tc>
          <w:tcPr>
            <w:tcW w:w="919" w:type="pct"/>
            <w:tcBorders>
              <w:top w:val="nil"/>
              <w:left w:val="single" w:sz="4" w:space="0" w:color="7F7F7F" w:themeColor="text1" w:themeTint="80"/>
              <w:bottom w:val="nil"/>
              <w:right w:val="single" w:sz="4" w:space="0" w:color="7F7F7F" w:themeColor="text1" w:themeTint="80"/>
            </w:tcBorders>
            <w:hideMark/>
          </w:tcPr>
          <w:p w14:paraId="57732944"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18.6</w:t>
            </w:r>
          </w:p>
        </w:tc>
        <w:tc>
          <w:tcPr>
            <w:tcW w:w="811" w:type="pct"/>
            <w:tcBorders>
              <w:top w:val="nil"/>
              <w:left w:val="single" w:sz="4" w:space="0" w:color="7F7F7F" w:themeColor="text1" w:themeTint="80"/>
              <w:bottom w:val="nil"/>
              <w:right w:val="single" w:sz="4" w:space="0" w:color="7F7F7F" w:themeColor="text1" w:themeTint="80"/>
            </w:tcBorders>
            <w:hideMark/>
          </w:tcPr>
          <w:p w14:paraId="78030771"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26.5</w:t>
            </w:r>
          </w:p>
        </w:tc>
        <w:tc>
          <w:tcPr>
            <w:tcW w:w="726" w:type="pct"/>
            <w:tcBorders>
              <w:top w:val="nil"/>
              <w:left w:val="single" w:sz="4" w:space="0" w:color="7F7F7F" w:themeColor="text1" w:themeTint="80"/>
              <w:bottom w:val="nil"/>
              <w:right w:val="single" w:sz="4" w:space="0" w:color="7F7F7F" w:themeColor="text1" w:themeTint="80"/>
            </w:tcBorders>
            <w:hideMark/>
          </w:tcPr>
          <w:p w14:paraId="27416FEA"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121.3</w:t>
            </w:r>
          </w:p>
        </w:tc>
      </w:tr>
      <w:tr w:rsidR="004E516C" w14:paraId="552DAC60" w14:textId="77777777" w:rsidTr="004E516C">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right w:val="single" w:sz="4" w:space="0" w:color="7F7F7F" w:themeColor="text1" w:themeTint="80"/>
            </w:tcBorders>
            <w:hideMark/>
          </w:tcPr>
          <w:p w14:paraId="090C51DF"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Volume</w:t>
            </w:r>
          </w:p>
        </w:tc>
        <w:tc>
          <w:tcPr>
            <w:tcW w:w="868" w:type="pct"/>
            <w:tcBorders>
              <w:top w:val="nil"/>
              <w:left w:val="single" w:sz="4" w:space="0" w:color="7F7F7F" w:themeColor="text1" w:themeTint="80"/>
              <w:right w:val="single" w:sz="4" w:space="0" w:color="7F7F7F" w:themeColor="text1" w:themeTint="80"/>
            </w:tcBorders>
            <w:hideMark/>
          </w:tcPr>
          <w:p w14:paraId="38AD94C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2.1 M</w:t>
            </w:r>
          </w:p>
        </w:tc>
        <w:tc>
          <w:tcPr>
            <w:tcW w:w="919" w:type="pct"/>
            <w:tcBorders>
              <w:top w:val="nil"/>
              <w:left w:val="single" w:sz="4" w:space="0" w:color="7F7F7F" w:themeColor="text1" w:themeTint="80"/>
              <w:right w:val="single" w:sz="4" w:space="0" w:color="7F7F7F" w:themeColor="text1" w:themeTint="80"/>
            </w:tcBorders>
            <w:hideMark/>
          </w:tcPr>
          <w:p w14:paraId="76317C0B"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0.7M</w:t>
            </w:r>
          </w:p>
        </w:tc>
        <w:tc>
          <w:tcPr>
            <w:tcW w:w="811" w:type="pct"/>
            <w:tcBorders>
              <w:top w:val="nil"/>
              <w:left w:val="single" w:sz="4" w:space="0" w:color="7F7F7F" w:themeColor="text1" w:themeTint="80"/>
              <w:right w:val="single" w:sz="4" w:space="0" w:color="7F7F7F" w:themeColor="text1" w:themeTint="80"/>
            </w:tcBorders>
            <w:hideMark/>
          </w:tcPr>
          <w:p w14:paraId="6370A57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0.8M</w:t>
            </w:r>
          </w:p>
        </w:tc>
        <w:tc>
          <w:tcPr>
            <w:tcW w:w="726" w:type="pct"/>
            <w:tcBorders>
              <w:top w:val="nil"/>
              <w:left w:val="single" w:sz="4" w:space="0" w:color="7F7F7F" w:themeColor="text1" w:themeTint="80"/>
              <w:right w:val="single" w:sz="4" w:space="0" w:color="7F7F7F" w:themeColor="text1" w:themeTint="80"/>
            </w:tcBorders>
            <w:hideMark/>
          </w:tcPr>
          <w:p w14:paraId="73887642"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5.4M</w:t>
            </w:r>
          </w:p>
        </w:tc>
      </w:tr>
    </w:tbl>
    <w:p w14:paraId="6B659ACE" w14:textId="77777777" w:rsidR="004E516C" w:rsidRDefault="00C312B8">
      <w:pPr>
        <w:jc w:val="both"/>
        <w:rPr>
          <w:rFonts w:ascii="Times New Roman" w:hAnsi="Times New Roman" w:cs="Times New Roman"/>
          <w:b/>
          <w:sz w:val="24"/>
          <w:szCs w:val="24"/>
          <w:lang w:bidi="en-US"/>
        </w:rPr>
      </w:pPr>
      <w:r>
        <w:rPr>
          <w:rFonts w:ascii="Times New Roman" w:hAnsi="Times New Roman" w:cs="Times New Roman"/>
          <w:b/>
          <w:sz w:val="24"/>
          <w:szCs w:val="24"/>
          <w:lang w:bidi="en-US"/>
        </w:rPr>
        <w:t>Interpretation</w:t>
      </w:r>
    </w:p>
    <w:p w14:paraId="33F0CB7F" w14:textId="77777777" w:rsidR="004E516C" w:rsidRDefault="00C312B8">
      <w:pPr>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 financial environment in Nigeria, as measured by descriptive statistics, shows a wide range of changes. The stock returns have a very small average but a large standard deviation of 1.45%, thus, the extreme volatility is very much evident. Inflation averages 13.8% and varies significantly, going up to 28.2%, signifying that the macroeconomic instability is still there. The exchange rate is also extremely fluctuating, with the lowest being ₦150.1/$ and the highest </w:t>
      </w:r>
      <w:r>
        <w:rPr>
          <w:rFonts w:ascii="Times New Roman" w:hAnsi="Times New Roman" w:cs="Times New Roman"/>
          <w:sz w:val="24"/>
          <w:szCs w:val="24"/>
          <w:lang w:bidi="en-US"/>
        </w:rPr>
        <w:lastRenderedPageBreak/>
        <w:t>being ₦990.5/$, thereby, reflecting a continuous depreciation of the currency. Oil prices vary from $26.5 to $121.3, which is in line with the international oil-market shocks that have a strong impact on Nigeria’s economy. Trading volume grows substantially with an average of 2.1 million shares, thus, reflecting the market activity that is getting more and more vibrant. These numbers depict a market that is highly unstable and dynamic where the systematic risk is intensified by the macroeconomic fluctuations that are ‍​‌‍​‍‌​‍​‌‍​‍‌strong.</w:t>
      </w:r>
    </w:p>
    <w:p w14:paraId="37BB87F3" w14:textId="77777777" w:rsidR="004E516C" w:rsidRDefault="00C312B8">
      <w:pPr>
        <w:tabs>
          <w:tab w:val="left" w:pos="768"/>
        </w:tabs>
        <w:rPr>
          <w:rFonts w:ascii="Times New Roman" w:hAnsi="Times New Roman" w:cs="Times New Roman"/>
          <w:sz w:val="24"/>
          <w:szCs w:val="24"/>
          <w:lang w:bidi="en-US"/>
        </w:rPr>
      </w:pPr>
      <w:r>
        <w:rPr>
          <w:rFonts w:ascii="Times New Roman" w:hAnsi="Times New Roman" w:cs="Times New Roman"/>
          <w:sz w:val="24"/>
          <w:szCs w:val="24"/>
          <w:lang w:bidi="en-US"/>
        </w:rPr>
        <w:tab/>
      </w:r>
    </w:p>
    <w:p w14:paraId="305B53B0" w14:textId="77777777" w:rsidR="004E516C" w:rsidRDefault="004E516C">
      <w:pPr>
        <w:spacing w:after="0"/>
        <w:rPr>
          <w:rFonts w:ascii="Times New Roman" w:hAnsi="Times New Roman" w:cs="Times New Roman"/>
          <w:sz w:val="24"/>
          <w:szCs w:val="24"/>
          <w:lang w:bidi="en-US"/>
        </w:rPr>
        <w:sectPr w:rsidR="004E51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3" w:gutter="0"/>
          <w:cols w:space="720"/>
          <w:docGrid w:linePitch="360"/>
        </w:sectPr>
      </w:pPr>
    </w:p>
    <w:p w14:paraId="3AA65BAF" w14:textId="720AD23E" w:rsidR="004E516C" w:rsidRPr="003F422C" w:rsidRDefault="003F422C">
      <w:pPr>
        <w:rPr>
          <w:rFonts w:ascii="Times New Roman" w:hAnsi="Times New Roman" w:cs="Times New Roman"/>
          <w:b/>
          <w:sz w:val="24"/>
          <w:szCs w:val="24"/>
        </w:rPr>
      </w:pPr>
      <w:bookmarkStart w:id="4" w:name="bookmark14"/>
      <w:bookmarkStart w:id="5" w:name="bookmark12"/>
      <w:bookmarkStart w:id="6" w:name="bookmark11"/>
      <w:r w:rsidRPr="00AC466B">
        <w:rPr>
          <w:rFonts w:ascii="Times New Roman" w:hAnsi="Times New Roman" w:cs="Times New Roman"/>
          <w:b/>
          <w:sz w:val="24"/>
          <w:szCs w:val="24"/>
        </w:rPr>
        <w:lastRenderedPageBreak/>
        <w:t>Table</w:t>
      </w:r>
      <w:r>
        <w:rPr>
          <w:rFonts w:ascii="Times New Roman" w:hAnsi="Times New Roman" w:cs="Times New Roman"/>
          <w:b/>
          <w:sz w:val="24"/>
          <w:szCs w:val="24"/>
        </w:rPr>
        <w:t xml:space="preserve"> 3-</w:t>
      </w:r>
      <w:r w:rsidR="00C312B8">
        <w:rPr>
          <w:rFonts w:ascii="Times New Roman" w:hAnsi="Times New Roman" w:cs="Times New Roman"/>
          <w:b/>
          <w:bCs/>
          <w:sz w:val="24"/>
          <w:szCs w:val="24"/>
          <w:lang w:bidi="en-US"/>
        </w:rPr>
        <w:t>Model Performance</w:t>
      </w:r>
      <w:bookmarkEnd w:id="4"/>
      <w:bookmarkEnd w:id="5"/>
      <w:bookmarkEnd w:id="6"/>
    </w:p>
    <w:tbl>
      <w:tblPr>
        <w:tblStyle w:val="PlainTable2"/>
        <w:tblW w:w="4748" w:type="pct"/>
        <w:tblLook w:val="04A0" w:firstRow="1" w:lastRow="0" w:firstColumn="1" w:lastColumn="0" w:noHBand="0" w:noVBand="1"/>
      </w:tblPr>
      <w:tblGrid>
        <w:gridCol w:w="2658"/>
        <w:gridCol w:w="1822"/>
        <w:gridCol w:w="1913"/>
        <w:gridCol w:w="2486"/>
      </w:tblGrid>
      <w:tr w:rsidR="004E516C" w14:paraId="6B8DEB98" w14:textId="77777777" w:rsidTr="004E516C">
        <w:trPr>
          <w:cnfStyle w:val="100000000000" w:firstRow="1" w:lastRow="0" w:firstColumn="0" w:lastColumn="0" w:oddVBand="0" w:evenVBand="0" w:oddHBand="0"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1497" w:type="pct"/>
            <w:tcBorders>
              <w:top w:val="single" w:sz="4" w:space="0" w:color="7F7F7F" w:themeColor="text1" w:themeTint="80"/>
              <w:left w:val="single" w:sz="4" w:space="0" w:color="7F7F7F" w:themeColor="text1" w:themeTint="80"/>
              <w:right w:val="single" w:sz="4" w:space="0" w:color="7F7F7F" w:themeColor="text1" w:themeTint="80"/>
            </w:tcBorders>
            <w:hideMark/>
          </w:tcPr>
          <w:p w14:paraId="1B180CC3" w14:textId="77777777" w:rsidR="004E516C" w:rsidRDefault="00C312B8">
            <w:pPr>
              <w:spacing w:after="200" w:line="276" w:lineRule="auto"/>
              <w:rPr>
                <w:rFonts w:ascii="Times New Roman" w:hAnsi="Times New Roman" w:cs="Times New Roman"/>
                <w:b w:val="0"/>
                <w:bCs w:val="0"/>
                <w:sz w:val="24"/>
                <w:szCs w:val="24"/>
                <w:lang w:bidi="en-US"/>
              </w:rPr>
            </w:pPr>
            <w:r>
              <w:rPr>
                <w:rFonts w:ascii="Times New Roman" w:hAnsi="Times New Roman" w:cs="Times New Roman"/>
                <w:b w:val="0"/>
                <w:bCs w:val="0"/>
                <w:sz w:val="24"/>
                <w:szCs w:val="24"/>
                <w:lang w:bidi="en-US"/>
              </w:rPr>
              <w:t>Model</w:t>
            </w:r>
          </w:p>
        </w:tc>
        <w:tc>
          <w:tcPr>
            <w:tcW w:w="102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04AE538F"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RMSE</w:t>
            </w:r>
          </w:p>
        </w:tc>
        <w:tc>
          <w:tcPr>
            <w:tcW w:w="1077" w:type="pct"/>
            <w:tcBorders>
              <w:top w:val="single" w:sz="4" w:space="0" w:color="7F7F7F" w:themeColor="text1" w:themeTint="80"/>
              <w:left w:val="single" w:sz="4" w:space="0" w:color="7F7F7F" w:themeColor="text1" w:themeTint="80"/>
              <w:right w:val="single" w:sz="4" w:space="0" w:color="7F7F7F" w:themeColor="text1" w:themeTint="80"/>
            </w:tcBorders>
            <w:hideMark/>
          </w:tcPr>
          <w:p w14:paraId="2EC849B3"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MAPE</w:t>
            </w:r>
          </w:p>
        </w:tc>
        <w:tc>
          <w:tcPr>
            <w:tcW w:w="1400" w:type="pct"/>
            <w:tcBorders>
              <w:top w:val="single" w:sz="4" w:space="0" w:color="7F7F7F" w:themeColor="text1" w:themeTint="80"/>
              <w:left w:val="single" w:sz="4" w:space="0" w:color="7F7F7F" w:themeColor="text1" w:themeTint="80"/>
              <w:right w:val="single" w:sz="4" w:space="0" w:color="7F7F7F" w:themeColor="text1" w:themeTint="80"/>
            </w:tcBorders>
            <w:hideMark/>
          </w:tcPr>
          <w:p w14:paraId="54C02D12"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R</w:t>
            </w:r>
            <w:r>
              <w:rPr>
                <w:rFonts w:ascii="Times New Roman" w:hAnsi="Times New Roman" w:cs="Times New Roman"/>
                <w:b w:val="0"/>
                <w:bCs w:val="0"/>
                <w:sz w:val="24"/>
                <w:szCs w:val="24"/>
                <w:vertAlign w:val="superscript"/>
                <w:lang w:bidi="en-US"/>
              </w:rPr>
              <w:t>2</w:t>
            </w:r>
          </w:p>
        </w:tc>
      </w:tr>
      <w:tr w:rsidR="004E516C" w14:paraId="298E8D52" w14:textId="77777777" w:rsidTr="004E516C">
        <w:trPr>
          <w:cnfStyle w:val="000000100000" w:firstRow="0" w:lastRow="0" w:firstColumn="0" w:lastColumn="0" w:oddVBand="0" w:evenVBand="0" w:oddHBand="1" w:evenHBand="0" w:firstRowFirstColumn="0" w:firstRowLastColumn="0" w:lastRowFirstColumn="0" w:lastRowLastColumn="0"/>
          <w:trHeight w:hRule="exact" w:val="848"/>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3E94212D"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CAPM</w:t>
            </w:r>
          </w:p>
        </w:tc>
        <w:tc>
          <w:tcPr>
            <w:tcW w:w="1026" w:type="pct"/>
            <w:tcBorders>
              <w:top w:val="nil"/>
              <w:left w:val="single" w:sz="4" w:space="0" w:color="7F7F7F" w:themeColor="text1" w:themeTint="80"/>
              <w:bottom w:val="nil"/>
              <w:right w:val="single" w:sz="4" w:space="0" w:color="7F7F7F" w:themeColor="text1" w:themeTint="80"/>
            </w:tcBorders>
            <w:hideMark/>
          </w:tcPr>
          <w:p w14:paraId="53C9980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2.18</w:t>
            </w:r>
          </w:p>
        </w:tc>
        <w:tc>
          <w:tcPr>
            <w:tcW w:w="1077" w:type="pct"/>
            <w:tcBorders>
              <w:top w:val="nil"/>
              <w:left w:val="single" w:sz="4" w:space="0" w:color="7F7F7F" w:themeColor="text1" w:themeTint="80"/>
              <w:bottom w:val="nil"/>
              <w:right w:val="single" w:sz="4" w:space="0" w:color="7F7F7F" w:themeColor="text1" w:themeTint="80"/>
            </w:tcBorders>
            <w:hideMark/>
          </w:tcPr>
          <w:p w14:paraId="77DA5F31"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12.5%</w:t>
            </w:r>
          </w:p>
        </w:tc>
        <w:tc>
          <w:tcPr>
            <w:tcW w:w="1400" w:type="pct"/>
            <w:tcBorders>
              <w:top w:val="nil"/>
              <w:left w:val="single" w:sz="4" w:space="0" w:color="7F7F7F" w:themeColor="text1" w:themeTint="80"/>
              <w:bottom w:val="nil"/>
              <w:right w:val="single" w:sz="4" w:space="0" w:color="7F7F7F" w:themeColor="text1" w:themeTint="80"/>
            </w:tcBorders>
            <w:hideMark/>
          </w:tcPr>
          <w:p w14:paraId="0F82D769"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0.31</w:t>
            </w:r>
          </w:p>
        </w:tc>
      </w:tr>
      <w:tr w:rsidR="004E516C" w14:paraId="499276D6"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5CD042C7"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Fama-French</w:t>
            </w:r>
          </w:p>
        </w:tc>
        <w:tc>
          <w:tcPr>
            <w:tcW w:w="1026" w:type="pct"/>
            <w:tcBorders>
              <w:top w:val="nil"/>
              <w:left w:val="single" w:sz="4" w:space="0" w:color="7F7F7F" w:themeColor="text1" w:themeTint="80"/>
              <w:bottom w:val="nil"/>
              <w:right w:val="single" w:sz="4" w:space="0" w:color="7F7F7F" w:themeColor="text1" w:themeTint="80"/>
            </w:tcBorders>
            <w:hideMark/>
          </w:tcPr>
          <w:p w14:paraId="3C9EAAC7"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1.97</w:t>
            </w:r>
          </w:p>
        </w:tc>
        <w:tc>
          <w:tcPr>
            <w:tcW w:w="1077" w:type="pct"/>
            <w:tcBorders>
              <w:top w:val="nil"/>
              <w:left w:val="single" w:sz="4" w:space="0" w:color="7F7F7F" w:themeColor="text1" w:themeTint="80"/>
              <w:bottom w:val="nil"/>
              <w:right w:val="single" w:sz="4" w:space="0" w:color="7F7F7F" w:themeColor="text1" w:themeTint="80"/>
            </w:tcBorders>
            <w:hideMark/>
          </w:tcPr>
          <w:p w14:paraId="2E0A7002"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11.1%</w:t>
            </w:r>
          </w:p>
        </w:tc>
        <w:tc>
          <w:tcPr>
            <w:tcW w:w="1400" w:type="pct"/>
            <w:tcBorders>
              <w:top w:val="nil"/>
              <w:left w:val="single" w:sz="4" w:space="0" w:color="7F7F7F" w:themeColor="text1" w:themeTint="80"/>
              <w:bottom w:val="nil"/>
              <w:right w:val="single" w:sz="4" w:space="0" w:color="7F7F7F" w:themeColor="text1" w:themeTint="80"/>
            </w:tcBorders>
            <w:hideMark/>
          </w:tcPr>
          <w:p w14:paraId="6177BCCA"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0.42</w:t>
            </w:r>
          </w:p>
        </w:tc>
      </w:tr>
      <w:tr w:rsidR="004E516C" w14:paraId="304F9746" w14:textId="77777777" w:rsidTr="004E516C">
        <w:trPr>
          <w:cnfStyle w:val="000000100000" w:firstRow="0" w:lastRow="0" w:firstColumn="0" w:lastColumn="0" w:oddVBand="0" w:evenVBand="0" w:oddHBand="1" w:evenHBand="0" w:firstRowFirstColumn="0" w:firstRowLastColumn="0" w:lastRowFirstColumn="0" w:lastRowLastColumn="0"/>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12E5C756"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Random Forest</w:t>
            </w:r>
          </w:p>
        </w:tc>
        <w:tc>
          <w:tcPr>
            <w:tcW w:w="1026" w:type="pct"/>
            <w:tcBorders>
              <w:top w:val="nil"/>
              <w:left w:val="single" w:sz="4" w:space="0" w:color="7F7F7F" w:themeColor="text1" w:themeTint="80"/>
              <w:bottom w:val="nil"/>
              <w:right w:val="single" w:sz="4" w:space="0" w:color="7F7F7F" w:themeColor="text1" w:themeTint="80"/>
            </w:tcBorders>
            <w:hideMark/>
          </w:tcPr>
          <w:p w14:paraId="141CEEAF"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w:t>
            </w:r>
          </w:p>
        </w:tc>
        <w:tc>
          <w:tcPr>
            <w:tcW w:w="1077" w:type="pct"/>
            <w:tcBorders>
              <w:top w:val="nil"/>
              <w:left w:val="single" w:sz="4" w:space="0" w:color="7F7F7F" w:themeColor="text1" w:themeTint="80"/>
              <w:bottom w:val="nil"/>
              <w:right w:val="single" w:sz="4" w:space="0" w:color="7F7F7F" w:themeColor="text1" w:themeTint="80"/>
            </w:tcBorders>
            <w:hideMark/>
          </w:tcPr>
          <w:p w14:paraId="34FD6B2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7.4%</w:t>
            </w:r>
          </w:p>
        </w:tc>
        <w:tc>
          <w:tcPr>
            <w:tcW w:w="1400" w:type="pct"/>
            <w:tcBorders>
              <w:top w:val="nil"/>
              <w:left w:val="single" w:sz="4" w:space="0" w:color="7F7F7F" w:themeColor="text1" w:themeTint="80"/>
              <w:bottom w:val="nil"/>
              <w:right w:val="single" w:sz="4" w:space="0" w:color="7F7F7F" w:themeColor="text1" w:themeTint="80"/>
            </w:tcBorders>
            <w:hideMark/>
          </w:tcPr>
          <w:p w14:paraId="79042D6D"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0.71</w:t>
            </w:r>
          </w:p>
        </w:tc>
      </w:tr>
      <w:tr w:rsidR="004E516C" w14:paraId="31081B8A"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786B28D3"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XG Boost</w:t>
            </w:r>
          </w:p>
        </w:tc>
        <w:tc>
          <w:tcPr>
            <w:tcW w:w="1026" w:type="pct"/>
            <w:tcBorders>
              <w:top w:val="nil"/>
              <w:left w:val="single" w:sz="4" w:space="0" w:color="7F7F7F" w:themeColor="text1" w:themeTint="80"/>
              <w:bottom w:val="nil"/>
              <w:right w:val="single" w:sz="4" w:space="0" w:color="7F7F7F" w:themeColor="text1" w:themeTint="80"/>
            </w:tcBorders>
            <w:hideMark/>
          </w:tcPr>
          <w:p w14:paraId="420A2309"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1.05</w:t>
            </w:r>
          </w:p>
        </w:tc>
        <w:tc>
          <w:tcPr>
            <w:tcW w:w="1077" w:type="pct"/>
            <w:tcBorders>
              <w:top w:val="nil"/>
              <w:left w:val="single" w:sz="4" w:space="0" w:color="7F7F7F" w:themeColor="text1" w:themeTint="80"/>
              <w:bottom w:val="nil"/>
              <w:right w:val="single" w:sz="4" w:space="0" w:color="7F7F7F" w:themeColor="text1" w:themeTint="80"/>
            </w:tcBorders>
            <w:hideMark/>
          </w:tcPr>
          <w:p w14:paraId="19EED7D4"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5.9%</w:t>
            </w:r>
          </w:p>
        </w:tc>
        <w:tc>
          <w:tcPr>
            <w:tcW w:w="1400" w:type="pct"/>
            <w:tcBorders>
              <w:top w:val="nil"/>
              <w:left w:val="single" w:sz="4" w:space="0" w:color="7F7F7F" w:themeColor="text1" w:themeTint="80"/>
              <w:bottom w:val="nil"/>
              <w:right w:val="single" w:sz="4" w:space="0" w:color="7F7F7F" w:themeColor="text1" w:themeTint="80"/>
            </w:tcBorders>
            <w:hideMark/>
          </w:tcPr>
          <w:p w14:paraId="7ADAA565"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0.79</w:t>
            </w:r>
          </w:p>
        </w:tc>
      </w:tr>
      <w:tr w:rsidR="004E516C" w14:paraId="3A780BFC" w14:textId="77777777" w:rsidTr="004E516C">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right w:val="single" w:sz="4" w:space="0" w:color="7F7F7F" w:themeColor="text1" w:themeTint="80"/>
            </w:tcBorders>
            <w:hideMark/>
          </w:tcPr>
          <w:p w14:paraId="1F153CC0"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LSTM</w:t>
            </w:r>
          </w:p>
        </w:tc>
        <w:tc>
          <w:tcPr>
            <w:tcW w:w="1026" w:type="pct"/>
            <w:tcBorders>
              <w:top w:val="nil"/>
              <w:left w:val="single" w:sz="4" w:space="0" w:color="7F7F7F" w:themeColor="text1" w:themeTint="80"/>
              <w:right w:val="single" w:sz="4" w:space="0" w:color="7F7F7F" w:themeColor="text1" w:themeTint="80"/>
            </w:tcBorders>
            <w:hideMark/>
          </w:tcPr>
          <w:p w14:paraId="0CC84D6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1.11</w:t>
            </w:r>
          </w:p>
        </w:tc>
        <w:tc>
          <w:tcPr>
            <w:tcW w:w="1077" w:type="pct"/>
            <w:tcBorders>
              <w:top w:val="nil"/>
              <w:left w:val="single" w:sz="4" w:space="0" w:color="7F7F7F" w:themeColor="text1" w:themeTint="80"/>
              <w:right w:val="single" w:sz="4" w:space="0" w:color="7F7F7F" w:themeColor="text1" w:themeTint="80"/>
            </w:tcBorders>
            <w:hideMark/>
          </w:tcPr>
          <w:p w14:paraId="7B4DE5A4"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6.3%</w:t>
            </w:r>
          </w:p>
        </w:tc>
        <w:tc>
          <w:tcPr>
            <w:tcW w:w="1400" w:type="pct"/>
            <w:tcBorders>
              <w:top w:val="nil"/>
              <w:left w:val="single" w:sz="4" w:space="0" w:color="7F7F7F" w:themeColor="text1" w:themeTint="80"/>
              <w:right w:val="single" w:sz="4" w:space="0" w:color="7F7F7F" w:themeColor="text1" w:themeTint="80"/>
            </w:tcBorders>
            <w:hideMark/>
          </w:tcPr>
          <w:p w14:paraId="766FCF7E"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0.75</w:t>
            </w:r>
          </w:p>
        </w:tc>
      </w:tr>
    </w:tbl>
    <w:p w14:paraId="2A709C16" w14:textId="3AD7A054" w:rsidR="004E516C" w:rsidRDefault="00C312B8">
      <w:pPr>
        <w:rPr>
          <w:rFonts w:ascii="Times New Roman" w:hAnsi="Times New Roman" w:cs="Times New Roman"/>
          <w:b/>
          <w:sz w:val="24"/>
          <w:szCs w:val="24"/>
        </w:rPr>
      </w:pPr>
      <w:r>
        <w:rPr>
          <w:rFonts w:ascii="Times New Roman" w:hAnsi="Times New Roman" w:cs="Times New Roman"/>
          <w:b/>
          <w:sz w:val="24"/>
          <w:szCs w:val="24"/>
        </w:rPr>
        <w:t>Interpretation</w:t>
      </w:r>
    </w:p>
    <w:p w14:paraId="3D20D428" w14:textId="77777777" w:rsidR="004E516C" w:rsidRDefault="00C312B8">
      <w:pPr>
        <w:jc w:val="both"/>
        <w:rPr>
          <w:rFonts w:ascii="Times New Roman" w:hAnsi="Times New Roman" w:cs="Times New Roman"/>
          <w:sz w:val="24"/>
          <w:szCs w:val="24"/>
        </w:rPr>
      </w:pPr>
      <w:r>
        <w:rPr>
          <w:rFonts w:ascii="Times New Roman" w:hAnsi="Times New Roman" w:cs="Times New Roman"/>
          <w:sz w:val="24"/>
          <w:szCs w:val="24"/>
        </w:rPr>
        <w:t xml:space="preserve">Model​‍​‌‍​‍‌​‍​‌‍​‍‌ performance outputs reveal that AI-powered models largely outperform conventional financial ‍​‌‍​‍‌​‍​‌‍​‍‌models. The​‍​‌‍​‍‌​‍​‌‍​‍‌ CAPM and Fama-French models also shows the increased errors (RMSE of 2.18 and 1.97) and decreased explanatory power (R² of 0.31 and 0.42). ​‍​‌‍​‍‌​‍​‌‍​‍‌As​‍​‌‍​‍‌​‍​‌‍​‍‌ a result, they are not able to capture the intricate and non-linear dynamics of the Nigerian market ‍​‌‍​‍‌​‍​‌‍​‍‌properly. In​‍​‌‍​‍‌​‍​‌‍​‍‌ contrast, these three models. Random Forest,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and LSTM have considerably decreased their errors and increased their explanatory power, with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being the most advanced (RMSE 1.05, MAPE 5.9%, R² ‍​‌‍​‍‌​‍​‌‍​‍‌0.79). LSTM​‍​‌‍​‍‌​‍​‌‍​‍‌ is another suitable option, so one can definitely conclude that it is very powerful for time series ‍​‌‍​‍‌​‍​‌‍​‍‌forecasting. The findings here are a clear indication of the ability of AI models to adapt to the Nigerian frontier markets erratic, volatile, and macro economically-driven nature. As such, they serve as more reliable instruments for systematic risk modeling and asset valuation. ​‍​‌‍​‍‌​‍​‌‍​‍</w:t>
      </w:r>
    </w:p>
    <w:p w14:paraId="2F77C60B" w14:textId="77777777" w:rsidR="004E516C" w:rsidRDefault="00C312B8">
      <w:pPr>
        <w:pStyle w:val="NormalWeb"/>
        <w:jc w:val="both"/>
      </w:pPr>
      <w:r>
        <w:rPr>
          <w:rStyle w:val="Strong"/>
        </w:rPr>
        <w:t>4.4 Discussion</w:t>
      </w:r>
    </w:p>
    <w:p w14:paraId="20F560BA" w14:textId="77777777" w:rsidR="004E516C" w:rsidRDefault="00C312B8">
      <w:pPr>
        <w:pStyle w:val="NormalWeb"/>
        <w:jc w:val="both"/>
      </w:pPr>
      <w:r>
        <w:t>These​‍​‌‍​‍‌​‍​‌‍​‍‌ results clearly show that AI models are superior to traditional models in the Nigerian frontier market. CAPM and Fama-French models are based on assumptions that are not valid in the economic environment of Nigeria. For instance, inflation in Nigeria is prone to sudden spikes, devaluation of the currency is a regular occurrence, and the oil price is unstable; thus, the behavior of the market is not consistent. Since the market has these structural weaknesses, the linear models are less potent.</w:t>
      </w:r>
    </w:p>
    <w:p w14:paraId="008C730D" w14:textId="4B8D50AE" w:rsidR="004E516C" w:rsidRDefault="00C312B8">
      <w:pPr>
        <w:pStyle w:val="NormalWeb"/>
        <w:jc w:val="both"/>
      </w:pPr>
      <w:r>
        <w:t xml:space="preserve">The main reason why AI models perform well is that they learn data patterns and do not have to rely on strict assumptions. The most accurate model was </w:t>
      </w:r>
      <w:proofErr w:type="spellStart"/>
      <w:r>
        <w:t>XGBoost</w:t>
      </w:r>
      <w:proofErr w:type="spellEnd"/>
      <w:r>
        <w:t xml:space="preserve">, while LSTM was not far behind. </w:t>
      </w:r>
      <w:proofErr w:type="spellStart"/>
      <w:r>
        <w:t>XGBoost</w:t>
      </w:r>
      <w:proofErr w:type="spellEnd"/>
      <w:r>
        <w:t xml:space="preserve"> is effective because the nonlinear interactions in the returns of the Nigerian stock market can be easily captured by a decision-tree-based model. LSTM also gives a good result because it is a model for time-series forecasting, and it can absorb the long-run dependencies, </w:t>
      </w:r>
      <w:r>
        <w:lastRenderedPageBreak/>
        <w:t xml:space="preserve">especially when the market is volatile. The SHAP analysis emphasizes the most important factors in the macroeconomy, such as exchange-rate volatility and inflation, which correspond to the real Nigerian economy. Depreciation of the exchange rate affects the price of imports, inflation, corporate profits, and investor confidence. At the same time, the rise and fall of oil prices determine government revenue, foreign exchange reserves, and the general behavior of the market. These results are in line with the recent research that identifies macroeconomic shocks as the major players in frontier markets </w:t>
      </w:r>
      <w:r w:rsidR="00561EBC" w:rsidRPr="00561EBC">
        <w:t>(</w:t>
      </w:r>
      <w:proofErr w:type="spellStart"/>
      <w:r w:rsidR="00561EBC" w:rsidRPr="00561EBC">
        <w:t>Iyke</w:t>
      </w:r>
      <w:proofErr w:type="spellEnd"/>
      <w:r w:rsidR="00561EBC" w:rsidRPr="00561EBC">
        <w:t xml:space="preserve"> &amp; Ho, 2021)</w:t>
      </w:r>
      <w:r w:rsidR="00561EBC">
        <w:t>.</w:t>
      </w:r>
    </w:p>
    <w:p w14:paraId="27266508" w14:textId="77777777" w:rsidR="004E516C" w:rsidRDefault="00C312B8">
      <w:pPr>
        <w:pStyle w:val="NormalWeb"/>
        <w:jc w:val="both"/>
      </w:pPr>
      <w:r>
        <w:t>Liquidity​‍​‌‍​‍‌​‍​‌‍​‍‌ and trading volume were very crucial factors as well, which show that market depth remains a ‍​‌‍​‍‌​‍​‌‍​‍‌problem. Volatility​‍​‌‍​‍‌​‍​‌‍​‍‌ goes up and price efficiency goes down when trading is thin; hence, the use of AI-based models becomes even more effective. The results indicate that AI can be considered as a more reliable source for asset pricing and systematic risk measurement in frontier ‍​‌‍​‍‌​‍​‌‍​‍‌markets. Besides, these instruments can make it easier for the regulators to monitor the risks, can contribute to better portfolio construction by investors, and, in turn, be a source of strength for their decision-making in the presence of volatility. ​‍​‌‍​‍‌​‍​‌</w:t>
      </w:r>
    </w:p>
    <w:p w14:paraId="06FEBD4D" w14:textId="77777777" w:rsidR="004E516C" w:rsidRDefault="00C312B8">
      <w:pPr>
        <w:pStyle w:val="NormalWeb"/>
        <w:jc w:val="both"/>
      </w:pPr>
      <w:r>
        <w:rPr>
          <w:rStyle w:val="Strong"/>
        </w:rPr>
        <w:t>5.0 Conclusion and Recommendations</w:t>
      </w:r>
    </w:p>
    <w:p w14:paraId="75B0E655" w14:textId="77777777" w:rsidR="004E516C" w:rsidRDefault="00C312B8">
      <w:pPr>
        <w:pStyle w:val="NormalWeb"/>
        <w:jc w:val="both"/>
      </w:pPr>
      <w:r>
        <w:rPr>
          <w:rStyle w:val="Strong"/>
        </w:rPr>
        <w:t>5.1 Conclusion</w:t>
      </w:r>
    </w:p>
    <w:p w14:paraId="1E814BA5" w14:textId="77777777" w:rsidR="004E516C" w:rsidRDefault="00C312B8">
      <w:pPr>
        <w:pStyle w:val="NormalWeb"/>
        <w:jc w:val="both"/>
      </w:pPr>
      <w:r>
        <w:t>AI-powered​‍​‌‍​‍‌​‍​‌‍​‍‌ models significantly outperform traditional linear models in predicting stock returns and measuring systematic risk in Nigeria. They effectively identify non-linear characteristics, adjust to market volatility, and offer more detailed insights with the help of explainable ‍​‌‍​‍‌​‍​‌‍​‍‌AI.</w:t>
      </w:r>
    </w:p>
    <w:p w14:paraId="613FC571" w14:textId="77777777" w:rsidR="004E516C" w:rsidRDefault="00C312B8">
      <w:pPr>
        <w:pStyle w:val="NormalWeb"/>
        <w:jc w:val="both"/>
      </w:pPr>
      <w:r>
        <w:rPr>
          <w:rStyle w:val="Strong"/>
        </w:rPr>
        <w:t>5.2 Recommendations</w:t>
      </w:r>
    </w:p>
    <w:p w14:paraId="66866B59" w14:textId="77777777" w:rsidR="004E516C" w:rsidRDefault="00C312B8">
      <w:pPr>
        <w:pStyle w:val="NormalWeb"/>
        <w:jc w:val="both"/>
      </w:pPr>
      <w:proofErr w:type="spellStart"/>
      <w:r>
        <w:t>i</w:t>
      </w:r>
      <w:proofErr w:type="spellEnd"/>
      <w:r>
        <w:t>.​‍​‌‍​‍‌​‍​‌‍​‍‌ Regulators are advised to equip themselves with AI-based risk monitoring tools so as to be able to detect market instability at the very early stage and also be able to monitor more effectively. As a result, this will contribute to the strengthening of the financial system in highly unstable frontier markets such as Nigeria.</w:t>
      </w:r>
    </w:p>
    <w:p w14:paraId="4DD1135E" w14:textId="77777777" w:rsidR="004E516C" w:rsidRDefault="00C312B8">
      <w:pPr>
        <w:pStyle w:val="NormalWeb"/>
        <w:jc w:val="both"/>
      </w:pPr>
      <w:r>
        <w:t>ii. Portfolio managers are recommended to use a combination of traditional asset-pricing models and AI techniques in order to enhance the prediction accuracy. The blending of these two approaches helps to achieve better diversification and makes the asset allocation decisions more informed.</w:t>
      </w:r>
    </w:p>
    <w:p w14:paraId="68E0D569" w14:textId="77777777" w:rsidR="004E516C" w:rsidRDefault="00C312B8">
      <w:pPr>
        <w:pStyle w:val="NormalWeb"/>
        <w:jc w:val="both"/>
      </w:pPr>
      <w:r>
        <w:t>iii. Investors are recommended to focus on macroeconomic variables very closely. Among others, the variables that affect the exchange rate, inflation, and the price of oil should be considered. These are the factors that have a strong influence on systematic risk and therefore should determine investment timing as well as portfolio construction.</w:t>
      </w:r>
    </w:p>
    <w:p w14:paraId="14681C4D" w14:textId="77777777" w:rsidR="004E516C" w:rsidRDefault="00C312B8">
      <w:pPr>
        <w:pStyle w:val="NormalWeb"/>
        <w:jc w:val="both"/>
      </w:pPr>
      <w:r>
        <w:t>iv. Researchers in the future should consider the hybrid econometric-AI models that combine interpretability and predictive power. These models have the capability to unveil the risk behavior in markets that are complex and developing ‍​‌‍​‍‌​‍​‌‍​‍‌deeply.</w:t>
      </w:r>
    </w:p>
    <w:p w14:paraId="3DCA6B1F" w14:textId="77777777" w:rsidR="00AC466B" w:rsidRDefault="00AC466B">
      <w:pPr>
        <w:pStyle w:val="NormalWeb"/>
        <w:jc w:val="both"/>
      </w:pPr>
    </w:p>
    <w:p w14:paraId="159BFA76" w14:textId="77777777" w:rsidR="00AC466B" w:rsidRPr="00AC466B" w:rsidRDefault="00AC466B" w:rsidP="00AC466B">
      <w:pPr>
        <w:spacing w:after="200" w:line="276" w:lineRule="auto"/>
        <w:jc w:val="both"/>
        <w:outlineLvl w:val="0"/>
        <w:rPr>
          <w:rFonts w:ascii="Arial" w:eastAsia="Times New Roman" w:hAnsi="Arial" w:cs="Arial"/>
          <w:lang w:val="en-GB" w:eastAsia="en-GB"/>
        </w:rPr>
      </w:pPr>
      <w:r w:rsidRPr="00AC466B">
        <w:rPr>
          <w:rFonts w:ascii="Arial" w:eastAsia="Times New Roman" w:hAnsi="Arial" w:cs="Arial"/>
          <w:b/>
          <w:bCs/>
          <w:lang w:val="en-GB" w:eastAsia="en-GB"/>
        </w:rPr>
        <w:lastRenderedPageBreak/>
        <w:t>COMPETING INTERESTS DISCLAIMER:</w:t>
      </w:r>
    </w:p>
    <w:p w14:paraId="1BE44AE6" w14:textId="77777777" w:rsidR="00AC466B" w:rsidRPr="00AC466B" w:rsidRDefault="00AC466B" w:rsidP="00AC466B">
      <w:pPr>
        <w:spacing w:after="200" w:line="276" w:lineRule="auto"/>
        <w:rPr>
          <w:rFonts w:ascii="Calibri" w:eastAsia="Times New Roman" w:hAnsi="Calibri" w:cs="Times New Roman"/>
          <w:lang w:val="en-GB" w:eastAsia="en-GB"/>
        </w:rPr>
      </w:pPr>
      <w:r w:rsidRPr="00AC466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1A1EB7" w14:textId="77777777" w:rsidR="00AC466B" w:rsidRPr="00AC466B" w:rsidRDefault="00AC466B" w:rsidP="00AC466B">
      <w:pPr>
        <w:spacing w:after="200" w:line="276" w:lineRule="auto"/>
        <w:rPr>
          <w:rFonts w:ascii="Calibri" w:eastAsia="Times New Roman" w:hAnsi="Calibri" w:cs="Times New Roman"/>
          <w:lang w:val="en-GB" w:eastAsia="en-GB"/>
        </w:rPr>
      </w:pPr>
    </w:p>
    <w:p w14:paraId="2D052D76" w14:textId="77777777" w:rsidR="000724CD" w:rsidRPr="00740879" w:rsidRDefault="000724CD" w:rsidP="000724CD">
      <w:pPr>
        <w:rPr>
          <w:highlight w:val="yellow"/>
        </w:rPr>
      </w:pPr>
      <w:r w:rsidRPr="00740879">
        <w:rPr>
          <w:highlight w:val="yellow"/>
        </w:rPr>
        <w:t>Disclaimer (Artificial intelligence)</w:t>
      </w:r>
    </w:p>
    <w:p w14:paraId="791272D0" w14:textId="2172152B" w:rsidR="004E516C" w:rsidRPr="004A2B0A" w:rsidRDefault="000724CD" w:rsidP="004A2B0A">
      <w:pPr>
        <w:rPr>
          <w:rStyle w:val="Strong"/>
          <w:b w:val="0"/>
          <w:bCs w:val="0"/>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3CB8248" w14:textId="77777777" w:rsidR="004E516C" w:rsidRDefault="00C312B8">
      <w:pPr>
        <w:pStyle w:val="NormalWeb"/>
        <w:jc w:val="both"/>
      </w:pPr>
      <w:r>
        <w:rPr>
          <w:rStyle w:val="Strong"/>
        </w:rPr>
        <w:t>References</w:t>
      </w:r>
    </w:p>
    <w:p w14:paraId="63AB344C" w14:textId="703DC0EE" w:rsidR="00431D97" w:rsidRDefault="00431D97" w:rsidP="001C3AE2">
      <w:pPr>
        <w:pStyle w:val="NormalWeb"/>
        <w:numPr>
          <w:ilvl w:val="0"/>
          <w:numId w:val="1"/>
        </w:numPr>
        <w:jc w:val="both"/>
      </w:pPr>
      <w:proofErr w:type="spellStart"/>
      <w:r w:rsidRPr="00431D97">
        <w:t>Adjasi</w:t>
      </w:r>
      <w:proofErr w:type="spellEnd"/>
      <w:r w:rsidRPr="00431D97">
        <w:t>, C. K. D., Harvey, S. K., &amp; Agyapong, D. (2008). Effect of exchange rate volatility on the Ghana stock exchange. African Journal of Accounting, Economics, Finance</w:t>
      </w:r>
      <w:r w:rsidR="00C32506">
        <w:t xml:space="preserve"> and Banking Research, 3(3), 28-</w:t>
      </w:r>
      <w:r w:rsidRPr="00431D97">
        <w:t>47.</w:t>
      </w:r>
    </w:p>
    <w:p w14:paraId="680F713E" w14:textId="56193E26" w:rsidR="004A2B0A" w:rsidRDefault="004A2B0A" w:rsidP="001C3AE2">
      <w:pPr>
        <w:pStyle w:val="NormalWeb"/>
        <w:numPr>
          <w:ilvl w:val="0"/>
          <w:numId w:val="1"/>
        </w:numPr>
        <w:jc w:val="both"/>
      </w:pPr>
      <w:proofErr w:type="spellStart"/>
      <w:r>
        <w:t>Babaei</w:t>
      </w:r>
      <w:proofErr w:type="spellEnd"/>
      <w:r>
        <w:t xml:space="preserve">, G., </w:t>
      </w:r>
      <w:proofErr w:type="spellStart"/>
      <w:r>
        <w:t>Giudici</w:t>
      </w:r>
      <w:proofErr w:type="spellEnd"/>
      <w:r>
        <w:t xml:space="preserve">, P., &amp; </w:t>
      </w:r>
      <w:proofErr w:type="spellStart"/>
      <w:r>
        <w:t>Raffinetti</w:t>
      </w:r>
      <w:proofErr w:type="spellEnd"/>
      <w:r>
        <w:t xml:space="preserve">, E. (2022). </w:t>
      </w:r>
      <w:r>
        <w:rPr>
          <w:rStyle w:val="Emphasis"/>
        </w:rPr>
        <w:t>Explainable artificial intelligence for crypto-asset allocation</w:t>
      </w:r>
      <w:r>
        <w:t xml:space="preserve">. </w:t>
      </w:r>
      <w:r w:rsidRPr="004A2B0A">
        <w:rPr>
          <w:rStyle w:val="Strong"/>
          <w:b w:val="0"/>
        </w:rPr>
        <w:t>Finance Research Letters, 47</w:t>
      </w:r>
      <w:r w:rsidRPr="004A2B0A">
        <w:rPr>
          <w:b/>
        </w:rPr>
        <w:t>,</w:t>
      </w:r>
      <w:r>
        <w:t xml:space="preserve"> Article 102941.</w:t>
      </w:r>
    </w:p>
    <w:p w14:paraId="0DB49E66" w14:textId="4169A725" w:rsidR="00BC2262" w:rsidRDefault="000A0D25" w:rsidP="001C3AE2">
      <w:pPr>
        <w:pStyle w:val="NormalWeb"/>
        <w:numPr>
          <w:ilvl w:val="0"/>
          <w:numId w:val="1"/>
        </w:numPr>
        <w:jc w:val="both"/>
      </w:pPr>
      <w:r w:rsidRPr="00072F66">
        <w:rPr>
          <w:rStyle w:val="Strong"/>
          <w:b w:val="0"/>
        </w:rPr>
        <w:t>Bekaert, G., Harvey, C. R., &amp; Lundblad, C. (2007).</w:t>
      </w:r>
      <w:r w:rsidRPr="00072F66">
        <w:t xml:space="preserve"> Liquidity and expected returns: Lessons from emerging markets. </w:t>
      </w:r>
      <w:r w:rsidRPr="00072F66">
        <w:rPr>
          <w:rStyle w:val="Emphasis"/>
        </w:rPr>
        <w:t>Review of Financial Studies, 20</w:t>
      </w:r>
      <w:r w:rsidR="00C32506">
        <w:t>(6), 1783-</w:t>
      </w:r>
      <w:r w:rsidRPr="00072F66">
        <w:t>1831</w:t>
      </w:r>
      <w:r w:rsidR="00BC2262" w:rsidRPr="00072F66">
        <w:t xml:space="preserve">. </w:t>
      </w:r>
    </w:p>
    <w:p w14:paraId="4933547D" w14:textId="5DC58787" w:rsidR="00DE7AD0" w:rsidRDefault="00DE7AD0" w:rsidP="001C3AE2">
      <w:pPr>
        <w:pStyle w:val="NormalWeb"/>
        <w:numPr>
          <w:ilvl w:val="0"/>
          <w:numId w:val="1"/>
        </w:numPr>
        <w:jc w:val="both"/>
      </w:pPr>
      <w:proofErr w:type="spellStart"/>
      <w:r>
        <w:t>Giantsidi</w:t>
      </w:r>
      <w:proofErr w:type="spellEnd"/>
      <w:r>
        <w:t xml:space="preserve">, S., &amp; </w:t>
      </w:r>
      <w:proofErr w:type="spellStart"/>
      <w:r>
        <w:t>Tarantola</w:t>
      </w:r>
      <w:proofErr w:type="spellEnd"/>
      <w:r>
        <w:t xml:space="preserve">, C. (2025). </w:t>
      </w:r>
      <w:r>
        <w:rPr>
          <w:rStyle w:val="Emphasis"/>
        </w:rPr>
        <w:t>Deep learning for financial forecasting: A review of recent trends</w:t>
      </w:r>
      <w:r>
        <w:t xml:space="preserve">. </w:t>
      </w:r>
      <w:r w:rsidRPr="00DE7AD0">
        <w:rPr>
          <w:rStyle w:val="Strong"/>
          <w:b w:val="0"/>
        </w:rPr>
        <w:t>International Review of Economics &amp; Finance, 104</w:t>
      </w:r>
      <w:r w:rsidRPr="00DE7AD0">
        <w:rPr>
          <w:b/>
        </w:rPr>
        <w:t>,</w:t>
      </w:r>
      <w:r>
        <w:t xml:space="preserve"> Article 104719.</w:t>
      </w:r>
    </w:p>
    <w:p w14:paraId="2245C980" w14:textId="1BE84A2B" w:rsidR="00536172" w:rsidRPr="00072F66" w:rsidRDefault="00536172" w:rsidP="001C3AE2">
      <w:pPr>
        <w:pStyle w:val="NormalWeb"/>
        <w:numPr>
          <w:ilvl w:val="0"/>
          <w:numId w:val="1"/>
        </w:numPr>
        <w:jc w:val="both"/>
      </w:pPr>
      <w:r>
        <w:t xml:space="preserve">Goswami, B., &amp; Uddin, A. (2025). </w:t>
      </w:r>
      <w:r>
        <w:rPr>
          <w:rStyle w:val="Emphasis"/>
        </w:rPr>
        <w:t>Significance of predictors: Revisiting stock return predictions using explainable artificial intelligence</w:t>
      </w:r>
      <w:r>
        <w:t xml:space="preserve">. </w:t>
      </w:r>
      <w:r w:rsidRPr="00C32506">
        <w:rPr>
          <w:rStyle w:val="Strong"/>
          <w:b w:val="0"/>
        </w:rPr>
        <w:t>Annals of Operations Research</w:t>
      </w:r>
      <w:r w:rsidRPr="00C32506">
        <w:rPr>
          <w:b/>
        </w:rPr>
        <w:t>.</w:t>
      </w:r>
      <w:r>
        <w:t xml:space="preserve"> Advance online publication.</w:t>
      </w:r>
    </w:p>
    <w:p w14:paraId="605FF4CE" w14:textId="2558BFC2" w:rsidR="00CF684B" w:rsidRDefault="00CF684B" w:rsidP="001C3AE2">
      <w:pPr>
        <w:pStyle w:val="NormalWeb"/>
        <w:numPr>
          <w:ilvl w:val="0"/>
          <w:numId w:val="1"/>
        </w:numPr>
        <w:jc w:val="both"/>
      </w:pPr>
      <w:r w:rsidRPr="00CF684B">
        <w:t xml:space="preserve">Gu, S., Kelly, B., &amp; </w:t>
      </w:r>
      <w:proofErr w:type="spellStart"/>
      <w:r w:rsidRPr="00CF684B">
        <w:t>Xiu</w:t>
      </w:r>
      <w:proofErr w:type="spellEnd"/>
      <w:r w:rsidRPr="00CF684B">
        <w:t>, D. (2020). Empirical asset pricing via machine learning. Review of</w:t>
      </w:r>
      <w:r w:rsidR="00C32506">
        <w:t xml:space="preserve"> Financial Studies, 33(5), 2223-</w:t>
      </w:r>
      <w:r w:rsidRPr="00CF684B">
        <w:t>2273.</w:t>
      </w:r>
    </w:p>
    <w:p w14:paraId="393F81CF" w14:textId="01FAA1DB" w:rsidR="00842ECA" w:rsidRDefault="00842ECA" w:rsidP="001C3AE2">
      <w:pPr>
        <w:pStyle w:val="NormalWeb"/>
        <w:numPr>
          <w:ilvl w:val="0"/>
          <w:numId w:val="1"/>
        </w:numPr>
        <w:jc w:val="both"/>
      </w:pPr>
      <w:proofErr w:type="spellStart"/>
      <w:r>
        <w:t>Hanauer</w:t>
      </w:r>
      <w:proofErr w:type="spellEnd"/>
      <w:r>
        <w:t xml:space="preserve">, M. X., </w:t>
      </w:r>
      <w:proofErr w:type="spellStart"/>
      <w:r>
        <w:t>Kononova</w:t>
      </w:r>
      <w:proofErr w:type="spellEnd"/>
      <w:r>
        <w:t xml:space="preserve">, M., &amp; Rapp, M. S. (2022). </w:t>
      </w:r>
      <w:r>
        <w:rPr>
          <w:rStyle w:val="Emphasis"/>
        </w:rPr>
        <w:t>Boosting agnostic fundamental analysis: Using machine learning to identify mispricing in European stock markets</w:t>
      </w:r>
      <w:r>
        <w:t xml:space="preserve">. </w:t>
      </w:r>
      <w:r w:rsidRPr="00842ECA">
        <w:rPr>
          <w:rStyle w:val="Strong"/>
          <w:b w:val="0"/>
        </w:rPr>
        <w:t>Finance Research Letters, 48</w:t>
      </w:r>
      <w:r w:rsidRPr="00842ECA">
        <w:rPr>
          <w:b/>
        </w:rPr>
        <w:t xml:space="preserve">, </w:t>
      </w:r>
      <w:r w:rsidRPr="00842ECA">
        <w:t>Article 102856.</w:t>
      </w:r>
    </w:p>
    <w:p w14:paraId="63E720C5" w14:textId="3E8C7EA0" w:rsidR="007C2A92" w:rsidRDefault="0013589B" w:rsidP="001C3AE2">
      <w:pPr>
        <w:pStyle w:val="NormalWeb"/>
        <w:numPr>
          <w:ilvl w:val="0"/>
          <w:numId w:val="1"/>
        </w:numPr>
        <w:jc w:val="both"/>
      </w:pPr>
      <w:proofErr w:type="spellStart"/>
      <w:r w:rsidRPr="00072F66">
        <w:t>Iyke</w:t>
      </w:r>
      <w:proofErr w:type="spellEnd"/>
      <w:r w:rsidRPr="00072F66">
        <w:t xml:space="preserve">, B. N., &amp; Ho, S. Y. (2021). Exchange rate volatility and inflation in Nigeria. </w:t>
      </w:r>
      <w:r w:rsidRPr="00072F66">
        <w:rPr>
          <w:rStyle w:val="Emphasis"/>
        </w:rPr>
        <w:t>Journal of Economic Studies, 48</w:t>
      </w:r>
      <w:r w:rsidRPr="00072F66">
        <w:t>(5), 987-1002.</w:t>
      </w:r>
    </w:p>
    <w:p w14:paraId="2FE06B1A" w14:textId="54449D85" w:rsidR="00B147DA" w:rsidRDefault="00B147DA" w:rsidP="001C3AE2">
      <w:pPr>
        <w:pStyle w:val="NormalWeb"/>
        <w:numPr>
          <w:ilvl w:val="0"/>
          <w:numId w:val="1"/>
        </w:numPr>
        <w:jc w:val="both"/>
      </w:pPr>
      <w:proofErr w:type="spellStart"/>
      <w:r>
        <w:t>Leippold</w:t>
      </w:r>
      <w:proofErr w:type="spellEnd"/>
      <w:r>
        <w:t xml:space="preserve">, M., Wang, Q., &amp; Zhou, W. (2022). </w:t>
      </w:r>
      <w:r w:rsidRPr="00B147DA">
        <w:rPr>
          <w:rStyle w:val="Strong"/>
          <w:b w:val="0"/>
        </w:rPr>
        <w:t>Machine learning in the Chinese stock market</w:t>
      </w:r>
      <w:r w:rsidRPr="00B147DA">
        <w:rPr>
          <w:b/>
        </w:rPr>
        <w:t>.</w:t>
      </w:r>
      <w:r>
        <w:t xml:space="preserve"> </w:t>
      </w:r>
      <w:r>
        <w:rPr>
          <w:rStyle w:val="Emphasis"/>
        </w:rPr>
        <w:t>Journal of Financial Economics, 145</w:t>
      </w:r>
      <w:r w:rsidR="00C32506">
        <w:t>(2), 64-</w:t>
      </w:r>
      <w:r>
        <w:t>82.</w:t>
      </w:r>
    </w:p>
    <w:p w14:paraId="4E54D17F" w14:textId="40CC6438" w:rsidR="00877BC0" w:rsidRPr="00072F66" w:rsidRDefault="00877BC0" w:rsidP="001C3AE2">
      <w:pPr>
        <w:pStyle w:val="NormalWeb"/>
        <w:numPr>
          <w:ilvl w:val="0"/>
          <w:numId w:val="1"/>
        </w:numPr>
        <w:jc w:val="both"/>
      </w:pPr>
      <w:r>
        <w:t xml:space="preserve">Muhammad, D., Ahmed, I., Naveed, K., &amp; </w:t>
      </w:r>
      <w:proofErr w:type="spellStart"/>
      <w:r>
        <w:t>Bendechache</w:t>
      </w:r>
      <w:proofErr w:type="spellEnd"/>
      <w:r>
        <w:t xml:space="preserve">, M. (2024). </w:t>
      </w:r>
      <w:r>
        <w:rPr>
          <w:rStyle w:val="Emphasis"/>
        </w:rPr>
        <w:t>An explainable deep learning approach for stock market trend prediction</w:t>
      </w:r>
      <w:r>
        <w:t xml:space="preserve">. </w:t>
      </w:r>
      <w:proofErr w:type="spellStart"/>
      <w:r w:rsidRPr="00877BC0">
        <w:rPr>
          <w:rStyle w:val="Strong"/>
          <w:b w:val="0"/>
        </w:rPr>
        <w:t>Heliyon</w:t>
      </w:r>
      <w:proofErr w:type="spellEnd"/>
      <w:r w:rsidRPr="00877BC0">
        <w:rPr>
          <w:rStyle w:val="Strong"/>
          <w:b w:val="0"/>
        </w:rPr>
        <w:t>, 10</w:t>
      </w:r>
      <w:r w:rsidRPr="00877BC0">
        <w:rPr>
          <w:b/>
        </w:rPr>
        <w:t xml:space="preserve">, </w:t>
      </w:r>
      <w:r w:rsidRPr="00877BC0">
        <w:t>e40095.</w:t>
      </w:r>
    </w:p>
    <w:p w14:paraId="4DBB5D8F" w14:textId="66018AF3" w:rsidR="004E516C" w:rsidRDefault="001F5868" w:rsidP="001C3AE2">
      <w:pPr>
        <w:pStyle w:val="NormalWeb"/>
        <w:numPr>
          <w:ilvl w:val="0"/>
          <w:numId w:val="1"/>
        </w:numPr>
        <w:jc w:val="both"/>
      </w:pPr>
      <w:proofErr w:type="spellStart"/>
      <w:r w:rsidRPr="001F5868">
        <w:t>Rouwenhorst</w:t>
      </w:r>
      <w:proofErr w:type="spellEnd"/>
      <w:r w:rsidRPr="001F5868">
        <w:t xml:space="preserve">, K. G. (1999). Local return factors and turnover in emerging stock markets. </w:t>
      </w:r>
      <w:r w:rsidR="00C32506">
        <w:t>Journal of Finance, 54(4), 1439-</w:t>
      </w:r>
      <w:r w:rsidRPr="001F5868">
        <w:t xml:space="preserve">1464. </w:t>
      </w:r>
    </w:p>
    <w:p w14:paraId="1F19A622" w14:textId="77777777" w:rsidR="00B147DA" w:rsidRDefault="00B147DA" w:rsidP="00C13F90">
      <w:pPr>
        <w:pStyle w:val="NormalWeb"/>
        <w:jc w:val="both"/>
      </w:pPr>
    </w:p>
    <w:p w14:paraId="28011A88" w14:textId="77777777" w:rsidR="00C312B8" w:rsidRDefault="00C312B8"/>
    <w:sectPr w:rsidR="00C312B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4F53" w14:textId="77777777" w:rsidR="00651F4D" w:rsidRDefault="00651F4D">
      <w:pPr>
        <w:spacing w:after="0" w:line="240" w:lineRule="auto"/>
      </w:pPr>
      <w:r>
        <w:separator/>
      </w:r>
    </w:p>
  </w:endnote>
  <w:endnote w:type="continuationSeparator" w:id="0">
    <w:p w14:paraId="0884CD3F" w14:textId="77777777" w:rsidR="00651F4D" w:rsidRDefault="0065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6992" w14:textId="77777777" w:rsidR="004A3F08" w:rsidRDefault="004A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88287"/>
      <w:docPartObj>
        <w:docPartGallery w:val="Page Numbers (Bottom of Page)"/>
        <w:docPartUnique/>
      </w:docPartObj>
    </w:sdtPr>
    <w:sdtEndPr/>
    <w:sdtContent>
      <w:p w14:paraId="5874CF3C" w14:textId="77777777" w:rsidR="004E516C" w:rsidRDefault="00C312B8">
        <w:pPr>
          <w:pStyle w:val="Footer"/>
          <w:jc w:val="center"/>
        </w:pPr>
        <w:r>
          <w:fldChar w:fldCharType="begin"/>
        </w:r>
        <w:r>
          <w:instrText xml:space="preserve"> PAGE   \* MERGEFORMAT </w:instrText>
        </w:r>
        <w:r>
          <w:fldChar w:fldCharType="separate"/>
        </w:r>
        <w:r w:rsidR="006E76C6">
          <w:rPr>
            <w:noProof/>
          </w:rPr>
          <w:t>11</w:t>
        </w:r>
        <w:r>
          <w:rPr>
            <w:noProof/>
          </w:rPr>
          <w:fldChar w:fldCharType="end"/>
        </w:r>
      </w:p>
    </w:sdtContent>
  </w:sdt>
  <w:p w14:paraId="143F0804" w14:textId="77777777" w:rsidR="004E516C" w:rsidRDefault="004E5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3255" w14:textId="77777777" w:rsidR="004A3F08" w:rsidRDefault="004A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E017" w14:textId="77777777" w:rsidR="00651F4D" w:rsidRDefault="00651F4D">
      <w:pPr>
        <w:spacing w:after="0" w:line="240" w:lineRule="auto"/>
      </w:pPr>
      <w:r>
        <w:separator/>
      </w:r>
    </w:p>
  </w:footnote>
  <w:footnote w:type="continuationSeparator" w:id="0">
    <w:p w14:paraId="54CCD92C" w14:textId="77777777" w:rsidR="00651F4D" w:rsidRDefault="00651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CC5A" w14:textId="4C7FBA20" w:rsidR="004A3F08" w:rsidRDefault="00651F4D">
    <w:pPr>
      <w:pStyle w:val="Header"/>
    </w:pPr>
    <w:r>
      <w:rPr>
        <w:noProof/>
      </w:rPr>
      <w:pict w14:anchorId="79730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D1ED" w14:textId="557A5817" w:rsidR="004A3F08" w:rsidRDefault="00651F4D">
    <w:pPr>
      <w:pStyle w:val="Header"/>
    </w:pPr>
    <w:r>
      <w:rPr>
        <w:noProof/>
      </w:rPr>
      <w:pict w14:anchorId="5DB72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5450" w14:textId="0A32FEA8" w:rsidR="004A3F08" w:rsidRDefault="00651F4D">
    <w:pPr>
      <w:pStyle w:val="Header"/>
    </w:pPr>
    <w:r>
      <w:rPr>
        <w:noProof/>
      </w:rPr>
      <w:pict w14:anchorId="6D9B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C6965"/>
    <w:multiLevelType w:val="hybridMultilevel"/>
    <w:tmpl w:val="347C0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04"/>
    <w:rsid w:val="00003ED5"/>
    <w:rsid w:val="000724CD"/>
    <w:rsid w:val="00072F66"/>
    <w:rsid w:val="000A0D25"/>
    <w:rsid w:val="000A6B21"/>
    <w:rsid w:val="000E0849"/>
    <w:rsid w:val="0010193C"/>
    <w:rsid w:val="0013589B"/>
    <w:rsid w:val="00157DD1"/>
    <w:rsid w:val="001C3AE2"/>
    <w:rsid w:val="001F146E"/>
    <w:rsid w:val="001F5868"/>
    <w:rsid w:val="00223E13"/>
    <w:rsid w:val="0026532F"/>
    <w:rsid w:val="00273E11"/>
    <w:rsid w:val="002D361A"/>
    <w:rsid w:val="00312B1C"/>
    <w:rsid w:val="003525B2"/>
    <w:rsid w:val="00360297"/>
    <w:rsid w:val="003730A8"/>
    <w:rsid w:val="003E0FFC"/>
    <w:rsid w:val="003F422C"/>
    <w:rsid w:val="0040674C"/>
    <w:rsid w:val="00431D97"/>
    <w:rsid w:val="00432404"/>
    <w:rsid w:val="00454F61"/>
    <w:rsid w:val="00460ABF"/>
    <w:rsid w:val="004A2B0A"/>
    <w:rsid w:val="004A3F08"/>
    <w:rsid w:val="004E516C"/>
    <w:rsid w:val="00536172"/>
    <w:rsid w:val="00537F74"/>
    <w:rsid w:val="005534E4"/>
    <w:rsid w:val="00561EBC"/>
    <w:rsid w:val="005F0364"/>
    <w:rsid w:val="005F3448"/>
    <w:rsid w:val="006001D6"/>
    <w:rsid w:val="00651F4D"/>
    <w:rsid w:val="006E76C6"/>
    <w:rsid w:val="006F3EBC"/>
    <w:rsid w:val="007204CC"/>
    <w:rsid w:val="00723E5F"/>
    <w:rsid w:val="0077351F"/>
    <w:rsid w:val="007C2A92"/>
    <w:rsid w:val="007E782E"/>
    <w:rsid w:val="00842A7F"/>
    <w:rsid w:val="00842ECA"/>
    <w:rsid w:val="00877BC0"/>
    <w:rsid w:val="008A7374"/>
    <w:rsid w:val="008C75BD"/>
    <w:rsid w:val="008E341E"/>
    <w:rsid w:val="00992798"/>
    <w:rsid w:val="00A51523"/>
    <w:rsid w:val="00AC466B"/>
    <w:rsid w:val="00AF10C5"/>
    <w:rsid w:val="00AF421A"/>
    <w:rsid w:val="00B06F39"/>
    <w:rsid w:val="00B147DA"/>
    <w:rsid w:val="00BC2262"/>
    <w:rsid w:val="00BD130C"/>
    <w:rsid w:val="00C13F90"/>
    <w:rsid w:val="00C312B8"/>
    <w:rsid w:val="00C32506"/>
    <w:rsid w:val="00C55C13"/>
    <w:rsid w:val="00CA49B2"/>
    <w:rsid w:val="00CB1974"/>
    <w:rsid w:val="00CD06B8"/>
    <w:rsid w:val="00CE040D"/>
    <w:rsid w:val="00CE161B"/>
    <w:rsid w:val="00CE43CC"/>
    <w:rsid w:val="00CF684B"/>
    <w:rsid w:val="00DB2975"/>
    <w:rsid w:val="00DE7AD0"/>
    <w:rsid w:val="00E27C84"/>
    <w:rsid w:val="00E7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620DC"/>
  <w15:chartTrackingRefBased/>
  <w15:docId w15:val="{A4B210EC-BD73-47CC-B057-C7FF953E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sz w:val="22"/>
      <w:szCs w:val="22"/>
    </w:rPr>
  </w:style>
  <w:style w:type="table" w:styleId="PlainTable2">
    <w:name w:val="Plain Table 2"/>
    <w:basedOn w:val="TableNormal"/>
    <w:uiPriority w:val="42"/>
    <w:rPr>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37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74</cp:revision>
  <dcterms:created xsi:type="dcterms:W3CDTF">2025-12-13T23:18:00Z</dcterms:created>
  <dcterms:modified xsi:type="dcterms:W3CDTF">2026-01-15T08:34:00Z</dcterms:modified>
</cp:coreProperties>
</file>